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FB66A">
      <w:pPr>
        <w:spacing w:line="360" w:lineRule="auto"/>
        <w:jc w:val="center"/>
        <w:rPr>
          <w:rFonts w:ascii="方正小标宋简体" w:hAnsi="宋体" w:eastAsia="方正小标宋简体"/>
          <w:color w:val="auto"/>
          <w:sz w:val="52"/>
          <w:szCs w:val="52"/>
          <w:highlight w:val="none"/>
        </w:rPr>
      </w:pPr>
    </w:p>
    <w:p w14:paraId="5C45CE82">
      <w:pPr>
        <w:spacing w:line="360" w:lineRule="auto"/>
        <w:jc w:val="center"/>
        <w:rPr>
          <w:rFonts w:ascii="方正小标宋简体" w:hAnsi="宋体" w:eastAsia="方正小标宋简体"/>
          <w:color w:val="auto"/>
          <w:sz w:val="52"/>
          <w:szCs w:val="52"/>
          <w:highlight w:val="none"/>
        </w:rPr>
      </w:pPr>
    </w:p>
    <w:p w14:paraId="7D102E6F">
      <w:pPr>
        <w:spacing w:line="360" w:lineRule="auto"/>
        <w:jc w:val="center"/>
        <w:rPr>
          <w:rFonts w:ascii="方正小标宋简体" w:hAnsi="方正小标宋简体" w:eastAsia="方正小标宋简体" w:cs="方正小标宋简体"/>
          <w:color w:val="auto"/>
          <w:sz w:val="52"/>
          <w:szCs w:val="52"/>
          <w:highlight w:val="none"/>
        </w:rPr>
      </w:pPr>
      <w:r>
        <w:rPr>
          <w:rFonts w:hint="eastAsia" w:ascii="方正小标宋简体" w:hAnsi="宋体" w:eastAsia="方正小标宋简体"/>
          <w:color w:val="auto"/>
          <w:sz w:val="52"/>
          <w:szCs w:val="52"/>
          <w:highlight w:val="none"/>
        </w:rPr>
        <w:t>云之龙咨询集团有限公司</w:t>
      </w:r>
    </w:p>
    <w:p w14:paraId="70D25706">
      <w:pPr>
        <w:spacing w:line="360" w:lineRule="auto"/>
        <w:jc w:val="center"/>
        <w:rPr>
          <w:rFonts w:ascii="宋体" w:hAnsi="宋体"/>
          <w:i/>
          <w:color w:val="auto"/>
          <w:sz w:val="52"/>
          <w:szCs w:val="52"/>
          <w:highlight w:val="none"/>
        </w:rPr>
      </w:pPr>
    </w:p>
    <w:p w14:paraId="50618760">
      <w:pPr>
        <w:spacing w:line="360" w:lineRule="auto"/>
        <w:jc w:val="center"/>
        <w:rPr>
          <w:rFonts w:ascii="方正小标宋简体" w:hAnsi="方正小标宋简体" w:eastAsia="方正小标宋简体" w:cs="方正小标宋简体"/>
          <w:b/>
          <w:color w:val="auto"/>
          <w:sz w:val="44"/>
          <w:szCs w:val="44"/>
          <w:highlight w:val="none"/>
        </w:rPr>
      </w:pPr>
    </w:p>
    <w:p w14:paraId="48935401">
      <w:pPr>
        <w:spacing w:line="360" w:lineRule="auto"/>
        <w:jc w:val="center"/>
        <w:rPr>
          <w:rFonts w:ascii="方正小标宋简体" w:hAnsi="方正小标宋简体" w:eastAsia="方正小标宋简体" w:cs="方正小标宋简体"/>
          <w:b/>
          <w:color w:val="auto"/>
          <w:sz w:val="44"/>
          <w:szCs w:val="44"/>
          <w:highlight w:val="none"/>
        </w:rPr>
      </w:pPr>
    </w:p>
    <w:p w14:paraId="570A73F1">
      <w:pPr>
        <w:snapToGrid w:val="0"/>
        <w:spacing w:before="156" w:beforeLines="50" w:line="360" w:lineRule="auto"/>
        <w:jc w:val="center"/>
        <w:rPr>
          <w:rFonts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竞争性磋商文件</w:t>
      </w:r>
    </w:p>
    <w:p w14:paraId="470ECCA0">
      <w:pPr>
        <w:snapToGrid w:val="0"/>
        <w:spacing w:before="156" w:beforeLines="50" w:line="360" w:lineRule="auto"/>
        <w:jc w:val="center"/>
        <w:rPr>
          <w:rFonts w:ascii="仿宋_GB2312" w:hAnsi="宋体" w:eastAsia="仿宋_GB2312"/>
          <w:b/>
          <w:color w:val="auto"/>
          <w:sz w:val="30"/>
          <w:szCs w:val="72"/>
          <w:highlight w:val="none"/>
        </w:rPr>
      </w:pPr>
      <w:r>
        <w:rPr>
          <w:rFonts w:hint="eastAsia" w:ascii="仿宋_GB2312" w:hAnsi="宋体" w:eastAsia="仿宋_GB2312"/>
          <w:b/>
          <w:color w:val="auto"/>
          <w:sz w:val="48"/>
          <w:szCs w:val="48"/>
          <w:highlight w:val="none"/>
        </w:rPr>
        <w:t>（全流程电子化采购）</w:t>
      </w:r>
    </w:p>
    <w:p w14:paraId="1DCCFB6E">
      <w:pPr>
        <w:snapToGrid w:val="0"/>
        <w:spacing w:line="360" w:lineRule="auto"/>
        <w:rPr>
          <w:rFonts w:ascii="仿宋_GB2312" w:hAnsi="宋体" w:eastAsia="仿宋_GB2312"/>
          <w:color w:val="auto"/>
          <w:sz w:val="30"/>
          <w:szCs w:val="72"/>
          <w:highlight w:val="none"/>
        </w:rPr>
      </w:pPr>
    </w:p>
    <w:p w14:paraId="38B90C92">
      <w:pPr>
        <w:pStyle w:val="26"/>
        <w:snapToGrid w:val="0"/>
        <w:spacing w:line="360" w:lineRule="auto"/>
        <w:ind w:firstLine="1205" w:firstLineChars="400"/>
        <w:rPr>
          <w:rFonts w:hint="eastAsia" w:ascii="仿宋_GB2312" w:hAnsi="宋体" w:eastAsia="仿宋_GB2312"/>
          <w:b/>
          <w:bCs/>
          <w:color w:val="auto"/>
          <w:spacing w:val="-20"/>
          <w:sz w:val="30"/>
          <w:szCs w:val="30"/>
          <w:highlight w:val="none"/>
          <w:lang w:eastAsia="zh-CN"/>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w:t>
      </w:r>
      <w:r>
        <w:rPr>
          <w:rFonts w:hint="eastAsia" w:ascii="仿宋_GB2312" w:hAnsi="宋体" w:eastAsia="仿宋_GB2312"/>
          <w:b/>
          <w:bCs/>
          <w:color w:val="auto"/>
          <w:spacing w:val="-20"/>
          <w:sz w:val="30"/>
          <w:szCs w:val="30"/>
          <w:highlight w:val="none"/>
          <w:lang w:eastAsia="zh-CN"/>
        </w:rPr>
        <w:t>兴安县人民医院门诊及住院楼装修项目</w:t>
      </w:r>
    </w:p>
    <w:p w14:paraId="5BD6749D">
      <w:pPr>
        <w:pStyle w:val="26"/>
        <w:snapToGrid w:val="0"/>
        <w:spacing w:line="360" w:lineRule="auto"/>
        <w:ind w:firstLine="1045" w:firstLineChars="400"/>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pacing w:val="-20"/>
          <w:sz w:val="30"/>
          <w:szCs w:val="30"/>
          <w:highlight w:val="none"/>
          <w:lang w:eastAsia="zh-CN"/>
        </w:rPr>
        <w:t>（增加补充部分电力，墙板，门窗柜子等）</w:t>
      </w:r>
    </w:p>
    <w:p w14:paraId="4D449A14">
      <w:pPr>
        <w:snapToGrid w:val="0"/>
        <w:spacing w:line="360" w:lineRule="auto"/>
        <w:ind w:firstLine="1145" w:firstLineChars="400"/>
        <w:rPr>
          <w:rFonts w:hint="eastAsia" w:ascii="仿宋_GB2312" w:hAnsi="宋体" w:eastAsia="仿宋_GB2312" w:cs="Courier New"/>
          <w:b/>
          <w:bCs/>
          <w:color w:val="auto"/>
          <w:w w:val="95"/>
          <w:sz w:val="30"/>
          <w:szCs w:val="30"/>
          <w:highlight w:val="none"/>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：GLZC2025-C2-250077-YZLZ</w:t>
      </w:r>
    </w:p>
    <w:p w14:paraId="5BD7D272">
      <w:pPr>
        <w:pStyle w:val="26"/>
        <w:snapToGrid w:val="0"/>
        <w:spacing w:line="360" w:lineRule="auto"/>
        <w:ind w:firstLine="1125" w:firstLineChars="393"/>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 购 人：兴安县人民医院</w:t>
      </w:r>
    </w:p>
    <w:p w14:paraId="01B14FD0">
      <w:pPr>
        <w:pStyle w:val="26"/>
        <w:snapToGrid w:val="0"/>
        <w:spacing w:line="360" w:lineRule="auto"/>
        <w:ind w:firstLine="1125" w:firstLineChars="393"/>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采购代理机构：云之龙咨询集团有限公司</w:t>
      </w:r>
    </w:p>
    <w:p w14:paraId="0A4F7D5D">
      <w:pPr>
        <w:pStyle w:val="26"/>
        <w:snapToGrid w:val="0"/>
        <w:spacing w:line="360" w:lineRule="auto"/>
        <w:ind w:firstLine="1125" w:firstLineChars="393"/>
        <w:rPr>
          <w:rFonts w:ascii="仿宋_GB2312" w:hAnsi="宋体" w:eastAsia="仿宋_GB2312"/>
          <w:b/>
          <w:bCs/>
          <w:color w:val="auto"/>
          <w:w w:val="95"/>
          <w:sz w:val="30"/>
          <w:szCs w:val="30"/>
          <w:highlight w:val="none"/>
        </w:rPr>
      </w:pPr>
    </w:p>
    <w:p w14:paraId="2688FF01">
      <w:pPr>
        <w:pStyle w:val="26"/>
        <w:snapToGrid w:val="0"/>
        <w:spacing w:line="360" w:lineRule="auto"/>
        <w:ind w:left="420" w:firstLine="841" w:firstLineChars="294"/>
        <w:rPr>
          <w:rFonts w:ascii="仿宋_GB2312" w:eastAsia="仿宋_GB2312"/>
          <w:color w:val="auto"/>
          <w:szCs w:val="20"/>
          <w:highlight w:val="none"/>
        </w:rPr>
      </w:pPr>
      <w:r>
        <w:rPr>
          <w:rFonts w:hint="eastAsia" w:ascii="仿宋_GB2312" w:hAnsi="宋体" w:eastAsia="仿宋_GB2312"/>
          <w:b/>
          <w:bCs/>
          <w:color w:val="auto"/>
          <w:w w:val="95"/>
          <w:sz w:val="30"/>
          <w:szCs w:val="30"/>
          <w:highlight w:val="none"/>
        </w:rPr>
        <w:t xml:space="preserve">               2025年</w:t>
      </w:r>
      <w:r>
        <w:rPr>
          <w:rFonts w:hint="eastAsia" w:ascii="仿宋_GB2312" w:hAnsi="宋体" w:eastAsia="仿宋_GB2312"/>
          <w:b/>
          <w:bCs/>
          <w:color w:val="auto"/>
          <w:w w:val="95"/>
          <w:sz w:val="30"/>
          <w:szCs w:val="30"/>
          <w:highlight w:val="none"/>
          <w:lang w:val="en-US" w:eastAsia="zh-CN"/>
        </w:rPr>
        <w:t>9</w:t>
      </w:r>
      <w:r>
        <w:rPr>
          <w:rFonts w:hint="eastAsia" w:ascii="仿宋_GB2312" w:hAnsi="宋体" w:eastAsia="仿宋_GB2312"/>
          <w:b/>
          <w:bCs/>
          <w:color w:val="auto"/>
          <w:w w:val="95"/>
          <w:sz w:val="30"/>
          <w:szCs w:val="30"/>
          <w:highlight w:val="none"/>
        </w:rPr>
        <w:t>月</w:t>
      </w:r>
      <w:r>
        <w:rPr>
          <w:rFonts w:hint="eastAsia" w:ascii="仿宋_GB2312" w:hAnsi="宋体" w:eastAsia="仿宋_GB2312"/>
          <w:b/>
          <w:bCs/>
          <w:color w:val="auto"/>
          <w:w w:val="95"/>
          <w:sz w:val="30"/>
          <w:szCs w:val="30"/>
          <w:highlight w:val="none"/>
          <w:lang w:val="en-US" w:eastAsia="zh-CN"/>
        </w:rPr>
        <w:t>23</w:t>
      </w:r>
      <w:r>
        <w:rPr>
          <w:rFonts w:hint="eastAsia" w:ascii="仿宋_GB2312" w:hAnsi="宋体" w:eastAsia="仿宋_GB2312"/>
          <w:b/>
          <w:bCs/>
          <w:color w:val="auto"/>
          <w:w w:val="95"/>
          <w:sz w:val="30"/>
          <w:szCs w:val="30"/>
          <w:highlight w:val="none"/>
        </w:rPr>
        <w:t>日</w:t>
      </w:r>
    </w:p>
    <w:p w14:paraId="70AB85E5">
      <w:pPr>
        <w:spacing w:line="360" w:lineRule="auto"/>
        <w:jc w:val="center"/>
        <w:rPr>
          <w:rFonts w:ascii="宋体" w:hAnsi="宋体"/>
          <w:b/>
          <w:color w:val="auto"/>
          <w:sz w:val="44"/>
          <w:szCs w:val="44"/>
          <w:highlight w:val="none"/>
        </w:rPr>
      </w:pPr>
      <w:r>
        <w:rPr>
          <w:rFonts w:hint="eastAsia" w:ascii="黑体" w:hAnsi="黑体" w:eastAsia="黑体" w:cs="宋体"/>
          <w:b/>
          <w:bCs/>
          <w:color w:val="auto"/>
          <w:kern w:val="0"/>
          <w:sz w:val="32"/>
          <w:szCs w:val="32"/>
          <w:highlight w:val="none"/>
        </w:rPr>
        <w:br w:type="page"/>
      </w:r>
      <w:r>
        <w:rPr>
          <w:rFonts w:hint="eastAsia" w:ascii="宋体" w:hAnsi="宋体"/>
          <w:b/>
          <w:color w:val="auto"/>
          <w:sz w:val="44"/>
          <w:szCs w:val="44"/>
          <w:highlight w:val="none"/>
        </w:rPr>
        <w:t>目  录</w:t>
      </w:r>
    </w:p>
    <w:p w14:paraId="7F3C8A27">
      <w:pPr>
        <w:spacing w:line="400" w:lineRule="exact"/>
        <w:jc w:val="center"/>
        <w:rPr>
          <w:rFonts w:ascii="宋体" w:hAnsi="宋体"/>
          <w:b/>
          <w:color w:val="auto"/>
          <w:sz w:val="44"/>
          <w:szCs w:val="44"/>
          <w:highlight w:val="none"/>
        </w:rPr>
      </w:pPr>
    </w:p>
    <w:p w14:paraId="508CE83D">
      <w:pPr>
        <w:pStyle w:val="33"/>
        <w:tabs>
          <w:tab w:val="right" w:leader="dot" w:pos="8869"/>
        </w:tabs>
        <w:snapToGrid w:val="0"/>
        <w:spacing w:line="500" w:lineRule="atLeast"/>
        <w:rPr>
          <w:rStyle w:val="57"/>
          <w:rFonts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fldChar w:fldCharType="begin"/>
      </w:r>
      <w:r>
        <w:rPr>
          <w:rFonts w:asciiTheme="minorEastAsia" w:hAnsiTheme="minorEastAsia" w:eastAsiaTheme="minorEastAsia"/>
          <w:b/>
          <w:color w:val="auto"/>
          <w:sz w:val="28"/>
          <w:szCs w:val="28"/>
          <w:highlight w:val="none"/>
        </w:rPr>
        <w:instrText xml:space="preserve"> </w:instrText>
      </w:r>
      <w:r>
        <w:rPr>
          <w:rFonts w:hint="eastAsia" w:asciiTheme="minorEastAsia" w:hAnsiTheme="minorEastAsia" w:eastAsiaTheme="minorEastAsia"/>
          <w:b/>
          <w:color w:val="auto"/>
          <w:sz w:val="28"/>
          <w:szCs w:val="28"/>
          <w:highlight w:val="none"/>
        </w:rPr>
        <w:instrText xml:space="preserve">TOC \o "1-3" \h \z \u</w:instrText>
      </w:r>
      <w:r>
        <w:rPr>
          <w:rFonts w:asciiTheme="minorEastAsia" w:hAnsiTheme="minorEastAsia" w:eastAsiaTheme="minorEastAsia"/>
          <w:b/>
          <w:color w:val="auto"/>
          <w:sz w:val="28"/>
          <w:szCs w:val="28"/>
          <w:highlight w:val="none"/>
        </w:rPr>
        <w:instrText xml:space="preserve"> </w:instrText>
      </w:r>
      <w:r>
        <w:rPr>
          <w:rFonts w:asciiTheme="minorEastAsia" w:hAnsiTheme="minorEastAsia" w:eastAsiaTheme="minorEastAsia"/>
          <w:b/>
          <w:color w:val="auto"/>
          <w:sz w:val="28"/>
          <w:szCs w:val="28"/>
          <w:highlight w:val="none"/>
        </w:rPr>
        <w:fldChar w:fldCharType="separate"/>
      </w:r>
      <w:r>
        <w:rPr>
          <w:color w:val="auto"/>
          <w:highlight w:val="none"/>
        </w:rPr>
        <w:fldChar w:fldCharType="begin"/>
      </w:r>
      <w:r>
        <w:rPr>
          <w:color w:val="auto"/>
          <w:highlight w:val="none"/>
        </w:rPr>
        <w:instrText xml:space="preserve"> HYPERLINK \l "_Toc74323456" </w:instrText>
      </w:r>
      <w:r>
        <w:rPr>
          <w:color w:val="auto"/>
          <w:highlight w:val="none"/>
        </w:rPr>
        <w:fldChar w:fldCharType="separate"/>
      </w:r>
      <w:r>
        <w:rPr>
          <w:rStyle w:val="57"/>
          <w:rFonts w:hint="eastAsia" w:asciiTheme="minorEastAsia" w:hAnsiTheme="minorEastAsia" w:eastAsiaTheme="minorEastAsia"/>
          <w:b/>
          <w:color w:val="auto"/>
          <w:sz w:val="28"/>
          <w:szCs w:val="28"/>
          <w:highlight w:val="none"/>
        </w:rPr>
        <w:t>第一章</w:t>
      </w:r>
      <w:r>
        <w:rPr>
          <w:rStyle w:val="57"/>
          <w:rFonts w:asciiTheme="minorEastAsia" w:hAnsiTheme="minorEastAsia" w:eastAsiaTheme="minorEastAsia"/>
          <w:b/>
          <w:color w:val="auto"/>
          <w:sz w:val="28"/>
          <w:szCs w:val="28"/>
          <w:highlight w:val="none"/>
        </w:rPr>
        <w:t xml:space="preserve"> </w:t>
      </w:r>
      <w:r>
        <w:rPr>
          <w:rStyle w:val="57"/>
          <w:rFonts w:hint="eastAsia" w:asciiTheme="minorEastAsia" w:hAnsiTheme="minorEastAsia" w:eastAsiaTheme="minorEastAsia"/>
          <w:b/>
          <w:color w:val="auto"/>
          <w:sz w:val="28"/>
          <w:szCs w:val="28"/>
          <w:highlight w:val="none"/>
        </w:rPr>
        <w:t>竞争性磋商公告</w:t>
      </w:r>
      <w:r>
        <w:rPr>
          <w:rStyle w:val="57"/>
          <w:rFonts w:asciiTheme="minorEastAsia" w:hAnsiTheme="minorEastAsia" w:eastAsiaTheme="minorEastAsia"/>
          <w:b/>
          <w:color w:val="auto"/>
          <w:sz w:val="28"/>
          <w:szCs w:val="28"/>
          <w:highlight w:val="none"/>
        </w:rPr>
        <w:tab/>
      </w:r>
      <w:r>
        <w:rPr>
          <w:rStyle w:val="57"/>
          <w:rFonts w:asciiTheme="minorEastAsia" w:hAnsiTheme="minorEastAsia" w:eastAsiaTheme="minorEastAsia"/>
          <w:b/>
          <w:color w:val="auto"/>
          <w:sz w:val="28"/>
          <w:szCs w:val="28"/>
          <w:highlight w:val="none"/>
        </w:rPr>
        <w:fldChar w:fldCharType="begin"/>
      </w:r>
      <w:r>
        <w:rPr>
          <w:rStyle w:val="57"/>
          <w:rFonts w:asciiTheme="minorEastAsia" w:hAnsiTheme="minorEastAsia" w:eastAsiaTheme="minorEastAsia"/>
          <w:b/>
          <w:color w:val="auto"/>
          <w:sz w:val="28"/>
          <w:szCs w:val="28"/>
          <w:highlight w:val="none"/>
        </w:rPr>
        <w:instrText xml:space="preserve"> PAGEREF _Toc74323456 \h </w:instrText>
      </w:r>
      <w:r>
        <w:rPr>
          <w:rStyle w:val="57"/>
          <w:rFonts w:asciiTheme="minorEastAsia" w:hAnsiTheme="minorEastAsia" w:eastAsiaTheme="minorEastAsia"/>
          <w:b/>
          <w:color w:val="auto"/>
          <w:sz w:val="28"/>
          <w:szCs w:val="28"/>
          <w:highlight w:val="none"/>
        </w:rPr>
        <w:fldChar w:fldCharType="separate"/>
      </w:r>
      <w:r>
        <w:rPr>
          <w:rStyle w:val="57"/>
          <w:rFonts w:asciiTheme="minorEastAsia" w:hAnsiTheme="minorEastAsia" w:eastAsiaTheme="minorEastAsia"/>
          <w:b/>
          <w:color w:val="auto"/>
          <w:sz w:val="28"/>
          <w:szCs w:val="28"/>
          <w:highlight w:val="none"/>
        </w:rPr>
        <w:t>2</w:t>
      </w:r>
      <w:r>
        <w:rPr>
          <w:rStyle w:val="57"/>
          <w:rFonts w:asciiTheme="minorEastAsia" w:hAnsiTheme="minorEastAsia" w:eastAsiaTheme="minorEastAsia"/>
          <w:b/>
          <w:color w:val="auto"/>
          <w:sz w:val="28"/>
          <w:szCs w:val="28"/>
          <w:highlight w:val="none"/>
        </w:rPr>
        <w:fldChar w:fldCharType="end"/>
      </w:r>
      <w:r>
        <w:rPr>
          <w:rStyle w:val="57"/>
          <w:rFonts w:asciiTheme="minorEastAsia" w:hAnsiTheme="minorEastAsia" w:eastAsiaTheme="minorEastAsia"/>
          <w:b/>
          <w:color w:val="auto"/>
          <w:sz w:val="28"/>
          <w:szCs w:val="28"/>
          <w:highlight w:val="none"/>
        </w:rPr>
        <w:fldChar w:fldCharType="end"/>
      </w:r>
    </w:p>
    <w:p w14:paraId="48B63F8E">
      <w:pPr>
        <w:pStyle w:val="33"/>
        <w:tabs>
          <w:tab w:val="right" w:leader="dot" w:pos="8869"/>
        </w:tabs>
        <w:snapToGrid w:val="0"/>
        <w:spacing w:line="500" w:lineRule="atLeast"/>
        <w:rPr>
          <w:rStyle w:val="57"/>
          <w:rFonts w:asciiTheme="minorEastAsia" w:hAnsiTheme="minorEastAsia" w:eastAsiaTheme="minorEastAsia"/>
          <w:b/>
          <w:color w:val="auto"/>
          <w:sz w:val="28"/>
          <w:szCs w:val="28"/>
          <w:highlight w:val="none"/>
        </w:rPr>
      </w:pPr>
      <w:r>
        <w:rPr>
          <w:color w:val="auto"/>
          <w:highlight w:val="none"/>
        </w:rPr>
        <w:fldChar w:fldCharType="begin"/>
      </w:r>
      <w:r>
        <w:rPr>
          <w:color w:val="auto"/>
          <w:highlight w:val="none"/>
        </w:rPr>
        <w:instrText xml:space="preserve"> HYPERLINK \l "_Toc74323457" </w:instrText>
      </w:r>
      <w:r>
        <w:rPr>
          <w:color w:val="auto"/>
          <w:highlight w:val="none"/>
        </w:rPr>
        <w:fldChar w:fldCharType="separate"/>
      </w:r>
      <w:r>
        <w:rPr>
          <w:rStyle w:val="57"/>
          <w:rFonts w:hint="eastAsia" w:asciiTheme="minorEastAsia" w:hAnsiTheme="minorEastAsia" w:eastAsiaTheme="minorEastAsia"/>
          <w:b/>
          <w:color w:val="auto"/>
          <w:sz w:val="28"/>
          <w:szCs w:val="28"/>
          <w:highlight w:val="none"/>
        </w:rPr>
        <w:t>第二章</w:t>
      </w:r>
      <w:r>
        <w:rPr>
          <w:rStyle w:val="57"/>
          <w:rFonts w:asciiTheme="minorEastAsia" w:hAnsiTheme="minorEastAsia" w:eastAsiaTheme="minorEastAsia"/>
          <w:b/>
          <w:color w:val="auto"/>
          <w:sz w:val="28"/>
          <w:szCs w:val="28"/>
          <w:highlight w:val="none"/>
        </w:rPr>
        <w:t xml:space="preserve"> </w:t>
      </w:r>
      <w:r>
        <w:rPr>
          <w:rStyle w:val="57"/>
          <w:rFonts w:hint="eastAsia" w:asciiTheme="minorEastAsia" w:hAnsiTheme="minorEastAsia" w:eastAsiaTheme="minorEastAsia"/>
          <w:b/>
          <w:color w:val="auto"/>
          <w:sz w:val="28"/>
          <w:szCs w:val="28"/>
          <w:highlight w:val="none"/>
        </w:rPr>
        <w:t>供应</w:t>
      </w:r>
      <w:bookmarkStart w:id="0" w:name="_Hlt82161237"/>
      <w:r>
        <w:rPr>
          <w:rStyle w:val="57"/>
          <w:rFonts w:hint="eastAsia" w:asciiTheme="minorEastAsia" w:hAnsiTheme="minorEastAsia" w:eastAsiaTheme="minorEastAsia"/>
          <w:b/>
          <w:color w:val="auto"/>
          <w:sz w:val="28"/>
          <w:szCs w:val="28"/>
          <w:highlight w:val="none"/>
        </w:rPr>
        <w:t>商</w:t>
      </w:r>
      <w:bookmarkEnd w:id="0"/>
      <w:r>
        <w:rPr>
          <w:rStyle w:val="57"/>
          <w:rFonts w:hint="eastAsia" w:asciiTheme="minorEastAsia" w:hAnsiTheme="minorEastAsia" w:eastAsiaTheme="minorEastAsia"/>
          <w:b/>
          <w:color w:val="auto"/>
          <w:sz w:val="28"/>
          <w:szCs w:val="28"/>
          <w:highlight w:val="none"/>
        </w:rPr>
        <w:t>须知</w:t>
      </w:r>
      <w:r>
        <w:rPr>
          <w:rStyle w:val="57"/>
          <w:rFonts w:asciiTheme="minorEastAsia" w:hAnsiTheme="minorEastAsia" w:eastAsiaTheme="minorEastAsia"/>
          <w:b/>
          <w:color w:val="auto"/>
          <w:sz w:val="28"/>
          <w:szCs w:val="28"/>
          <w:highlight w:val="none"/>
        </w:rPr>
        <w:tab/>
      </w:r>
      <w:r>
        <w:rPr>
          <w:rStyle w:val="57"/>
          <w:rFonts w:asciiTheme="minorEastAsia" w:hAnsiTheme="minorEastAsia" w:eastAsiaTheme="minorEastAsia"/>
          <w:b/>
          <w:color w:val="auto"/>
          <w:sz w:val="28"/>
          <w:szCs w:val="28"/>
          <w:highlight w:val="none"/>
        </w:rPr>
        <w:fldChar w:fldCharType="begin"/>
      </w:r>
      <w:r>
        <w:rPr>
          <w:rStyle w:val="57"/>
          <w:rFonts w:asciiTheme="minorEastAsia" w:hAnsiTheme="minorEastAsia" w:eastAsiaTheme="minorEastAsia"/>
          <w:b/>
          <w:color w:val="auto"/>
          <w:sz w:val="28"/>
          <w:szCs w:val="28"/>
          <w:highlight w:val="none"/>
        </w:rPr>
        <w:instrText xml:space="preserve"> PAGEREF _Toc74323457 \h </w:instrText>
      </w:r>
      <w:r>
        <w:rPr>
          <w:rStyle w:val="57"/>
          <w:rFonts w:asciiTheme="minorEastAsia" w:hAnsiTheme="minorEastAsia" w:eastAsiaTheme="minorEastAsia"/>
          <w:b/>
          <w:color w:val="auto"/>
          <w:sz w:val="28"/>
          <w:szCs w:val="28"/>
          <w:highlight w:val="none"/>
        </w:rPr>
        <w:fldChar w:fldCharType="separate"/>
      </w:r>
      <w:r>
        <w:rPr>
          <w:rStyle w:val="57"/>
          <w:rFonts w:asciiTheme="minorEastAsia" w:hAnsiTheme="minorEastAsia" w:eastAsiaTheme="minorEastAsia"/>
          <w:b/>
          <w:color w:val="auto"/>
          <w:sz w:val="28"/>
          <w:szCs w:val="28"/>
          <w:highlight w:val="none"/>
        </w:rPr>
        <w:t>5</w:t>
      </w:r>
      <w:r>
        <w:rPr>
          <w:rStyle w:val="57"/>
          <w:rFonts w:asciiTheme="minorEastAsia" w:hAnsiTheme="minorEastAsia" w:eastAsiaTheme="minorEastAsia"/>
          <w:b/>
          <w:color w:val="auto"/>
          <w:sz w:val="28"/>
          <w:szCs w:val="28"/>
          <w:highlight w:val="none"/>
        </w:rPr>
        <w:fldChar w:fldCharType="end"/>
      </w:r>
      <w:r>
        <w:rPr>
          <w:rStyle w:val="57"/>
          <w:rFonts w:asciiTheme="minorEastAsia" w:hAnsiTheme="minorEastAsia" w:eastAsiaTheme="minorEastAsia"/>
          <w:b/>
          <w:color w:val="auto"/>
          <w:sz w:val="28"/>
          <w:szCs w:val="28"/>
          <w:highlight w:val="none"/>
        </w:rPr>
        <w:fldChar w:fldCharType="end"/>
      </w:r>
    </w:p>
    <w:p w14:paraId="12B10ACC">
      <w:pPr>
        <w:pStyle w:val="33"/>
        <w:tabs>
          <w:tab w:val="right" w:leader="dot" w:pos="8869"/>
        </w:tabs>
        <w:snapToGrid w:val="0"/>
        <w:spacing w:line="500" w:lineRule="atLeast"/>
        <w:rPr>
          <w:rStyle w:val="57"/>
          <w:rFonts w:asciiTheme="minorEastAsia" w:hAnsiTheme="minorEastAsia" w:eastAsiaTheme="minorEastAsia"/>
          <w:b/>
          <w:color w:val="auto"/>
          <w:sz w:val="28"/>
          <w:szCs w:val="28"/>
          <w:highlight w:val="none"/>
        </w:rPr>
      </w:pPr>
      <w:r>
        <w:rPr>
          <w:color w:val="auto"/>
          <w:highlight w:val="none"/>
        </w:rPr>
        <w:fldChar w:fldCharType="begin"/>
      </w:r>
      <w:r>
        <w:rPr>
          <w:color w:val="auto"/>
          <w:highlight w:val="none"/>
        </w:rPr>
        <w:instrText xml:space="preserve"> HYPERLINK \l "_Toc74323458" </w:instrText>
      </w:r>
      <w:r>
        <w:rPr>
          <w:color w:val="auto"/>
          <w:highlight w:val="none"/>
        </w:rPr>
        <w:fldChar w:fldCharType="separate"/>
      </w:r>
      <w:r>
        <w:rPr>
          <w:rStyle w:val="57"/>
          <w:rFonts w:hint="eastAsia" w:asciiTheme="minorEastAsia" w:hAnsiTheme="minorEastAsia" w:eastAsiaTheme="minorEastAsia"/>
          <w:b/>
          <w:color w:val="auto"/>
          <w:sz w:val="28"/>
          <w:szCs w:val="28"/>
          <w:highlight w:val="none"/>
        </w:rPr>
        <w:t>第三章</w:t>
      </w:r>
      <w:r>
        <w:rPr>
          <w:rStyle w:val="57"/>
          <w:rFonts w:asciiTheme="minorEastAsia" w:hAnsiTheme="minorEastAsia" w:eastAsiaTheme="minorEastAsia"/>
          <w:b/>
          <w:color w:val="auto"/>
          <w:sz w:val="28"/>
          <w:szCs w:val="28"/>
          <w:highlight w:val="none"/>
        </w:rPr>
        <w:t xml:space="preserve"> </w:t>
      </w:r>
      <w:r>
        <w:rPr>
          <w:rStyle w:val="57"/>
          <w:rFonts w:hint="eastAsia" w:asciiTheme="minorEastAsia" w:hAnsiTheme="minorEastAsia" w:eastAsiaTheme="minorEastAsia"/>
          <w:b/>
          <w:color w:val="auto"/>
          <w:sz w:val="28"/>
          <w:szCs w:val="28"/>
          <w:highlight w:val="none"/>
        </w:rPr>
        <w:t>采购需</w:t>
      </w:r>
      <w:bookmarkStart w:id="1" w:name="_Hlt82166940"/>
      <w:r>
        <w:rPr>
          <w:rStyle w:val="57"/>
          <w:rFonts w:hint="eastAsia" w:asciiTheme="minorEastAsia" w:hAnsiTheme="minorEastAsia" w:eastAsiaTheme="minorEastAsia"/>
          <w:b/>
          <w:color w:val="auto"/>
          <w:sz w:val="28"/>
          <w:szCs w:val="28"/>
          <w:highlight w:val="none"/>
        </w:rPr>
        <w:t>求</w:t>
      </w:r>
      <w:bookmarkEnd w:id="1"/>
      <w:r>
        <w:rPr>
          <w:rStyle w:val="57"/>
          <w:rFonts w:asciiTheme="minorEastAsia" w:hAnsiTheme="minorEastAsia" w:eastAsiaTheme="minorEastAsia"/>
          <w:b/>
          <w:color w:val="auto"/>
          <w:sz w:val="28"/>
          <w:szCs w:val="28"/>
          <w:highlight w:val="none"/>
        </w:rPr>
        <w:tab/>
      </w:r>
      <w:r>
        <w:rPr>
          <w:rStyle w:val="57"/>
          <w:rFonts w:hint="eastAsia" w:asciiTheme="minorEastAsia" w:hAnsiTheme="minorEastAsia" w:eastAsiaTheme="minorEastAsia"/>
          <w:b/>
          <w:color w:val="auto"/>
          <w:sz w:val="28"/>
          <w:szCs w:val="28"/>
          <w:highlight w:val="none"/>
        </w:rPr>
        <w:t>24</w:t>
      </w:r>
      <w:r>
        <w:rPr>
          <w:rStyle w:val="57"/>
          <w:rFonts w:hint="eastAsia" w:asciiTheme="minorEastAsia" w:hAnsiTheme="minorEastAsia" w:eastAsiaTheme="minorEastAsia"/>
          <w:b/>
          <w:color w:val="auto"/>
          <w:sz w:val="28"/>
          <w:szCs w:val="28"/>
          <w:highlight w:val="none"/>
        </w:rPr>
        <w:fldChar w:fldCharType="end"/>
      </w:r>
    </w:p>
    <w:p w14:paraId="2CF7F047">
      <w:pPr>
        <w:pStyle w:val="33"/>
        <w:tabs>
          <w:tab w:val="right" w:leader="dot" w:pos="8869"/>
        </w:tabs>
        <w:snapToGrid w:val="0"/>
        <w:spacing w:line="500" w:lineRule="atLeast"/>
        <w:rPr>
          <w:rStyle w:val="57"/>
          <w:rFonts w:asciiTheme="minorEastAsia" w:hAnsiTheme="minorEastAsia" w:eastAsiaTheme="minorEastAsia"/>
          <w:b/>
          <w:color w:val="auto"/>
          <w:sz w:val="28"/>
          <w:szCs w:val="28"/>
          <w:highlight w:val="none"/>
        </w:rPr>
      </w:pPr>
      <w:r>
        <w:rPr>
          <w:color w:val="auto"/>
          <w:highlight w:val="none"/>
        </w:rPr>
        <w:fldChar w:fldCharType="begin"/>
      </w:r>
      <w:r>
        <w:rPr>
          <w:color w:val="auto"/>
          <w:highlight w:val="none"/>
        </w:rPr>
        <w:instrText xml:space="preserve"> HYPERLINK \l "_Toc74323459" </w:instrText>
      </w:r>
      <w:r>
        <w:rPr>
          <w:color w:val="auto"/>
          <w:highlight w:val="none"/>
        </w:rPr>
        <w:fldChar w:fldCharType="separate"/>
      </w:r>
      <w:r>
        <w:rPr>
          <w:rStyle w:val="57"/>
          <w:rFonts w:hint="eastAsia" w:asciiTheme="minorEastAsia" w:hAnsiTheme="minorEastAsia" w:eastAsiaTheme="minorEastAsia"/>
          <w:b/>
          <w:color w:val="auto"/>
          <w:sz w:val="28"/>
          <w:szCs w:val="28"/>
          <w:highlight w:val="none"/>
        </w:rPr>
        <w:t>第四章</w:t>
      </w:r>
      <w:r>
        <w:rPr>
          <w:rStyle w:val="57"/>
          <w:rFonts w:asciiTheme="minorEastAsia" w:hAnsiTheme="minorEastAsia" w:eastAsiaTheme="minorEastAsia"/>
          <w:b/>
          <w:color w:val="auto"/>
          <w:sz w:val="28"/>
          <w:szCs w:val="28"/>
          <w:highlight w:val="none"/>
        </w:rPr>
        <w:t xml:space="preserve"> </w:t>
      </w:r>
      <w:r>
        <w:rPr>
          <w:rStyle w:val="57"/>
          <w:rFonts w:hint="eastAsia" w:asciiTheme="minorEastAsia" w:hAnsiTheme="minorEastAsia" w:eastAsiaTheme="minorEastAsia"/>
          <w:b/>
          <w:color w:val="auto"/>
          <w:sz w:val="28"/>
          <w:szCs w:val="28"/>
          <w:highlight w:val="none"/>
        </w:rPr>
        <w:t>评审程序、</w:t>
      </w:r>
      <w:bookmarkStart w:id="2" w:name="_Hlt82166000"/>
      <w:r>
        <w:rPr>
          <w:rStyle w:val="57"/>
          <w:rFonts w:hint="eastAsia" w:asciiTheme="minorEastAsia" w:hAnsiTheme="minorEastAsia" w:eastAsiaTheme="minorEastAsia"/>
          <w:b/>
          <w:color w:val="auto"/>
          <w:sz w:val="28"/>
          <w:szCs w:val="28"/>
          <w:highlight w:val="none"/>
        </w:rPr>
        <w:t>评</w:t>
      </w:r>
      <w:bookmarkEnd w:id="2"/>
      <w:r>
        <w:rPr>
          <w:rStyle w:val="57"/>
          <w:rFonts w:hint="eastAsia" w:asciiTheme="minorEastAsia" w:hAnsiTheme="minorEastAsia" w:eastAsiaTheme="minorEastAsia"/>
          <w:b/>
          <w:color w:val="auto"/>
          <w:sz w:val="28"/>
          <w:szCs w:val="28"/>
          <w:highlight w:val="none"/>
        </w:rPr>
        <w:t>审方法和评审标准</w:t>
      </w:r>
      <w:r>
        <w:rPr>
          <w:rStyle w:val="57"/>
          <w:rFonts w:asciiTheme="minorEastAsia" w:hAnsiTheme="minorEastAsia" w:eastAsiaTheme="minorEastAsia"/>
          <w:b/>
          <w:color w:val="auto"/>
          <w:sz w:val="28"/>
          <w:szCs w:val="28"/>
          <w:highlight w:val="none"/>
        </w:rPr>
        <w:tab/>
      </w:r>
      <w:r>
        <w:rPr>
          <w:rStyle w:val="57"/>
          <w:rFonts w:asciiTheme="minorEastAsia" w:hAnsiTheme="minorEastAsia" w:eastAsiaTheme="minorEastAsia"/>
          <w:b/>
          <w:color w:val="auto"/>
          <w:sz w:val="28"/>
          <w:szCs w:val="28"/>
          <w:highlight w:val="none"/>
        </w:rPr>
        <w:fldChar w:fldCharType="end"/>
      </w:r>
      <w:r>
        <w:rPr>
          <w:rStyle w:val="57"/>
          <w:rFonts w:hint="eastAsia" w:asciiTheme="minorEastAsia" w:hAnsiTheme="minorEastAsia" w:eastAsiaTheme="minorEastAsia"/>
          <w:b/>
          <w:color w:val="auto"/>
          <w:sz w:val="28"/>
          <w:szCs w:val="28"/>
          <w:highlight w:val="none"/>
        </w:rPr>
        <w:t>28</w:t>
      </w:r>
    </w:p>
    <w:p w14:paraId="3EC9A82A">
      <w:pPr>
        <w:pStyle w:val="33"/>
        <w:tabs>
          <w:tab w:val="right" w:leader="dot" w:pos="8869"/>
        </w:tabs>
        <w:snapToGrid w:val="0"/>
        <w:spacing w:line="500" w:lineRule="atLeast"/>
        <w:rPr>
          <w:rStyle w:val="57"/>
          <w:rFonts w:asciiTheme="minorEastAsia" w:hAnsiTheme="minorEastAsia" w:eastAsiaTheme="minorEastAsia"/>
          <w:b/>
          <w:color w:val="auto"/>
          <w:sz w:val="28"/>
          <w:szCs w:val="28"/>
          <w:highlight w:val="none"/>
        </w:rPr>
      </w:pPr>
      <w:r>
        <w:rPr>
          <w:color w:val="auto"/>
          <w:highlight w:val="none"/>
        </w:rPr>
        <w:fldChar w:fldCharType="begin"/>
      </w:r>
      <w:r>
        <w:rPr>
          <w:color w:val="auto"/>
          <w:highlight w:val="none"/>
        </w:rPr>
        <w:instrText xml:space="preserve"> HYPERLINK \l "_Toc74323460" </w:instrText>
      </w:r>
      <w:r>
        <w:rPr>
          <w:color w:val="auto"/>
          <w:highlight w:val="none"/>
        </w:rPr>
        <w:fldChar w:fldCharType="separate"/>
      </w:r>
      <w:r>
        <w:rPr>
          <w:rStyle w:val="57"/>
          <w:rFonts w:hint="eastAsia" w:asciiTheme="minorEastAsia" w:hAnsiTheme="minorEastAsia" w:eastAsiaTheme="minorEastAsia"/>
          <w:b/>
          <w:color w:val="auto"/>
          <w:sz w:val="28"/>
          <w:szCs w:val="28"/>
          <w:highlight w:val="none"/>
        </w:rPr>
        <w:t>第五章</w:t>
      </w:r>
      <w:r>
        <w:rPr>
          <w:rStyle w:val="57"/>
          <w:rFonts w:asciiTheme="minorEastAsia" w:hAnsiTheme="minorEastAsia" w:eastAsiaTheme="minorEastAsia"/>
          <w:b/>
          <w:color w:val="auto"/>
          <w:sz w:val="28"/>
          <w:szCs w:val="28"/>
          <w:highlight w:val="none"/>
        </w:rPr>
        <w:t xml:space="preserve"> </w:t>
      </w:r>
      <w:r>
        <w:rPr>
          <w:rStyle w:val="57"/>
          <w:rFonts w:hint="eastAsia" w:asciiTheme="minorEastAsia" w:hAnsiTheme="minorEastAsia" w:eastAsiaTheme="minorEastAsia"/>
          <w:b/>
          <w:color w:val="auto"/>
          <w:sz w:val="28"/>
          <w:szCs w:val="28"/>
          <w:highlight w:val="none"/>
        </w:rPr>
        <w:t>工程量清单及图纸(另附)</w:t>
      </w:r>
      <w:r>
        <w:rPr>
          <w:rStyle w:val="57"/>
          <w:rFonts w:asciiTheme="minorEastAsia" w:hAnsiTheme="minorEastAsia" w:eastAsiaTheme="minorEastAsia"/>
          <w:b/>
          <w:color w:val="auto"/>
          <w:sz w:val="28"/>
          <w:szCs w:val="28"/>
          <w:highlight w:val="none"/>
        </w:rPr>
        <w:tab/>
      </w:r>
      <w:r>
        <w:rPr>
          <w:rStyle w:val="57"/>
          <w:rFonts w:asciiTheme="minorEastAsia" w:hAnsiTheme="minorEastAsia" w:eastAsiaTheme="minorEastAsia"/>
          <w:b/>
          <w:color w:val="auto"/>
          <w:sz w:val="28"/>
          <w:szCs w:val="28"/>
          <w:highlight w:val="none"/>
        </w:rPr>
        <w:fldChar w:fldCharType="end"/>
      </w:r>
      <w:r>
        <w:rPr>
          <w:rStyle w:val="57"/>
          <w:rFonts w:hint="eastAsia" w:asciiTheme="minorEastAsia" w:hAnsiTheme="minorEastAsia" w:eastAsiaTheme="minorEastAsia"/>
          <w:b/>
          <w:color w:val="auto"/>
          <w:sz w:val="28"/>
          <w:szCs w:val="28"/>
          <w:highlight w:val="none"/>
        </w:rPr>
        <w:t>38</w:t>
      </w:r>
    </w:p>
    <w:p w14:paraId="59451AF7">
      <w:pPr>
        <w:pStyle w:val="33"/>
        <w:tabs>
          <w:tab w:val="right" w:leader="dot" w:pos="8869"/>
        </w:tabs>
        <w:snapToGrid w:val="0"/>
        <w:spacing w:line="500" w:lineRule="atLeast"/>
        <w:rPr>
          <w:rStyle w:val="57"/>
          <w:rFonts w:asciiTheme="minorEastAsia" w:hAnsiTheme="minorEastAsia" w:eastAsiaTheme="minorEastAsia"/>
          <w:b/>
          <w:color w:val="auto"/>
          <w:sz w:val="28"/>
          <w:szCs w:val="28"/>
          <w:highlight w:val="none"/>
        </w:rPr>
      </w:pPr>
      <w:r>
        <w:rPr>
          <w:rStyle w:val="57"/>
          <w:rFonts w:hint="eastAsia" w:asciiTheme="minorEastAsia" w:hAnsiTheme="minorEastAsia" w:eastAsiaTheme="minorEastAsia"/>
          <w:b/>
          <w:color w:val="auto"/>
          <w:sz w:val="28"/>
          <w:szCs w:val="28"/>
          <w:highlight w:val="none"/>
          <w:u w:val="none"/>
        </w:rPr>
        <w:t>第六章</w:t>
      </w:r>
      <w:r>
        <w:rPr>
          <w:rStyle w:val="57"/>
          <w:rFonts w:asciiTheme="minorEastAsia" w:hAnsiTheme="minorEastAsia" w:eastAsiaTheme="minorEastAsia"/>
          <w:b/>
          <w:color w:val="auto"/>
          <w:sz w:val="28"/>
          <w:szCs w:val="28"/>
          <w:highlight w:val="none"/>
          <w:u w:val="none"/>
        </w:rPr>
        <w:t xml:space="preserve"> </w:t>
      </w:r>
      <w:r>
        <w:rPr>
          <w:rStyle w:val="57"/>
          <w:rFonts w:hint="eastAsia" w:asciiTheme="minorEastAsia" w:hAnsiTheme="minorEastAsia" w:eastAsiaTheme="minorEastAsia"/>
          <w:b/>
          <w:color w:val="auto"/>
          <w:sz w:val="28"/>
          <w:szCs w:val="28"/>
          <w:highlight w:val="none"/>
          <w:u w:val="none"/>
        </w:rPr>
        <w:t>响应文件格式</w:t>
      </w:r>
      <w:r>
        <w:rPr>
          <w:rStyle w:val="57"/>
          <w:rFonts w:asciiTheme="minorEastAsia" w:hAnsiTheme="minorEastAsia" w:eastAsiaTheme="minorEastAsia"/>
          <w:b/>
          <w:color w:val="auto"/>
          <w:sz w:val="28"/>
          <w:szCs w:val="28"/>
          <w:highlight w:val="none"/>
          <w:u w:val="none"/>
        </w:rPr>
        <w:tab/>
      </w:r>
      <w:r>
        <w:rPr>
          <w:rStyle w:val="57"/>
          <w:rFonts w:hint="eastAsia" w:asciiTheme="minorEastAsia" w:hAnsiTheme="minorEastAsia" w:eastAsiaTheme="minorEastAsia"/>
          <w:b/>
          <w:color w:val="auto"/>
          <w:sz w:val="28"/>
          <w:szCs w:val="28"/>
          <w:highlight w:val="none"/>
          <w:u w:val="none"/>
        </w:rPr>
        <w:t>44</w:t>
      </w:r>
    </w:p>
    <w:p w14:paraId="4B28490D">
      <w:pPr>
        <w:pStyle w:val="33"/>
        <w:tabs>
          <w:tab w:val="right" w:leader="dot" w:pos="8869"/>
        </w:tabs>
        <w:snapToGrid w:val="0"/>
        <w:spacing w:line="500" w:lineRule="atLeast"/>
        <w:rPr>
          <w:rFonts w:asciiTheme="minorEastAsia" w:hAnsiTheme="minorEastAsia" w:eastAsiaTheme="minorEastAsia"/>
          <w:b/>
          <w:color w:val="auto"/>
          <w:sz w:val="28"/>
          <w:szCs w:val="28"/>
          <w:highlight w:val="none"/>
        </w:rPr>
      </w:pPr>
      <w:r>
        <w:rPr>
          <w:color w:val="auto"/>
          <w:highlight w:val="none"/>
        </w:rPr>
        <w:fldChar w:fldCharType="begin"/>
      </w:r>
      <w:r>
        <w:rPr>
          <w:color w:val="auto"/>
          <w:highlight w:val="none"/>
        </w:rPr>
        <w:instrText xml:space="preserve"> HYPERLINK \l "_Toc74323461" </w:instrText>
      </w:r>
      <w:r>
        <w:rPr>
          <w:color w:val="auto"/>
          <w:highlight w:val="none"/>
        </w:rPr>
        <w:fldChar w:fldCharType="separate"/>
      </w:r>
      <w:r>
        <w:rPr>
          <w:rStyle w:val="57"/>
          <w:rFonts w:hint="eastAsia" w:asciiTheme="minorEastAsia" w:hAnsiTheme="minorEastAsia" w:eastAsiaTheme="minorEastAsia"/>
          <w:b/>
          <w:color w:val="auto"/>
          <w:sz w:val="28"/>
          <w:szCs w:val="28"/>
          <w:highlight w:val="none"/>
        </w:rPr>
        <w:t>第七章</w:t>
      </w:r>
      <w:r>
        <w:rPr>
          <w:rStyle w:val="57"/>
          <w:rFonts w:asciiTheme="minorEastAsia" w:hAnsiTheme="minorEastAsia" w:eastAsiaTheme="minorEastAsia"/>
          <w:b/>
          <w:color w:val="auto"/>
          <w:sz w:val="28"/>
          <w:szCs w:val="28"/>
          <w:highlight w:val="none"/>
        </w:rPr>
        <w:t xml:space="preserve"> </w:t>
      </w:r>
      <w:r>
        <w:rPr>
          <w:rStyle w:val="57"/>
          <w:rFonts w:hint="eastAsia" w:asciiTheme="minorEastAsia" w:hAnsiTheme="minorEastAsia" w:eastAsiaTheme="minorEastAsia"/>
          <w:b/>
          <w:color w:val="auto"/>
          <w:sz w:val="28"/>
          <w:szCs w:val="28"/>
          <w:highlight w:val="none"/>
        </w:rPr>
        <w:t>合同文本</w:t>
      </w:r>
      <w:r>
        <w:rPr>
          <w:rStyle w:val="57"/>
          <w:rFonts w:asciiTheme="minorEastAsia" w:hAnsiTheme="minorEastAsia" w:eastAsiaTheme="minorEastAsia"/>
          <w:b/>
          <w:color w:val="auto"/>
          <w:sz w:val="28"/>
          <w:szCs w:val="28"/>
          <w:highlight w:val="none"/>
        </w:rPr>
        <w:tab/>
      </w:r>
      <w:r>
        <w:rPr>
          <w:rStyle w:val="57"/>
          <w:rFonts w:asciiTheme="minorEastAsia" w:hAnsiTheme="minorEastAsia" w:eastAsiaTheme="minorEastAsia"/>
          <w:b/>
          <w:color w:val="auto"/>
          <w:sz w:val="28"/>
          <w:szCs w:val="28"/>
          <w:highlight w:val="none"/>
        </w:rPr>
        <w:fldChar w:fldCharType="begin"/>
      </w:r>
      <w:r>
        <w:rPr>
          <w:rStyle w:val="57"/>
          <w:rFonts w:asciiTheme="minorEastAsia" w:hAnsiTheme="minorEastAsia" w:eastAsiaTheme="minorEastAsia"/>
          <w:b/>
          <w:color w:val="auto"/>
          <w:sz w:val="28"/>
          <w:szCs w:val="28"/>
          <w:highlight w:val="none"/>
        </w:rPr>
        <w:instrText xml:space="preserve"> PAGEREF _Toc74323461 \h </w:instrText>
      </w:r>
      <w:r>
        <w:rPr>
          <w:rStyle w:val="57"/>
          <w:rFonts w:asciiTheme="minorEastAsia" w:hAnsiTheme="minorEastAsia" w:eastAsiaTheme="minorEastAsia"/>
          <w:b/>
          <w:color w:val="auto"/>
          <w:sz w:val="28"/>
          <w:szCs w:val="28"/>
          <w:highlight w:val="none"/>
        </w:rPr>
        <w:fldChar w:fldCharType="separate"/>
      </w:r>
      <w:r>
        <w:rPr>
          <w:rStyle w:val="57"/>
          <w:rFonts w:asciiTheme="minorEastAsia" w:hAnsiTheme="minorEastAsia" w:eastAsiaTheme="minorEastAsia"/>
          <w:b/>
          <w:color w:val="auto"/>
          <w:sz w:val="28"/>
          <w:szCs w:val="28"/>
          <w:highlight w:val="none"/>
        </w:rPr>
        <w:t>76</w:t>
      </w:r>
      <w:r>
        <w:rPr>
          <w:rStyle w:val="57"/>
          <w:rFonts w:asciiTheme="minorEastAsia" w:hAnsiTheme="minorEastAsia" w:eastAsiaTheme="minorEastAsia"/>
          <w:b/>
          <w:color w:val="auto"/>
          <w:sz w:val="28"/>
          <w:szCs w:val="28"/>
          <w:highlight w:val="none"/>
        </w:rPr>
        <w:fldChar w:fldCharType="end"/>
      </w:r>
      <w:r>
        <w:rPr>
          <w:rStyle w:val="57"/>
          <w:rFonts w:asciiTheme="minorEastAsia" w:hAnsiTheme="minorEastAsia" w:eastAsiaTheme="minorEastAsia"/>
          <w:b/>
          <w:color w:val="auto"/>
          <w:sz w:val="28"/>
          <w:szCs w:val="28"/>
          <w:highlight w:val="none"/>
        </w:rPr>
        <w:fldChar w:fldCharType="end"/>
      </w:r>
    </w:p>
    <w:p w14:paraId="638750F6">
      <w:pPr>
        <w:pStyle w:val="39"/>
        <w:tabs>
          <w:tab w:val="right" w:leader="dot" w:pos="8931"/>
          <w:tab w:val="clear" w:pos="8296"/>
        </w:tabs>
        <w:snapToGrid w:val="0"/>
        <w:spacing w:line="500" w:lineRule="atLeast"/>
        <w:ind w:left="0" w:leftChars="0"/>
        <w:rPr>
          <w:rFonts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fldChar w:fldCharType="end"/>
      </w:r>
    </w:p>
    <w:p w14:paraId="5939D405">
      <w:pPr>
        <w:spacing w:line="400" w:lineRule="exact"/>
        <w:jc w:val="left"/>
        <w:rPr>
          <w:rFonts w:ascii="宋体" w:hAnsi="宋体"/>
          <w:b/>
          <w:color w:val="auto"/>
          <w:sz w:val="32"/>
          <w:szCs w:val="32"/>
          <w:highlight w:val="none"/>
        </w:rPr>
      </w:pPr>
    </w:p>
    <w:p w14:paraId="1A8797D0">
      <w:pPr>
        <w:spacing w:line="400" w:lineRule="exact"/>
        <w:jc w:val="center"/>
        <w:rPr>
          <w:rFonts w:ascii="宋体" w:hAnsi="宋体"/>
          <w:b/>
          <w:color w:val="auto"/>
          <w:sz w:val="32"/>
          <w:szCs w:val="32"/>
          <w:highlight w:val="none"/>
        </w:rPr>
      </w:pPr>
    </w:p>
    <w:p w14:paraId="5ED7D1CA">
      <w:pPr>
        <w:spacing w:line="400" w:lineRule="exact"/>
        <w:jc w:val="center"/>
        <w:rPr>
          <w:rFonts w:ascii="宋体" w:hAnsi="宋体"/>
          <w:b/>
          <w:color w:val="auto"/>
          <w:sz w:val="32"/>
          <w:szCs w:val="32"/>
          <w:highlight w:val="none"/>
        </w:rPr>
      </w:pPr>
    </w:p>
    <w:p w14:paraId="18981A50">
      <w:pPr>
        <w:spacing w:line="400" w:lineRule="exact"/>
        <w:jc w:val="center"/>
        <w:rPr>
          <w:rFonts w:ascii="宋体" w:hAnsi="宋体"/>
          <w:b/>
          <w:color w:val="auto"/>
          <w:sz w:val="32"/>
          <w:szCs w:val="32"/>
          <w:highlight w:val="none"/>
        </w:rPr>
      </w:pPr>
    </w:p>
    <w:p w14:paraId="1E362011">
      <w:pPr>
        <w:spacing w:line="400" w:lineRule="exact"/>
        <w:jc w:val="center"/>
        <w:rPr>
          <w:rFonts w:ascii="宋体" w:hAnsi="宋体"/>
          <w:b/>
          <w:color w:val="auto"/>
          <w:sz w:val="32"/>
          <w:szCs w:val="32"/>
          <w:highlight w:val="none"/>
        </w:rPr>
      </w:pPr>
    </w:p>
    <w:p w14:paraId="1D78FE13">
      <w:pPr>
        <w:spacing w:line="400" w:lineRule="exact"/>
        <w:rPr>
          <w:rFonts w:ascii="宋体" w:hAnsi="宋体"/>
          <w:b/>
          <w:color w:val="auto"/>
          <w:sz w:val="32"/>
          <w:szCs w:val="32"/>
          <w:highlight w:val="none"/>
        </w:rPr>
        <w:sectPr>
          <w:headerReference r:id="rId5" w:type="first"/>
          <w:footerReference r:id="rId7" w:type="first"/>
          <w:headerReference r:id="rId3" w:type="default"/>
          <w:footerReference r:id="rId6" w:type="default"/>
          <w:headerReference r:id="rId4" w:type="even"/>
          <w:pgSz w:w="11906" w:h="16838"/>
          <w:pgMar w:top="1440" w:right="1440" w:bottom="1440" w:left="1587" w:header="851" w:footer="992" w:gutter="0"/>
          <w:pgNumType w:start="0"/>
          <w:cols w:space="720" w:num="1"/>
          <w:titlePg/>
          <w:docGrid w:type="lines" w:linePitch="312" w:charSpace="0"/>
        </w:sectPr>
      </w:pPr>
    </w:p>
    <w:p w14:paraId="45B7E6D5">
      <w:pPr>
        <w:pStyle w:val="2"/>
        <w:spacing w:after="340" w:line="360" w:lineRule="auto"/>
        <w:jc w:val="center"/>
        <w:rPr>
          <w:color w:val="auto"/>
          <w:highlight w:val="none"/>
        </w:rPr>
      </w:pPr>
      <w:bookmarkStart w:id="3" w:name="_Toc74323456"/>
      <w:r>
        <w:rPr>
          <w:rFonts w:hint="eastAsia"/>
          <w:color w:val="auto"/>
          <w:highlight w:val="none"/>
        </w:rPr>
        <w:t>第一章 竞争性磋商公告</w:t>
      </w:r>
      <w:bookmarkEnd w:id="3"/>
    </w:p>
    <w:p w14:paraId="3B1F619B">
      <w:pPr>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竞争性磋商公告</w:t>
      </w:r>
    </w:p>
    <w:p w14:paraId="3DF0442F">
      <w:pPr>
        <w:spacing w:line="360" w:lineRule="auto"/>
        <w:rPr>
          <w:rFonts w:ascii="宋体" w:hAnsi="宋体"/>
          <w:color w:val="auto"/>
          <w:szCs w:val="21"/>
          <w:highlight w:val="none"/>
        </w:rPr>
      </w:pPr>
    </w:p>
    <w:p w14:paraId="4574A6DA">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bookmarkStart w:id="4" w:name="_Hlk37430271"/>
      <w:r>
        <w:rPr>
          <w:rFonts w:hint="eastAsia" w:ascii="宋体" w:hAnsi="宋体"/>
          <w:color w:val="auto"/>
          <w:szCs w:val="21"/>
          <w:highlight w:val="none"/>
        </w:rPr>
        <w:t>项目概况</w:t>
      </w:r>
    </w:p>
    <w:p w14:paraId="2731C2A0">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lang w:eastAsia="zh-CN"/>
        </w:rPr>
        <w:t>兴安县人民医院门诊及住院楼装修项目（增加补充部分电力，墙板，门窗柜子等）</w:t>
      </w:r>
      <w:r>
        <w:rPr>
          <w:rFonts w:hint="eastAsia" w:ascii="宋体" w:hAnsi="宋体"/>
          <w:color w:val="auto"/>
          <w:szCs w:val="21"/>
          <w:highlight w:val="none"/>
        </w:rPr>
        <w:t>采购项目的潜在供应商应在广西政府采购云平台（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"http://www.gcy.zfcg.gxzf.gov.cn）获取（下载）竞争性磋商文件，并于2024年"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www.gcy.zfcg.gxzf.gov.cn）获取（下载）竞争性磋商文件，并于</w:t>
      </w:r>
      <w:r>
        <w:rPr>
          <w:rFonts w:hint="eastAsia" w:ascii="宋体" w:hAnsi="宋体" w:eastAsia="宋体" w:cs="宋体"/>
          <w:color w:val="auto"/>
          <w:highlight w:val="none"/>
          <w:u w:val="single"/>
        </w:rPr>
        <w:t>2025</w:t>
      </w:r>
      <w:r>
        <w:rPr>
          <w:rFonts w:hint="eastAsia" w:ascii="宋体" w:hAnsi="宋体" w:eastAsia="宋体" w:cs="宋体"/>
          <w:color w:val="auto"/>
          <w:highlight w:val="none"/>
        </w:rPr>
        <w:t>年</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u w:val="single"/>
          <w:lang w:val="en-US" w:eastAsia="zh-CN"/>
        </w:rPr>
        <w:t>10</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u w:val="single"/>
          <w:lang w:val="en-US" w:eastAsia="zh-CN"/>
        </w:rPr>
        <w:t>9</w:t>
      </w:r>
      <w:r>
        <w:rPr>
          <w:rFonts w:hint="eastAsia" w:ascii="宋体" w:hAnsi="宋体" w:eastAsia="宋体" w:cs="宋体"/>
          <w:bCs/>
          <w:color w:val="auto"/>
          <w:szCs w:val="21"/>
          <w:highlight w:val="none"/>
        </w:rPr>
        <w:t>日</w:t>
      </w:r>
      <w:r>
        <w:rPr>
          <w:rFonts w:hint="eastAsia" w:ascii="宋体" w:hAnsi="宋体" w:eastAsia="宋体" w:cs="宋体"/>
          <w:bCs/>
          <w:color w:val="auto"/>
          <w:szCs w:val="21"/>
          <w:highlight w:val="none"/>
          <w:u w:val="single"/>
        </w:rPr>
        <w:t>9</w:t>
      </w:r>
      <w:r>
        <w:rPr>
          <w:rFonts w:hint="eastAsia" w:ascii="宋体" w:hAnsi="宋体" w:eastAsia="宋体" w:cs="宋体"/>
          <w:bCs/>
          <w:color w:val="auto"/>
          <w:szCs w:val="21"/>
          <w:highlight w:val="none"/>
        </w:rPr>
        <w:t>时</w:t>
      </w:r>
      <w:r>
        <w:rPr>
          <w:rFonts w:hint="eastAsia" w:ascii="宋体" w:hAnsi="宋体"/>
          <w:bCs/>
          <w:color w:val="auto"/>
          <w:szCs w:val="21"/>
          <w:highlight w:val="none"/>
          <w:u w:val="single"/>
        </w:rPr>
        <w:t>30</w:t>
      </w:r>
      <w:r>
        <w:rPr>
          <w:rFonts w:hint="eastAsia" w:ascii="宋体" w:hAnsi="宋体"/>
          <w:bCs/>
          <w:color w:val="auto"/>
          <w:szCs w:val="21"/>
          <w:highlight w:val="none"/>
        </w:rPr>
        <w:t>分（北京时间）前提交（上传）</w:t>
      </w:r>
      <w:r>
        <w:rPr>
          <w:rFonts w:hint="eastAsia" w:ascii="宋体" w:hAnsi="宋体"/>
          <w:color w:val="auto"/>
          <w:szCs w:val="21"/>
          <w:highlight w:val="none"/>
        </w:rPr>
        <w:t>响应</w:t>
      </w:r>
      <w:r>
        <w:rPr>
          <w:rFonts w:hint="eastAsia" w:ascii="宋体" w:hAnsi="宋体"/>
          <w:bCs/>
          <w:color w:val="auto"/>
          <w:szCs w:val="21"/>
          <w:highlight w:val="none"/>
        </w:rPr>
        <w:t>文件</w:t>
      </w:r>
      <w:r>
        <w:rPr>
          <w:rFonts w:hint="eastAsia" w:ascii="宋体" w:hAnsi="宋体"/>
          <w:color w:val="auto"/>
          <w:szCs w:val="21"/>
          <w:highlight w:val="none"/>
        </w:rPr>
        <w:t>。</w:t>
      </w:r>
    </w:p>
    <w:p w14:paraId="3B044E44">
      <w:pPr>
        <w:spacing w:line="380" w:lineRule="exact"/>
        <w:ind w:firstLine="352" w:firstLineChars="147"/>
        <w:rPr>
          <w:rFonts w:ascii="宋体" w:hAnsi="宋体" w:cs="宋体"/>
          <w:b/>
          <w:color w:val="auto"/>
          <w:sz w:val="24"/>
          <w:highlight w:val="none"/>
        </w:rPr>
      </w:pPr>
      <w:bookmarkStart w:id="5" w:name="_Toc35393798"/>
      <w:bookmarkStart w:id="6" w:name="_Toc44229878"/>
      <w:bookmarkStart w:id="7" w:name="_Toc71365905"/>
      <w:bookmarkStart w:id="8" w:name="_Toc28359012"/>
      <w:bookmarkStart w:id="9" w:name="_Toc35393629"/>
      <w:bookmarkStart w:id="10" w:name="_Toc28359089"/>
      <w:r>
        <w:rPr>
          <w:rFonts w:hint="eastAsia" w:ascii="宋体" w:hAnsi="宋体" w:cs="宋体"/>
          <w:b/>
          <w:color w:val="auto"/>
          <w:sz w:val="24"/>
          <w:highlight w:val="none"/>
        </w:rPr>
        <w:t>一、项目基本情况</w:t>
      </w:r>
      <w:bookmarkEnd w:id="5"/>
      <w:bookmarkEnd w:id="6"/>
      <w:bookmarkEnd w:id="7"/>
      <w:bookmarkEnd w:id="8"/>
      <w:bookmarkEnd w:id="9"/>
      <w:bookmarkEnd w:id="10"/>
    </w:p>
    <w:p w14:paraId="2F3B4DE3">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项目编号：GLZC2025-C2-250077-YZLZ（代理编号：YZLGL2025-C2-081-GLZC）</w:t>
      </w:r>
    </w:p>
    <w:p w14:paraId="1127C660">
      <w:pPr>
        <w:spacing w:line="380" w:lineRule="exact"/>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项目名称：</w:t>
      </w:r>
      <w:bookmarkStart w:id="11" w:name="OLE_LINK2"/>
      <w:r>
        <w:rPr>
          <w:rFonts w:hint="eastAsia" w:ascii="宋体" w:hAnsi="宋体" w:cs="宋体"/>
          <w:color w:val="auto"/>
          <w:szCs w:val="21"/>
          <w:highlight w:val="none"/>
          <w:lang w:eastAsia="zh-CN"/>
        </w:rPr>
        <w:t>兴安县人民医院门诊及住院楼装修项目（增加补充部分电力，墙板，门窗柜子等）</w:t>
      </w:r>
    </w:p>
    <w:bookmarkEnd w:id="11"/>
    <w:p w14:paraId="3DF1FA3C">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采购方式：竞争性磋商</w:t>
      </w:r>
    </w:p>
    <w:p w14:paraId="0719B3D4">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s="宋体"/>
          <w:color w:val="auto"/>
          <w:szCs w:val="21"/>
          <w:highlight w:val="none"/>
        </w:rPr>
        <w:t>2363394.31元</w:t>
      </w:r>
    </w:p>
    <w:p w14:paraId="0014924D">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最高限价（如有）：无</w:t>
      </w:r>
    </w:p>
    <w:p w14:paraId="303D55FC">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采购需求：标的的名称、数量：</w:t>
      </w:r>
      <w:r>
        <w:rPr>
          <w:rFonts w:hint="eastAsia" w:ascii="宋体" w:hAnsi="宋体" w:cs="宋体"/>
          <w:color w:val="auto"/>
          <w:szCs w:val="21"/>
          <w:highlight w:val="none"/>
          <w:lang w:eastAsia="zh-CN"/>
        </w:rPr>
        <w:t>兴安县人民医院门诊及住院楼装修项目（增加补充部分电力，墙板，门窗柜子等）</w:t>
      </w:r>
      <w:r>
        <w:rPr>
          <w:rFonts w:hint="eastAsia" w:ascii="宋体" w:hAnsi="宋体" w:cs="宋体"/>
          <w:color w:val="auto"/>
          <w:szCs w:val="21"/>
          <w:highlight w:val="none"/>
        </w:rPr>
        <w:t>1项；简要技术需求或者服务要求：（1）建设地点：广西桂林市兴安县兴安镇康宁街78号兴安县人民医院内；（2）工程内容：本项目为</w:t>
      </w:r>
      <w:r>
        <w:rPr>
          <w:rFonts w:hint="eastAsia" w:ascii="宋体" w:hAnsi="宋体" w:cs="宋体"/>
          <w:color w:val="auto"/>
          <w:szCs w:val="21"/>
          <w:highlight w:val="none"/>
          <w:lang w:eastAsia="zh-CN"/>
        </w:rPr>
        <w:t>兴安县人民医院门诊及住院楼装修项目（增加补充部分电力，墙板，门窗柜子等）</w:t>
      </w:r>
      <w:r>
        <w:rPr>
          <w:rFonts w:hint="eastAsia" w:ascii="宋体" w:hAnsi="宋体" w:cs="宋体"/>
          <w:color w:val="auto"/>
          <w:szCs w:val="21"/>
          <w:highlight w:val="none"/>
        </w:rPr>
        <w:t>，主要工作内容包括墙面装饰板、玻镁板配套踢脚线、墙面腻子、墙面喷（刷）涂料、铝合金门窗、定制实木门、定制衣柜、电力电缆等。具体详见工程量清单及图纸；（3）质量要求：达到现行国家施工验收规范合格标准。</w:t>
      </w:r>
    </w:p>
    <w:p w14:paraId="3C187F5D">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合同履行期限：自接到采购人或采购人委托的监理单位发出开工令之日起</w:t>
      </w:r>
      <w:r>
        <w:rPr>
          <w:rFonts w:hint="eastAsia" w:ascii="宋体" w:hAnsi="宋体" w:cs="宋体"/>
          <w:color w:val="auto"/>
          <w:szCs w:val="21"/>
          <w:highlight w:val="none"/>
          <w:u w:val="single"/>
        </w:rPr>
        <w:t xml:space="preserve"> 120 </w:t>
      </w:r>
      <w:r>
        <w:rPr>
          <w:rFonts w:hint="eastAsia" w:ascii="宋体" w:hAnsi="宋体" w:cs="宋体"/>
          <w:color w:val="auto"/>
          <w:szCs w:val="21"/>
          <w:highlight w:val="none"/>
        </w:rPr>
        <w:t>天（日</w:t>
      </w:r>
      <w:r>
        <w:rPr>
          <w:rFonts w:hint="eastAsia" w:ascii="宋体" w:hAnsi="宋体" w:cs="宋体"/>
          <w:color w:val="auto"/>
          <w:szCs w:val="21"/>
          <w:highlight w:val="none"/>
        </w:rPr>
        <w:t>历天）内。</w:t>
      </w:r>
    </w:p>
    <w:p w14:paraId="12DAD998">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本项目（否）接受联合体。</w:t>
      </w:r>
    </w:p>
    <w:p w14:paraId="70DA68A5">
      <w:pPr>
        <w:spacing w:line="380" w:lineRule="exact"/>
        <w:ind w:firstLine="352" w:firstLineChars="147"/>
        <w:rPr>
          <w:rFonts w:ascii="宋体" w:hAnsi="宋体" w:cs="宋体"/>
          <w:b/>
          <w:color w:val="auto"/>
          <w:sz w:val="24"/>
          <w:highlight w:val="none"/>
        </w:rPr>
      </w:pPr>
      <w:bookmarkStart w:id="12" w:name="_Toc44229879"/>
      <w:bookmarkStart w:id="13" w:name="_Toc28359013"/>
      <w:bookmarkStart w:id="14" w:name="_Toc28359090"/>
      <w:bookmarkStart w:id="15" w:name="_Toc71365906"/>
      <w:bookmarkStart w:id="16" w:name="_Toc35393799"/>
      <w:bookmarkStart w:id="17" w:name="_Toc35393630"/>
      <w:r>
        <w:rPr>
          <w:rFonts w:hint="eastAsia" w:ascii="宋体" w:hAnsi="宋体" w:cs="宋体"/>
          <w:b/>
          <w:color w:val="auto"/>
          <w:sz w:val="24"/>
          <w:highlight w:val="none"/>
        </w:rPr>
        <w:t>二、申请人的资格条件：</w:t>
      </w:r>
      <w:bookmarkEnd w:id="12"/>
      <w:bookmarkEnd w:id="13"/>
      <w:bookmarkEnd w:id="14"/>
      <w:bookmarkEnd w:id="15"/>
      <w:bookmarkEnd w:id="16"/>
      <w:bookmarkEnd w:id="17"/>
    </w:p>
    <w:p w14:paraId="05ED6646">
      <w:pPr>
        <w:spacing w:line="380" w:lineRule="exact"/>
        <w:ind w:firstLine="420" w:firstLineChars="200"/>
        <w:rPr>
          <w:rFonts w:ascii="宋体" w:hAnsi="宋体" w:cs="宋体"/>
          <w:color w:val="auto"/>
          <w:szCs w:val="21"/>
          <w:highlight w:val="none"/>
        </w:rPr>
      </w:pPr>
      <w:bookmarkStart w:id="18" w:name="_Toc35393631"/>
      <w:bookmarkStart w:id="19" w:name="_Toc28359014"/>
      <w:bookmarkStart w:id="20" w:name="_Toc28359091"/>
      <w:bookmarkStart w:id="21" w:name="_Toc44229880"/>
      <w:bookmarkStart w:id="22" w:name="_Toc35393800"/>
      <w:r>
        <w:rPr>
          <w:rFonts w:hint="eastAsia" w:ascii="宋体" w:hAnsi="宋体" w:cs="宋体"/>
          <w:color w:val="auto"/>
          <w:szCs w:val="21"/>
          <w:highlight w:val="none"/>
        </w:rPr>
        <w:t>1.满足《中华人民共和国政府采购法》第二十二条规定；</w:t>
      </w:r>
    </w:p>
    <w:p w14:paraId="7F79474B">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w:t>
      </w:r>
      <w:r>
        <w:rPr>
          <w:rFonts w:hint="eastAsia" w:ascii="宋体" w:hAnsi="宋体" w:cs="宋体"/>
          <w:color w:val="auto"/>
          <w:szCs w:val="21"/>
          <w:highlight w:val="none"/>
        </w:rPr>
        <w:t>：</w:t>
      </w:r>
      <w:r>
        <w:rPr>
          <w:rFonts w:hint="eastAsia" w:ascii="宋体" w:hAnsi="宋体" w:cs="宋体"/>
          <w:color w:val="auto"/>
          <w:szCs w:val="21"/>
          <w:highlight w:val="none"/>
          <w:lang w:eastAsia="zh-CN"/>
        </w:rPr>
        <w:t>无</w:t>
      </w:r>
      <w:r>
        <w:rPr>
          <w:rFonts w:hint="eastAsia" w:ascii="宋体" w:hAnsi="宋体" w:cs="宋体"/>
          <w:color w:val="auto"/>
          <w:szCs w:val="21"/>
          <w:highlight w:val="none"/>
        </w:rPr>
        <w:t>；</w:t>
      </w:r>
    </w:p>
    <w:p w14:paraId="6AB10D77">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3.本项目的特定资格要求：供应商须具备</w:t>
      </w:r>
      <w:r>
        <w:rPr>
          <w:rFonts w:hint="eastAsia" w:ascii="宋体" w:hAnsi="宋体" w:cs="宋体"/>
          <w:color w:val="auto"/>
          <w:szCs w:val="20"/>
          <w:highlight w:val="none"/>
        </w:rPr>
        <w:t>建筑装修装饰工程专业承包</w:t>
      </w:r>
      <w:r>
        <w:rPr>
          <w:rFonts w:hint="eastAsia" w:ascii="宋体" w:hAnsi="宋体" w:cs="宋体"/>
          <w:color w:val="auto"/>
          <w:szCs w:val="20"/>
          <w:highlight w:val="none"/>
          <w:lang w:eastAsia="zh-CN"/>
        </w:rPr>
        <w:t>二</w:t>
      </w:r>
      <w:r>
        <w:rPr>
          <w:rFonts w:hint="eastAsia" w:ascii="宋体" w:hAnsi="宋体" w:cs="宋体"/>
          <w:color w:val="auto"/>
          <w:szCs w:val="20"/>
          <w:highlight w:val="none"/>
        </w:rPr>
        <w:t>级以上（含</w:t>
      </w:r>
      <w:r>
        <w:rPr>
          <w:rFonts w:hint="eastAsia" w:ascii="宋体" w:hAnsi="宋体" w:cs="宋体"/>
          <w:color w:val="auto"/>
          <w:szCs w:val="20"/>
          <w:highlight w:val="none"/>
          <w:lang w:eastAsia="zh-CN"/>
        </w:rPr>
        <w:t>二</w:t>
      </w:r>
      <w:r>
        <w:rPr>
          <w:rFonts w:hint="eastAsia" w:ascii="宋体" w:hAnsi="宋体" w:cs="宋体"/>
          <w:color w:val="auto"/>
          <w:szCs w:val="20"/>
          <w:highlight w:val="none"/>
        </w:rPr>
        <w:t>级）</w:t>
      </w:r>
      <w:r>
        <w:rPr>
          <w:rFonts w:hint="eastAsia" w:ascii="宋体" w:hAnsi="宋体" w:cs="宋体"/>
          <w:color w:val="auto"/>
          <w:szCs w:val="20"/>
          <w:highlight w:val="none"/>
        </w:rPr>
        <w:t>资质</w:t>
      </w:r>
      <w:r>
        <w:rPr>
          <w:rFonts w:hint="eastAsia" w:ascii="宋体" w:hAnsi="宋体" w:cs="宋体"/>
          <w:color w:val="auto"/>
          <w:szCs w:val="21"/>
          <w:highlight w:val="none"/>
        </w:rPr>
        <w:t>；并具备有效的安全生产许可证，在人员、设备、资金等方面具有相应的履约能力。</w:t>
      </w:r>
    </w:p>
    <w:p w14:paraId="255E8CF0">
      <w:pPr>
        <w:spacing w:line="380" w:lineRule="exact"/>
        <w:ind w:firstLine="352" w:firstLineChars="147"/>
        <w:rPr>
          <w:rFonts w:ascii="宋体" w:hAnsi="宋体" w:cs="宋体"/>
          <w:b/>
          <w:color w:val="auto"/>
          <w:sz w:val="24"/>
          <w:highlight w:val="none"/>
        </w:rPr>
      </w:pPr>
      <w:bookmarkStart w:id="23" w:name="_Toc71365907"/>
      <w:r>
        <w:rPr>
          <w:rFonts w:hint="eastAsia" w:ascii="宋体" w:hAnsi="宋体" w:cs="宋体"/>
          <w:b/>
          <w:color w:val="auto"/>
          <w:sz w:val="24"/>
          <w:highlight w:val="none"/>
        </w:rPr>
        <w:t>三、获取竞争性磋商文件</w:t>
      </w:r>
      <w:bookmarkEnd w:id="18"/>
      <w:bookmarkEnd w:id="19"/>
      <w:bookmarkEnd w:id="20"/>
      <w:bookmarkEnd w:id="21"/>
      <w:bookmarkEnd w:id="22"/>
      <w:bookmarkEnd w:id="23"/>
    </w:p>
    <w:p w14:paraId="37518C95">
      <w:pPr>
        <w:spacing w:line="380" w:lineRule="exact"/>
        <w:ind w:firstLine="424" w:firstLineChars="202"/>
        <w:rPr>
          <w:rFonts w:ascii="宋体" w:hAnsi="宋体" w:cs="宋体"/>
          <w:bCs/>
          <w:color w:val="auto"/>
          <w:kern w:val="0"/>
          <w:szCs w:val="21"/>
          <w:highlight w:val="none"/>
        </w:rPr>
      </w:pPr>
      <w:bookmarkStart w:id="24" w:name="_Toc44229881"/>
      <w:bookmarkStart w:id="25" w:name="_Toc35393632"/>
      <w:bookmarkStart w:id="26" w:name="_Toc28359092"/>
      <w:bookmarkStart w:id="27" w:name="_Toc28359015"/>
      <w:bookmarkStart w:id="28" w:name="_Toc35393801"/>
      <w:r>
        <w:rPr>
          <w:rFonts w:hint="eastAsia" w:ascii="宋体" w:hAnsi="宋体" w:cs="宋体"/>
          <w:bCs/>
          <w:color w:val="auto"/>
          <w:kern w:val="0"/>
          <w:szCs w:val="21"/>
          <w:highlight w:val="none"/>
        </w:rPr>
        <w:t>时间：</w:t>
      </w:r>
      <w:r>
        <w:rPr>
          <w:rFonts w:hint="eastAsia" w:ascii="宋体" w:hAnsi="宋体" w:cs="宋体"/>
          <w:bCs/>
          <w:color w:val="auto"/>
          <w:kern w:val="0"/>
          <w:szCs w:val="21"/>
          <w:highlight w:val="none"/>
        </w:rPr>
        <w:t>2025年</w:t>
      </w: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23</w:t>
      </w:r>
      <w:r>
        <w:rPr>
          <w:rFonts w:hint="eastAsia" w:ascii="宋体" w:hAnsi="宋体" w:cs="宋体"/>
          <w:bCs/>
          <w:color w:val="auto"/>
          <w:kern w:val="0"/>
          <w:szCs w:val="21"/>
          <w:highlight w:val="none"/>
        </w:rPr>
        <w:t>日至2025年</w:t>
      </w: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29</w:t>
      </w:r>
      <w:r>
        <w:rPr>
          <w:rFonts w:hint="eastAsia" w:ascii="宋体" w:hAnsi="宋体" w:cs="宋体"/>
          <w:bCs/>
          <w:color w:val="auto"/>
          <w:kern w:val="0"/>
          <w:szCs w:val="21"/>
          <w:highlight w:val="none"/>
        </w:rPr>
        <w:t>日</w:t>
      </w:r>
      <w:r>
        <w:rPr>
          <w:rFonts w:hint="eastAsia" w:ascii="宋体" w:hAnsi="宋体" w:cs="宋体"/>
          <w:bCs/>
          <w:color w:val="auto"/>
          <w:kern w:val="0"/>
          <w:szCs w:val="21"/>
          <w:highlight w:val="none"/>
        </w:rPr>
        <w:t>，每天上午00:00至11:59，下午12:00至23:59（北京时间，法定节假日除外）</w:t>
      </w:r>
    </w:p>
    <w:p w14:paraId="4E8B0F36">
      <w:pPr>
        <w:spacing w:line="380" w:lineRule="exact"/>
        <w:ind w:firstLine="424" w:firstLineChars="202"/>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w:t>
      </w:r>
      <w:r>
        <w:rPr>
          <w:rFonts w:hint="eastAsia" w:ascii="宋体" w:hAnsi="宋体" w:cs="宋体"/>
          <w:bCs/>
          <w:color w:val="auto"/>
          <w:szCs w:val="21"/>
          <w:highlight w:val="none"/>
        </w:rPr>
        <w:t>www.gcy.zfcg.gxzf.gov.cn</w:t>
      </w:r>
      <w:r>
        <w:rPr>
          <w:rFonts w:hint="eastAsia" w:ascii="宋体" w:hAnsi="宋体" w:cs="宋体"/>
          <w:bCs/>
          <w:color w:val="auto"/>
          <w:kern w:val="0"/>
          <w:szCs w:val="21"/>
          <w:highlight w:val="none"/>
        </w:rPr>
        <w:t>）</w:t>
      </w:r>
    </w:p>
    <w:p w14:paraId="47D377B6">
      <w:pPr>
        <w:spacing w:line="380" w:lineRule="exact"/>
        <w:ind w:firstLine="424" w:firstLineChars="202"/>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方式：网上下载。本项目不提供纸质文件，潜在供应商需使用账号登录或者使用CA登录广西政府采购云平台（www.gcy.zfcg.gxzf.gov.cn）-进入“项目采购”应用，在获取采购文件菜单中选择项目，获取竞争性磋商文件。</w:t>
      </w:r>
      <w:r>
        <w:rPr>
          <w:rFonts w:hint="eastAsia" w:ascii="宋体" w:hAnsi="宋体" w:cs="宋体"/>
          <w:color w:val="auto"/>
          <w:szCs w:val="21"/>
          <w:highlight w:val="none"/>
        </w:rPr>
        <w:t>电子</w:t>
      </w:r>
      <w:r>
        <w:rPr>
          <w:rFonts w:hint="eastAsia" w:ascii="宋体" w:hAnsi="宋体" w:cs="宋体"/>
          <w:color w:val="auto"/>
          <w:highlight w:val="none"/>
        </w:rPr>
        <w:t>响应文件</w:t>
      </w:r>
      <w:r>
        <w:rPr>
          <w:rFonts w:hint="eastAsia" w:ascii="宋体" w:hAnsi="宋体" w:cs="宋体"/>
          <w:color w:val="auto"/>
          <w:szCs w:val="21"/>
          <w:highlight w:val="none"/>
        </w:rPr>
        <w:t>制作需要基于广西政府采购云平台获取的磋商文件编制，</w:t>
      </w:r>
      <w:r>
        <w:rPr>
          <w:rFonts w:hint="eastAsia" w:ascii="宋体" w:hAnsi="宋体" w:cs="宋体"/>
          <w:bCs/>
          <w:color w:val="auto"/>
          <w:kern w:val="0"/>
          <w:szCs w:val="21"/>
          <w:highlight w:val="none"/>
        </w:rPr>
        <w:t>通过其他方式获取磋商文件的，将有可能导致供应商无法在</w:t>
      </w:r>
      <w:r>
        <w:rPr>
          <w:rFonts w:hint="eastAsia" w:ascii="宋体" w:hAnsi="宋体" w:cs="宋体"/>
          <w:color w:val="auto"/>
          <w:szCs w:val="21"/>
          <w:highlight w:val="none"/>
        </w:rPr>
        <w:t>广西政府采购云平台</w:t>
      </w:r>
      <w:r>
        <w:rPr>
          <w:rFonts w:hint="eastAsia" w:ascii="宋体" w:hAnsi="宋体" w:cs="宋体"/>
          <w:bCs/>
          <w:color w:val="auto"/>
          <w:kern w:val="0"/>
          <w:szCs w:val="21"/>
          <w:highlight w:val="none"/>
        </w:rPr>
        <w:t>编制及上传响应文件。</w:t>
      </w:r>
    </w:p>
    <w:p w14:paraId="16A46CF1">
      <w:pPr>
        <w:spacing w:line="380" w:lineRule="exact"/>
        <w:ind w:firstLine="424" w:firstLineChars="202"/>
        <w:rPr>
          <w:rFonts w:ascii="宋体" w:hAnsi="宋体" w:cs="宋体"/>
          <w:bCs/>
          <w:color w:val="auto"/>
          <w:kern w:val="0"/>
          <w:szCs w:val="21"/>
          <w:highlight w:val="none"/>
        </w:rPr>
      </w:pPr>
      <w:r>
        <w:rPr>
          <w:rFonts w:hint="eastAsia" w:ascii="宋体" w:hAnsi="宋体" w:cs="宋体"/>
          <w:bCs/>
          <w:color w:val="auto"/>
          <w:kern w:val="0"/>
          <w:szCs w:val="21"/>
          <w:highlight w:val="none"/>
        </w:rPr>
        <w:t>售价：0元</w:t>
      </w:r>
    </w:p>
    <w:p w14:paraId="3CF41BA3">
      <w:pPr>
        <w:spacing w:line="380" w:lineRule="exact"/>
        <w:ind w:firstLine="352" w:firstLineChars="147"/>
        <w:rPr>
          <w:rFonts w:ascii="宋体" w:hAnsi="宋体" w:cs="宋体"/>
          <w:b/>
          <w:color w:val="auto"/>
          <w:sz w:val="24"/>
          <w:highlight w:val="none"/>
        </w:rPr>
      </w:pPr>
      <w:bookmarkStart w:id="29" w:name="_Toc71365908"/>
      <w:r>
        <w:rPr>
          <w:rFonts w:hint="eastAsia" w:ascii="宋体" w:hAnsi="宋体" w:cs="宋体"/>
          <w:b/>
          <w:color w:val="auto"/>
          <w:sz w:val="24"/>
          <w:highlight w:val="none"/>
        </w:rPr>
        <w:t>四、响应文件提交</w:t>
      </w:r>
      <w:bookmarkEnd w:id="24"/>
      <w:bookmarkEnd w:id="25"/>
      <w:bookmarkEnd w:id="26"/>
      <w:bookmarkEnd w:id="27"/>
      <w:bookmarkEnd w:id="28"/>
      <w:bookmarkEnd w:id="29"/>
    </w:p>
    <w:p w14:paraId="7BD51DFE">
      <w:pPr>
        <w:spacing w:line="380" w:lineRule="exact"/>
        <w:ind w:firstLine="420" w:firstLineChars="200"/>
        <w:rPr>
          <w:rFonts w:ascii="宋体" w:hAnsi="宋体" w:cs="宋体"/>
          <w:color w:val="auto"/>
          <w:szCs w:val="21"/>
          <w:highlight w:val="none"/>
        </w:rPr>
      </w:pPr>
      <w:bookmarkStart w:id="30" w:name="_Toc28359016"/>
      <w:bookmarkStart w:id="31" w:name="_Toc44229882"/>
      <w:bookmarkStart w:id="32" w:name="_Toc35393633"/>
      <w:bookmarkStart w:id="33" w:name="_Toc35393802"/>
      <w:bookmarkStart w:id="34" w:name="_Toc28359093"/>
      <w:r>
        <w:rPr>
          <w:rFonts w:hint="eastAsia" w:ascii="宋体" w:hAnsi="宋体" w:cs="宋体"/>
          <w:color w:val="auto"/>
          <w:szCs w:val="21"/>
          <w:highlight w:val="none"/>
        </w:rPr>
        <w:t>截止时间：</w:t>
      </w:r>
      <w:r>
        <w:rPr>
          <w:rFonts w:hint="eastAsia" w:ascii="宋体" w:hAnsi="宋体" w:cs="宋体"/>
          <w:bCs/>
          <w:color w:val="auto"/>
          <w:kern w:val="0"/>
          <w:szCs w:val="21"/>
          <w:highlight w:val="none"/>
        </w:rPr>
        <w:t>2025年</w:t>
      </w:r>
      <w:r>
        <w:rPr>
          <w:rFonts w:hint="eastAsia" w:ascii="宋体" w:hAnsi="宋体" w:cs="宋体"/>
          <w:bCs/>
          <w:color w:val="auto"/>
          <w:kern w:val="0"/>
          <w:szCs w:val="21"/>
          <w:highlight w:val="none"/>
          <w:lang w:val="en-US" w:eastAsia="zh-CN"/>
        </w:rPr>
        <w:t>10</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rPr>
        <w:t>日</w:t>
      </w:r>
      <w:r>
        <w:rPr>
          <w:rFonts w:hint="eastAsia" w:ascii="宋体" w:hAnsi="宋体" w:cs="宋体"/>
          <w:bCs/>
          <w:color w:val="auto"/>
          <w:szCs w:val="21"/>
          <w:highlight w:val="none"/>
        </w:rPr>
        <w:t>上</w:t>
      </w:r>
      <w:r>
        <w:rPr>
          <w:rFonts w:hint="eastAsia" w:ascii="宋体" w:hAnsi="宋体" w:cs="宋体"/>
          <w:color w:val="auto"/>
          <w:szCs w:val="21"/>
          <w:highlight w:val="none"/>
        </w:rPr>
        <w:t>午9点30分（北京时间）</w:t>
      </w:r>
    </w:p>
    <w:p w14:paraId="39EC9B0D">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地点：广西政府采购云平台（</w:t>
      </w:r>
      <w:r>
        <w:rPr>
          <w:rFonts w:hint="eastAsia" w:ascii="宋体" w:hAnsi="宋体" w:cs="宋体"/>
          <w:bCs/>
          <w:color w:val="auto"/>
          <w:szCs w:val="21"/>
          <w:highlight w:val="none"/>
        </w:rPr>
        <w:t>www.gcy.zfcg.gxzf.gov.cn</w:t>
      </w:r>
      <w:r>
        <w:rPr>
          <w:rFonts w:hint="eastAsia" w:ascii="宋体" w:hAnsi="宋体" w:cs="宋体"/>
          <w:color w:val="auto"/>
          <w:szCs w:val="21"/>
          <w:highlight w:val="none"/>
        </w:rPr>
        <w:t>）</w:t>
      </w:r>
    </w:p>
    <w:p w14:paraId="45050C47">
      <w:pPr>
        <w:spacing w:line="380" w:lineRule="exact"/>
        <w:ind w:firstLine="352" w:firstLineChars="147"/>
        <w:rPr>
          <w:rFonts w:ascii="宋体" w:hAnsi="宋体" w:cs="宋体"/>
          <w:b/>
          <w:color w:val="auto"/>
          <w:sz w:val="24"/>
          <w:highlight w:val="none"/>
        </w:rPr>
      </w:pPr>
      <w:bookmarkStart w:id="35" w:name="_Toc71365909"/>
      <w:r>
        <w:rPr>
          <w:rFonts w:hint="eastAsia" w:ascii="宋体" w:hAnsi="宋体" w:cs="宋体"/>
          <w:b/>
          <w:color w:val="auto"/>
          <w:sz w:val="24"/>
          <w:highlight w:val="none"/>
        </w:rPr>
        <w:t>五、开启</w:t>
      </w:r>
      <w:bookmarkEnd w:id="30"/>
      <w:bookmarkEnd w:id="31"/>
      <w:bookmarkEnd w:id="32"/>
      <w:bookmarkEnd w:id="33"/>
      <w:bookmarkEnd w:id="34"/>
      <w:bookmarkEnd w:id="35"/>
    </w:p>
    <w:p w14:paraId="6DB4CF5D">
      <w:pPr>
        <w:spacing w:line="380" w:lineRule="exact"/>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时间：</w:t>
      </w:r>
      <w:r>
        <w:rPr>
          <w:rFonts w:hint="eastAsia" w:ascii="宋体" w:hAnsi="宋体" w:cs="宋体"/>
          <w:bCs/>
          <w:color w:val="auto"/>
          <w:kern w:val="0"/>
          <w:szCs w:val="21"/>
          <w:highlight w:val="none"/>
        </w:rPr>
        <w:t>2025年10月9日</w:t>
      </w:r>
      <w:r>
        <w:rPr>
          <w:rFonts w:hint="eastAsia" w:ascii="宋体" w:hAnsi="宋体" w:cs="宋体"/>
          <w:bCs/>
          <w:color w:val="auto"/>
          <w:szCs w:val="21"/>
          <w:highlight w:val="none"/>
        </w:rPr>
        <w:t>上</w:t>
      </w:r>
      <w:r>
        <w:rPr>
          <w:rFonts w:hint="eastAsia" w:ascii="宋体" w:hAnsi="宋体" w:cs="宋体"/>
          <w:color w:val="auto"/>
          <w:szCs w:val="21"/>
          <w:highlight w:val="none"/>
        </w:rPr>
        <w:t>午9点30分</w:t>
      </w:r>
      <w:r>
        <w:rPr>
          <w:rFonts w:hint="eastAsia" w:ascii="宋体" w:hAnsi="宋体" w:cs="宋体"/>
          <w:bCs/>
          <w:color w:val="auto"/>
          <w:szCs w:val="21"/>
          <w:highlight w:val="none"/>
        </w:rPr>
        <w:t>（北京时间）</w:t>
      </w:r>
    </w:p>
    <w:p w14:paraId="4C841F3E">
      <w:pPr>
        <w:spacing w:line="380" w:lineRule="exact"/>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地点：广西政府采购云平台（</w:t>
      </w:r>
      <w:r>
        <w:rPr>
          <w:rFonts w:hint="eastAsia" w:ascii="宋体" w:hAnsi="宋体" w:cs="宋体"/>
          <w:bCs/>
          <w:color w:val="auto"/>
          <w:szCs w:val="21"/>
          <w:highlight w:val="none"/>
        </w:rPr>
        <w:t>www.gcy.zfcg.gxzf.gov.cn</w:t>
      </w:r>
      <w:r>
        <w:rPr>
          <w:rFonts w:hint="eastAsia" w:ascii="宋体" w:hAnsi="宋体" w:cs="宋体"/>
          <w:color w:val="auto"/>
          <w:szCs w:val="21"/>
          <w:highlight w:val="none"/>
        </w:rPr>
        <w:t>）</w:t>
      </w:r>
    </w:p>
    <w:p w14:paraId="03AF5C21">
      <w:pPr>
        <w:spacing w:line="380" w:lineRule="exact"/>
        <w:ind w:firstLine="352" w:firstLineChars="147"/>
        <w:rPr>
          <w:rFonts w:ascii="宋体" w:hAnsi="宋体" w:cs="宋体"/>
          <w:b/>
          <w:color w:val="auto"/>
          <w:sz w:val="24"/>
          <w:highlight w:val="none"/>
        </w:rPr>
      </w:pPr>
      <w:bookmarkStart w:id="36" w:name="_Toc35393803"/>
      <w:bookmarkStart w:id="37" w:name="_Toc44229883"/>
      <w:bookmarkStart w:id="38" w:name="_Toc28359094"/>
      <w:bookmarkStart w:id="39" w:name="_Toc71365910"/>
      <w:bookmarkStart w:id="40" w:name="_Toc35393634"/>
      <w:bookmarkStart w:id="41" w:name="_Toc28359017"/>
      <w:r>
        <w:rPr>
          <w:rFonts w:hint="eastAsia" w:ascii="宋体" w:hAnsi="宋体" w:cs="宋体"/>
          <w:b/>
          <w:color w:val="auto"/>
          <w:sz w:val="24"/>
          <w:highlight w:val="none"/>
        </w:rPr>
        <w:t>六、公告期限</w:t>
      </w:r>
      <w:bookmarkEnd w:id="36"/>
      <w:bookmarkEnd w:id="37"/>
      <w:bookmarkEnd w:id="38"/>
      <w:bookmarkEnd w:id="39"/>
      <w:bookmarkEnd w:id="40"/>
      <w:bookmarkEnd w:id="41"/>
    </w:p>
    <w:p w14:paraId="796DFFDA">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0BFD524C">
      <w:pPr>
        <w:spacing w:line="380" w:lineRule="exact"/>
        <w:ind w:firstLine="352" w:firstLineChars="147"/>
        <w:rPr>
          <w:rFonts w:ascii="宋体" w:hAnsi="宋体" w:cs="宋体"/>
          <w:b/>
          <w:color w:val="auto"/>
          <w:sz w:val="24"/>
          <w:highlight w:val="none"/>
        </w:rPr>
      </w:pPr>
      <w:bookmarkStart w:id="42" w:name="_Toc35393804"/>
      <w:bookmarkStart w:id="43" w:name="_Toc44229884"/>
      <w:bookmarkStart w:id="44" w:name="_Toc71365911"/>
      <w:bookmarkStart w:id="45" w:name="_Toc35393635"/>
      <w:r>
        <w:rPr>
          <w:rFonts w:hint="eastAsia" w:ascii="宋体" w:hAnsi="宋体" w:cs="宋体"/>
          <w:b/>
          <w:color w:val="auto"/>
          <w:sz w:val="24"/>
          <w:highlight w:val="none"/>
        </w:rPr>
        <w:t>七、其他补充事宜</w:t>
      </w:r>
      <w:bookmarkEnd w:id="42"/>
      <w:bookmarkEnd w:id="43"/>
      <w:bookmarkEnd w:id="44"/>
      <w:bookmarkEnd w:id="45"/>
    </w:p>
    <w:p w14:paraId="104AEA14">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1.网上查询地址</w:t>
      </w:r>
    </w:p>
    <w:p w14:paraId="2502CB26">
      <w:pPr>
        <w:wordWrap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中国政府采购网（www.ccgp.gov.cn）、广西壮族自治区政府采购网（zfcg.gxzf.gov.cn）、</w:t>
      </w:r>
      <w:r>
        <w:rPr>
          <w:rFonts w:hint="eastAsia" w:ascii="宋体" w:hAnsi="宋体" w:cs="宋体"/>
          <w:bCs/>
          <w:color w:val="auto"/>
          <w:highlight w:val="none"/>
        </w:rPr>
        <w:t>桂林市政府采购网（gl.zfcg.zcygov.cn）</w:t>
      </w:r>
      <w:r>
        <w:rPr>
          <w:rFonts w:hint="eastAsia" w:ascii="宋体" w:hAnsi="宋体" w:cs="宋体"/>
          <w:i/>
          <w:color w:val="auto"/>
          <w:kern w:val="0"/>
          <w:szCs w:val="21"/>
          <w:highlight w:val="none"/>
        </w:rPr>
        <w:t>。</w:t>
      </w:r>
    </w:p>
    <w:p w14:paraId="77382806">
      <w:pPr>
        <w:spacing w:line="380" w:lineRule="exact"/>
        <w:ind w:firstLine="420" w:firstLineChars="200"/>
        <w:rPr>
          <w:rFonts w:ascii="宋体" w:hAnsi="宋体" w:cs="宋体"/>
          <w:color w:val="auto"/>
          <w:kern w:val="0"/>
          <w:szCs w:val="21"/>
          <w:highlight w:val="none"/>
        </w:rPr>
      </w:pPr>
      <w:bookmarkStart w:id="46" w:name="_Hlk37429674"/>
      <w:bookmarkStart w:id="47" w:name="_Toc28359095"/>
      <w:bookmarkStart w:id="48" w:name="_Toc35393805"/>
      <w:bookmarkStart w:id="49" w:name="_Toc28359018"/>
      <w:bookmarkStart w:id="50" w:name="_Toc44229885"/>
      <w:bookmarkStart w:id="51" w:name="_Toc35393636"/>
      <w:r>
        <w:rPr>
          <w:rFonts w:hint="eastAsia" w:ascii="宋体" w:hAnsi="宋体" w:cs="宋体"/>
          <w:color w:val="auto"/>
          <w:kern w:val="0"/>
          <w:szCs w:val="21"/>
          <w:highlight w:val="none"/>
        </w:rPr>
        <w:t>2.本项目需要落实的政府采购政策</w:t>
      </w:r>
    </w:p>
    <w:p w14:paraId="4064695D">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（1）政府采购促进中小企业发展（本项目非专门面向中小企业采购）。</w:t>
      </w:r>
    </w:p>
    <w:p w14:paraId="672ADFF0">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72DDDB24">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442CF5EE">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0BE37D10">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bookmarkEnd w:id="46"/>
    <w:p w14:paraId="31417ADF">
      <w:pPr>
        <w:widowControl/>
        <w:spacing w:line="38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3.供应商</w:t>
      </w:r>
      <w:r>
        <w:rPr>
          <w:rFonts w:hint="eastAsia" w:ascii="宋体" w:hAnsi="宋体" w:cs="宋体"/>
          <w:color w:val="auto"/>
          <w:szCs w:val="21"/>
          <w:highlight w:val="none"/>
        </w:rPr>
        <w:t>竞标注意事项</w:t>
      </w:r>
    </w:p>
    <w:p w14:paraId="38138F5C">
      <w:pPr>
        <w:wordWrap w:val="0"/>
        <w:spacing w:line="38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（1）本项目为全流程电子化采购项目，通过广西政府采购云平台（</w:t>
      </w:r>
      <w:r>
        <w:rPr>
          <w:rFonts w:hint="eastAsia" w:ascii="宋体" w:hAnsi="宋体" w:cs="宋体"/>
          <w:bCs/>
          <w:color w:val="auto"/>
          <w:szCs w:val="21"/>
          <w:highlight w:val="none"/>
        </w:rPr>
        <w:t>www.gcy.zfcg.gxzf.gov.cn</w:t>
      </w:r>
      <w:r>
        <w:rPr>
          <w:rFonts w:hint="eastAsia" w:ascii="宋体" w:hAnsi="宋体" w:cs="宋体"/>
          <w:color w:val="auto"/>
          <w:szCs w:val="21"/>
          <w:highlight w:val="none"/>
        </w:rPr>
        <w:t>）</w:t>
      </w:r>
      <w:r>
        <w:rPr>
          <w:rFonts w:hint="eastAsia" w:ascii="宋体" w:hAnsi="宋体" w:cs="宋体"/>
          <w:bCs/>
          <w:color w:val="auto"/>
          <w:szCs w:val="21"/>
          <w:highlight w:val="none"/>
        </w:rPr>
        <w:t>实行在线电子竞标，供应商应按照本项目竞争性磋商文件和广西政府采购云平台的要求编制、加密</w:t>
      </w:r>
      <w:r>
        <w:rPr>
          <w:rFonts w:hint="eastAsia" w:ascii="宋体" w:hAnsi="宋体" w:cs="宋体"/>
          <w:color w:val="auto"/>
          <w:szCs w:val="21"/>
          <w:highlight w:val="none"/>
        </w:rPr>
        <w:t>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616F87CC">
      <w:pPr>
        <w:spacing w:line="38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或</w:t>
      </w:r>
      <w:r>
        <w:rPr>
          <w:rFonts w:hint="eastAsia" w:ascii="宋体" w:hAnsi="宋体" w:cs="宋体"/>
          <w:bCs/>
          <w:color w:val="auto"/>
          <w:szCs w:val="21"/>
          <w:highlight w:val="none"/>
        </w:rPr>
        <w:t>0771-3381253</w:t>
      </w:r>
      <w:r>
        <w:rPr>
          <w:rFonts w:hint="eastAsia" w:ascii="宋体" w:hAnsi="宋体" w:cs="宋体"/>
          <w:color w:val="auto"/>
          <w:szCs w:val="21"/>
          <w:highlight w:val="none"/>
        </w:rPr>
        <w:t>）。</w:t>
      </w:r>
    </w:p>
    <w:p w14:paraId="0EB992FA">
      <w:pPr>
        <w:spacing w:line="38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00482996">
      <w:pPr>
        <w:spacing w:line="38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至提交响应文件截止时间止未完成提交（上传）的，视为撤回响应文件。提交响应文件截止时间以后提交（上传）的响应文件，广西政府采购云平台将予以拒收。</w:t>
      </w:r>
    </w:p>
    <w:p w14:paraId="6B700BC6">
      <w:pPr>
        <w:spacing w:line="38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（4）供应商需要在具备摄像头及语音功能且互联网网络状况良好的电脑登录广西政府采购云平台远程开标大厅参与本次磋商，否则后果自负。</w:t>
      </w:r>
    </w:p>
    <w:p w14:paraId="4480922F">
      <w:pPr>
        <w:spacing w:line="380" w:lineRule="exact"/>
        <w:ind w:firstLine="352" w:firstLineChars="147"/>
        <w:rPr>
          <w:rFonts w:ascii="宋体" w:hAnsi="宋体" w:cs="宋体"/>
          <w:b/>
          <w:color w:val="auto"/>
          <w:sz w:val="24"/>
          <w:highlight w:val="none"/>
        </w:rPr>
      </w:pPr>
      <w:r>
        <w:rPr>
          <w:rFonts w:hint="eastAsia" w:ascii="宋体" w:hAnsi="宋体" w:cs="宋体"/>
          <w:b/>
          <w:color w:val="auto"/>
          <w:sz w:val="24"/>
          <w:highlight w:val="none"/>
        </w:rPr>
        <w:t>八、凡对本次采购提出询问，请按以下方式联系。</w:t>
      </w:r>
      <w:bookmarkEnd w:id="47"/>
      <w:bookmarkEnd w:id="48"/>
      <w:bookmarkEnd w:id="49"/>
      <w:bookmarkEnd w:id="50"/>
      <w:bookmarkEnd w:id="51"/>
    </w:p>
    <w:p w14:paraId="1374E27A">
      <w:pPr>
        <w:spacing w:line="38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1.采购人信息</w:t>
      </w:r>
    </w:p>
    <w:p w14:paraId="06212E27">
      <w:pPr>
        <w:spacing w:line="38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名称：兴安县人民医院</w:t>
      </w:r>
    </w:p>
    <w:p w14:paraId="41F43AC0">
      <w:pPr>
        <w:spacing w:line="38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地址：广西桂林市兴安县兴安镇康宁街78号</w:t>
      </w:r>
    </w:p>
    <w:p w14:paraId="517EB483">
      <w:pPr>
        <w:spacing w:line="38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联系方式：刘胜君  0773-6222121</w:t>
      </w:r>
    </w:p>
    <w:p w14:paraId="04DFDA7D">
      <w:pPr>
        <w:spacing w:line="38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2.采购代理机构信息</w:t>
      </w:r>
    </w:p>
    <w:p w14:paraId="1ACD992C">
      <w:pPr>
        <w:spacing w:line="38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名称：云之龙咨询集团有限公司</w:t>
      </w:r>
    </w:p>
    <w:p w14:paraId="5C79E375">
      <w:pPr>
        <w:spacing w:line="38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地址：广西桂林市临桂区西城北路2号耀辉•美好家园2幢12层1号房</w:t>
      </w:r>
    </w:p>
    <w:p w14:paraId="4B17DB5E">
      <w:pPr>
        <w:spacing w:line="38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联系方式：0773-2887388  2887399  传真：0773-2889218</w:t>
      </w:r>
    </w:p>
    <w:p w14:paraId="6D477325">
      <w:pPr>
        <w:spacing w:line="38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3.项目联系方式</w:t>
      </w:r>
    </w:p>
    <w:p w14:paraId="69195603">
      <w:pPr>
        <w:spacing w:line="38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项目联系人：吕雯</w:t>
      </w:r>
      <w:r>
        <w:rPr>
          <w:rFonts w:hint="eastAsia" w:ascii="宋体" w:hAnsi="宋体" w:cs="宋体"/>
          <w:color w:val="auto"/>
          <w:szCs w:val="21"/>
          <w:highlight w:val="none"/>
        </w:rPr>
        <w:tab/>
      </w:r>
    </w:p>
    <w:p w14:paraId="0C05AFCC">
      <w:pPr>
        <w:spacing w:line="38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电话：0773-2887388  2887399</w:t>
      </w:r>
    </w:p>
    <w:bookmarkEnd w:id="4"/>
    <w:p w14:paraId="5135DE81">
      <w:pPr>
        <w:spacing w:line="400" w:lineRule="exact"/>
        <w:jc w:val="center"/>
        <w:rPr>
          <w:rFonts w:ascii="宋体" w:hAnsi="宋体" w:cs="宋体"/>
          <w:color w:val="auto"/>
          <w:sz w:val="32"/>
          <w:szCs w:val="32"/>
          <w:highlight w:val="none"/>
        </w:rPr>
      </w:pPr>
    </w:p>
    <w:p w14:paraId="1AA5D9F3">
      <w:pPr>
        <w:spacing w:line="400" w:lineRule="exact"/>
        <w:jc w:val="center"/>
        <w:rPr>
          <w:rFonts w:ascii="宋体" w:hAnsi="宋体" w:cs="宋体"/>
          <w:color w:val="auto"/>
          <w:sz w:val="32"/>
          <w:szCs w:val="32"/>
          <w:highlight w:val="none"/>
        </w:rPr>
      </w:pPr>
    </w:p>
    <w:p w14:paraId="67A70602">
      <w:pPr>
        <w:spacing w:line="400" w:lineRule="exact"/>
        <w:jc w:val="center"/>
        <w:rPr>
          <w:rFonts w:ascii="宋体" w:hAnsi="宋体" w:cs="宋体"/>
          <w:color w:val="auto"/>
          <w:sz w:val="32"/>
          <w:szCs w:val="32"/>
          <w:highlight w:val="none"/>
        </w:rPr>
      </w:pPr>
    </w:p>
    <w:p w14:paraId="0D9E668D">
      <w:pPr>
        <w:spacing w:line="400" w:lineRule="exact"/>
        <w:jc w:val="center"/>
        <w:rPr>
          <w:rFonts w:ascii="宋体" w:hAnsi="宋体" w:cs="宋体"/>
          <w:color w:val="auto"/>
          <w:sz w:val="32"/>
          <w:szCs w:val="32"/>
          <w:highlight w:val="none"/>
        </w:rPr>
      </w:pPr>
    </w:p>
    <w:p w14:paraId="10D0F150">
      <w:pPr>
        <w:widowControl/>
        <w:jc w:val="left"/>
        <w:rPr>
          <w:rFonts w:ascii="宋体" w:hAnsi="宋体" w:cs="宋体"/>
          <w:color w:val="auto"/>
          <w:sz w:val="32"/>
          <w:szCs w:val="32"/>
          <w:highlight w:val="none"/>
        </w:rPr>
      </w:pPr>
      <w:r>
        <w:rPr>
          <w:rFonts w:hint="eastAsia" w:ascii="宋体" w:hAnsi="宋体" w:cs="宋体"/>
          <w:color w:val="auto"/>
          <w:sz w:val="32"/>
          <w:szCs w:val="32"/>
          <w:highlight w:val="none"/>
        </w:rPr>
        <w:br w:type="page"/>
      </w:r>
    </w:p>
    <w:p w14:paraId="3AC6457B">
      <w:pPr>
        <w:pStyle w:val="2"/>
        <w:spacing w:before="300" w:after="300" w:line="360" w:lineRule="auto"/>
        <w:jc w:val="center"/>
        <w:rPr>
          <w:color w:val="auto"/>
          <w:highlight w:val="none"/>
        </w:rPr>
      </w:pPr>
      <w:bookmarkStart w:id="52" w:name="_Toc74323457"/>
      <w:r>
        <w:rPr>
          <w:rFonts w:hint="eastAsia"/>
          <w:color w:val="auto"/>
          <w:highlight w:val="none"/>
        </w:rPr>
        <w:t>第二章 供应商须知</w:t>
      </w:r>
      <w:bookmarkEnd w:id="52"/>
    </w:p>
    <w:p w14:paraId="63645B18">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p w14:paraId="1C0798A3">
      <w:pPr>
        <w:spacing w:line="400" w:lineRule="exact"/>
        <w:jc w:val="center"/>
        <w:rPr>
          <w:rFonts w:ascii="宋体" w:hAnsi="宋体"/>
          <w:b/>
          <w:color w:val="auto"/>
          <w:sz w:val="32"/>
          <w:szCs w:val="32"/>
          <w:highlight w:val="none"/>
        </w:rPr>
      </w:pP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3437F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6A7774C9">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highlight w:val="none"/>
              </w:rPr>
            </w:pPr>
            <w:r>
              <w:rPr>
                <w:rFonts w:hint="eastAsia" w:ascii="宋体" w:hAnsi="宋体" w:cs="宋体"/>
                <w:b/>
                <w:color w:val="auto"/>
                <w:szCs w:val="21"/>
                <w:highlight w:val="none"/>
              </w:rPr>
              <w:t>条款号</w:t>
            </w:r>
          </w:p>
        </w:tc>
        <w:tc>
          <w:tcPr>
            <w:tcW w:w="7912" w:type="dxa"/>
          </w:tcPr>
          <w:p w14:paraId="03C83F7B">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highlight w:val="none"/>
              </w:rPr>
            </w:pPr>
            <w:r>
              <w:rPr>
                <w:rFonts w:hint="eastAsia" w:ascii="宋体" w:hAnsi="宋体" w:cs="宋体"/>
                <w:b/>
                <w:color w:val="auto"/>
                <w:szCs w:val="21"/>
                <w:highlight w:val="none"/>
              </w:rPr>
              <w:t>内    容</w:t>
            </w:r>
          </w:p>
        </w:tc>
      </w:tr>
      <w:tr w14:paraId="0A8C8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278BB18">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w:t>
            </w:r>
          </w:p>
        </w:tc>
        <w:tc>
          <w:tcPr>
            <w:tcW w:w="7912" w:type="dxa"/>
            <w:vAlign w:val="center"/>
          </w:tcPr>
          <w:p w14:paraId="4CAE6993">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r>
              <w:rPr>
                <w:rFonts w:hint="eastAsia" w:ascii="宋体" w:hAnsi="宋体" w:cs="宋体"/>
                <w:bCs/>
                <w:color w:val="auto"/>
                <w:szCs w:val="21"/>
                <w:highlight w:val="none"/>
              </w:rPr>
              <w:t>1.供应商的资格条件</w:t>
            </w:r>
            <w:r>
              <w:rPr>
                <w:rFonts w:hint="eastAsia" w:ascii="宋体" w:hAnsi="宋体" w:cs="宋体"/>
                <w:color w:val="auto"/>
                <w:szCs w:val="21"/>
                <w:highlight w:val="none"/>
              </w:rPr>
              <w:t>：详见竞争性磋商公告</w:t>
            </w:r>
          </w:p>
          <w:p w14:paraId="5A150EC8">
            <w:pPr>
              <w:keepNext w:val="0"/>
              <w:keepLines w:val="0"/>
              <w:suppressLineNumbers w:val="0"/>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74E4FB73">
            <w:pPr>
              <w:keepNext w:val="0"/>
              <w:keepLines w:val="0"/>
              <w:suppressLineNumbers w:val="0"/>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该采购项目的其他采购活动。</w:t>
            </w:r>
          </w:p>
          <w:p w14:paraId="0F8F6118">
            <w:pPr>
              <w:keepNext w:val="0"/>
              <w:keepLines w:val="0"/>
              <w:suppressLineNumbers w:val="0"/>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2.2对在“信用中国”网站（</w:t>
            </w:r>
            <w:r>
              <w:rPr>
                <w:rFonts w:hint="default" w:ascii="宋体" w:hAnsi="宋体" w:cs="宋体"/>
                <w:color w:val="auto"/>
                <w:szCs w:val="21"/>
                <w:highlight w:val="none"/>
              </w:rPr>
              <w:t>www.creditchina.gov.cn</w:t>
            </w:r>
            <w:r>
              <w:rPr>
                <w:rFonts w:hint="eastAsia" w:ascii="宋体" w:hAnsi="宋体" w:cs="宋体"/>
                <w:color w:val="auto"/>
                <w:szCs w:val="21"/>
                <w:highlight w:val="none"/>
              </w:rPr>
              <w:t>） 、中国政府采购网（</w:t>
            </w:r>
            <w:r>
              <w:rPr>
                <w:rFonts w:hint="default" w:ascii="宋体" w:hAnsi="宋体" w:cs="宋体"/>
                <w:color w:val="auto"/>
                <w:szCs w:val="21"/>
                <w:highlight w:val="none"/>
              </w:rPr>
              <w:t>www.ccgp.gov.cn</w:t>
            </w:r>
            <w:r>
              <w:rPr>
                <w:rFonts w:hint="eastAsia" w:ascii="宋体" w:hAnsi="宋体" w:cs="宋体"/>
                <w:color w:val="auto"/>
                <w:szCs w:val="21"/>
                <w:highlight w:val="none"/>
              </w:rPr>
              <w:t>）被列入失信被执行人、重大税收违法失信主体、政府采购严重违法失信行为记录名单及其他不符合《中华人民共和国政府采购法》第二十二条规定条件的供应商，不得参与政府采购活动。</w:t>
            </w:r>
          </w:p>
        </w:tc>
      </w:tr>
      <w:tr w14:paraId="05B2E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B642140">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5.1</w:t>
            </w:r>
          </w:p>
        </w:tc>
        <w:tc>
          <w:tcPr>
            <w:tcW w:w="7912" w:type="dxa"/>
            <w:vAlign w:val="center"/>
          </w:tcPr>
          <w:p w14:paraId="5B5C79A0">
            <w:pPr>
              <w:keepNext w:val="0"/>
              <w:keepLines w:val="0"/>
              <w:suppressLineNumbers w:val="0"/>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是否接受联合体竞标： 详见竞争性磋商公告</w:t>
            </w:r>
          </w:p>
        </w:tc>
      </w:tr>
      <w:tr w14:paraId="5A36F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B32AB18">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5</w:t>
            </w:r>
            <w:r>
              <w:rPr>
                <w:rFonts w:hint="default" w:ascii="宋体" w:hAnsi="宋体" w:cs="宋体"/>
                <w:color w:val="auto"/>
                <w:szCs w:val="21"/>
                <w:highlight w:val="none"/>
              </w:rPr>
              <w:t>.2</w:t>
            </w:r>
          </w:p>
        </w:tc>
        <w:tc>
          <w:tcPr>
            <w:tcW w:w="7912" w:type="dxa"/>
            <w:vAlign w:val="center"/>
          </w:tcPr>
          <w:p w14:paraId="21DA9947">
            <w:pPr>
              <w:keepNext w:val="0"/>
              <w:keepLines w:val="0"/>
              <w:suppressLineNumbers w:val="0"/>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本项目不接受联合体参与磋商</w:t>
            </w:r>
          </w:p>
        </w:tc>
      </w:tr>
      <w:tr w14:paraId="5C686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AED03E5">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6.2</w:t>
            </w:r>
          </w:p>
        </w:tc>
        <w:tc>
          <w:tcPr>
            <w:tcW w:w="7912" w:type="dxa"/>
            <w:vAlign w:val="center"/>
          </w:tcPr>
          <w:p w14:paraId="41BB1047">
            <w:pPr>
              <w:pStyle w:val="17"/>
              <w:keepNext w:val="0"/>
              <w:keepLines w:val="0"/>
              <w:suppressLineNumbers w:val="0"/>
              <w:spacing w:before="0" w:beforeAutospacing="0" w:after="0" w:afterAutospacing="0" w:line="360" w:lineRule="auto"/>
              <w:ind w:left="0" w:right="0"/>
              <w:rPr>
                <w:rFonts w:hint="default" w:ascii="宋体" w:hAnsi="宋体"/>
                <w:color w:val="auto"/>
                <w:highlight w:val="none"/>
              </w:rPr>
            </w:pPr>
            <w:r>
              <w:rPr>
                <w:rFonts w:hint="default"/>
                <w:color w:val="auto"/>
                <w:highlight w:val="none"/>
              </w:rPr>
              <w:sym w:font="Wingdings" w:char="00FE"/>
            </w:r>
            <w:r>
              <w:rPr>
                <w:rFonts w:hint="eastAsia" w:ascii="宋体" w:hAnsi="宋体"/>
                <w:color w:val="auto"/>
                <w:highlight w:val="none"/>
              </w:rPr>
              <w:t>不允许分包</w:t>
            </w:r>
          </w:p>
          <w:p w14:paraId="406C5473">
            <w:pPr>
              <w:pStyle w:val="17"/>
              <w:keepNext w:val="0"/>
              <w:keepLines w:val="0"/>
              <w:suppressLineNumbers w:val="0"/>
              <w:spacing w:before="0" w:beforeAutospacing="0" w:after="0" w:afterAutospacing="0" w:line="360" w:lineRule="auto"/>
              <w:ind w:left="0" w:right="0"/>
              <w:rPr>
                <w:rFonts w:hint="default" w:ascii="宋体" w:hAnsi="宋体"/>
                <w:color w:val="auto"/>
                <w:highlight w:val="none"/>
              </w:rPr>
            </w:pPr>
            <w:r>
              <w:rPr>
                <w:rFonts w:hint="eastAsia" w:ascii="宋体" w:hAnsi="宋体"/>
                <w:color w:val="auto"/>
                <w:highlight w:val="none"/>
              </w:rPr>
              <w:t>□允许分包</w:t>
            </w:r>
          </w:p>
          <w:p w14:paraId="16F0A5C2">
            <w:pPr>
              <w:pStyle w:val="17"/>
              <w:keepNext w:val="0"/>
              <w:keepLines w:val="0"/>
              <w:suppressLineNumbers w:val="0"/>
              <w:spacing w:before="0" w:beforeAutospacing="0" w:after="0" w:afterAutospacing="0" w:line="360" w:lineRule="auto"/>
              <w:ind w:left="0" w:right="0"/>
              <w:rPr>
                <w:rFonts w:hint="default" w:ascii="宋体" w:hAnsi="宋体"/>
                <w:color w:val="auto"/>
                <w:highlight w:val="none"/>
                <w:u w:val="single"/>
              </w:rPr>
            </w:pPr>
            <w:r>
              <w:rPr>
                <w:rFonts w:hint="eastAsia" w:ascii="宋体" w:hAnsi="宋体"/>
                <w:color w:val="auto"/>
                <w:highlight w:val="none"/>
              </w:rPr>
              <w:t>分包内容：</w:t>
            </w:r>
            <w:r>
              <w:rPr>
                <w:rFonts w:hint="eastAsia" w:ascii="宋体" w:hAnsi="宋体"/>
                <w:color w:val="auto"/>
                <w:highlight w:val="none"/>
                <w:u w:val="single"/>
              </w:rPr>
              <w:t xml:space="preserve">                                     </w:t>
            </w:r>
            <w:r>
              <w:rPr>
                <w:rFonts w:hint="eastAsia" w:ascii="宋体" w:hAnsi="宋体"/>
                <w:color w:val="auto"/>
                <w:highlight w:val="none"/>
              </w:rPr>
              <w:t>。</w:t>
            </w:r>
          </w:p>
          <w:p w14:paraId="2913BF1F">
            <w:pPr>
              <w:pStyle w:val="17"/>
              <w:keepNext w:val="0"/>
              <w:keepLines w:val="0"/>
              <w:suppressLineNumbers w:val="0"/>
              <w:spacing w:before="0" w:beforeAutospacing="0" w:after="0" w:afterAutospacing="0" w:line="360" w:lineRule="auto"/>
              <w:ind w:left="0" w:right="0"/>
              <w:rPr>
                <w:rFonts w:hint="default" w:ascii="宋体" w:hAnsi="宋体"/>
                <w:color w:val="auto"/>
                <w:highlight w:val="none"/>
                <w:u w:val="single"/>
              </w:rPr>
            </w:pPr>
            <w:r>
              <w:rPr>
                <w:rFonts w:hint="eastAsia" w:ascii="宋体" w:hAnsi="宋体"/>
                <w:color w:val="auto"/>
                <w:highlight w:val="none"/>
              </w:rPr>
              <w:t>分包金额或者比例：</w:t>
            </w:r>
            <w:r>
              <w:rPr>
                <w:rFonts w:hint="eastAsia" w:ascii="宋体" w:hAnsi="宋体"/>
                <w:color w:val="auto"/>
                <w:highlight w:val="none"/>
                <w:u w:val="single"/>
              </w:rPr>
              <w:t xml:space="preserve">                                     </w:t>
            </w:r>
            <w:r>
              <w:rPr>
                <w:rFonts w:hint="eastAsia" w:ascii="宋体" w:hAnsi="宋体"/>
                <w:color w:val="auto"/>
                <w:highlight w:val="none"/>
              </w:rPr>
              <w:t>。</w:t>
            </w:r>
          </w:p>
          <w:p w14:paraId="7597D237">
            <w:pPr>
              <w:pStyle w:val="17"/>
              <w:keepNext w:val="0"/>
              <w:keepLines w:val="0"/>
              <w:suppressLineNumbers w:val="0"/>
              <w:spacing w:before="0" w:beforeAutospacing="0" w:after="0" w:afterAutospacing="0" w:line="360" w:lineRule="auto"/>
              <w:ind w:left="0" w:right="0"/>
              <w:rPr>
                <w:rFonts w:hint="default" w:ascii="宋体" w:hAnsi="宋体"/>
                <w:color w:val="auto"/>
                <w:highlight w:val="none"/>
              </w:rPr>
            </w:pPr>
            <w:r>
              <w:rPr>
                <w:rFonts w:hint="eastAsia" w:ascii="宋体" w:hAnsi="宋体"/>
                <w:color w:val="auto"/>
                <w:highlight w:val="none"/>
              </w:rPr>
              <w:t>分包供应商必须具备的资质：</w:t>
            </w:r>
            <w:r>
              <w:rPr>
                <w:rFonts w:hint="eastAsia" w:ascii="宋体" w:hAnsi="宋体"/>
                <w:color w:val="auto"/>
                <w:highlight w:val="none"/>
                <w:u w:val="single"/>
              </w:rPr>
              <w:t xml:space="preserve">                                </w:t>
            </w:r>
            <w:r>
              <w:rPr>
                <w:rFonts w:hint="eastAsia" w:ascii="宋体" w:hAnsi="宋体"/>
                <w:color w:val="auto"/>
                <w:highlight w:val="none"/>
              </w:rPr>
              <w:t>。</w:t>
            </w:r>
          </w:p>
        </w:tc>
      </w:tr>
      <w:tr w14:paraId="41E4C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D18949E">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12.1.</w:t>
            </w:r>
            <w:r>
              <w:rPr>
                <w:rFonts w:hint="default" w:ascii="宋体" w:hAnsi="宋体" w:cs="宋体"/>
                <w:color w:val="auto"/>
                <w:szCs w:val="21"/>
                <w:highlight w:val="none"/>
              </w:rPr>
              <w:t>1</w:t>
            </w:r>
          </w:p>
        </w:tc>
        <w:tc>
          <w:tcPr>
            <w:tcW w:w="7912" w:type="dxa"/>
            <w:vAlign w:val="center"/>
          </w:tcPr>
          <w:p w14:paraId="230A4ADD">
            <w:pPr>
              <w:keepNext w:val="0"/>
              <w:keepLines w:val="0"/>
              <w:suppressLineNumbers w:val="0"/>
              <w:snapToGrid w:val="0"/>
              <w:spacing w:before="0" w:beforeAutospacing="0" w:after="0" w:afterAutospacing="0" w:line="360" w:lineRule="auto"/>
              <w:ind w:left="0" w:right="0"/>
              <w:jc w:val="left"/>
              <w:rPr>
                <w:rFonts w:hint="default" w:ascii="宋体" w:hAnsi="宋体" w:cs="宋体"/>
                <w:b/>
                <w:color w:val="auto"/>
                <w:szCs w:val="21"/>
                <w:highlight w:val="none"/>
              </w:rPr>
            </w:pPr>
            <w:r>
              <w:rPr>
                <w:rFonts w:hint="eastAsia" w:ascii="宋体" w:hAnsi="宋体" w:cs="宋体"/>
                <w:b/>
                <w:color w:val="auto"/>
                <w:szCs w:val="21"/>
                <w:highlight w:val="none"/>
              </w:rPr>
              <w:t>资格证明文件</w:t>
            </w:r>
          </w:p>
          <w:p w14:paraId="5CE6D57A">
            <w:pPr>
              <w:pStyle w:val="17"/>
              <w:keepNext w:val="0"/>
              <w:keepLines w:val="0"/>
              <w:suppressLineNumbers w:val="0"/>
              <w:spacing w:before="0" w:beforeAutospacing="0" w:after="0" w:afterAutospacing="0" w:line="360" w:lineRule="auto"/>
              <w:ind w:left="0" w:right="0"/>
              <w:rPr>
                <w:rFonts w:hint="default" w:ascii="宋体" w:hAnsi="宋体"/>
                <w:color w:val="auto"/>
                <w:highlight w:val="none"/>
              </w:rPr>
            </w:pPr>
            <w:r>
              <w:rPr>
                <w:rFonts w:hint="eastAsia" w:ascii="宋体" w:hAnsi="宋体"/>
                <w:color w:val="auto"/>
                <w:highlight w:val="none"/>
              </w:rPr>
              <w:t>1.供应商为法人或者其他组织的提供其营业执照等证明文件复印件（如营业执照或者事业单位法人证书或者执业许可证或者登记证书等）；（</w:t>
            </w:r>
            <w:r>
              <w:rPr>
                <w:rFonts w:hint="eastAsia" w:ascii="宋体" w:hAnsi="宋体"/>
                <w:b/>
                <w:color w:val="auto"/>
                <w:highlight w:val="none"/>
              </w:rPr>
              <w:t>必须提供，否则响应文件按无效处理</w:t>
            </w:r>
            <w:r>
              <w:rPr>
                <w:rFonts w:hint="eastAsia" w:ascii="宋体" w:hAnsi="宋体"/>
                <w:color w:val="auto"/>
                <w:highlight w:val="none"/>
              </w:rPr>
              <w:t>）</w:t>
            </w:r>
          </w:p>
          <w:p w14:paraId="1E989751">
            <w:pPr>
              <w:keepNext w:val="0"/>
              <w:keepLines w:val="0"/>
              <w:suppressLineNumbers w:val="0"/>
              <w:spacing w:before="0" w:beforeAutospacing="0" w:after="0" w:afterAutospacing="0" w:line="360" w:lineRule="auto"/>
              <w:ind w:left="0" w:right="0"/>
              <w:contextualSpacing/>
              <w:jc w:val="left"/>
              <w:rPr>
                <w:rFonts w:hint="default" w:ascii="宋体" w:hAnsi="宋体" w:cs="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1</w:t>
            </w:r>
            <w:r>
              <w:rPr>
                <w:rFonts w:hint="eastAsia" w:ascii="宋体" w:hAnsi="宋体" w:cs="宋体"/>
                <w:color w:val="auto"/>
                <w:szCs w:val="21"/>
                <w:highlight w:val="none"/>
              </w:rPr>
              <w:t>月以来任意一个月的依法缴纳税收的证明材料复印件；</w:t>
            </w:r>
            <w:r>
              <w:rPr>
                <w:rFonts w:hint="eastAsia"/>
                <w:color w:val="auto"/>
                <w:highlight w:val="none"/>
              </w:rPr>
              <w:t>依法免税的供应商，必须提供符合免税条件的证明材料。</w:t>
            </w:r>
            <w:r>
              <w:rPr>
                <w:rFonts w:hint="eastAsia" w:ascii="宋体" w:hAnsi="宋体" w:cs="宋体"/>
                <w:color w:val="auto"/>
                <w:szCs w:val="21"/>
                <w:highlight w:val="none"/>
              </w:rPr>
              <w:t>从</w:t>
            </w:r>
            <w:r>
              <w:rPr>
                <w:rFonts w:hint="default"/>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到响应文件提交截止时间止不足要求月数的，则无需提供）；（</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5EF1CAC7">
            <w:pPr>
              <w:keepNext w:val="0"/>
              <w:keepLines w:val="0"/>
              <w:suppressLineNumbers w:val="0"/>
              <w:spacing w:before="0" w:beforeAutospacing="0" w:after="0" w:afterAutospacing="0" w:line="360" w:lineRule="auto"/>
              <w:ind w:left="0" w:right="0"/>
              <w:contextualSpacing/>
              <w:jc w:val="left"/>
              <w:rPr>
                <w:rFonts w:hint="default" w:ascii="宋体" w:hAnsi="宋体" w:cs="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s="宋体"/>
                <w:color w:val="auto"/>
                <w:szCs w:val="21"/>
                <w:highlight w:val="none"/>
                <w:u w:val="single"/>
              </w:rPr>
              <w:t>2025年1月</w:t>
            </w:r>
            <w:r>
              <w:rPr>
                <w:rFonts w:hint="eastAsia" w:ascii="宋体" w:hAnsi="宋体" w:cs="宋体"/>
                <w:color w:val="auto"/>
                <w:szCs w:val="21"/>
                <w:highlight w:val="none"/>
              </w:rPr>
              <w:t>以来任意一个月的依法缴纳社会保障资金的缴费证明材料（专用收据、社会保险缴纳清单或社保部门的证明）复印件；</w:t>
            </w:r>
            <w:r>
              <w:rPr>
                <w:rFonts w:hint="eastAsia"/>
                <w:color w:val="auto"/>
                <w:highlight w:val="none"/>
              </w:rPr>
              <w:t>依法不需要缴纳社会保障资金的供应商，必须提供相应文件证明不需要缴纳社会保障资金。</w:t>
            </w:r>
            <w:r>
              <w:rPr>
                <w:rFonts w:hint="eastAsia" w:ascii="宋体" w:hAnsi="宋体" w:cs="宋体"/>
                <w:color w:val="auto"/>
                <w:szCs w:val="21"/>
                <w:highlight w:val="none"/>
              </w:rPr>
              <w:t>从</w:t>
            </w:r>
            <w:r>
              <w:rPr>
                <w:rFonts w:hint="default"/>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到响应文件提交截止时间止不足要求月数的，则无需提供]；（</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7CFD11A6">
            <w:pPr>
              <w:keepNext w:val="0"/>
              <w:keepLines w:val="0"/>
              <w:suppressLineNumbers w:val="0"/>
              <w:spacing w:before="0" w:beforeAutospacing="0" w:after="0" w:afterAutospacing="0" w:line="360" w:lineRule="auto"/>
              <w:ind w:left="0" w:right="0"/>
              <w:contextualSpacing/>
              <w:jc w:val="left"/>
              <w:rPr>
                <w:rFonts w:hint="default" w:ascii="宋体" w:hAnsi="宋体" w:cs="宋体"/>
                <w:b/>
                <w:color w:val="auto"/>
                <w:szCs w:val="21"/>
                <w:highlight w:val="none"/>
              </w:rPr>
            </w:pPr>
            <w:r>
              <w:rPr>
                <w:rFonts w:hint="eastAsia" w:ascii="宋体" w:hAnsi="宋体" w:cs="宋体"/>
                <w:color w:val="auto"/>
                <w:szCs w:val="21"/>
                <w:highlight w:val="none"/>
              </w:rPr>
              <w:t>4.供应商</w:t>
            </w:r>
            <w:r>
              <w:rPr>
                <w:rFonts w:hint="eastAsia"/>
                <w:color w:val="auto"/>
                <w:szCs w:val="21"/>
                <w:highlight w:val="none"/>
              </w:rPr>
              <w:t>财务状况报告</w:t>
            </w:r>
            <w:r>
              <w:rPr>
                <w:rFonts w:hint="eastAsia" w:ascii="宋体" w:hAnsi="宋体" w:cs="宋体"/>
                <w:color w:val="auto"/>
                <w:szCs w:val="21"/>
                <w:highlight w:val="none"/>
              </w:rPr>
              <w:t>【2024年度的财务报表复印件，或者2025年以来银行出具的资信证明，或者中国人民银行征信中心出具的信用报告（企业参与竞标的提供企业信用报告，供应商属于成立时间在规定年度之后的法人或其他组织，需提供成立之日起至响应文件递交截止时间前的月报表或银行出具的资信证明或者中国人民银行征信中心出具的企业信用报告；资信证明应在有效期内）</w:t>
            </w:r>
            <w:r>
              <w:rPr>
                <w:rFonts w:hint="eastAsia"/>
                <w:color w:val="auto"/>
                <w:szCs w:val="21"/>
                <w:highlight w:val="none"/>
              </w:rPr>
              <w:t>】</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b/>
                <w:color w:val="auto"/>
                <w:szCs w:val="21"/>
                <w:highlight w:val="none"/>
              </w:rPr>
              <w:t>必须提供</w:t>
            </w:r>
            <w:r>
              <w:rPr>
                <w:rFonts w:hint="eastAsia" w:ascii="宋体" w:hAnsi="宋体" w:cs="宋体"/>
                <w:b/>
                <w:color w:val="auto"/>
                <w:szCs w:val="21"/>
                <w:highlight w:val="none"/>
              </w:rPr>
              <w:t>，否则响应文件按无效处理</w:t>
            </w:r>
            <w:r>
              <w:rPr>
                <w:rFonts w:hint="eastAsia" w:ascii="宋体" w:hAnsi="宋体" w:cs="宋体"/>
                <w:bCs/>
                <w:color w:val="auto"/>
                <w:szCs w:val="21"/>
                <w:highlight w:val="none"/>
              </w:rPr>
              <w:t>）</w:t>
            </w:r>
          </w:p>
          <w:p w14:paraId="139B19F3">
            <w:pPr>
              <w:keepNext w:val="0"/>
              <w:keepLines w:val="0"/>
              <w:suppressLineNumbers w:val="0"/>
              <w:snapToGrid w:val="0"/>
              <w:spacing w:before="0" w:beforeAutospacing="0" w:after="0" w:afterAutospacing="0" w:line="360"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5.供应商直接控股、管理关系信息表（格式后附）；（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403F3081">
            <w:pPr>
              <w:keepNext w:val="0"/>
              <w:keepLines w:val="0"/>
              <w:suppressLineNumbers w:val="0"/>
              <w:snapToGrid w:val="0"/>
              <w:spacing w:before="0" w:beforeAutospacing="0" w:after="0" w:afterAutospacing="0" w:line="360"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6.竞标声明（格式后附）；（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5334ABAA">
            <w:pPr>
              <w:keepNext w:val="0"/>
              <w:keepLines w:val="0"/>
              <w:suppressLineNumbers w:val="0"/>
              <w:snapToGrid w:val="0"/>
              <w:spacing w:before="0" w:beforeAutospacing="0" w:after="0" w:afterAutospacing="0" w:line="360"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olor w:val="auto"/>
                <w:szCs w:val="21"/>
                <w:highlight w:val="none"/>
              </w:rPr>
              <w:t>本项目的特定资格要求的证明材料：</w:t>
            </w:r>
          </w:p>
          <w:p w14:paraId="26AA7AB1">
            <w:pPr>
              <w:keepNext w:val="0"/>
              <w:keepLines w:val="0"/>
              <w:suppressLineNumbers w:val="0"/>
              <w:snapToGrid w:val="0"/>
              <w:spacing w:before="0" w:beforeAutospacing="0" w:after="0" w:afterAutospacing="0" w:line="360" w:lineRule="auto"/>
              <w:ind w:left="0" w:right="0"/>
              <w:jc w:val="left"/>
              <w:rPr>
                <w:rFonts w:hint="default" w:ascii="宋体" w:hAnsi="宋体" w:cs="宋体"/>
                <w:b/>
                <w:color w:val="auto"/>
                <w:szCs w:val="21"/>
                <w:highlight w:val="none"/>
              </w:rPr>
            </w:pPr>
            <w:r>
              <w:rPr>
                <w:rFonts w:hint="eastAsia" w:ascii="宋体" w:hAnsi="宋体" w:cs="宋体"/>
                <w:color w:val="auto"/>
                <w:szCs w:val="21"/>
                <w:highlight w:val="none"/>
              </w:rPr>
              <w:t>（1）供应商有效的</w:t>
            </w:r>
            <w:r>
              <w:rPr>
                <w:rFonts w:hint="eastAsia" w:asciiTheme="majorEastAsia" w:hAnsiTheme="majorEastAsia" w:eastAsiaTheme="majorEastAsia"/>
                <w:color w:val="auto"/>
                <w:szCs w:val="20"/>
                <w:highlight w:val="none"/>
              </w:rPr>
              <w:t>建筑装修装饰工程专业承包二级以上（含二级）</w:t>
            </w:r>
            <w:r>
              <w:rPr>
                <w:rFonts w:hint="eastAsia" w:ascii="宋体" w:hAnsi="宋体"/>
                <w:color w:val="auto"/>
                <w:szCs w:val="21"/>
                <w:highlight w:val="none"/>
              </w:rPr>
              <w:t>资质</w:t>
            </w:r>
            <w:r>
              <w:rPr>
                <w:rFonts w:hint="eastAsia" w:ascii="宋体" w:hAnsi="宋体" w:cs="宋体"/>
                <w:color w:val="auto"/>
                <w:szCs w:val="21"/>
                <w:highlight w:val="none"/>
              </w:rPr>
              <w:t>证书复印件；</w:t>
            </w:r>
            <w:r>
              <w:rPr>
                <w:rFonts w:hint="eastAsia" w:ascii="宋体" w:hAnsi="宋体" w:cs="宋体"/>
                <w:b/>
                <w:color w:val="auto"/>
                <w:szCs w:val="21"/>
                <w:highlight w:val="none"/>
              </w:rPr>
              <w:t>（必须提供，否则响应文件按无效处理）</w:t>
            </w:r>
          </w:p>
          <w:p w14:paraId="75319B49">
            <w:pPr>
              <w:keepNext w:val="0"/>
              <w:keepLines w:val="0"/>
              <w:suppressLineNumbers w:val="0"/>
              <w:snapToGrid w:val="0"/>
              <w:spacing w:before="0" w:beforeAutospacing="0" w:after="0" w:afterAutospacing="0" w:line="360" w:lineRule="auto"/>
              <w:ind w:left="0" w:right="0"/>
              <w:jc w:val="left"/>
              <w:rPr>
                <w:rFonts w:hint="default" w:ascii="宋体" w:hAnsi="宋体" w:cs="宋体"/>
                <w:b/>
                <w:color w:val="auto"/>
                <w:szCs w:val="21"/>
                <w:highlight w:val="none"/>
              </w:rPr>
            </w:pPr>
            <w:r>
              <w:rPr>
                <w:rFonts w:hint="eastAsia" w:ascii="宋体" w:hAnsi="宋体" w:cs="宋体"/>
                <w:color w:val="auto"/>
                <w:szCs w:val="21"/>
                <w:highlight w:val="none"/>
              </w:rPr>
              <w:t>（2）供应商的有效的安全生产许可证复印件；</w:t>
            </w:r>
            <w:r>
              <w:rPr>
                <w:rFonts w:hint="eastAsia" w:ascii="宋体" w:hAnsi="宋体" w:cs="宋体"/>
                <w:b/>
                <w:color w:val="auto"/>
                <w:szCs w:val="21"/>
                <w:highlight w:val="none"/>
              </w:rPr>
              <w:t>（必须提供，否则响应文件按无效处理）</w:t>
            </w:r>
          </w:p>
          <w:p w14:paraId="0B1F2833">
            <w:pPr>
              <w:keepNext w:val="0"/>
              <w:keepLines w:val="0"/>
              <w:suppressLineNumbers w:val="0"/>
              <w:snapToGrid w:val="0"/>
              <w:spacing w:before="0" w:beforeAutospacing="0" w:after="0" w:afterAutospacing="0" w:line="360" w:lineRule="auto"/>
              <w:ind w:left="0" w:right="0"/>
              <w:jc w:val="left"/>
              <w:rPr>
                <w:rFonts w:hint="default" w:ascii="宋体" w:hAnsi="宋体" w:cs="宋体"/>
                <w:b/>
                <w:color w:val="auto"/>
                <w:szCs w:val="21"/>
                <w:highlight w:val="none"/>
              </w:rPr>
            </w:pPr>
            <w:r>
              <w:rPr>
                <w:rFonts w:hint="eastAsia" w:ascii="宋体" w:hAnsi="宋体" w:cs="宋体"/>
                <w:color w:val="auto"/>
                <w:szCs w:val="21"/>
                <w:highlight w:val="none"/>
              </w:rPr>
              <w:t>（3）供应商在人员、设备、资金等方面具有相应履约能力的承诺函；（格式后附）</w:t>
            </w:r>
            <w:r>
              <w:rPr>
                <w:rFonts w:hint="eastAsia" w:ascii="宋体" w:hAnsi="宋体" w:cs="宋体"/>
                <w:b/>
                <w:color w:val="auto"/>
                <w:szCs w:val="21"/>
                <w:highlight w:val="none"/>
              </w:rPr>
              <w:t>（必须提供，否则响应文件按无效处理）</w:t>
            </w:r>
          </w:p>
          <w:p w14:paraId="7DB623B7">
            <w:pPr>
              <w:keepNext w:val="0"/>
              <w:keepLines w:val="0"/>
              <w:suppressLineNumbers w:val="0"/>
              <w:snapToGrid w:val="0"/>
              <w:spacing w:before="0" w:beforeAutospacing="0" w:after="0" w:afterAutospacing="0" w:line="360"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.除磋商文件规定必须提供以外，供应商认为需要提供的其他证明材料；</w:t>
            </w:r>
          </w:p>
          <w:p w14:paraId="4F8524E2">
            <w:pPr>
              <w:keepNext w:val="0"/>
              <w:keepLines w:val="0"/>
              <w:suppressLineNumbers w:val="0"/>
              <w:snapToGrid w:val="0"/>
              <w:spacing w:before="0" w:beforeAutospacing="0" w:after="0" w:afterAutospacing="0" w:line="360" w:lineRule="auto"/>
              <w:ind w:left="0" w:right="0"/>
              <w:jc w:val="left"/>
              <w:rPr>
                <w:rFonts w:hint="default" w:ascii="宋体" w:hAnsi="宋体"/>
                <w:b/>
                <w:color w:val="auto"/>
                <w:highlight w:val="none"/>
              </w:rPr>
            </w:pPr>
            <w:r>
              <w:rPr>
                <w:rFonts w:hint="eastAsia" w:ascii="宋体" w:hAnsi="宋体" w:cs="宋体"/>
                <w:b/>
                <w:color w:val="auto"/>
                <w:szCs w:val="21"/>
                <w:highlight w:val="none"/>
              </w:rPr>
              <w:t>注：以上标明“必须提供”的材料，必须加盖供应商</w:t>
            </w:r>
            <w:r>
              <w:rPr>
                <w:rFonts w:hint="eastAsia"/>
                <w:b/>
                <w:color w:val="auto"/>
                <w:highlight w:val="none"/>
              </w:rPr>
              <w:t>电子签章</w:t>
            </w:r>
            <w:r>
              <w:rPr>
                <w:rFonts w:hint="eastAsia" w:ascii="宋体" w:hAnsi="宋体" w:cs="宋体"/>
                <w:b/>
                <w:color w:val="auto"/>
                <w:szCs w:val="21"/>
                <w:highlight w:val="none"/>
              </w:rPr>
              <w:t>，</w:t>
            </w:r>
            <w:r>
              <w:rPr>
                <w:rFonts w:hint="eastAsia" w:ascii="宋体" w:hAnsi="宋体" w:cs="Courier New"/>
                <w:b/>
                <w:color w:val="auto"/>
                <w:szCs w:val="21"/>
                <w:highlight w:val="none"/>
              </w:rPr>
              <w:t>必须提供的材料在第六章“响应文件格式”中有要求法定代表人或委托代理人签字（或者电子签名）的，必须由法定代表人或委托代理人签字</w:t>
            </w:r>
            <w:r>
              <w:rPr>
                <w:rFonts w:hint="eastAsia" w:ascii="宋体" w:hAnsi="宋体"/>
                <w:b/>
                <w:bCs/>
                <w:color w:val="auto"/>
                <w:szCs w:val="21"/>
                <w:highlight w:val="none"/>
              </w:rPr>
              <w:t>（或者电子签名），</w:t>
            </w:r>
            <w:r>
              <w:rPr>
                <w:rFonts w:hint="eastAsia" w:ascii="宋体" w:hAnsi="宋体" w:cs="宋体"/>
                <w:b/>
                <w:color w:val="auto"/>
                <w:szCs w:val="21"/>
                <w:highlight w:val="none"/>
              </w:rPr>
              <w:t>否则响应文件按无效处理。</w:t>
            </w:r>
          </w:p>
        </w:tc>
      </w:tr>
      <w:tr w14:paraId="373A9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FB04265">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12.1.2</w:t>
            </w:r>
          </w:p>
        </w:tc>
        <w:tc>
          <w:tcPr>
            <w:tcW w:w="7912" w:type="dxa"/>
            <w:vAlign w:val="center"/>
          </w:tcPr>
          <w:p w14:paraId="27F01328">
            <w:pPr>
              <w:keepNext w:val="0"/>
              <w:keepLines w:val="0"/>
              <w:suppressLineNumbers w:val="0"/>
              <w:spacing w:before="0" w:beforeAutospacing="0" w:after="0" w:afterAutospacing="0" w:line="360" w:lineRule="auto"/>
              <w:ind w:left="0" w:right="0"/>
              <w:rPr>
                <w:rFonts w:hint="default" w:ascii="宋体" w:hAnsi="宋体" w:cs="宋体"/>
                <w:b/>
                <w:bCs/>
                <w:color w:val="auto"/>
                <w:szCs w:val="21"/>
                <w:highlight w:val="none"/>
              </w:rPr>
            </w:pPr>
            <w:r>
              <w:rPr>
                <w:rFonts w:hint="eastAsia" w:ascii="宋体" w:hAnsi="宋体" w:cs="宋体"/>
                <w:b/>
                <w:bCs/>
                <w:color w:val="auto"/>
                <w:szCs w:val="21"/>
                <w:highlight w:val="none"/>
              </w:rPr>
              <w:t>报价文件</w:t>
            </w:r>
          </w:p>
          <w:p w14:paraId="401B9FC0">
            <w:pPr>
              <w:keepNext w:val="0"/>
              <w:keepLines w:val="0"/>
              <w:suppressLineNumbers w:val="0"/>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1.竞标函及竞标函附录（格式后附）；（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7ECC67C1">
            <w:pPr>
              <w:keepNext w:val="0"/>
              <w:keepLines w:val="0"/>
              <w:suppressLineNumbers w:val="0"/>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2.已标价工程量清单；（</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02B5639C">
            <w:pPr>
              <w:keepNext w:val="0"/>
              <w:keepLines w:val="0"/>
              <w:suppressLineNumbers w:val="0"/>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3.供应商认为需要提供的其他有关资料。</w:t>
            </w:r>
          </w:p>
          <w:p w14:paraId="03BAFAF8">
            <w:pPr>
              <w:keepNext w:val="0"/>
              <w:keepLines w:val="0"/>
              <w:suppressLineNumbers w:val="0"/>
              <w:snapToGrid w:val="0"/>
              <w:spacing w:before="0" w:beforeAutospacing="0" w:after="0" w:afterAutospacing="0" w:line="360" w:lineRule="auto"/>
              <w:ind w:left="0" w:right="0" w:firstLine="8" w:firstLineChars="4"/>
              <w:jc w:val="left"/>
              <w:rPr>
                <w:rFonts w:hint="default"/>
                <w:b/>
                <w:color w:val="auto"/>
                <w:highlight w:val="none"/>
              </w:rPr>
            </w:pPr>
            <w:r>
              <w:rPr>
                <w:rFonts w:hint="eastAsia" w:ascii="宋体" w:hAnsi="宋体" w:cs="宋体"/>
                <w:b/>
                <w:color w:val="auto"/>
                <w:szCs w:val="21"/>
                <w:highlight w:val="none"/>
              </w:rPr>
              <w:t>注：</w:t>
            </w:r>
            <w:r>
              <w:rPr>
                <w:rFonts w:hint="eastAsia" w:ascii="宋体" w:hAnsi="宋体" w:cs="Courier New"/>
                <w:b/>
                <w:color w:val="auto"/>
                <w:szCs w:val="21"/>
                <w:highlight w:val="none"/>
              </w:rPr>
              <w:t>以上标明“必须提供”的材料，必须加盖供应商电子签章，必须提供的材料在第六章“响应文件格式”中有要求法定代表人或委托代理人签字（或者电子签名）的，必须由法定代表人或委托代理人签字（或者电子签名），否则响应文件按无效处理。</w:t>
            </w:r>
          </w:p>
        </w:tc>
      </w:tr>
      <w:tr w14:paraId="752C8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EDC1A52">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12.</w:t>
            </w:r>
            <w:r>
              <w:rPr>
                <w:rFonts w:hint="default" w:ascii="宋体" w:hAnsi="宋体" w:cs="宋体"/>
                <w:color w:val="auto"/>
                <w:szCs w:val="21"/>
                <w:highlight w:val="none"/>
              </w:rPr>
              <w:t>1</w:t>
            </w:r>
            <w:r>
              <w:rPr>
                <w:rFonts w:hint="eastAsia" w:ascii="宋体" w:hAnsi="宋体" w:cs="宋体"/>
                <w:color w:val="auto"/>
                <w:szCs w:val="21"/>
                <w:highlight w:val="none"/>
              </w:rPr>
              <w:t>.3</w:t>
            </w:r>
          </w:p>
        </w:tc>
        <w:tc>
          <w:tcPr>
            <w:tcW w:w="7912" w:type="dxa"/>
            <w:vAlign w:val="center"/>
          </w:tcPr>
          <w:p w14:paraId="3CEA93D5">
            <w:pPr>
              <w:keepNext w:val="0"/>
              <w:keepLines w:val="0"/>
              <w:suppressLineNumbers w:val="0"/>
              <w:spacing w:before="0" w:beforeAutospacing="0" w:after="0" w:afterAutospacing="0" w:line="360" w:lineRule="auto"/>
              <w:ind w:left="0" w:right="0"/>
              <w:rPr>
                <w:rFonts w:hint="default" w:ascii="宋体" w:hAnsi="宋体" w:cs="宋体"/>
                <w:b/>
                <w:bCs/>
                <w:color w:val="auto"/>
                <w:szCs w:val="21"/>
                <w:highlight w:val="none"/>
              </w:rPr>
            </w:pPr>
            <w:r>
              <w:rPr>
                <w:rFonts w:hint="eastAsia" w:ascii="宋体" w:hAnsi="宋体" w:cs="宋体"/>
                <w:b/>
                <w:bCs/>
                <w:color w:val="auto"/>
                <w:szCs w:val="21"/>
                <w:highlight w:val="none"/>
              </w:rPr>
              <w:t>商务技术文件</w:t>
            </w:r>
          </w:p>
          <w:p w14:paraId="0E361644">
            <w:pPr>
              <w:keepNext w:val="0"/>
              <w:keepLines w:val="0"/>
              <w:suppressLineNumbers w:val="0"/>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4C00F7E8">
            <w:pPr>
              <w:keepNext w:val="0"/>
              <w:keepLines w:val="0"/>
              <w:suppressLineNumbers w:val="0"/>
              <w:snapToGrid w:val="0"/>
              <w:spacing w:before="0" w:beforeAutospacing="0" w:after="0" w:afterAutospacing="0" w:line="360"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5C336AE0">
            <w:pPr>
              <w:keepNext w:val="0"/>
              <w:keepLines w:val="0"/>
              <w:suppressLineNumbers w:val="0"/>
              <w:spacing w:before="0" w:beforeAutospacing="0" w:after="0" w:afterAutospacing="0" w:line="360" w:lineRule="auto"/>
              <w:ind w:left="0" w:right="0"/>
              <w:rPr>
                <w:rFonts w:hint="default" w:ascii="宋体" w:hAnsi="宋体" w:cs="宋体"/>
                <w:b/>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委托时必须提供，否则响应文件按无效处理</w:t>
            </w:r>
            <w:r>
              <w:rPr>
                <w:rFonts w:hint="eastAsia" w:ascii="宋体" w:hAnsi="宋体" w:cs="宋体"/>
                <w:color w:val="auto"/>
                <w:szCs w:val="21"/>
                <w:highlight w:val="none"/>
              </w:rPr>
              <w:t>）</w:t>
            </w:r>
          </w:p>
          <w:p w14:paraId="3B980D49">
            <w:pPr>
              <w:keepNext w:val="0"/>
              <w:keepLines w:val="0"/>
              <w:suppressLineNumbers w:val="0"/>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4.技术及其他要求、商务要求响应承诺表（格式后附）；（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5342714D">
            <w:pPr>
              <w:keepNext w:val="0"/>
              <w:keepLines w:val="0"/>
              <w:suppressLineNumbers w:val="0"/>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rPr>
              <w:t>项目管理机构配备情况表【含项目经理、技术负责人、专职安全生产管理人员、施工员、质量员、材料员的基本情况，并附以下证明材料：①项目经理具有</w:t>
            </w:r>
            <w:r>
              <w:rPr>
                <w:rFonts w:hint="eastAsia" w:ascii="宋体" w:hAnsi="宋体" w:cs="宋体"/>
                <w:bCs/>
                <w:color w:val="auto"/>
                <w:szCs w:val="21"/>
                <w:highlight w:val="none"/>
              </w:rPr>
              <w:t>建筑工程</w:t>
            </w:r>
            <w:r>
              <w:rPr>
                <w:rFonts w:hint="eastAsia" w:ascii="宋体" w:hAnsi="宋体" w:cs="宋体"/>
                <w:color w:val="auto"/>
                <w:szCs w:val="21"/>
                <w:highlight w:val="none"/>
              </w:rPr>
              <w:t>专业二级以上（含二级）注册建造师执业资格证书复印件及有效的安全生产考核合格证书复印件（B类）；②技术负责人的与本项目相关的建筑工程专业中级及以上职称证书复印件；③专职安全生产管理人员须具有安全生产考核合格证书复印件（C类）；④施工员、质量员、材料员须具有施工现场专业人员职业培训合格证书复印件；</w:t>
            </w:r>
            <w:r>
              <w:rPr>
                <w:rFonts w:hint="eastAsia" w:ascii="宋体" w:hAnsi="宋体" w:cs="宋体"/>
                <w:color w:val="auto"/>
                <w:szCs w:val="21"/>
                <w:highlight w:val="none"/>
              </w:rPr>
              <w:t>⑤以上项目管理机构人员的身份证复印件及2025年1月以来任意一个月供应商为以上项目管理机构人员交纳的社保证明材料复印</w:t>
            </w:r>
            <w:r>
              <w:rPr>
                <w:rFonts w:hint="eastAsia" w:ascii="宋体" w:hAnsi="宋体" w:cs="宋体"/>
                <w:color w:val="auto"/>
                <w:szCs w:val="21"/>
                <w:highlight w:val="none"/>
              </w:rPr>
              <w:t>件</w:t>
            </w:r>
            <w:r>
              <w:rPr>
                <w:rFonts w:hint="eastAsia" w:ascii="宋体" w:hAnsi="宋体" w:cs="宋体"/>
                <w:color w:val="auto"/>
                <w:szCs w:val="21"/>
                <w:highlight w:val="none"/>
                <w:lang w:eastAsia="zh-CN"/>
              </w:rPr>
              <w:t>或劳动合同</w:t>
            </w:r>
            <w:r>
              <w:rPr>
                <w:rFonts w:hint="eastAsia" w:ascii="宋体" w:hAnsi="宋体" w:cs="宋体"/>
                <w:color w:val="auto"/>
                <w:szCs w:val="21"/>
                <w:highlight w:val="none"/>
              </w:rPr>
              <w:t>（格式后附）；（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 xml:space="preserve">） </w:t>
            </w:r>
          </w:p>
          <w:p w14:paraId="37017143">
            <w:pPr>
              <w:keepNext w:val="0"/>
              <w:keepLines w:val="0"/>
              <w:suppressLineNumbers w:val="0"/>
              <w:spacing w:before="0" w:beforeAutospacing="0" w:after="0" w:afterAutospacing="0" w:line="360" w:lineRule="auto"/>
              <w:ind w:left="0" w:right="0"/>
              <w:rPr>
                <w:rFonts w:hint="default" w:ascii="宋体" w:hAnsi="宋体" w:cs="宋体"/>
                <w:b/>
                <w:color w:val="auto"/>
                <w:szCs w:val="21"/>
                <w:highlight w:val="none"/>
              </w:rPr>
            </w:pPr>
            <w:r>
              <w:rPr>
                <w:rFonts w:hint="eastAsia" w:ascii="宋体" w:hAnsi="宋体"/>
                <w:color w:val="auto"/>
                <w:szCs w:val="21"/>
                <w:highlight w:val="none"/>
              </w:rPr>
              <w:t>6</w:t>
            </w:r>
            <w:r>
              <w:rPr>
                <w:rFonts w:hint="eastAsia" w:ascii="宋体" w:hAnsi="宋体"/>
                <w:b/>
                <w:color w:val="auto"/>
                <w:szCs w:val="21"/>
                <w:highlight w:val="none"/>
              </w:rPr>
              <w:t>.</w:t>
            </w:r>
            <w:r>
              <w:rPr>
                <w:rFonts w:hint="eastAsia" w:ascii="宋体" w:hAnsi="宋体"/>
                <w:color w:val="auto"/>
                <w:szCs w:val="21"/>
                <w:highlight w:val="none"/>
              </w:rPr>
              <w:t>供应商关于拟派项目经理的承诺书</w:t>
            </w:r>
            <w:r>
              <w:rPr>
                <w:rFonts w:hint="eastAsia" w:ascii="宋体" w:hAnsi="宋体" w:cs="宋体"/>
                <w:color w:val="auto"/>
                <w:szCs w:val="21"/>
                <w:highlight w:val="none"/>
              </w:rPr>
              <w:t>（格式后附）；</w:t>
            </w:r>
            <w:r>
              <w:rPr>
                <w:rFonts w:hint="eastAsia" w:ascii="宋体" w:hAnsi="宋体" w:cs="宋体"/>
                <w:b/>
                <w:color w:val="auto"/>
                <w:szCs w:val="21"/>
                <w:highlight w:val="none"/>
              </w:rPr>
              <w:t xml:space="preserve">（必须提供，否则响应文件按无效处理） </w:t>
            </w:r>
          </w:p>
          <w:p w14:paraId="4D62EC75">
            <w:pPr>
              <w:keepNext w:val="0"/>
              <w:keepLines w:val="0"/>
              <w:suppressLineNumbers w:val="0"/>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7.农民工工资保证金交纳与使用承诺书（格式后附）；</w:t>
            </w:r>
            <w:r>
              <w:rPr>
                <w:rFonts w:hint="eastAsia" w:ascii="宋体" w:hAnsi="宋体" w:cs="宋体"/>
                <w:b/>
                <w:color w:val="auto"/>
                <w:szCs w:val="21"/>
                <w:highlight w:val="none"/>
              </w:rPr>
              <w:t xml:space="preserve">（必须提供，否则响应文件按无效处理） </w:t>
            </w:r>
          </w:p>
          <w:p w14:paraId="67162B87">
            <w:pPr>
              <w:keepNext w:val="0"/>
              <w:keepLines w:val="0"/>
              <w:suppressLineNumbers w:val="0"/>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8</w:t>
            </w:r>
            <w:r>
              <w:rPr>
                <w:rFonts w:hint="default" w:ascii="宋体" w:hAnsi="宋体" w:cs="宋体"/>
                <w:color w:val="auto"/>
                <w:szCs w:val="21"/>
                <w:highlight w:val="none"/>
              </w:rPr>
              <w:t>.</w:t>
            </w:r>
            <w:r>
              <w:rPr>
                <w:rFonts w:hint="eastAsia" w:ascii="宋体" w:hAnsi="宋体" w:cs="宋体"/>
                <w:color w:val="auto"/>
                <w:szCs w:val="21"/>
                <w:highlight w:val="none"/>
              </w:rPr>
              <w:t>施工组织设计（</w:t>
            </w:r>
            <w:r>
              <w:rPr>
                <w:rFonts w:hint="eastAsia"/>
                <w:color w:val="auto"/>
                <w:highlight w:val="none"/>
              </w:rPr>
              <w:t>包括但不限于：①</w:t>
            </w:r>
            <w:r>
              <w:rPr>
                <w:rFonts w:hint="eastAsia" w:cs="宋体" w:asciiTheme="majorEastAsia" w:hAnsiTheme="majorEastAsia" w:eastAsiaTheme="majorEastAsia"/>
                <w:color w:val="auto"/>
                <w:spacing w:val="-2"/>
                <w:highlight w:val="none"/>
              </w:rPr>
              <w:t>主要施工方法</w:t>
            </w:r>
            <w:r>
              <w:rPr>
                <w:rFonts w:hint="eastAsia"/>
                <w:color w:val="auto"/>
                <w:highlight w:val="none"/>
              </w:rPr>
              <w:t>；②</w:t>
            </w:r>
            <w:r>
              <w:rPr>
                <w:rFonts w:hint="eastAsia" w:ascii="宋体" w:hAnsi="宋体" w:cs="宋体"/>
                <w:color w:val="auto"/>
                <w:kern w:val="0"/>
                <w:highlight w:val="none"/>
              </w:rPr>
              <w:t>拟投入的主要物资计划</w:t>
            </w:r>
            <w:r>
              <w:rPr>
                <w:rFonts w:hint="eastAsia"/>
                <w:color w:val="auto"/>
                <w:highlight w:val="none"/>
              </w:rPr>
              <w:t>；③</w:t>
            </w:r>
            <w:r>
              <w:rPr>
                <w:rFonts w:hint="eastAsia" w:cs="宋体" w:asciiTheme="majorEastAsia" w:hAnsiTheme="majorEastAsia" w:eastAsiaTheme="majorEastAsia"/>
                <w:color w:val="auto"/>
                <w:spacing w:val="-2"/>
                <w:highlight w:val="none"/>
              </w:rPr>
              <w:t>劳动力安排计划</w:t>
            </w:r>
            <w:r>
              <w:rPr>
                <w:rFonts w:hint="eastAsia"/>
                <w:color w:val="auto"/>
                <w:highlight w:val="none"/>
              </w:rPr>
              <w:t>；④</w:t>
            </w:r>
            <w:r>
              <w:rPr>
                <w:rFonts w:hint="eastAsia" w:cs="宋体" w:asciiTheme="majorEastAsia" w:hAnsiTheme="majorEastAsia" w:eastAsiaTheme="majorEastAsia"/>
                <w:color w:val="auto"/>
                <w:spacing w:val="-1"/>
                <w:highlight w:val="none"/>
              </w:rPr>
              <w:t>确保工程质量的技术组</w:t>
            </w:r>
            <w:r>
              <w:rPr>
                <w:rFonts w:hint="eastAsia" w:cs="宋体" w:asciiTheme="majorEastAsia" w:hAnsiTheme="majorEastAsia" w:eastAsiaTheme="majorEastAsia"/>
                <w:color w:val="auto"/>
                <w:spacing w:val="15"/>
                <w:highlight w:val="none"/>
              </w:rPr>
              <w:t>织</w:t>
            </w:r>
            <w:r>
              <w:rPr>
                <w:rFonts w:hint="eastAsia" w:cs="宋体" w:asciiTheme="majorEastAsia" w:hAnsiTheme="majorEastAsia" w:eastAsiaTheme="majorEastAsia"/>
                <w:color w:val="auto"/>
                <w:spacing w:val="14"/>
                <w:highlight w:val="none"/>
              </w:rPr>
              <w:t>措施</w:t>
            </w:r>
            <w:r>
              <w:rPr>
                <w:rFonts w:hint="eastAsia"/>
                <w:color w:val="auto"/>
                <w:highlight w:val="none"/>
              </w:rPr>
              <w:t>；⑤</w:t>
            </w:r>
            <w:r>
              <w:rPr>
                <w:rFonts w:hint="eastAsia" w:cs="宋体" w:asciiTheme="majorEastAsia" w:hAnsiTheme="majorEastAsia" w:eastAsiaTheme="majorEastAsia"/>
                <w:color w:val="auto"/>
                <w:spacing w:val="-1"/>
                <w:highlight w:val="none"/>
              </w:rPr>
              <w:t>确保安全生产的技术组</w:t>
            </w:r>
            <w:r>
              <w:rPr>
                <w:rFonts w:hint="eastAsia" w:cs="宋体" w:asciiTheme="majorEastAsia" w:hAnsiTheme="majorEastAsia" w:eastAsiaTheme="majorEastAsia"/>
                <w:color w:val="auto"/>
                <w:spacing w:val="15"/>
                <w:highlight w:val="none"/>
              </w:rPr>
              <w:t>织</w:t>
            </w:r>
            <w:r>
              <w:rPr>
                <w:rFonts w:hint="eastAsia" w:cs="宋体" w:asciiTheme="majorEastAsia" w:hAnsiTheme="majorEastAsia" w:eastAsiaTheme="majorEastAsia"/>
                <w:color w:val="auto"/>
                <w:spacing w:val="14"/>
                <w:highlight w:val="none"/>
              </w:rPr>
              <w:t>措施</w:t>
            </w:r>
            <w:r>
              <w:rPr>
                <w:rFonts w:hint="eastAsia"/>
                <w:color w:val="auto"/>
                <w:highlight w:val="none"/>
              </w:rPr>
              <w:t>；⑥</w:t>
            </w:r>
            <w:r>
              <w:rPr>
                <w:rFonts w:hint="eastAsia" w:cs="宋体" w:asciiTheme="majorEastAsia" w:hAnsiTheme="majorEastAsia" w:eastAsiaTheme="majorEastAsia"/>
                <w:color w:val="auto"/>
                <w:spacing w:val="-1"/>
                <w:highlight w:val="none"/>
              </w:rPr>
              <w:t>确保工期的技术组织</w:t>
            </w:r>
            <w:r>
              <w:rPr>
                <w:rFonts w:hint="eastAsia" w:cs="宋体" w:asciiTheme="majorEastAsia" w:hAnsiTheme="majorEastAsia" w:eastAsiaTheme="majorEastAsia"/>
                <w:color w:val="auto"/>
                <w:highlight w:val="none"/>
              </w:rPr>
              <w:t>措</w:t>
            </w:r>
            <w:r>
              <w:rPr>
                <w:rFonts w:hint="eastAsia" w:cs="宋体" w:asciiTheme="majorEastAsia" w:hAnsiTheme="majorEastAsia" w:eastAsiaTheme="majorEastAsia"/>
                <w:color w:val="auto"/>
                <w:spacing w:val="7"/>
                <w:highlight w:val="none"/>
              </w:rPr>
              <w:t>施</w:t>
            </w:r>
            <w:r>
              <w:rPr>
                <w:rFonts w:hint="eastAsia"/>
                <w:color w:val="auto"/>
                <w:highlight w:val="none"/>
              </w:rPr>
              <w:t>；⑦</w:t>
            </w:r>
            <w:r>
              <w:rPr>
                <w:rFonts w:hint="eastAsia" w:cs="宋体" w:asciiTheme="minorEastAsia" w:hAnsiTheme="minorEastAsia" w:eastAsiaTheme="minorEastAsia"/>
                <w:bCs/>
                <w:color w:val="auto"/>
                <w:szCs w:val="21"/>
                <w:highlight w:val="none"/>
              </w:rPr>
              <w:t>关键施工技术、工艺及工程实施的重点、难点和解决方案</w:t>
            </w:r>
            <w:r>
              <w:rPr>
                <w:rFonts w:hint="eastAsia" w:ascii="宋体" w:hAnsi="宋体" w:cs="宋体"/>
                <w:color w:val="auto"/>
                <w:szCs w:val="21"/>
                <w:highlight w:val="none"/>
              </w:rPr>
              <w:t>）（格式自拟）；</w:t>
            </w:r>
          </w:p>
          <w:p w14:paraId="5890D0E1">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9.</w:t>
            </w:r>
            <w:r>
              <w:rPr>
                <w:rFonts w:hint="eastAsia" w:cs="Courier New" w:asciiTheme="majorEastAsia" w:hAnsiTheme="majorEastAsia" w:eastAsiaTheme="majorEastAsia"/>
                <w:bCs/>
                <w:color w:val="auto"/>
                <w:szCs w:val="21"/>
                <w:highlight w:val="none"/>
              </w:rPr>
              <w:t>工程保修服务保障承诺函</w:t>
            </w:r>
            <w:r>
              <w:rPr>
                <w:rFonts w:hint="eastAsia" w:ascii="宋体" w:hAnsi="宋体" w:cs="宋体"/>
                <w:color w:val="auto"/>
                <w:szCs w:val="21"/>
                <w:highlight w:val="none"/>
              </w:rPr>
              <w:t>（格式后附）；</w:t>
            </w:r>
          </w:p>
          <w:p w14:paraId="2C6DB0D8">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承接本项目</w:t>
            </w:r>
            <w:r>
              <w:rPr>
                <w:rFonts w:hint="eastAsia" w:ascii="宋体" w:hAnsi="宋体" w:cs="宋体"/>
                <w:color w:val="auto"/>
                <w:szCs w:val="21"/>
                <w:highlight w:val="none"/>
                <w:lang w:eastAsia="zh-CN"/>
              </w:rPr>
              <w:t>工程</w:t>
            </w:r>
            <w:r>
              <w:rPr>
                <w:rFonts w:hint="eastAsia" w:ascii="宋体" w:hAnsi="宋体" w:cs="宋体"/>
                <w:color w:val="auto"/>
                <w:szCs w:val="21"/>
                <w:highlight w:val="none"/>
              </w:rPr>
              <w:t>的供应商为符合政策要求的中小企业的，提供《中小企业声明函》（如有，请提供）；</w:t>
            </w:r>
          </w:p>
          <w:p w14:paraId="7EE7FCFD">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供应商属于监狱企业的，提供由省级以上监狱管理局、戒毒管理局(含新疆生产建设兵团)出具的属于监狱企业的证明文件（如有，请提供）；</w:t>
            </w:r>
          </w:p>
          <w:p w14:paraId="40E8A48D">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符合条件的残疾人福利性单位在参加政府采购活动时，提供《残疾人福利性单位声明函》，并对声明的真实性负责（如有，请提供）；</w:t>
            </w:r>
          </w:p>
          <w:p w14:paraId="46AA24B9">
            <w:pPr>
              <w:keepNext w:val="0"/>
              <w:keepLines w:val="0"/>
              <w:suppressLineNumbers w:val="0"/>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供应商认为需要提供的其他有关资料。</w:t>
            </w:r>
          </w:p>
          <w:p w14:paraId="084FB702">
            <w:pPr>
              <w:keepNext w:val="0"/>
              <w:keepLines w:val="0"/>
              <w:suppressLineNumbers w:val="0"/>
              <w:spacing w:before="0" w:beforeAutospacing="0" w:after="0" w:afterAutospacing="0" w:line="360" w:lineRule="auto"/>
              <w:ind w:left="0" w:right="0"/>
              <w:rPr>
                <w:rFonts w:hint="default" w:ascii="宋体" w:hAnsi="宋体" w:cs="宋体"/>
                <w:b/>
                <w:color w:val="auto"/>
                <w:szCs w:val="21"/>
                <w:highlight w:val="none"/>
              </w:rPr>
            </w:pPr>
            <w:r>
              <w:rPr>
                <w:rFonts w:hint="eastAsia" w:ascii="宋体" w:hAnsi="宋体" w:cs="宋体"/>
                <w:b/>
                <w:color w:val="auto"/>
                <w:szCs w:val="21"/>
                <w:highlight w:val="none"/>
              </w:rPr>
              <w:t>注：以上标明“必须提供”的材料，必须加盖供应商</w:t>
            </w:r>
            <w:r>
              <w:rPr>
                <w:rFonts w:hint="eastAsia"/>
                <w:b/>
                <w:color w:val="auto"/>
                <w:highlight w:val="none"/>
              </w:rPr>
              <w:t>电子签章</w:t>
            </w:r>
            <w:r>
              <w:rPr>
                <w:rFonts w:hint="eastAsia" w:ascii="宋体" w:hAnsi="宋体" w:cs="宋体"/>
                <w:b/>
                <w:color w:val="auto"/>
                <w:szCs w:val="21"/>
                <w:highlight w:val="none"/>
              </w:rPr>
              <w:t>，</w:t>
            </w:r>
            <w:r>
              <w:rPr>
                <w:rFonts w:hint="eastAsia" w:ascii="宋体" w:hAnsi="宋体" w:cs="Courier New"/>
                <w:b/>
                <w:color w:val="auto"/>
                <w:szCs w:val="21"/>
                <w:highlight w:val="none"/>
              </w:rPr>
              <w:t>必须提供的材料在第六章“响应文件格式”中有要求法定代表人或委托代理人签字（或者电子签名）的，必须由法定代表人或委托代理人签字</w:t>
            </w:r>
            <w:r>
              <w:rPr>
                <w:rFonts w:hint="eastAsia" w:ascii="宋体" w:hAnsi="宋体"/>
                <w:b/>
                <w:bCs/>
                <w:color w:val="auto"/>
                <w:szCs w:val="21"/>
                <w:highlight w:val="none"/>
              </w:rPr>
              <w:t>（或者电子签名），</w:t>
            </w:r>
            <w:r>
              <w:rPr>
                <w:rFonts w:hint="eastAsia" w:ascii="宋体" w:hAnsi="宋体" w:cs="宋体"/>
                <w:b/>
                <w:color w:val="auto"/>
                <w:szCs w:val="21"/>
                <w:highlight w:val="none"/>
              </w:rPr>
              <w:t>否则响应文件按无效处理。</w:t>
            </w:r>
          </w:p>
        </w:tc>
      </w:tr>
      <w:tr w14:paraId="00EA7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93CAC02">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15.2</w:t>
            </w:r>
          </w:p>
        </w:tc>
        <w:tc>
          <w:tcPr>
            <w:tcW w:w="7912" w:type="dxa"/>
            <w:vAlign w:val="center"/>
          </w:tcPr>
          <w:p w14:paraId="379F9A2D">
            <w:pPr>
              <w:keepNext w:val="0"/>
              <w:keepLines w:val="0"/>
              <w:suppressLineNumbers w:val="0"/>
              <w:spacing w:before="0" w:beforeAutospacing="0" w:after="0" w:afterAutospacing="0" w:line="360" w:lineRule="auto"/>
              <w:ind w:left="0" w:right="0"/>
              <w:contextualSpacing/>
              <w:jc w:val="left"/>
              <w:rPr>
                <w:rFonts w:hint="default" w:ascii="宋体" w:hAnsi="宋体" w:cs="宋体"/>
                <w:color w:val="auto"/>
                <w:szCs w:val="21"/>
                <w:highlight w:val="none"/>
              </w:rPr>
            </w:pPr>
            <w:r>
              <w:rPr>
                <w:rFonts w:hint="eastAsia" w:ascii="宋体" w:hAnsi="宋体"/>
                <w:color w:val="auto"/>
                <w:szCs w:val="21"/>
                <w:highlight w:val="none"/>
              </w:rPr>
              <w:t>竞标报价包括</w:t>
            </w:r>
            <w:r>
              <w:rPr>
                <w:rFonts w:hint="eastAsia" w:ascii="宋体" w:hAnsi="宋体" w:cs="宋体"/>
                <w:color w:val="auto"/>
                <w:szCs w:val="21"/>
                <w:highlight w:val="none"/>
              </w:rPr>
              <w:t>为实施和完成合同工程所需的劳务、材料、机械、质检（自检）、安装、缺陷修复、管理、验收、通电、保险、税费、利润等费用，以及合同明示或暗示的所有责任、义务和一般风险。</w:t>
            </w:r>
            <w:r>
              <w:rPr>
                <w:rFonts w:hint="eastAsia" w:ascii="宋体" w:hAnsi="宋体"/>
                <w:b/>
                <w:color w:val="auto"/>
                <w:szCs w:val="21"/>
                <w:highlight w:val="none"/>
              </w:rPr>
              <w:t>（采购需求另有约定的，从其约定。）</w:t>
            </w:r>
          </w:p>
        </w:tc>
      </w:tr>
      <w:tr w14:paraId="10523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D90E9F8">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15.3</w:t>
            </w:r>
          </w:p>
        </w:tc>
        <w:tc>
          <w:tcPr>
            <w:tcW w:w="7912" w:type="dxa"/>
            <w:vAlign w:val="center"/>
          </w:tcPr>
          <w:p w14:paraId="7B6C99B8">
            <w:pPr>
              <w:keepNext w:val="0"/>
              <w:keepLines w:val="0"/>
              <w:suppressLineNumbers w:val="0"/>
              <w:spacing w:before="0" w:beforeAutospacing="0" w:after="0" w:afterAutospacing="0" w:line="360" w:lineRule="auto"/>
              <w:ind w:left="0" w:right="0"/>
              <w:contextualSpacing/>
              <w:jc w:val="left"/>
              <w:rPr>
                <w:rFonts w:hint="default" w:ascii="宋体" w:hAnsi="宋体"/>
                <w:color w:val="auto"/>
                <w:szCs w:val="21"/>
                <w:highlight w:val="none"/>
              </w:rPr>
            </w:pPr>
            <w:r>
              <w:rPr>
                <w:rFonts w:hint="eastAsia" w:cs="宋体"/>
                <w:color w:val="auto"/>
                <w:highlight w:val="none"/>
              </w:rPr>
              <w:t>本工程增值税计税方法：一般计税法。</w:t>
            </w:r>
          </w:p>
        </w:tc>
      </w:tr>
      <w:tr w14:paraId="50738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C1077EF">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16.</w:t>
            </w:r>
            <w:r>
              <w:rPr>
                <w:rFonts w:hint="default" w:ascii="宋体" w:hAnsi="宋体" w:cs="宋体"/>
                <w:color w:val="auto"/>
                <w:szCs w:val="21"/>
                <w:highlight w:val="none"/>
              </w:rPr>
              <w:t>2</w:t>
            </w:r>
          </w:p>
        </w:tc>
        <w:tc>
          <w:tcPr>
            <w:tcW w:w="7912" w:type="dxa"/>
            <w:vAlign w:val="center"/>
          </w:tcPr>
          <w:p w14:paraId="5ED5F060">
            <w:pPr>
              <w:pStyle w:val="14"/>
              <w:keepNext w:val="0"/>
              <w:keepLines w:val="0"/>
              <w:widowControl w:val="0"/>
              <w:suppressLineNumbers w:val="0"/>
              <w:tabs>
                <w:tab w:val="clear" w:pos="454"/>
              </w:tabs>
              <w:snapToGrid w:val="0"/>
              <w:spacing w:before="0" w:beforeAutospacing="0" w:after="0" w:afterLines="0" w:afterAutospacing="0" w:line="360" w:lineRule="auto"/>
              <w:ind w:left="283" w:right="0" w:hanging="283" w:hangingChars="135"/>
              <w:rPr>
                <w:rFonts w:hint="default"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rPr>
              <w:t>90</w:t>
            </w:r>
            <w:r>
              <w:rPr>
                <w:rFonts w:hint="eastAsia" w:ascii="宋体" w:hAnsi="宋体" w:cs="宋体"/>
                <w:color w:val="auto"/>
                <w:kern w:val="2"/>
                <w:sz w:val="21"/>
                <w:szCs w:val="21"/>
                <w:highlight w:val="none"/>
              </w:rPr>
              <w:t>日。</w:t>
            </w:r>
          </w:p>
        </w:tc>
      </w:tr>
      <w:tr w14:paraId="11E1E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B7F87B6">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17.1</w:t>
            </w:r>
          </w:p>
        </w:tc>
        <w:tc>
          <w:tcPr>
            <w:tcW w:w="7912" w:type="dxa"/>
            <w:vAlign w:val="center"/>
          </w:tcPr>
          <w:p w14:paraId="668654EA">
            <w:pPr>
              <w:keepNext w:val="0"/>
              <w:keepLines w:val="0"/>
              <w:suppressLineNumbers w:val="0"/>
              <w:autoSpaceDE w:val="0"/>
              <w:autoSpaceDN w:val="0"/>
              <w:snapToGrid w:val="0"/>
              <w:spacing w:before="0" w:beforeAutospacing="0" w:after="0" w:afterAutospacing="0" w:line="360" w:lineRule="auto"/>
              <w:ind w:left="0" w:right="0"/>
              <w:textAlignment w:val="bottom"/>
              <w:rPr>
                <w:rFonts w:hint="default" w:ascii="宋体" w:hAnsi="宋体"/>
                <w:color w:val="auto"/>
                <w:szCs w:val="21"/>
                <w:highlight w:val="none"/>
              </w:rPr>
            </w:pPr>
            <w:r>
              <w:rPr>
                <w:rFonts w:hint="eastAsia" w:ascii="宋体" w:hAnsi="宋体"/>
                <w:color w:val="auto"/>
                <w:szCs w:val="21"/>
                <w:highlight w:val="none"/>
              </w:rPr>
              <w:t>☑本项目不收取磋商保证金。</w:t>
            </w:r>
          </w:p>
          <w:p w14:paraId="4A748254">
            <w:pPr>
              <w:keepNext w:val="0"/>
              <w:keepLines w:val="0"/>
              <w:suppressLineNumbers w:val="0"/>
              <w:snapToGrid w:val="0"/>
              <w:spacing w:before="0" w:beforeAutospacing="0" w:after="0" w:afterAutospacing="0" w:line="360" w:lineRule="auto"/>
              <w:ind w:left="0" w:right="0"/>
              <w:rPr>
                <w:rFonts w:hint="default" w:ascii="宋体" w:hAnsi="宋体"/>
                <w:color w:val="auto"/>
                <w:szCs w:val="21"/>
                <w:highlight w:val="none"/>
              </w:rPr>
            </w:pPr>
            <w:r>
              <w:rPr>
                <w:rFonts w:hint="default"/>
                <w:color w:val="auto"/>
                <w:highlight w:val="none"/>
              </w:rPr>
              <w:sym w:font="Wingdings" w:char="00A8"/>
            </w:r>
            <w:r>
              <w:rPr>
                <w:rFonts w:hint="eastAsia" w:ascii="宋体" w:hAnsi="宋体"/>
                <w:color w:val="auto"/>
                <w:szCs w:val="21"/>
                <w:highlight w:val="none"/>
              </w:rPr>
              <w:t>本项目收取磋商保证金，具体规定如下：</w:t>
            </w:r>
          </w:p>
          <w:p w14:paraId="72B8AAE0">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Cs w:val="21"/>
                <w:highlight w:val="none"/>
              </w:rPr>
            </w:pPr>
            <w:r>
              <w:rPr>
                <w:rFonts w:hint="eastAsia" w:ascii="宋体" w:hAnsi="宋体" w:cs="宋体"/>
                <w:color w:val="auto"/>
                <w:kern w:val="0"/>
                <w:szCs w:val="21"/>
                <w:highlight w:val="none"/>
              </w:rPr>
              <w:t>磋商保证金人民币</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14:paraId="318055D4">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Cs w:val="21"/>
                <w:highlight w:val="none"/>
              </w:rPr>
            </w:pPr>
            <w:r>
              <w:rPr>
                <w:rFonts w:hint="eastAsia" w:ascii="宋体" w:hAnsi="宋体" w:cs="宋体"/>
                <w:color w:val="auto"/>
                <w:kern w:val="0"/>
                <w:szCs w:val="21"/>
                <w:highlight w:val="none"/>
              </w:rPr>
              <w:t>磋商保证金的交纳方式：银行转账、支票、汇票、本票或者金融、担保机构出具的保函（包含电子保函），禁止采用现钞方式。采用银行转账方式的，在响应文件提交截止时间前交至指定账户并且到账</w:t>
            </w:r>
            <w:r>
              <w:rPr>
                <w:rFonts w:hint="eastAsia" w:ascii="宋体" w:hAnsi="宋体" w:cs="宋体"/>
                <w:b/>
                <w:color w:val="auto"/>
                <w:kern w:val="0"/>
                <w:szCs w:val="21"/>
                <w:highlight w:val="none"/>
              </w:rPr>
              <w:t>（开户名称：</w:t>
            </w:r>
            <w:r>
              <w:rPr>
                <w:rFonts w:hint="eastAsia" w:ascii="宋体" w:hAnsi="宋体" w:cs="宋体"/>
                <w:b/>
                <w:color w:val="auto"/>
                <w:highlight w:val="none"/>
                <w:u w:val="single"/>
              </w:rPr>
              <w:t xml:space="preserve">  /  </w:t>
            </w:r>
            <w:r>
              <w:rPr>
                <w:rFonts w:hint="eastAsia" w:ascii="宋体" w:hAnsi="宋体" w:cs="宋体"/>
                <w:b/>
                <w:color w:val="auto"/>
                <w:kern w:val="0"/>
                <w:szCs w:val="21"/>
                <w:highlight w:val="none"/>
              </w:rPr>
              <w:t>；开户银行：</w:t>
            </w:r>
            <w:r>
              <w:rPr>
                <w:rFonts w:hint="eastAsia" w:ascii="宋体" w:hAnsi="宋体" w:cs="宋体"/>
                <w:b/>
                <w:color w:val="auto"/>
                <w:highlight w:val="none"/>
                <w:u w:val="single"/>
              </w:rPr>
              <w:t xml:space="preserve">  /  </w:t>
            </w:r>
            <w:r>
              <w:rPr>
                <w:rFonts w:hint="eastAsia" w:ascii="宋体" w:hAnsi="宋体" w:cs="宋体"/>
                <w:b/>
                <w:color w:val="auto"/>
                <w:kern w:val="0"/>
                <w:szCs w:val="21"/>
                <w:highlight w:val="none"/>
              </w:rPr>
              <w:t>；银行账号：</w:t>
            </w:r>
            <w:r>
              <w:rPr>
                <w:rFonts w:hint="eastAsia" w:ascii="宋体" w:hAnsi="宋体" w:cs="宋体"/>
                <w:b/>
                <w:color w:val="auto"/>
                <w:highlight w:val="none"/>
                <w:u w:val="single"/>
              </w:rPr>
              <w:t xml:space="preserve">  /  </w:t>
            </w:r>
            <w:r>
              <w:rPr>
                <w:rFonts w:hint="eastAsia" w:ascii="宋体" w:hAnsi="宋体" w:cs="宋体"/>
                <w:b/>
                <w:color w:val="auto"/>
                <w:kern w:val="0"/>
                <w:szCs w:val="21"/>
                <w:highlight w:val="none"/>
              </w:rPr>
              <w:t>）</w:t>
            </w:r>
            <w:r>
              <w:rPr>
                <w:rFonts w:hint="eastAsia" w:ascii="宋体" w:hAnsi="宋体" w:cs="宋体"/>
                <w:color w:val="auto"/>
                <w:kern w:val="0"/>
                <w:szCs w:val="21"/>
                <w:highlight w:val="none"/>
              </w:rPr>
              <w:t>；采用支票、汇票、本票或者保函等方式的，在响应文件提交截止时间前，供应商必须提交单独密封的支票、汇票、本票或者保函原件。</w:t>
            </w:r>
            <w:r>
              <w:rPr>
                <w:rFonts w:hint="eastAsia" w:ascii="宋体" w:hAnsi="宋体" w:cs="宋体"/>
                <w:b/>
                <w:color w:val="auto"/>
                <w:kern w:val="0"/>
                <w:szCs w:val="21"/>
                <w:highlight w:val="none"/>
              </w:rPr>
              <w:t>否则视为无效磋商保证金。</w:t>
            </w:r>
          </w:p>
          <w:p w14:paraId="236962A2">
            <w:pPr>
              <w:keepNext w:val="0"/>
              <w:keepLines w:val="0"/>
              <w:suppressLineNumbers w:val="0"/>
              <w:snapToGrid w:val="0"/>
              <w:spacing w:before="0" w:beforeAutospacing="0" w:after="0" w:afterAutospacing="0" w:line="360" w:lineRule="auto"/>
              <w:ind w:left="0" w:right="0"/>
              <w:rPr>
                <w:rFonts w:hint="default" w:ascii="宋体" w:hAnsi="宋体" w:cs="宋体"/>
                <w:b/>
                <w:color w:val="auto"/>
                <w:szCs w:val="21"/>
                <w:highlight w:val="none"/>
              </w:rPr>
            </w:pPr>
            <w:r>
              <w:rPr>
                <w:rFonts w:hint="eastAsia" w:ascii="宋体" w:hAnsi="宋体" w:cs="宋体"/>
                <w:b/>
                <w:color w:val="auto"/>
                <w:szCs w:val="21"/>
                <w:highlight w:val="none"/>
              </w:rPr>
              <w:t>相关要求：</w:t>
            </w:r>
          </w:p>
          <w:p w14:paraId="1CF9B8AC">
            <w:pPr>
              <w:keepNext w:val="0"/>
              <w:keepLines w:val="0"/>
              <w:suppressLineNumbers w:val="0"/>
              <w:snapToGrid w:val="0"/>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1.磋商保证金采用银行转账交纳方式的，在响应文件提交截止时间前交至指定账户并且到账，供应商应将银行转账底单的复印件作为磋商保证金提交凭证，放置于商务技术文件中，</w:t>
            </w:r>
            <w:r>
              <w:rPr>
                <w:rFonts w:hint="eastAsia" w:ascii="宋体" w:hAnsi="宋体" w:cs="宋体"/>
                <w:b/>
                <w:color w:val="auto"/>
                <w:szCs w:val="21"/>
                <w:highlight w:val="none"/>
              </w:rPr>
              <w:t>否则响应文件按无效处理</w:t>
            </w:r>
            <w:r>
              <w:rPr>
                <w:rFonts w:hint="eastAsia" w:ascii="宋体" w:hAnsi="宋体" w:cs="宋体"/>
                <w:color w:val="auto"/>
                <w:szCs w:val="21"/>
                <w:highlight w:val="none"/>
              </w:rPr>
              <w:t>。</w:t>
            </w:r>
          </w:p>
          <w:p w14:paraId="332E4D77">
            <w:pPr>
              <w:keepNext w:val="0"/>
              <w:keepLines w:val="0"/>
              <w:suppressLineNumbers w:val="0"/>
              <w:snapToGrid w:val="0"/>
              <w:spacing w:before="0" w:beforeAutospacing="0" w:after="0" w:afterAutospacing="0" w:line="360" w:lineRule="auto"/>
              <w:ind w:left="0" w:right="0"/>
              <w:rPr>
                <w:rFonts w:hint="default" w:ascii="宋体" w:hAnsi="宋体"/>
                <w:color w:val="auto"/>
                <w:szCs w:val="21"/>
                <w:highlight w:val="none"/>
              </w:rPr>
            </w:pPr>
            <w:r>
              <w:rPr>
                <w:rFonts w:hint="eastAsia" w:ascii="宋体" w:hAnsi="宋体"/>
                <w:color w:val="auto"/>
                <w:szCs w:val="21"/>
                <w:highlight w:val="none"/>
              </w:rPr>
              <w:t>2.磋商保证金采用支票、汇票、本票或者金融、担保机构出具的保函（包含电子保函）交纳方式的，供应商应将支票、汇票、本票或者金融、担保机构出具的保函的复印件作为磋商保证金提交凭证，放置于</w:t>
            </w:r>
            <w:r>
              <w:rPr>
                <w:rFonts w:hint="eastAsia" w:ascii="宋体" w:hAnsi="宋体" w:cs="宋体"/>
                <w:color w:val="auto"/>
                <w:szCs w:val="21"/>
                <w:highlight w:val="none"/>
              </w:rPr>
              <w:t>商务技术文件</w:t>
            </w:r>
            <w:r>
              <w:rPr>
                <w:rFonts w:hint="eastAsia" w:ascii="宋体" w:hAnsi="宋体"/>
                <w:color w:val="auto"/>
                <w:szCs w:val="21"/>
                <w:highlight w:val="none"/>
              </w:rPr>
              <w:t>中，</w:t>
            </w:r>
            <w:r>
              <w:rPr>
                <w:rFonts w:hint="eastAsia" w:ascii="宋体" w:hAnsi="宋体" w:cs="宋体"/>
                <w:b/>
                <w:color w:val="auto"/>
                <w:szCs w:val="21"/>
                <w:highlight w:val="none"/>
              </w:rPr>
              <w:t>否则响应文件按无效处理</w:t>
            </w:r>
            <w:r>
              <w:rPr>
                <w:rFonts w:hint="eastAsia" w:ascii="宋体" w:hAnsi="宋体"/>
                <w:color w:val="auto"/>
                <w:szCs w:val="21"/>
                <w:highlight w:val="none"/>
              </w:rPr>
              <w:t>。供应商必须</w:t>
            </w:r>
            <w:r>
              <w:rPr>
                <w:rFonts w:hint="eastAsia"/>
                <w:color w:val="auto"/>
                <w:highlight w:val="none"/>
              </w:rPr>
              <w:t>在响应文件提交截止时间前采用现场或邮寄方式【现场提交地址：</w:t>
            </w:r>
            <w:r>
              <w:rPr>
                <w:rFonts w:hint="eastAsia"/>
                <w:color w:val="auto"/>
                <w:highlight w:val="none"/>
                <w:u w:val="single"/>
              </w:rPr>
              <w:t xml:space="preserve">  /  </w:t>
            </w:r>
            <w:r>
              <w:rPr>
                <w:rFonts w:hint="eastAsia"/>
                <w:color w:val="auto"/>
                <w:highlight w:val="none"/>
              </w:rPr>
              <w:t>；邮寄地址：</w:t>
            </w:r>
            <w:r>
              <w:rPr>
                <w:rFonts w:hint="eastAsia"/>
                <w:color w:val="auto"/>
                <w:highlight w:val="none"/>
                <w:u w:val="single"/>
              </w:rPr>
              <w:t xml:space="preserve">  /  </w:t>
            </w:r>
            <w:r>
              <w:rPr>
                <w:rFonts w:hint="eastAsia"/>
                <w:color w:val="auto"/>
                <w:highlight w:val="none"/>
              </w:rPr>
              <w:t>，收件人：</w:t>
            </w:r>
            <w:r>
              <w:rPr>
                <w:rFonts w:hint="eastAsia"/>
                <w:color w:val="auto"/>
                <w:highlight w:val="none"/>
                <w:u w:val="single"/>
              </w:rPr>
              <w:t xml:space="preserve">  /  </w:t>
            </w:r>
            <w:r>
              <w:rPr>
                <w:rFonts w:hint="eastAsia"/>
                <w:color w:val="auto"/>
                <w:highlight w:val="none"/>
              </w:rPr>
              <w:t>，联系方式</w:t>
            </w:r>
            <w:r>
              <w:rPr>
                <w:rFonts w:hint="eastAsia" w:asciiTheme="minorEastAsia" w:hAnsiTheme="minorEastAsia" w:eastAsiaTheme="minorEastAsia"/>
                <w:color w:val="auto"/>
                <w:highlight w:val="none"/>
              </w:rPr>
              <w:t>：</w:t>
            </w:r>
            <w:r>
              <w:rPr>
                <w:rFonts w:hint="eastAsia"/>
                <w:color w:val="auto"/>
                <w:highlight w:val="none"/>
                <w:u w:val="single"/>
              </w:rPr>
              <w:t xml:space="preserve">  /  </w:t>
            </w:r>
            <w:r>
              <w:rPr>
                <w:rFonts w:hint="eastAsia" w:asciiTheme="minorEastAsia" w:hAnsiTheme="minorEastAsia" w:eastAsiaTheme="minorEastAsia"/>
                <w:color w:val="auto"/>
                <w:highlight w:val="none"/>
              </w:rPr>
              <w:t>）</w:t>
            </w:r>
            <w:r>
              <w:rPr>
                <w:rFonts w:hint="eastAsia"/>
                <w:color w:val="auto"/>
                <w:highlight w:val="none"/>
              </w:rPr>
              <w:t>】</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支票、汇票、本票或者金融、担保机构出具的保函原件提交给采购人或者采购代理机构，由采购人或者采购代理机构向供应商出具回执（邮寄方式的除外），并妥善保管。</w:t>
            </w:r>
          </w:p>
          <w:p w14:paraId="125EA3CD">
            <w:pPr>
              <w:keepNext w:val="0"/>
              <w:keepLines w:val="0"/>
              <w:suppressLineNumbers w:val="0"/>
              <w:snapToGrid w:val="0"/>
              <w:spacing w:before="0" w:beforeAutospacing="0" w:after="0" w:afterAutospacing="0" w:line="360" w:lineRule="auto"/>
              <w:ind w:left="0" w:right="0"/>
              <w:rPr>
                <w:rFonts w:hint="default" w:ascii="宋体" w:hAnsi="宋体" w:cs="宋体"/>
                <w:b/>
                <w:color w:val="auto"/>
                <w:szCs w:val="21"/>
                <w:highlight w:val="none"/>
              </w:rPr>
            </w:pPr>
            <w:r>
              <w:rPr>
                <w:rFonts w:hint="eastAsia" w:ascii="宋体" w:hAnsi="宋体" w:cs="宋体"/>
                <w:b/>
                <w:color w:val="auto"/>
                <w:szCs w:val="21"/>
                <w:highlight w:val="none"/>
              </w:rPr>
              <w:t xml:space="preserve">备注： </w:t>
            </w:r>
          </w:p>
          <w:p w14:paraId="53BEB395">
            <w:pPr>
              <w:keepNext w:val="0"/>
              <w:keepLines w:val="0"/>
              <w:suppressLineNumbers w:val="0"/>
              <w:snapToGrid w:val="0"/>
              <w:spacing w:before="0" w:beforeAutospacing="0" w:after="0" w:afterAutospacing="0" w:line="360" w:lineRule="auto"/>
              <w:ind w:left="0" w:right="0"/>
              <w:rPr>
                <w:rFonts w:hint="default" w:ascii="宋体" w:hAnsi="宋体" w:cs="宋体"/>
                <w:b/>
                <w:color w:val="auto"/>
                <w:szCs w:val="21"/>
                <w:highlight w:val="none"/>
              </w:rPr>
            </w:pPr>
            <w:r>
              <w:rPr>
                <w:rFonts w:hint="eastAsia" w:ascii="宋体" w:hAnsi="宋体" w:cs="宋体"/>
                <w:b/>
                <w:color w:val="auto"/>
                <w:szCs w:val="21"/>
                <w:highlight w:val="none"/>
              </w:rPr>
              <w:t>①磋商保证金在响应文件提交截止时间后提交的，或者不按规定交纳方式交纳的，或者未足额交纳的（包含保函额度不足的），视为无效磋商保证金。</w:t>
            </w:r>
          </w:p>
          <w:p w14:paraId="55FC393D">
            <w:pPr>
              <w:keepNext w:val="0"/>
              <w:keepLines w:val="0"/>
              <w:suppressLineNumbers w:val="0"/>
              <w:snapToGrid w:val="0"/>
              <w:spacing w:before="0" w:beforeAutospacing="0" w:after="0" w:afterAutospacing="0" w:line="360" w:lineRule="auto"/>
              <w:ind w:left="0" w:right="0"/>
              <w:rPr>
                <w:rFonts w:hint="default" w:ascii="宋体" w:hAnsi="宋体" w:cs="宋体"/>
                <w:b/>
                <w:color w:val="auto"/>
                <w:szCs w:val="21"/>
                <w:highlight w:val="none"/>
              </w:rPr>
            </w:pPr>
            <w:r>
              <w:rPr>
                <w:rFonts w:hint="eastAsia" w:ascii="宋体" w:hAnsi="宋体" w:cs="宋体"/>
                <w:b/>
                <w:color w:val="auto"/>
                <w:szCs w:val="21"/>
                <w:highlight w:val="none"/>
              </w:rPr>
              <w:t>②供应商采用现钞方式或者从个人账户转出的磋商保证金，视为无效磋商保证金。</w:t>
            </w:r>
          </w:p>
          <w:p w14:paraId="482CB865">
            <w:pPr>
              <w:keepNext w:val="0"/>
              <w:keepLines w:val="0"/>
              <w:suppressLineNumbers w:val="0"/>
              <w:snapToGrid w:val="0"/>
              <w:spacing w:before="0" w:beforeAutospacing="0" w:after="0" w:afterAutospacing="0" w:line="360" w:lineRule="auto"/>
              <w:ind w:left="0" w:right="0"/>
              <w:rPr>
                <w:rFonts w:hint="default" w:ascii="宋体" w:hAnsi="宋体" w:cs="宋体"/>
                <w:b/>
                <w:color w:val="auto"/>
                <w:szCs w:val="21"/>
                <w:highlight w:val="none"/>
              </w:rPr>
            </w:pPr>
            <w:r>
              <w:rPr>
                <w:rFonts w:hint="eastAsia" w:ascii="宋体" w:hAnsi="宋体" w:cs="宋体"/>
                <w:b/>
                <w:color w:val="auto"/>
                <w:szCs w:val="21"/>
                <w:highlight w:val="none"/>
              </w:rPr>
              <w:t>③支票、汇票或者本票出现无效或者背书情形的，视为无效磋商保证金。</w:t>
            </w:r>
          </w:p>
          <w:p w14:paraId="76AACF5B">
            <w:pPr>
              <w:keepNext w:val="0"/>
              <w:keepLines w:val="0"/>
              <w:suppressLineNumbers w:val="0"/>
              <w:snapToGrid w:val="0"/>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b/>
                <w:color w:val="auto"/>
                <w:szCs w:val="21"/>
                <w:highlight w:val="none"/>
              </w:rPr>
              <w:t>④保函有效期低于竞标有效期的，视为无效磋商保证金。</w:t>
            </w:r>
          </w:p>
        </w:tc>
      </w:tr>
      <w:tr w14:paraId="773AE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15B4947">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default" w:ascii="宋体" w:hAnsi="宋体" w:cs="宋体"/>
                <w:color w:val="auto"/>
                <w:szCs w:val="21"/>
                <w:highlight w:val="none"/>
              </w:rPr>
              <w:t>19</w:t>
            </w:r>
          </w:p>
        </w:tc>
        <w:tc>
          <w:tcPr>
            <w:tcW w:w="7912" w:type="dxa"/>
            <w:vAlign w:val="center"/>
          </w:tcPr>
          <w:p w14:paraId="4616E423">
            <w:pPr>
              <w:keepNext w:val="0"/>
              <w:keepLines w:val="0"/>
              <w:suppressLineNumbers w:val="0"/>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tc>
      </w:tr>
      <w:tr w14:paraId="54ACD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9C2DE92">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20.1</w:t>
            </w:r>
          </w:p>
        </w:tc>
        <w:tc>
          <w:tcPr>
            <w:tcW w:w="7912" w:type="dxa"/>
            <w:vAlign w:val="center"/>
          </w:tcPr>
          <w:p w14:paraId="33E15664">
            <w:pPr>
              <w:keepNext w:val="0"/>
              <w:keepLines w:val="0"/>
              <w:suppressLineNumbers w:val="0"/>
              <w:spacing w:before="0" w:beforeAutospacing="0" w:after="0" w:afterAutospacing="0" w:line="360" w:lineRule="auto"/>
              <w:ind w:left="0" w:right="0"/>
              <w:contextualSpacing/>
              <w:jc w:val="left"/>
              <w:rPr>
                <w:rFonts w:hint="default" w:ascii="宋体" w:hAnsi="宋体" w:cs="宋体"/>
                <w:color w:val="auto"/>
                <w:szCs w:val="21"/>
                <w:highlight w:val="none"/>
                <w:u w:val="single"/>
              </w:rPr>
            </w:pPr>
            <w:r>
              <w:rPr>
                <w:rFonts w:hint="eastAsia" w:ascii="宋体" w:hAnsi="宋体" w:cs="宋体"/>
                <w:color w:val="auto"/>
                <w:szCs w:val="21"/>
                <w:highlight w:val="none"/>
              </w:rPr>
              <w:t>响应文件提交截止时间：详见竞争性磋商公告。</w:t>
            </w:r>
          </w:p>
          <w:p w14:paraId="66BBFB84">
            <w:pPr>
              <w:keepNext w:val="0"/>
              <w:keepLines w:val="0"/>
              <w:suppressLineNumbers w:val="0"/>
              <w:spacing w:before="0" w:beforeAutospacing="0" w:after="0" w:afterAutospacing="0" w:line="360" w:lineRule="auto"/>
              <w:ind w:left="0" w:right="0"/>
              <w:contextualSpacing/>
              <w:jc w:val="left"/>
              <w:rPr>
                <w:rFonts w:hint="default" w:ascii="宋体" w:hAnsi="宋体" w:cs="宋体"/>
                <w:color w:val="auto"/>
                <w:szCs w:val="21"/>
                <w:highlight w:val="none"/>
              </w:rPr>
            </w:pPr>
            <w:r>
              <w:rPr>
                <w:rFonts w:hint="eastAsia" w:ascii="宋体" w:hAnsi="宋体" w:cs="宋体"/>
                <w:color w:val="auto"/>
                <w:szCs w:val="21"/>
                <w:highlight w:val="none"/>
              </w:rPr>
              <w:t>响应文件提交地点：详见竞争性磋商公告。</w:t>
            </w:r>
          </w:p>
        </w:tc>
      </w:tr>
      <w:tr w14:paraId="4A294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4FB0B9C">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24.1</w:t>
            </w:r>
          </w:p>
        </w:tc>
        <w:tc>
          <w:tcPr>
            <w:tcW w:w="7912" w:type="dxa"/>
            <w:vAlign w:val="center"/>
          </w:tcPr>
          <w:p w14:paraId="2DF925BB">
            <w:pPr>
              <w:keepNext w:val="0"/>
              <w:keepLines w:val="0"/>
              <w:suppressLineNumbers w:val="0"/>
              <w:snapToGrid w:val="0"/>
              <w:spacing w:before="0" w:beforeAutospacing="0" w:after="0" w:afterAutospacing="0" w:line="360" w:lineRule="auto"/>
              <w:ind w:left="0" w:right="0"/>
              <w:jc w:val="left"/>
              <w:rPr>
                <w:rFonts w:hint="default"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3</w:t>
            </w:r>
            <w:r>
              <w:rPr>
                <w:rFonts w:hint="eastAsia" w:ascii="宋体" w:hAnsi="宋体" w:cs="宋体"/>
                <w:color w:val="auto"/>
                <w:szCs w:val="21"/>
                <w:highlight w:val="none"/>
              </w:rPr>
              <w:t>人。</w:t>
            </w:r>
          </w:p>
        </w:tc>
      </w:tr>
      <w:tr w14:paraId="23E76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D183899">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w:t>
            </w:r>
            <w:r>
              <w:rPr>
                <w:rFonts w:hint="default" w:ascii="宋体" w:hAnsi="宋体" w:cs="宋体"/>
                <w:color w:val="auto"/>
                <w:szCs w:val="21"/>
                <w:highlight w:val="none"/>
              </w:rPr>
              <w:t>5</w:t>
            </w:r>
          </w:p>
        </w:tc>
        <w:tc>
          <w:tcPr>
            <w:tcW w:w="7912" w:type="dxa"/>
            <w:vAlign w:val="center"/>
          </w:tcPr>
          <w:p w14:paraId="153FFDA2">
            <w:pPr>
              <w:keepNext w:val="0"/>
              <w:keepLines w:val="0"/>
              <w:suppressLineNumbers w:val="0"/>
              <w:snapToGrid w:val="0"/>
              <w:spacing w:before="0" w:beforeAutospacing="0" w:after="0" w:afterAutospacing="0" w:line="360"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首次响应文件开启时间详见“竞争性磋商公告”</w:t>
            </w:r>
          </w:p>
          <w:p w14:paraId="52F1DE3B">
            <w:pPr>
              <w:keepNext w:val="0"/>
              <w:keepLines w:val="0"/>
              <w:suppressLineNumbers w:val="0"/>
              <w:snapToGrid w:val="0"/>
              <w:spacing w:before="0" w:beforeAutospacing="0" w:after="0" w:afterAutospacing="0" w:line="360"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首次响应文件解密时间：</w:t>
            </w:r>
            <w:r>
              <w:rPr>
                <w:rFonts w:hint="eastAsia" w:ascii="宋体" w:hAnsi="宋体" w:cs="宋体"/>
                <w:color w:val="auto"/>
                <w:highlight w:val="none"/>
                <w:u w:val="single"/>
              </w:rPr>
              <w:t>30</w:t>
            </w:r>
            <w:r>
              <w:rPr>
                <w:rFonts w:hint="eastAsia" w:ascii="宋体" w:hAnsi="宋体" w:cs="宋体"/>
                <w:color w:val="auto"/>
                <w:highlight w:val="none"/>
              </w:rPr>
              <w:t>分钟</w:t>
            </w:r>
          </w:p>
        </w:tc>
      </w:tr>
      <w:tr w14:paraId="662B5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14:paraId="7F8CED42">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w:t>
            </w:r>
            <w:r>
              <w:rPr>
                <w:rFonts w:hint="default" w:ascii="宋体" w:hAnsi="宋体" w:cs="宋体"/>
                <w:color w:val="auto"/>
                <w:szCs w:val="21"/>
                <w:highlight w:val="none"/>
              </w:rPr>
              <w:t>6.3</w:t>
            </w:r>
          </w:p>
        </w:tc>
        <w:tc>
          <w:tcPr>
            <w:tcW w:w="7912" w:type="dxa"/>
            <w:vAlign w:val="center"/>
          </w:tcPr>
          <w:p w14:paraId="5C76FE74">
            <w:pPr>
              <w:keepNext w:val="0"/>
              <w:keepLines w:val="0"/>
              <w:suppressLineNumbers w:val="0"/>
              <w:snapToGrid w:val="0"/>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p w14:paraId="5C0C7D2F">
            <w:pPr>
              <w:keepNext w:val="0"/>
              <w:keepLines w:val="0"/>
              <w:suppressLineNumbers w:val="0"/>
              <w:snapToGrid w:val="0"/>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技术及其他要求评审中允许负偏离的条款数为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tc>
      </w:tr>
      <w:tr w14:paraId="6BA4E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74770F3">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default" w:ascii="宋体" w:hAnsi="宋体" w:cs="宋体"/>
                <w:color w:val="auto"/>
                <w:szCs w:val="21"/>
                <w:highlight w:val="none"/>
              </w:rPr>
              <w:t>28.1</w:t>
            </w:r>
          </w:p>
        </w:tc>
        <w:tc>
          <w:tcPr>
            <w:tcW w:w="7912" w:type="dxa"/>
            <w:vAlign w:val="center"/>
          </w:tcPr>
          <w:p w14:paraId="7AC4D086">
            <w:pPr>
              <w:keepNext w:val="0"/>
              <w:keepLines w:val="0"/>
              <w:suppressLineNumbers w:val="0"/>
              <w:autoSpaceDE w:val="0"/>
              <w:autoSpaceDN w:val="0"/>
              <w:snapToGrid w:val="0"/>
              <w:spacing w:before="0" w:beforeAutospacing="0" w:after="0" w:afterAutospacing="0" w:line="360" w:lineRule="exact"/>
              <w:ind w:left="0" w:right="0"/>
              <w:textAlignment w:val="bottom"/>
              <w:rPr>
                <w:rFonts w:hint="default" w:ascii="宋体" w:hAnsi="宋体"/>
                <w:color w:val="auto"/>
                <w:szCs w:val="21"/>
                <w:highlight w:val="none"/>
              </w:rPr>
            </w:pPr>
            <w:r>
              <w:rPr>
                <w:rFonts w:hint="eastAsia" w:ascii="宋体" w:hAnsi="宋体"/>
                <w:color w:val="auto"/>
                <w:szCs w:val="21"/>
                <w:highlight w:val="none"/>
              </w:rPr>
              <w:t>☑本项目不收取履约保证金。</w:t>
            </w:r>
          </w:p>
          <w:p w14:paraId="6B8091FF">
            <w:pPr>
              <w:keepNext w:val="0"/>
              <w:keepLines w:val="0"/>
              <w:suppressLineNumbers w:val="0"/>
              <w:autoSpaceDE w:val="0"/>
              <w:autoSpaceDN w:val="0"/>
              <w:snapToGrid w:val="0"/>
              <w:spacing w:before="0" w:beforeAutospacing="0" w:after="0" w:afterAutospacing="0" w:line="360" w:lineRule="exact"/>
              <w:ind w:left="0" w:right="0"/>
              <w:textAlignment w:val="bottom"/>
              <w:rPr>
                <w:rFonts w:hint="default" w:ascii="宋体" w:hAnsi="宋体"/>
                <w:color w:val="auto"/>
                <w:szCs w:val="21"/>
                <w:highlight w:val="none"/>
              </w:rPr>
            </w:pPr>
            <w:r>
              <w:rPr>
                <w:rFonts w:hint="eastAsia" w:ascii="宋体" w:hAnsi="宋体"/>
                <w:color w:val="auto"/>
                <w:szCs w:val="21"/>
                <w:highlight w:val="none"/>
              </w:rPr>
              <w:t>□本项目收取履约保证金，具体规定如下：</w:t>
            </w:r>
          </w:p>
          <w:p w14:paraId="3E6DE470">
            <w:pPr>
              <w:keepNext w:val="0"/>
              <w:keepLines w:val="0"/>
              <w:suppressLineNumbers w:val="0"/>
              <w:wordWrap w:val="0"/>
              <w:autoSpaceDE w:val="0"/>
              <w:autoSpaceDN w:val="0"/>
              <w:spacing w:before="0" w:beforeAutospacing="0" w:after="0" w:afterAutospacing="0" w:line="360" w:lineRule="exact"/>
              <w:ind w:left="0" w:right="0"/>
              <w:textAlignment w:val="bottom"/>
              <w:rPr>
                <w:rFonts w:hint="default"/>
                <w:color w:val="auto"/>
                <w:szCs w:val="21"/>
                <w:highlight w:val="none"/>
                <w:u w:val="single"/>
              </w:rPr>
            </w:pPr>
            <w:r>
              <w:rPr>
                <w:rFonts w:hint="eastAsia" w:hAnsi="宋体"/>
                <w:color w:val="auto"/>
                <w:szCs w:val="21"/>
                <w:highlight w:val="none"/>
              </w:rPr>
              <w:t>履约保证金金额：</w:t>
            </w:r>
            <w:r>
              <w:rPr>
                <w:rFonts w:hint="eastAsia"/>
                <w:color w:val="auto"/>
                <w:szCs w:val="21"/>
                <w:highlight w:val="none"/>
                <w:u w:val="single"/>
              </w:rPr>
              <w:t xml:space="preserve">   /    </w:t>
            </w:r>
          </w:p>
          <w:p w14:paraId="18E17FD2">
            <w:pPr>
              <w:keepNext w:val="0"/>
              <w:keepLines w:val="0"/>
              <w:suppressLineNumbers w:val="0"/>
              <w:wordWrap w:val="0"/>
              <w:autoSpaceDE w:val="0"/>
              <w:autoSpaceDN w:val="0"/>
              <w:spacing w:before="0" w:beforeAutospacing="0" w:after="0" w:afterAutospacing="0" w:line="360" w:lineRule="exact"/>
              <w:ind w:left="0" w:right="0"/>
              <w:textAlignment w:val="bottom"/>
              <w:rPr>
                <w:rFonts w:hint="default"/>
                <w:color w:val="auto"/>
                <w:szCs w:val="21"/>
                <w:highlight w:val="none"/>
              </w:rPr>
            </w:pPr>
            <w:r>
              <w:rPr>
                <w:rFonts w:hint="eastAsia" w:hAnsi="宋体"/>
                <w:color w:val="auto"/>
                <w:szCs w:val="21"/>
                <w:highlight w:val="none"/>
              </w:rPr>
              <w:t>履约保证金递交方式：</w:t>
            </w:r>
            <w:r>
              <w:rPr>
                <w:rFonts w:hint="eastAsia" w:ascii="宋体" w:hAnsi="宋体" w:cs="宋体"/>
                <w:color w:val="auto"/>
                <w:szCs w:val="21"/>
                <w:highlight w:val="none"/>
              </w:rPr>
              <w:t>银行转账、支票、汇票、本票或者银行、保险机构出具的保函（包含电子保函）等非现金方式</w:t>
            </w:r>
          </w:p>
          <w:p w14:paraId="1DF15AAE">
            <w:pPr>
              <w:keepNext w:val="0"/>
              <w:keepLines w:val="0"/>
              <w:suppressLineNumbers w:val="0"/>
              <w:wordWrap w:val="0"/>
              <w:autoSpaceDE w:val="0"/>
              <w:autoSpaceDN w:val="0"/>
              <w:spacing w:before="0" w:beforeAutospacing="0" w:after="0" w:afterAutospacing="0" w:line="360" w:lineRule="exact"/>
              <w:ind w:left="0" w:right="0"/>
              <w:textAlignment w:val="bottom"/>
              <w:rPr>
                <w:rFonts w:hint="default"/>
                <w:color w:val="auto"/>
                <w:szCs w:val="21"/>
                <w:highlight w:val="none"/>
              </w:rPr>
            </w:pPr>
            <w:r>
              <w:rPr>
                <w:rFonts w:hint="eastAsia" w:hAnsi="宋体"/>
                <w:color w:val="auto"/>
                <w:szCs w:val="21"/>
                <w:highlight w:val="none"/>
              </w:rPr>
              <w:t>履约保证金退付方式、时间及条件：</w:t>
            </w:r>
          </w:p>
          <w:p w14:paraId="4F309250">
            <w:pPr>
              <w:keepNext w:val="0"/>
              <w:keepLines w:val="0"/>
              <w:suppressLineNumbers w:val="0"/>
              <w:wordWrap w:val="0"/>
              <w:autoSpaceDE w:val="0"/>
              <w:autoSpaceDN w:val="0"/>
              <w:spacing w:before="0" w:beforeAutospacing="0" w:after="0" w:afterAutospacing="0" w:line="360" w:lineRule="exact"/>
              <w:ind w:left="0" w:right="0"/>
              <w:textAlignment w:val="bottom"/>
              <w:rPr>
                <w:rFonts w:hint="default"/>
                <w:color w:val="auto"/>
                <w:szCs w:val="21"/>
                <w:highlight w:val="none"/>
              </w:rPr>
            </w:pPr>
            <w:r>
              <w:rPr>
                <w:rFonts w:hint="eastAsia" w:hAnsi="宋体"/>
                <w:color w:val="auto"/>
                <w:szCs w:val="21"/>
                <w:highlight w:val="none"/>
              </w:rPr>
              <w:t>（</w:t>
            </w:r>
            <w:r>
              <w:rPr>
                <w:rFonts w:hint="default"/>
                <w:color w:val="auto"/>
                <w:szCs w:val="21"/>
                <w:highlight w:val="none"/>
              </w:rPr>
              <w:t>1</w:t>
            </w:r>
            <w:r>
              <w:rPr>
                <w:rFonts w:hint="eastAsia" w:hAnsi="宋体"/>
                <w:color w:val="auto"/>
                <w:szCs w:val="21"/>
                <w:highlight w:val="none"/>
              </w:rPr>
              <w:t>）</w:t>
            </w:r>
            <w:r>
              <w:rPr>
                <w:rFonts w:hint="eastAsia" w:ascii="宋体" w:hAnsi="宋体" w:cs="宋体"/>
                <w:color w:val="auto"/>
                <w:szCs w:val="21"/>
                <w:highlight w:val="none"/>
              </w:rPr>
              <w:t>履约保证金在采购人按合同约定验收合格后，由成交供应商凭《桂林市政府采购项目合同验收书》（详见附表</w:t>
            </w:r>
            <w:r>
              <w:rPr>
                <w:rFonts w:hint="eastAsia" w:hAnsi="宋体"/>
                <w:color w:val="auto"/>
                <w:szCs w:val="21"/>
                <w:highlight w:val="none"/>
              </w:rPr>
              <w:t>）向采购人申请办理履约保证金退还手续，采购人在收到合格材料后五个工作日内以银行转账方式如数退还（不计利息）。</w:t>
            </w:r>
          </w:p>
          <w:p w14:paraId="1569DD62">
            <w:pPr>
              <w:keepNext w:val="0"/>
              <w:keepLines w:val="0"/>
              <w:suppressLineNumbers w:val="0"/>
              <w:wordWrap w:val="0"/>
              <w:autoSpaceDE w:val="0"/>
              <w:autoSpaceDN w:val="0"/>
              <w:spacing w:before="0" w:beforeAutospacing="0" w:after="0" w:afterAutospacing="0" w:line="360" w:lineRule="exact"/>
              <w:ind w:left="0" w:right="0"/>
              <w:textAlignment w:val="bottom"/>
              <w:rPr>
                <w:rFonts w:hint="default"/>
                <w:color w:val="auto"/>
                <w:szCs w:val="21"/>
                <w:highlight w:val="none"/>
              </w:rPr>
            </w:pPr>
            <w:r>
              <w:rPr>
                <w:rFonts w:hint="eastAsia" w:hAnsi="宋体"/>
                <w:color w:val="auto"/>
                <w:szCs w:val="21"/>
                <w:highlight w:val="none"/>
              </w:rPr>
              <w:t>（</w:t>
            </w:r>
            <w:r>
              <w:rPr>
                <w:rFonts w:hint="default"/>
                <w:color w:val="auto"/>
                <w:szCs w:val="21"/>
                <w:highlight w:val="none"/>
              </w:rPr>
              <w:t>2</w:t>
            </w:r>
            <w:r>
              <w:rPr>
                <w:rFonts w:hint="eastAsia" w:hAnsi="宋体"/>
                <w:color w:val="auto"/>
                <w:szCs w:val="21"/>
                <w:highlight w:val="none"/>
              </w:rPr>
              <w:t>）在履约保证金退还日期前，若成交供应商的开户名称、开户银行、账号有变动的，请以书面形式通知履约保证金收取单位，否则由此产生的后果由成交供应商自负。</w:t>
            </w:r>
          </w:p>
          <w:p w14:paraId="195EB5AC">
            <w:pPr>
              <w:keepNext w:val="0"/>
              <w:keepLines w:val="0"/>
              <w:suppressLineNumbers w:val="0"/>
              <w:wordWrap w:val="0"/>
              <w:autoSpaceDE w:val="0"/>
              <w:autoSpaceDN w:val="0"/>
              <w:spacing w:before="0" w:beforeAutospacing="0" w:after="0" w:afterAutospacing="0" w:line="360" w:lineRule="exact"/>
              <w:ind w:left="0" w:right="0"/>
              <w:textAlignment w:val="bottom"/>
              <w:rPr>
                <w:rFonts w:hint="default"/>
                <w:color w:val="auto"/>
                <w:szCs w:val="21"/>
                <w:highlight w:val="none"/>
              </w:rPr>
            </w:pPr>
            <w:r>
              <w:rPr>
                <w:rFonts w:hint="eastAsia" w:hAnsi="宋体"/>
                <w:color w:val="auto"/>
                <w:szCs w:val="21"/>
                <w:highlight w:val="none"/>
              </w:rPr>
              <w:t>（</w:t>
            </w:r>
            <w:r>
              <w:rPr>
                <w:rFonts w:hint="default"/>
                <w:color w:val="auto"/>
                <w:szCs w:val="21"/>
                <w:highlight w:val="none"/>
              </w:rPr>
              <w:t>3</w:t>
            </w:r>
            <w:r>
              <w:rPr>
                <w:rFonts w:hint="eastAsia" w:hAnsi="宋体"/>
                <w:color w:val="auto"/>
                <w:szCs w:val="21"/>
                <w:highlight w:val="none"/>
              </w:rPr>
              <w:t>）成交供应商在签订合同后存在违约情形的，履约保证金不予退还。履约保证金不足以赔偿损失的，按实际损失赔偿。</w:t>
            </w:r>
          </w:p>
          <w:p w14:paraId="616C3C62">
            <w:pPr>
              <w:keepNext w:val="0"/>
              <w:keepLines w:val="0"/>
              <w:suppressLineNumbers w:val="0"/>
              <w:wordWrap w:val="0"/>
              <w:autoSpaceDE w:val="0"/>
              <w:autoSpaceDN w:val="0"/>
              <w:spacing w:before="0" w:beforeAutospacing="0" w:after="0" w:afterAutospacing="0" w:line="360" w:lineRule="exact"/>
              <w:ind w:left="0" w:right="0"/>
              <w:textAlignment w:val="bottom"/>
              <w:rPr>
                <w:rFonts w:hint="default"/>
                <w:color w:val="auto"/>
                <w:szCs w:val="21"/>
                <w:highlight w:val="none"/>
              </w:rPr>
            </w:pPr>
            <w:r>
              <w:rPr>
                <w:rFonts w:hint="eastAsia" w:hAnsi="宋体"/>
                <w:color w:val="auto"/>
                <w:szCs w:val="21"/>
                <w:highlight w:val="none"/>
              </w:rPr>
              <w:t>履约保证金指定账户：</w:t>
            </w:r>
          </w:p>
          <w:p w14:paraId="10555E96">
            <w:pPr>
              <w:keepNext w:val="0"/>
              <w:keepLines w:val="0"/>
              <w:suppressLineNumbers w:val="0"/>
              <w:wordWrap w:val="0"/>
              <w:autoSpaceDE w:val="0"/>
              <w:autoSpaceDN w:val="0"/>
              <w:spacing w:before="0" w:beforeAutospacing="0" w:after="0" w:afterAutospacing="0" w:line="360" w:lineRule="exact"/>
              <w:ind w:left="0" w:right="0"/>
              <w:textAlignment w:val="bottom"/>
              <w:rPr>
                <w:rFonts w:hint="default"/>
                <w:color w:val="auto"/>
                <w:szCs w:val="21"/>
                <w:highlight w:val="none"/>
              </w:rPr>
            </w:pPr>
            <w:r>
              <w:rPr>
                <w:rFonts w:hint="eastAsia"/>
                <w:color w:val="auto"/>
                <w:szCs w:val="21"/>
                <w:highlight w:val="none"/>
              </w:rPr>
              <w:t>开户名称：</w:t>
            </w:r>
            <w:r>
              <w:rPr>
                <w:rFonts w:hint="eastAsia"/>
                <w:color w:val="auto"/>
                <w:szCs w:val="21"/>
                <w:highlight w:val="none"/>
                <w:u w:val="single"/>
              </w:rPr>
              <w:t xml:space="preserve">  /     </w:t>
            </w:r>
            <w:r>
              <w:rPr>
                <w:rFonts w:hint="eastAsia"/>
                <w:color w:val="auto"/>
                <w:szCs w:val="21"/>
                <w:highlight w:val="none"/>
              </w:rPr>
              <w:t>；</w:t>
            </w:r>
          </w:p>
          <w:p w14:paraId="361A51F2">
            <w:pPr>
              <w:keepNext w:val="0"/>
              <w:keepLines w:val="0"/>
              <w:suppressLineNumbers w:val="0"/>
              <w:wordWrap w:val="0"/>
              <w:autoSpaceDE w:val="0"/>
              <w:autoSpaceDN w:val="0"/>
              <w:spacing w:before="0" w:beforeAutospacing="0" w:after="0" w:afterAutospacing="0" w:line="360" w:lineRule="exact"/>
              <w:ind w:left="0" w:right="0"/>
              <w:textAlignment w:val="bottom"/>
              <w:rPr>
                <w:rFonts w:hint="default"/>
                <w:color w:val="auto"/>
                <w:szCs w:val="21"/>
                <w:highlight w:val="none"/>
              </w:rPr>
            </w:pPr>
            <w:r>
              <w:rPr>
                <w:rFonts w:hint="eastAsia"/>
                <w:color w:val="auto"/>
                <w:szCs w:val="21"/>
                <w:highlight w:val="none"/>
              </w:rPr>
              <w:t>开户银行：</w:t>
            </w:r>
            <w:r>
              <w:rPr>
                <w:rFonts w:hint="eastAsia"/>
                <w:color w:val="auto"/>
                <w:szCs w:val="21"/>
                <w:highlight w:val="none"/>
                <w:u w:val="single"/>
              </w:rPr>
              <w:t xml:space="preserve">   /    </w:t>
            </w:r>
            <w:r>
              <w:rPr>
                <w:rFonts w:hint="eastAsia"/>
                <w:color w:val="auto"/>
                <w:szCs w:val="21"/>
                <w:highlight w:val="none"/>
              </w:rPr>
              <w:t>；</w:t>
            </w:r>
          </w:p>
          <w:p w14:paraId="2AC68642">
            <w:pPr>
              <w:keepNext w:val="0"/>
              <w:keepLines w:val="0"/>
              <w:suppressLineNumbers w:val="0"/>
              <w:wordWrap w:val="0"/>
              <w:autoSpaceDE w:val="0"/>
              <w:autoSpaceDN w:val="0"/>
              <w:spacing w:before="0" w:beforeAutospacing="0" w:after="0" w:afterAutospacing="0" w:line="360" w:lineRule="exact"/>
              <w:ind w:left="0" w:right="0"/>
              <w:textAlignment w:val="bottom"/>
              <w:rPr>
                <w:rFonts w:hint="default"/>
                <w:color w:val="auto"/>
                <w:szCs w:val="21"/>
                <w:highlight w:val="none"/>
              </w:rPr>
            </w:pPr>
            <w:r>
              <w:rPr>
                <w:rFonts w:hint="eastAsia"/>
                <w:color w:val="auto"/>
                <w:szCs w:val="21"/>
                <w:highlight w:val="none"/>
              </w:rPr>
              <w:t>账号：</w:t>
            </w:r>
            <w:r>
              <w:rPr>
                <w:rFonts w:hint="eastAsia"/>
                <w:color w:val="auto"/>
                <w:szCs w:val="21"/>
                <w:highlight w:val="none"/>
                <w:u w:val="single"/>
              </w:rPr>
              <w:t xml:space="preserve">   /    </w:t>
            </w:r>
            <w:r>
              <w:rPr>
                <w:rFonts w:hint="eastAsia"/>
                <w:color w:val="auto"/>
                <w:szCs w:val="21"/>
                <w:highlight w:val="none"/>
              </w:rPr>
              <w:t>。</w:t>
            </w:r>
          </w:p>
          <w:p w14:paraId="1D19678C">
            <w:pPr>
              <w:keepNext w:val="0"/>
              <w:keepLines w:val="0"/>
              <w:suppressLineNumbers w:val="0"/>
              <w:wordWrap w:val="0"/>
              <w:adjustRightInd w:val="0"/>
              <w:spacing w:before="0" w:beforeAutospacing="0" w:after="0" w:afterAutospacing="0" w:line="360" w:lineRule="exact"/>
              <w:ind w:left="0" w:right="0"/>
              <w:jc w:val="left"/>
              <w:rPr>
                <w:rFonts w:hint="default" w:hAnsi="宋体"/>
                <w:color w:val="auto"/>
                <w:szCs w:val="21"/>
                <w:highlight w:val="none"/>
              </w:rPr>
            </w:pPr>
            <w:r>
              <w:rPr>
                <w:rFonts w:hint="eastAsia" w:hAnsi="宋体"/>
                <w:color w:val="auto"/>
                <w:szCs w:val="21"/>
                <w:highlight w:val="none"/>
              </w:rPr>
              <w:t>备</w:t>
            </w:r>
            <w:r>
              <w:rPr>
                <w:rFonts w:hint="default" w:hAnsi="宋体"/>
                <w:color w:val="auto"/>
                <w:szCs w:val="21"/>
                <w:highlight w:val="none"/>
              </w:rPr>
              <w:t xml:space="preserve">    </w:t>
            </w:r>
            <w:r>
              <w:rPr>
                <w:rFonts w:hint="eastAsia" w:hAnsi="宋体"/>
                <w:color w:val="auto"/>
                <w:szCs w:val="21"/>
                <w:highlight w:val="none"/>
              </w:rPr>
              <w:t>注：</w:t>
            </w:r>
          </w:p>
          <w:p w14:paraId="72A629F7">
            <w:pPr>
              <w:pStyle w:val="64"/>
              <w:keepNext w:val="0"/>
              <w:keepLines w:val="0"/>
              <w:suppressLineNumbers w:val="0"/>
              <w:wordWrap w:val="0"/>
              <w:spacing w:before="0" w:beforeAutospacing="0" w:after="0" w:afterAutospacing="0" w:line="360" w:lineRule="exact"/>
              <w:ind w:left="0" w:right="0"/>
              <w:rPr>
                <w:rFonts w:hint="default"/>
                <w:color w:val="auto"/>
                <w:highlight w:val="none"/>
              </w:rPr>
            </w:pPr>
            <w:r>
              <w:rPr>
                <w:rFonts w:hint="eastAsia" w:hAnsi="宋体"/>
                <w:b/>
                <w:color w:val="auto"/>
                <w:szCs w:val="21"/>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tc>
      </w:tr>
      <w:tr w14:paraId="439A5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12CC320">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default" w:ascii="宋体" w:hAnsi="宋体" w:cs="宋体"/>
                <w:color w:val="auto"/>
                <w:szCs w:val="21"/>
                <w:highlight w:val="none"/>
              </w:rPr>
              <w:t>29.1</w:t>
            </w:r>
          </w:p>
        </w:tc>
        <w:tc>
          <w:tcPr>
            <w:tcW w:w="7912" w:type="dxa"/>
            <w:vAlign w:val="center"/>
          </w:tcPr>
          <w:p w14:paraId="1D46775F">
            <w:pPr>
              <w:keepNext w:val="0"/>
              <w:keepLines w:val="0"/>
              <w:suppressLineNumbers w:val="0"/>
              <w:autoSpaceDE w:val="0"/>
              <w:autoSpaceDN w:val="0"/>
              <w:snapToGrid w:val="0"/>
              <w:spacing w:before="0" w:beforeAutospacing="0" w:after="0" w:afterAutospacing="0" w:line="360" w:lineRule="auto"/>
              <w:ind w:left="0" w:right="0"/>
              <w:textAlignment w:val="bottom"/>
              <w:rPr>
                <w:rFonts w:hint="default" w:ascii="宋体" w:hAnsi="宋体"/>
                <w:color w:val="auto"/>
                <w:szCs w:val="21"/>
                <w:highlight w:val="none"/>
              </w:rPr>
            </w:pPr>
            <w:r>
              <w:rPr>
                <w:rFonts w:hint="eastAsia" w:ascii="宋体" w:hAnsi="宋体"/>
                <w:color w:val="auto"/>
                <w:szCs w:val="21"/>
                <w:highlight w:val="none"/>
              </w:rPr>
              <w:t xml:space="preserve">签订合同携带的证明材料： </w:t>
            </w:r>
          </w:p>
          <w:p w14:paraId="335E3BB3">
            <w:pPr>
              <w:keepNext w:val="0"/>
              <w:keepLines w:val="0"/>
              <w:suppressLineNumbers w:val="0"/>
              <w:autoSpaceDE w:val="0"/>
              <w:autoSpaceDN w:val="0"/>
              <w:snapToGrid w:val="0"/>
              <w:spacing w:before="0" w:beforeAutospacing="0" w:after="0" w:afterAutospacing="0" w:line="360" w:lineRule="auto"/>
              <w:ind w:left="0" w:right="0"/>
              <w:textAlignment w:val="bottom"/>
              <w:rPr>
                <w:rFonts w:hint="default"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412500BE">
            <w:pPr>
              <w:keepNext w:val="0"/>
              <w:keepLines w:val="0"/>
              <w:suppressLineNumbers w:val="0"/>
              <w:snapToGrid w:val="0"/>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hint="default" w:ascii="宋体" w:hAnsi="宋体"/>
                <w:color w:val="auto"/>
                <w:szCs w:val="21"/>
                <w:highlight w:val="none"/>
              </w:rPr>
              <w:t>身份证明原件</w:t>
            </w:r>
            <w:r>
              <w:rPr>
                <w:rFonts w:hint="eastAsia" w:ascii="宋体" w:hAnsi="宋体"/>
                <w:color w:val="auto"/>
                <w:szCs w:val="21"/>
                <w:highlight w:val="none"/>
              </w:rPr>
              <w:t>及</w:t>
            </w:r>
            <w:r>
              <w:rPr>
                <w:rFonts w:hint="default" w:ascii="宋体" w:hAnsi="宋体"/>
                <w:color w:val="auto"/>
                <w:szCs w:val="21"/>
                <w:highlight w:val="none"/>
              </w:rPr>
              <w:t>身份证原件</w:t>
            </w:r>
            <w:r>
              <w:rPr>
                <w:rFonts w:hint="eastAsia" w:ascii="宋体" w:hAnsi="宋体"/>
                <w:color w:val="auto"/>
                <w:szCs w:val="21"/>
                <w:highlight w:val="none"/>
              </w:rPr>
              <w:t>等其他证明材料。</w:t>
            </w:r>
          </w:p>
        </w:tc>
      </w:tr>
      <w:tr w14:paraId="06156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29A97C3">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w:t>
            </w:r>
            <w:r>
              <w:rPr>
                <w:rFonts w:hint="default" w:ascii="宋体" w:hAnsi="宋体" w:cs="宋体"/>
                <w:color w:val="auto"/>
                <w:szCs w:val="21"/>
                <w:highlight w:val="none"/>
              </w:rPr>
              <w:t>1.2</w:t>
            </w:r>
          </w:p>
        </w:tc>
        <w:tc>
          <w:tcPr>
            <w:tcW w:w="7912" w:type="dxa"/>
            <w:vAlign w:val="center"/>
          </w:tcPr>
          <w:p w14:paraId="4FBCCD89">
            <w:pPr>
              <w:keepNext w:val="0"/>
              <w:keepLines w:val="0"/>
              <w:suppressLineNumbers w:val="0"/>
              <w:snapToGrid w:val="0"/>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接收质疑函方式：书面形式</w:t>
            </w:r>
          </w:p>
          <w:p w14:paraId="1925D55E">
            <w:pPr>
              <w:keepNext w:val="0"/>
              <w:keepLines w:val="0"/>
              <w:suppressLineNumbers w:val="0"/>
              <w:snapToGrid w:val="0"/>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质疑联系部门及联系方式：云之龙咨询集团有限公司，联系人：吕雯，联系电话：</w:t>
            </w:r>
            <w:r>
              <w:rPr>
                <w:rFonts w:hint="default" w:ascii="宋体" w:hAnsi="宋体" w:cs="宋体"/>
                <w:color w:val="auto"/>
                <w:szCs w:val="21"/>
                <w:highlight w:val="none"/>
              </w:rPr>
              <w:t xml:space="preserve">0773-2887388  2887399 </w:t>
            </w:r>
            <w:r>
              <w:rPr>
                <w:rFonts w:hint="eastAsia" w:ascii="宋体" w:hAnsi="宋体" w:cs="宋体"/>
                <w:color w:val="auto"/>
                <w:szCs w:val="21"/>
                <w:highlight w:val="none"/>
              </w:rPr>
              <w:t>。通讯地址：广西桂林市临桂区西城北路2号耀辉•美好家园2幢12层1号房。</w:t>
            </w:r>
          </w:p>
          <w:p w14:paraId="5B772D65">
            <w:pPr>
              <w:keepNext w:val="0"/>
              <w:keepLines w:val="0"/>
              <w:suppressLineNumbers w:val="0"/>
              <w:snapToGrid w:val="0"/>
              <w:spacing w:before="0" w:beforeAutospacing="0" w:after="0" w:afterAutospacing="0" w:line="360" w:lineRule="auto"/>
              <w:ind w:left="0" w:right="0"/>
              <w:rPr>
                <w:rFonts w:hint="default" w:ascii="宋体" w:hAnsi="宋体"/>
                <w:color w:val="auto"/>
                <w:szCs w:val="21"/>
                <w:highlight w:val="none"/>
              </w:rPr>
            </w:pPr>
            <w:r>
              <w:rPr>
                <w:rFonts w:hint="eastAsia" w:ascii="宋体" w:hAnsi="宋体" w:cs="宋体"/>
                <w:color w:val="auto"/>
                <w:szCs w:val="21"/>
                <w:highlight w:val="none"/>
              </w:rPr>
              <w:t>业务时间：工作日每天上午8时</w:t>
            </w:r>
            <w:r>
              <w:rPr>
                <w:rFonts w:hint="default" w:ascii="宋体" w:hAnsi="宋体" w:cs="宋体"/>
                <w:color w:val="auto"/>
                <w:szCs w:val="21"/>
                <w:highlight w:val="none"/>
              </w:rPr>
              <w:t>00</w:t>
            </w:r>
            <w:r>
              <w:rPr>
                <w:rFonts w:hint="eastAsia" w:ascii="宋体" w:hAnsi="宋体" w:cs="宋体"/>
                <w:color w:val="auto"/>
                <w:szCs w:val="21"/>
                <w:highlight w:val="none"/>
              </w:rPr>
              <w:t>分到</w:t>
            </w:r>
            <w:r>
              <w:rPr>
                <w:rFonts w:hint="default" w:ascii="宋体" w:hAnsi="宋体" w:cs="宋体"/>
                <w:color w:val="auto"/>
                <w:szCs w:val="21"/>
                <w:highlight w:val="none"/>
              </w:rPr>
              <w:t>12</w:t>
            </w:r>
            <w:r>
              <w:rPr>
                <w:rFonts w:hint="eastAsia" w:ascii="宋体" w:hAnsi="宋体" w:cs="宋体"/>
                <w:color w:val="auto"/>
                <w:szCs w:val="21"/>
                <w:highlight w:val="none"/>
              </w:rPr>
              <w:t>时</w:t>
            </w:r>
            <w:r>
              <w:rPr>
                <w:rFonts w:hint="default" w:ascii="宋体" w:hAnsi="宋体" w:cs="宋体"/>
                <w:color w:val="auto"/>
                <w:szCs w:val="21"/>
                <w:highlight w:val="none"/>
              </w:rPr>
              <w:t>00</w:t>
            </w:r>
            <w:r>
              <w:rPr>
                <w:rFonts w:hint="eastAsia" w:ascii="宋体" w:hAnsi="宋体" w:cs="宋体"/>
                <w:color w:val="auto"/>
                <w:szCs w:val="21"/>
                <w:highlight w:val="none"/>
              </w:rPr>
              <w:t>分，下午3时</w:t>
            </w:r>
            <w:r>
              <w:rPr>
                <w:rFonts w:hint="default" w:ascii="宋体" w:hAnsi="宋体" w:cs="宋体"/>
                <w:color w:val="auto"/>
                <w:szCs w:val="21"/>
                <w:highlight w:val="none"/>
              </w:rPr>
              <w:t>00</w:t>
            </w:r>
            <w:r>
              <w:rPr>
                <w:rFonts w:hint="eastAsia" w:ascii="宋体" w:hAnsi="宋体" w:cs="宋体"/>
                <w:color w:val="auto"/>
                <w:szCs w:val="21"/>
                <w:highlight w:val="none"/>
              </w:rPr>
              <w:t>分到6时</w:t>
            </w:r>
            <w:r>
              <w:rPr>
                <w:rFonts w:hint="default" w:ascii="宋体" w:hAnsi="宋体" w:cs="宋体"/>
                <w:color w:val="auto"/>
                <w:szCs w:val="21"/>
                <w:highlight w:val="none"/>
              </w:rPr>
              <w:t>00</w:t>
            </w:r>
            <w:r>
              <w:rPr>
                <w:rFonts w:hint="eastAsia" w:ascii="宋体" w:hAnsi="宋体" w:cs="宋体"/>
                <w:color w:val="auto"/>
                <w:szCs w:val="21"/>
                <w:highlight w:val="none"/>
              </w:rPr>
              <w:t>分。</w:t>
            </w:r>
          </w:p>
        </w:tc>
      </w:tr>
      <w:tr w14:paraId="443AB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E6A7273">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default" w:ascii="宋体" w:hAnsi="宋体" w:cs="宋体"/>
                <w:color w:val="auto"/>
                <w:szCs w:val="21"/>
                <w:highlight w:val="none"/>
              </w:rPr>
              <w:t>32.1</w:t>
            </w:r>
          </w:p>
        </w:tc>
        <w:tc>
          <w:tcPr>
            <w:tcW w:w="7912" w:type="dxa"/>
            <w:vAlign w:val="center"/>
          </w:tcPr>
          <w:p w14:paraId="54B5A83A">
            <w:pPr>
              <w:pStyle w:val="26"/>
              <w:keepNext w:val="0"/>
              <w:keepLines w:val="0"/>
              <w:suppressLineNumbers w:val="0"/>
              <w:snapToGrid w:val="0"/>
              <w:spacing w:before="0" w:beforeAutospacing="0" w:after="0" w:afterAutospacing="0" w:line="390" w:lineRule="exact"/>
              <w:ind w:left="0" w:right="0"/>
              <w:rPr>
                <w:rFonts w:hint="default" w:hAnsi="宋体"/>
                <w:color w:val="auto"/>
                <w:sz w:val="21"/>
                <w:highlight w:val="none"/>
              </w:rPr>
            </w:pPr>
            <w:r>
              <w:rPr>
                <w:rFonts w:hint="eastAsia" w:hAnsi="宋体"/>
                <w:color w:val="auto"/>
                <w:sz w:val="21"/>
                <w:highlight w:val="none"/>
              </w:rPr>
              <w:t>1.采购代理服务费支付方式：</w:t>
            </w:r>
          </w:p>
          <w:p w14:paraId="58039C0D">
            <w:pPr>
              <w:pStyle w:val="26"/>
              <w:keepNext w:val="0"/>
              <w:keepLines w:val="0"/>
              <w:suppressLineNumbers w:val="0"/>
              <w:snapToGrid w:val="0"/>
              <w:spacing w:before="0" w:beforeAutospacing="0" w:after="0" w:afterAutospacing="0" w:line="390" w:lineRule="exact"/>
              <w:ind w:left="0" w:right="0"/>
              <w:rPr>
                <w:rFonts w:hint="default" w:hAnsi="宋体"/>
                <w:color w:val="auto"/>
                <w:sz w:val="21"/>
                <w:highlight w:val="none"/>
              </w:rPr>
            </w:pPr>
            <w:r>
              <w:rPr>
                <w:rFonts w:hint="default" w:hAnsi="宋体"/>
                <w:color w:val="auto"/>
                <w:sz w:val="21"/>
                <w:highlight w:val="none"/>
              </w:rPr>
              <w:sym w:font="Wingdings" w:char="00FE"/>
            </w:r>
            <w:r>
              <w:rPr>
                <w:rFonts w:hint="eastAsia" w:hAnsi="宋体"/>
                <w:color w:val="auto"/>
                <w:sz w:val="21"/>
                <w:highlight w:val="none"/>
              </w:rPr>
              <w:t>本项目采购代理服务费由成交供应商在获取成交通知书前向采购代理机构一次性支付，</w:t>
            </w:r>
            <w:r>
              <w:rPr>
                <w:rFonts w:hint="eastAsia" w:hAnsi="宋体" w:cs="宋体"/>
                <w:color w:val="auto"/>
                <w:sz w:val="21"/>
                <w:highlight w:val="none"/>
              </w:rPr>
              <w:t>否则，其不利后果由</w:t>
            </w:r>
            <w:r>
              <w:rPr>
                <w:rFonts w:hint="eastAsia" w:hAnsi="宋体"/>
                <w:color w:val="auto"/>
                <w:sz w:val="21"/>
                <w:highlight w:val="none"/>
              </w:rPr>
              <w:t>成交供应商</w:t>
            </w:r>
            <w:r>
              <w:rPr>
                <w:rFonts w:hint="eastAsia" w:hAnsi="宋体" w:cs="宋体"/>
                <w:color w:val="auto"/>
                <w:sz w:val="21"/>
                <w:highlight w:val="none"/>
              </w:rPr>
              <w:t>承担</w:t>
            </w:r>
            <w:r>
              <w:rPr>
                <w:rFonts w:hint="eastAsia" w:hAnsi="宋体"/>
                <w:color w:val="auto"/>
                <w:sz w:val="21"/>
                <w:highlight w:val="none"/>
              </w:rPr>
              <w:t>。</w:t>
            </w:r>
          </w:p>
          <w:p w14:paraId="1D86768B">
            <w:pPr>
              <w:pStyle w:val="26"/>
              <w:keepNext w:val="0"/>
              <w:keepLines w:val="0"/>
              <w:suppressLineNumbers w:val="0"/>
              <w:snapToGrid w:val="0"/>
              <w:spacing w:before="0" w:beforeAutospacing="0" w:after="0" w:afterAutospacing="0" w:line="390" w:lineRule="exact"/>
              <w:ind w:left="0" w:right="0"/>
              <w:rPr>
                <w:rFonts w:hint="default" w:hAnsi="宋体"/>
                <w:color w:val="auto"/>
                <w:sz w:val="21"/>
                <w:highlight w:val="none"/>
              </w:rPr>
            </w:pPr>
            <w:r>
              <w:rPr>
                <w:rFonts w:hint="eastAsia" w:hAnsi="宋体"/>
                <w:color w:val="auto"/>
                <w:sz w:val="21"/>
                <w:highlight w:val="none"/>
              </w:rPr>
              <w:t>□采购人支付。</w:t>
            </w:r>
          </w:p>
          <w:p w14:paraId="4A7E617A">
            <w:pPr>
              <w:pStyle w:val="26"/>
              <w:keepNext w:val="0"/>
              <w:keepLines w:val="0"/>
              <w:suppressLineNumbers w:val="0"/>
              <w:snapToGrid w:val="0"/>
              <w:spacing w:before="0" w:beforeAutospacing="0" w:after="0" w:afterAutospacing="0" w:line="390" w:lineRule="exact"/>
              <w:ind w:left="0" w:right="0"/>
              <w:rPr>
                <w:rFonts w:hint="default" w:hAnsi="宋体"/>
                <w:color w:val="auto"/>
                <w:sz w:val="21"/>
                <w:highlight w:val="none"/>
              </w:rPr>
            </w:pPr>
            <w:r>
              <w:rPr>
                <w:rFonts w:hint="eastAsia" w:hAnsi="宋体"/>
                <w:color w:val="auto"/>
                <w:sz w:val="21"/>
                <w:highlight w:val="none"/>
              </w:rPr>
              <w:t>2.采购代理费收取标准：</w:t>
            </w:r>
          </w:p>
          <w:p w14:paraId="6D6E5AE3">
            <w:pPr>
              <w:pStyle w:val="26"/>
              <w:keepNext w:val="0"/>
              <w:keepLines w:val="0"/>
              <w:suppressLineNumbers w:val="0"/>
              <w:snapToGrid w:val="0"/>
              <w:spacing w:before="0" w:beforeAutospacing="0" w:after="0" w:afterAutospacing="0" w:line="390" w:lineRule="exact"/>
              <w:ind w:left="0" w:right="0"/>
              <w:rPr>
                <w:rFonts w:hint="default" w:hAnsi="宋体" w:cs="宋体"/>
                <w:color w:val="auto"/>
                <w:sz w:val="21"/>
                <w:highlight w:val="none"/>
              </w:rPr>
            </w:pPr>
            <w:r>
              <w:rPr>
                <w:rFonts w:hint="default" w:hAnsi="宋体"/>
                <w:color w:val="auto"/>
                <w:sz w:val="21"/>
                <w:highlight w:val="none"/>
              </w:rPr>
              <w:sym w:font="Wingdings" w:char="00FE"/>
            </w:r>
            <w:r>
              <w:rPr>
                <w:rFonts w:hint="eastAsia" w:hAnsi="宋体" w:cs="宋体"/>
                <w:color w:val="auto"/>
                <w:sz w:val="21"/>
                <w:highlight w:val="none"/>
              </w:rPr>
              <w:t>本项目采购代理服务费按供应商须知正文第32.2条“采购代理服务费收费计算标准”中工程类收费标准下浮20%计算（不足人民币5000元的，按5000元计）。</w:t>
            </w:r>
          </w:p>
          <w:p w14:paraId="3DA1A0F0">
            <w:pPr>
              <w:pStyle w:val="26"/>
              <w:keepNext w:val="0"/>
              <w:keepLines w:val="0"/>
              <w:suppressLineNumbers w:val="0"/>
              <w:snapToGrid w:val="0"/>
              <w:spacing w:before="0" w:beforeAutospacing="0" w:after="0" w:afterAutospacing="0" w:line="390" w:lineRule="exact"/>
              <w:ind w:left="0" w:right="0"/>
              <w:rPr>
                <w:rFonts w:hint="default" w:hAnsi="宋体"/>
                <w:color w:val="auto"/>
                <w:sz w:val="21"/>
                <w:highlight w:val="none"/>
              </w:rPr>
            </w:pPr>
            <w:r>
              <w:rPr>
                <w:rFonts w:hint="eastAsia" w:hAnsi="宋体"/>
                <w:color w:val="auto"/>
                <w:sz w:val="21"/>
                <w:highlight w:val="none"/>
              </w:rPr>
              <w:t>□固定采购代理收费</w:t>
            </w:r>
            <w:r>
              <w:rPr>
                <w:rFonts w:hint="eastAsia" w:hAnsi="宋体"/>
                <w:color w:val="auto"/>
                <w:sz w:val="21"/>
                <w:highlight w:val="none"/>
                <w:u w:val="single"/>
              </w:rPr>
              <w:t xml:space="preserve">              </w:t>
            </w:r>
            <w:r>
              <w:rPr>
                <w:rFonts w:hint="eastAsia" w:hAnsi="宋体"/>
                <w:color w:val="auto"/>
                <w:sz w:val="21"/>
                <w:highlight w:val="none"/>
              </w:rPr>
              <w:t>。</w:t>
            </w:r>
          </w:p>
          <w:p w14:paraId="7CA7F55E">
            <w:pPr>
              <w:pStyle w:val="26"/>
              <w:keepNext w:val="0"/>
              <w:keepLines w:val="0"/>
              <w:suppressLineNumbers w:val="0"/>
              <w:snapToGrid w:val="0"/>
              <w:spacing w:before="0" w:beforeAutospacing="0" w:after="0" w:afterAutospacing="0" w:line="390" w:lineRule="exact"/>
              <w:ind w:left="0" w:right="0"/>
              <w:rPr>
                <w:rFonts w:hint="default" w:hAnsi="宋体"/>
                <w:color w:val="auto"/>
                <w:sz w:val="21"/>
                <w:highlight w:val="none"/>
              </w:rPr>
            </w:pPr>
            <w:r>
              <w:rPr>
                <w:rFonts w:hint="eastAsia" w:hAnsi="宋体"/>
                <w:color w:val="auto"/>
                <w:sz w:val="21"/>
                <w:highlight w:val="none"/>
              </w:rPr>
              <w:t>3.采购代理费收取银行账户</w:t>
            </w:r>
          </w:p>
          <w:p w14:paraId="527D23B7">
            <w:pPr>
              <w:pStyle w:val="26"/>
              <w:keepNext w:val="0"/>
              <w:keepLines w:val="0"/>
              <w:suppressLineNumbers w:val="0"/>
              <w:snapToGrid w:val="0"/>
              <w:spacing w:before="0" w:beforeAutospacing="0" w:after="0" w:afterAutospacing="0" w:line="390" w:lineRule="exact"/>
              <w:ind w:left="0" w:right="0"/>
              <w:rPr>
                <w:rFonts w:hint="default" w:hAnsi="宋体"/>
                <w:color w:val="auto"/>
                <w:sz w:val="21"/>
                <w:highlight w:val="none"/>
              </w:rPr>
            </w:pPr>
            <w:r>
              <w:rPr>
                <w:rFonts w:hint="eastAsia" w:hAnsi="宋体"/>
                <w:color w:val="auto"/>
                <w:sz w:val="21"/>
                <w:highlight w:val="none"/>
              </w:rPr>
              <w:t>开户名称：云之龙咨询集团有限公司桂林分公司</w:t>
            </w:r>
          </w:p>
          <w:p w14:paraId="25CFF408">
            <w:pPr>
              <w:pStyle w:val="26"/>
              <w:keepNext w:val="0"/>
              <w:keepLines w:val="0"/>
              <w:suppressLineNumbers w:val="0"/>
              <w:snapToGrid w:val="0"/>
              <w:spacing w:before="0" w:beforeAutospacing="0" w:after="0" w:afterAutospacing="0" w:line="390" w:lineRule="exact"/>
              <w:ind w:left="0" w:right="0"/>
              <w:rPr>
                <w:rFonts w:hint="default" w:hAnsi="宋体"/>
                <w:color w:val="auto"/>
                <w:sz w:val="21"/>
                <w:highlight w:val="none"/>
              </w:rPr>
            </w:pPr>
            <w:r>
              <w:rPr>
                <w:rFonts w:hint="eastAsia" w:hAnsi="宋体"/>
                <w:color w:val="auto"/>
                <w:sz w:val="21"/>
                <w:highlight w:val="none"/>
              </w:rPr>
              <w:t>开户银行：中信银行股份有限公司南宁东葛支行</w:t>
            </w:r>
          </w:p>
          <w:p w14:paraId="35D19480">
            <w:pPr>
              <w:pStyle w:val="26"/>
              <w:keepNext w:val="0"/>
              <w:keepLines w:val="0"/>
              <w:suppressLineNumbers w:val="0"/>
              <w:snapToGrid w:val="0"/>
              <w:spacing w:before="0" w:beforeAutospacing="0" w:after="0" w:afterAutospacing="0" w:line="390" w:lineRule="exact"/>
              <w:ind w:left="0" w:right="0"/>
              <w:rPr>
                <w:rFonts w:hint="default" w:hAnsi="宋体"/>
                <w:color w:val="auto"/>
                <w:sz w:val="21"/>
                <w:highlight w:val="none"/>
              </w:rPr>
            </w:pPr>
            <w:r>
              <w:rPr>
                <w:rFonts w:hint="eastAsia" w:hAnsi="宋体"/>
                <w:color w:val="auto"/>
                <w:sz w:val="21"/>
                <w:highlight w:val="none"/>
              </w:rPr>
              <w:t>银行账号：8113001014300158041</w:t>
            </w:r>
          </w:p>
        </w:tc>
      </w:tr>
      <w:tr w14:paraId="0B254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AC46510">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w:t>
            </w:r>
            <w:r>
              <w:rPr>
                <w:rFonts w:hint="default" w:ascii="宋体" w:hAnsi="宋体" w:cs="宋体"/>
                <w:color w:val="auto"/>
                <w:szCs w:val="21"/>
                <w:highlight w:val="none"/>
              </w:rPr>
              <w:t>3.1</w:t>
            </w:r>
          </w:p>
        </w:tc>
        <w:tc>
          <w:tcPr>
            <w:tcW w:w="7912" w:type="dxa"/>
            <w:vAlign w:val="center"/>
          </w:tcPr>
          <w:p w14:paraId="7B65CAE2">
            <w:pPr>
              <w:pStyle w:val="26"/>
              <w:keepNext w:val="0"/>
              <w:keepLines w:val="0"/>
              <w:suppressLineNumbers w:val="0"/>
              <w:snapToGrid w:val="0"/>
              <w:spacing w:before="0" w:beforeAutospacing="0" w:after="0" w:afterAutospacing="0" w:line="390" w:lineRule="exact"/>
              <w:ind w:left="0" w:right="0"/>
              <w:rPr>
                <w:rFonts w:hint="default" w:hAnsi="宋体"/>
                <w:color w:val="auto"/>
                <w:kern w:val="2"/>
                <w:sz w:val="21"/>
                <w:highlight w:val="none"/>
              </w:rPr>
            </w:pPr>
            <w:r>
              <w:rPr>
                <w:rFonts w:hint="eastAsia" w:hAnsi="宋体"/>
                <w:color w:val="auto"/>
                <w:sz w:val="21"/>
                <w:highlight w:val="none"/>
              </w:rPr>
              <w:t>解释：</w:t>
            </w:r>
            <w:r>
              <w:rPr>
                <w:rFonts w:hint="default" w:hAnsi="宋体"/>
                <w:color w:val="auto"/>
                <w:sz w:val="21"/>
                <w:highlight w:val="none"/>
              </w:rPr>
              <w:t>构成本</w:t>
            </w:r>
            <w:r>
              <w:rPr>
                <w:rFonts w:hint="eastAsia" w:hAnsi="宋体"/>
                <w:color w:val="auto"/>
                <w:sz w:val="21"/>
                <w:highlight w:val="none"/>
              </w:rPr>
              <w:t>磋商文件</w:t>
            </w:r>
            <w:r>
              <w:rPr>
                <w:rFonts w:hint="default" w:hAnsi="宋体"/>
                <w:color w:val="auto"/>
                <w:sz w:val="21"/>
                <w:highlight w:val="none"/>
              </w:rPr>
              <w:t>的各个组成文件应互为解释，互为说明；除</w:t>
            </w:r>
            <w:r>
              <w:rPr>
                <w:rFonts w:hint="eastAsia" w:hAnsi="宋体"/>
                <w:color w:val="auto"/>
                <w:sz w:val="21"/>
                <w:highlight w:val="none"/>
              </w:rPr>
              <w:t>磋商文件</w:t>
            </w:r>
            <w:r>
              <w:rPr>
                <w:rFonts w:hint="default" w:hAnsi="宋体"/>
                <w:color w:val="auto"/>
                <w:sz w:val="21"/>
                <w:highlight w:val="none"/>
              </w:rPr>
              <w:t>中有特别规定外，仅适用于</w:t>
            </w:r>
            <w:r>
              <w:rPr>
                <w:rFonts w:hint="eastAsia" w:hAnsi="宋体"/>
                <w:color w:val="auto"/>
                <w:sz w:val="21"/>
                <w:highlight w:val="none"/>
              </w:rPr>
              <w:t>竞标</w:t>
            </w:r>
            <w:r>
              <w:rPr>
                <w:rFonts w:hint="default" w:hAnsi="宋体"/>
                <w:color w:val="auto"/>
                <w:sz w:val="21"/>
                <w:highlight w:val="none"/>
              </w:rPr>
              <w:t>阶段的规定，按</w:t>
            </w:r>
            <w:r>
              <w:rPr>
                <w:rFonts w:hint="eastAsia" w:hAnsi="宋体"/>
                <w:color w:val="auto"/>
                <w:sz w:val="21"/>
                <w:highlight w:val="none"/>
              </w:rPr>
              <w:t>更正公告（澄清公告）</w:t>
            </w:r>
            <w:r>
              <w:rPr>
                <w:rFonts w:hint="default" w:hAnsi="宋体"/>
                <w:color w:val="auto"/>
                <w:sz w:val="21"/>
                <w:highlight w:val="none"/>
              </w:rPr>
              <w:t>、</w:t>
            </w:r>
            <w:r>
              <w:rPr>
                <w:rFonts w:hint="eastAsia" w:hAnsi="宋体"/>
                <w:color w:val="auto"/>
                <w:sz w:val="21"/>
                <w:highlight w:val="none"/>
              </w:rPr>
              <w:t>竞争性磋商</w:t>
            </w:r>
            <w:r>
              <w:rPr>
                <w:rFonts w:hint="default" w:hAnsi="宋体"/>
                <w:color w:val="auto"/>
                <w:sz w:val="21"/>
                <w:highlight w:val="none"/>
              </w:rPr>
              <w:t>公告、</w:t>
            </w:r>
            <w:r>
              <w:rPr>
                <w:rFonts w:hint="eastAsia" w:hAnsi="宋体"/>
                <w:color w:val="auto"/>
                <w:sz w:val="21"/>
                <w:highlight w:val="none"/>
              </w:rPr>
              <w:t>供应商</w:t>
            </w:r>
            <w:r>
              <w:rPr>
                <w:rFonts w:hint="default" w:hAnsi="宋体"/>
                <w:color w:val="auto"/>
                <w:sz w:val="21"/>
                <w:highlight w:val="none"/>
              </w:rPr>
              <w:t>须知</w:t>
            </w:r>
            <w:r>
              <w:rPr>
                <w:rFonts w:hint="eastAsia" w:hAnsi="宋体"/>
                <w:color w:val="auto"/>
                <w:sz w:val="21"/>
                <w:highlight w:val="none"/>
              </w:rPr>
              <w:t>、采购需求</w:t>
            </w:r>
            <w:r>
              <w:rPr>
                <w:rFonts w:hint="default" w:hAnsi="宋体"/>
                <w:color w:val="auto"/>
                <w:sz w:val="21"/>
                <w:highlight w:val="none"/>
              </w:rPr>
              <w:t>、</w:t>
            </w:r>
            <w:r>
              <w:rPr>
                <w:rFonts w:hint="eastAsia"/>
                <w:color w:val="auto"/>
                <w:sz w:val="21"/>
                <w:highlight w:val="none"/>
              </w:rPr>
              <w:t>评审程序、评审方法和评审标准</w:t>
            </w:r>
            <w:r>
              <w:rPr>
                <w:rFonts w:hint="default" w:hAnsi="宋体"/>
                <w:color w:val="auto"/>
                <w:sz w:val="21"/>
                <w:highlight w:val="none"/>
              </w:rPr>
              <w:t>、</w:t>
            </w:r>
            <w:r>
              <w:rPr>
                <w:rFonts w:hint="eastAsia" w:hAnsi="宋体"/>
                <w:color w:val="auto"/>
                <w:sz w:val="21"/>
                <w:highlight w:val="none"/>
              </w:rPr>
              <w:t>响应</w:t>
            </w:r>
            <w:r>
              <w:rPr>
                <w:rFonts w:hint="default" w:hAnsi="宋体"/>
                <w:color w:val="auto"/>
                <w:sz w:val="21"/>
                <w:highlight w:val="none"/>
              </w:rPr>
              <w:t>文件格式</w:t>
            </w:r>
            <w:r>
              <w:rPr>
                <w:rFonts w:hint="eastAsia" w:hAnsi="宋体"/>
                <w:color w:val="auto"/>
                <w:sz w:val="21"/>
                <w:highlight w:val="none"/>
              </w:rPr>
              <w:t>、合同文本</w:t>
            </w:r>
            <w:r>
              <w:rPr>
                <w:rFonts w:hint="default" w:hAnsi="宋体"/>
                <w:color w:val="auto"/>
                <w:sz w:val="21"/>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highlight w:val="none"/>
              </w:rPr>
              <w:t>更正公告（澄清公告）</w:t>
            </w:r>
            <w:r>
              <w:rPr>
                <w:rFonts w:hint="default" w:hAnsi="宋体"/>
                <w:color w:val="auto"/>
                <w:sz w:val="21"/>
                <w:highlight w:val="none"/>
              </w:rPr>
              <w:t>与同步更新的</w:t>
            </w:r>
            <w:r>
              <w:rPr>
                <w:rFonts w:hint="eastAsia" w:hAnsi="宋体"/>
                <w:color w:val="auto"/>
                <w:sz w:val="21"/>
                <w:highlight w:val="none"/>
              </w:rPr>
              <w:t>磋商文件</w:t>
            </w:r>
            <w:r>
              <w:rPr>
                <w:rFonts w:hint="default" w:hAnsi="宋体"/>
                <w:color w:val="auto"/>
                <w:sz w:val="21"/>
                <w:highlight w:val="none"/>
              </w:rPr>
              <w:t>不一致时以</w:t>
            </w:r>
            <w:r>
              <w:rPr>
                <w:rFonts w:hint="eastAsia" w:hAnsi="宋体"/>
                <w:color w:val="auto"/>
                <w:sz w:val="21"/>
                <w:highlight w:val="none"/>
              </w:rPr>
              <w:t>更正公告（澄清公告）</w:t>
            </w:r>
            <w:r>
              <w:rPr>
                <w:rFonts w:hint="default" w:hAnsi="宋体"/>
                <w:color w:val="auto"/>
                <w:sz w:val="21"/>
                <w:highlight w:val="none"/>
              </w:rPr>
              <w:t>为准。按本款前述规定仍不能形成结论的，由</w:t>
            </w:r>
            <w:r>
              <w:rPr>
                <w:rFonts w:hint="eastAsia" w:hAnsi="宋体"/>
                <w:color w:val="auto"/>
                <w:sz w:val="21"/>
                <w:highlight w:val="none"/>
              </w:rPr>
              <w:t>采购</w:t>
            </w:r>
            <w:r>
              <w:rPr>
                <w:rFonts w:hint="default" w:hAnsi="宋体"/>
                <w:color w:val="auto"/>
                <w:sz w:val="21"/>
                <w:highlight w:val="none"/>
              </w:rPr>
              <w:t>人</w:t>
            </w:r>
            <w:r>
              <w:rPr>
                <w:rFonts w:hint="eastAsia" w:hAnsi="宋体"/>
                <w:color w:val="auto"/>
                <w:sz w:val="21"/>
                <w:highlight w:val="none"/>
              </w:rPr>
              <w:t>或者采购代理机构</w:t>
            </w:r>
            <w:r>
              <w:rPr>
                <w:rFonts w:hint="default" w:hAnsi="宋体"/>
                <w:color w:val="auto"/>
                <w:sz w:val="21"/>
                <w:highlight w:val="none"/>
              </w:rPr>
              <w:t>负责解释。</w:t>
            </w:r>
          </w:p>
        </w:tc>
      </w:tr>
      <w:tr w14:paraId="42A5C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0825240">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33.2</w:t>
            </w:r>
          </w:p>
        </w:tc>
        <w:tc>
          <w:tcPr>
            <w:tcW w:w="7912" w:type="dxa"/>
            <w:vAlign w:val="center"/>
          </w:tcPr>
          <w:p w14:paraId="129A4069">
            <w:pPr>
              <w:pStyle w:val="26"/>
              <w:keepNext w:val="0"/>
              <w:keepLines w:val="0"/>
              <w:suppressLineNumbers w:val="0"/>
              <w:snapToGrid w:val="0"/>
              <w:spacing w:before="0" w:beforeAutospacing="0" w:after="0" w:afterAutospacing="0" w:line="390" w:lineRule="exact"/>
              <w:ind w:left="0" w:right="0"/>
              <w:rPr>
                <w:rFonts w:hint="default" w:hAnsi="宋体"/>
                <w:color w:val="auto"/>
                <w:sz w:val="21"/>
                <w:highlight w:val="none"/>
              </w:rPr>
            </w:pPr>
            <w:r>
              <w:rPr>
                <w:rFonts w:hint="eastAsia" w:hAnsi="宋体"/>
                <w:color w:val="auto"/>
                <w:sz w:val="21"/>
                <w:highlight w:val="none"/>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承包人如开设了农民工工资专用账户的，应按规定比例足额将农民工工资保证金存入账户，也可以使用银行保函。工程竣工验收结算经审定后，按照规定程序，将农民工工资保证金没有使用或剩余的金额退还给承包人。</w:t>
            </w:r>
          </w:p>
        </w:tc>
      </w:tr>
      <w:tr w14:paraId="33960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D3D4B2B">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w:t>
            </w:r>
            <w:r>
              <w:rPr>
                <w:rFonts w:hint="default" w:ascii="宋体" w:hAnsi="宋体" w:cs="宋体"/>
                <w:color w:val="auto"/>
                <w:szCs w:val="21"/>
                <w:highlight w:val="none"/>
              </w:rPr>
              <w:t>3.</w:t>
            </w:r>
            <w:r>
              <w:rPr>
                <w:rFonts w:hint="eastAsia" w:ascii="宋体" w:hAnsi="宋体" w:cs="宋体"/>
                <w:color w:val="auto"/>
                <w:szCs w:val="21"/>
                <w:highlight w:val="none"/>
              </w:rPr>
              <w:t>3</w:t>
            </w:r>
          </w:p>
        </w:tc>
        <w:tc>
          <w:tcPr>
            <w:tcW w:w="7912" w:type="dxa"/>
            <w:vAlign w:val="center"/>
          </w:tcPr>
          <w:p w14:paraId="63799972">
            <w:pPr>
              <w:pStyle w:val="26"/>
              <w:keepNext w:val="0"/>
              <w:keepLines w:val="0"/>
              <w:suppressLineNumbers w:val="0"/>
              <w:snapToGrid w:val="0"/>
              <w:spacing w:before="0" w:beforeAutospacing="0" w:after="0" w:afterAutospacing="0" w:line="390" w:lineRule="exact"/>
              <w:ind w:left="0" w:right="0"/>
              <w:rPr>
                <w:rFonts w:hint="default" w:hAnsi="宋体"/>
                <w:color w:val="auto"/>
                <w:sz w:val="21"/>
                <w:highlight w:val="none"/>
              </w:rPr>
            </w:pPr>
            <w:r>
              <w:rPr>
                <w:rFonts w:hint="eastAsia" w:hAnsi="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4B0088C0">
            <w:pPr>
              <w:pStyle w:val="26"/>
              <w:keepNext w:val="0"/>
              <w:keepLines w:val="0"/>
              <w:suppressLineNumbers w:val="0"/>
              <w:snapToGrid w:val="0"/>
              <w:spacing w:before="0" w:beforeAutospacing="0" w:after="0" w:afterAutospacing="0" w:line="390" w:lineRule="exact"/>
              <w:ind w:left="0" w:right="0"/>
              <w:rPr>
                <w:rFonts w:hint="default" w:hAnsi="宋体"/>
                <w:color w:val="auto"/>
                <w:sz w:val="21"/>
                <w:highlight w:val="none"/>
              </w:rPr>
            </w:pPr>
            <w:r>
              <w:rPr>
                <w:rFonts w:hint="eastAsia" w:hAnsi="宋体"/>
                <w:color w:val="auto"/>
                <w:sz w:val="21"/>
                <w:highlight w:val="none"/>
              </w:rPr>
              <w:t>2.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6E8AFB86">
            <w:pPr>
              <w:pStyle w:val="26"/>
              <w:keepNext w:val="0"/>
              <w:keepLines w:val="0"/>
              <w:suppressLineNumbers w:val="0"/>
              <w:snapToGrid w:val="0"/>
              <w:spacing w:before="0" w:beforeAutospacing="0" w:after="0" w:afterAutospacing="0" w:line="390" w:lineRule="exact"/>
              <w:ind w:left="0" w:right="0"/>
              <w:rPr>
                <w:rFonts w:hint="default" w:hAnsi="宋体"/>
                <w:color w:val="auto"/>
                <w:sz w:val="21"/>
                <w:highlight w:val="none"/>
              </w:rPr>
            </w:pPr>
            <w:r>
              <w:rPr>
                <w:rFonts w:hint="default" w:hAnsi="宋体"/>
                <w:color w:val="auto"/>
                <w:sz w:val="21"/>
                <w:highlight w:val="none"/>
              </w:rPr>
              <w:t>3</w:t>
            </w:r>
            <w:r>
              <w:rPr>
                <w:rFonts w:hint="eastAsia" w:hAnsi="宋体"/>
                <w:color w:val="auto"/>
                <w:sz w:val="21"/>
                <w:highlight w:val="none"/>
              </w:rPr>
              <w:t>.供应商为其他组织时，本磋商文件规定的法定代表人指负责人。本磋商文件所称负责人是指参加竞标的其他组织营业执照或者执业许可证等证照上的负责人。</w:t>
            </w:r>
          </w:p>
          <w:p w14:paraId="64E03259">
            <w:pPr>
              <w:pStyle w:val="26"/>
              <w:keepNext w:val="0"/>
              <w:keepLines w:val="0"/>
              <w:suppressLineNumbers w:val="0"/>
              <w:snapToGrid w:val="0"/>
              <w:spacing w:before="0" w:beforeAutospacing="0" w:after="0" w:afterAutospacing="0" w:line="390" w:lineRule="exact"/>
              <w:ind w:left="0" w:right="0"/>
              <w:rPr>
                <w:rFonts w:hint="default" w:hAnsi="宋体"/>
                <w:color w:val="auto"/>
                <w:sz w:val="21"/>
                <w:highlight w:val="none"/>
              </w:rPr>
            </w:pPr>
            <w:r>
              <w:rPr>
                <w:rFonts w:hint="default" w:hAnsi="宋体"/>
                <w:color w:val="auto"/>
                <w:sz w:val="21"/>
                <w:highlight w:val="none"/>
              </w:rPr>
              <w:t>4.</w:t>
            </w:r>
            <w:r>
              <w:rPr>
                <w:rFonts w:hint="eastAsia" w:hAnsi="宋体"/>
                <w:color w:val="auto"/>
                <w:sz w:val="21"/>
                <w:highlight w:val="none"/>
              </w:rPr>
              <w:t>本磋商文件中描述供应商的“签字”是指供应商的法定代表人或者委托代理人亲自在文件规定签署处亲笔写上个人的名字的行为，私章、签字章、印鉴、影印等其他形式均不能代替亲笔签字。</w:t>
            </w:r>
          </w:p>
          <w:p w14:paraId="07F8651D">
            <w:pPr>
              <w:pStyle w:val="26"/>
              <w:keepNext w:val="0"/>
              <w:keepLines w:val="0"/>
              <w:suppressLineNumbers w:val="0"/>
              <w:snapToGrid w:val="0"/>
              <w:spacing w:before="0" w:beforeAutospacing="0" w:after="0" w:afterAutospacing="0" w:line="390" w:lineRule="exact"/>
              <w:ind w:left="0" w:right="0"/>
              <w:rPr>
                <w:rFonts w:hint="default" w:hAnsi="宋体"/>
                <w:color w:val="auto"/>
                <w:sz w:val="21"/>
                <w:highlight w:val="none"/>
              </w:rPr>
            </w:pPr>
            <w:r>
              <w:rPr>
                <w:rFonts w:hint="eastAsia" w:hAnsi="宋体"/>
                <w:color w:val="auto"/>
                <w:sz w:val="21"/>
                <w:highlight w:val="none"/>
              </w:rPr>
              <w:t>5</w:t>
            </w:r>
            <w:r>
              <w:rPr>
                <w:rFonts w:hint="default" w:hAnsi="宋体"/>
                <w:color w:val="auto"/>
                <w:sz w:val="21"/>
                <w:highlight w:val="none"/>
              </w:rPr>
              <w:t>.</w:t>
            </w:r>
            <w:r>
              <w:rPr>
                <w:rFonts w:hint="eastAsia" w:hAnsi="宋体"/>
                <w:color w:val="auto"/>
                <w:sz w:val="21"/>
                <w:highlight w:val="none"/>
              </w:rPr>
              <w:t>本磋商文件所称的“以上”“以下”“以内”“届满”，包括本数；所称的“不满”“超过”“以外”，不包括本数。</w:t>
            </w:r>
          </w:p>
          <w:p w14:paraId="5F4BC8C6">
            <w:pPr>
              <w:keepNext w:val="0"/>
              <w:keepLines w:val="0"/>
              <w:suppressLineNumbers w:val="0"/>
              <w:spacing w:before="0" w:beforeAutospacing="0" w:after="0" w:afterAutospacing="0" w:line="350" w:lineRule="exact"/>
              <w:ind w:left="0" w:right="0"/>
              <w:rPr>
                <w:rFonts w:hint="default" w:ascii="宋体" w:hAnsi="宋体"/>
                <w:b/>
                <w:bCs/>
                <w:color w:val="auto"/>
                <w:szCs w:val="21"/>
                <w:highlight w:val="none"/>
              </w:rPr>
            </w:pPr>
            <w:r>
              <w:rPr>
                <w:rFonts w:hint="eastAsia" w:ascii="宋体" w:hAnsi="宋体"/>
                <w:b/>
                <w:bCs/>
                <w:color w:val="auto"/>
                <w:highlight w:val="none"/>
              </w:rPr>
              <w:t>6.</w:t>
            </w:r>
            <w:r>
              <w:rPr>
                <w:rFonts w:hint="eastAsia" w:ascii="宋体" w:hAnsi="宋体"/>
                <w:b/>
                <w:bCs/>
                <w:color w:val="auto"/>
                <w:szCs w:val="21"/>
                <w:highlight w:val="none"/>
              </w:rPr>
              <w:t>根据《关于做好政府采购有关信用主体标识码登记及在政府采购活动中查询使用信用记录有关问题的通知》（桂财采〔2016〕37号）的通知，由采购代理机构对第一成交候选人进行信用查询：</w:t>
            </w:r>
          </w:p>
          <w:p w14:paraId="79623974">
            <w:pPr>
              <w:keepNext w:val="0"/>
              <w:keepLines w:val="0"/>
              <w:suppressLineNumbers w:val="0"/>
              <w:spacing w:before="0" w:beforeAutospacing="0" w:after="0" w:afterAutospacing="0" w:line="350" w:lineRule="exact"/>
              <w:ind w:left="0" w:right="0"/>
              <w:rPr>
                <w:rFonts w:hint="default" w:ascii="宋体" w:hAnsi="宋体"/>
                <w:b/>
                <w:bCs/>
                <w:color w:val="auto"/>
                <w:szCs w:val="21"/>
                <w:highlight w:val="none"/>
              </w:rPr>
            </w:pPr>
            <w:r>
              <w:rPr>
                <w:rFonts w:hint="eastAsia" w:ascii="宋体" w:hAnsi="宋体"/>
                <w:b/>
                <w:bCs/>
                <w:color w:val="auto"/>
                <w:szCs w:val="21"/>
                <w:highlight w:val="none"/>
              </w:rPr>
              <w:t>⑴查询渠道：“信用中国”网站（www.creditchina.gov.cn）、中国政府采购网（www.ccgp.gov.cn）等；</w:t>
            </w:r>
          </w:p>
          <w:p w14:paraId="48431C10">
            <w:pPr>
              <w:keepNext w:val="0"/>
              <w:keepLines w:val="0"/>
              <w:suppressLineNumbers w:val="0"/>
              <w:spacing w:before="0" w:beforeAutospacing="0" w:after="0" w:afterAutospacing="0" w:line="350" w:lineRule="exact"/>
              <w:ind w:left="0" w:right="0"/>
              <w:rPr>
                <w:rFonts w:hint="default" w:ascii="宋体" w:hAnsi="宋体"/>
                <w:b/>
                <w:bCs/>
                <w:color w:val="auto"/>
                <w:szCs w:val="21"/>
                <w:highlight w:val="none"/>
              </w:rPr>
            </w:pPr>
            <w:r>
              <w:rPr>
                <w:rFonts w:hint="eastAsia" w:ascii="宋体" w:hAnsi="宋体"/>
                <w:b/>
                <w:bCs/>
                <w:color w:val="auto"/>
                <w:szCs w:val="21"/>
                <w:highlight w:val="none"/>
              </w:rPr>
              <w:t>⑵查询截止时间：成交通知书发出前；</w:t>
            </w:r>
          </w:p>
          <w:p w14:paraId="519874A4">
            <w:pPr>
              <w:keepNext w:val="0"/>
              <w:keepLines w:val="0"/>
              <w:suppressLineNumbers w:val="0"/>
              <w:spacing w:before="0" w:beforeAutospacing="0" w:after="0" w:afterAutospacing="0" w:line="350" w:lineRule="exact"/>
              <w:ind w:left="0" w:right="0"/>
              <w:rPr>
                <w:rFonts w:hint="default" w:ascii="宋体" w:hAnsi="宋体"/>
                <w:b/>
                <w:bCs/>
                <w:color w:val="auto"/>
                <w:szCs w:val="21"/>
                <w:highlight w:val="none"/>
              </w:rPr>
            </w:pPr>
            <w:r>
              <w:rPr>
                <w:rFonts w:hint="eastAsia" w:ascii="宋体" w:hAnsi="宋体"/>
                <w:b/>
                <w:bCs/>
                <w:color w:val="auto"/>
                <w:szCs w:val="21"/>
                <w:highlight w:val="none"/>
              </w:rPr>
              <w:t>⑶信用信息查询记录和证据留存方式：在查询网站中直接打印查询记录，打印材料作为采购活动资料保存；</w:t>
            </w:r>
          </w:p>
          <w:p w14:paraId="60BFA7D2">
            <w:pPr>
              <w:pStyle w:val="26"/>
              <w:keepNext w:val="0"/>
              <w:keepLines w:val="0"/>
              <w:suppressLineNumbers w:val="0"/>
              <w:snapToGrid w:val="0"/>
              <w:spacing w:before="0" w:beforeAutospacing="0" w:after="0" w:afterAutospacing="0" w:line="390" w:lineRule="exact"/>
              <w:ind w:left="0" w:right="0"/>
              <w:rPr>
                <w:rFonts w:hint="default"/>
                <w:color w:val="auto"/>
                <w:highlight w:val="none"/>
              </w:rPr>
            </w:pPr>
            <w:r>
              <w:rPr>
                <w:rFonts w:hint="eastAsia" w:hAnsi="宋体"/>
                <w:b/>
                <w:bCs/>
                <w:color w:val="auto"/>
                <w:sz w:val="21"/>
                <w:highlight w:val="none"/>
              </w:rPr>
              <w:t>⑷信用信息使用规则：对在“信用中国”网站（www.creditchina.gov.cn）、中国政府采购网（www.ccgp.gov.cn）等渠道列入失信被执行人、</w:t>
            </w:r>
            <w:r>
              <w:rPr>
                <w:rFonts w:hint="eastAsia" w:hAnsi="宋体" w:cs="宋体"/>
                <w:b/>
                <w:bCs/>
                <w:color w:val="auto"/>
                <w:sz w:val="21"/>
                <w:highlight w:val="none"/>
              </w:rPr>
              <w:t>重大税收违法失信主体</w:t>
            </w:r>
            <w:r>
              <w:rPr>
                <w:rFonts w:hint="eastAsia" w:hAnsi="宋体"/>
                <w:b/>
                <w:bCs/>
                <w:color w:val="auto"/>
                <w:sz w:val="21"/>
                <w:highlight w:val="none"/>
              </w:rPr>
              <w:t>、政府采购严重违法失信行为记录名单及其他不符合《中华人民共和国政府采购法》第二十二条规定条件的供应商，取消其成交候选人资格。</w:t>
            </w:r>
          </w:p>
        </w:tc>
      </w:tr>
    </w:tbl>
    <w:p w14:paraId="1CAC6632">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1CD95752">
      <w:pPr>
        <w:spacing w:line="400" w:lineRule="exact"/>
        <w:jc w:val="center"/>
        <w:rPr>
          <w:rFonts w:ascii="宋体" w:hAnsi="宋体"/>
          <w:b/>
          <w:color w:val="auto"/>
          <w:sz w:val="32"/>
          <w:szCs w:val="32"/>
          <w:highlight w:val="none"/>
        </w:rPr>
      </w:pPr>
    </w:p>
    <w:p w14:paraId="58F79F62">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一、总则</w:t>
      </w:r>
    </w:p>
    <w:p w14:paraId="2EAA4E17">
      <w:pPr>
        <w:spacing w:line="400" w:lineRule="exact"/>
        <w:rPr>
          <w:rFonts w:ascii="宋体" w:hAnsi="宋体"/>
          <w:color w:val="auto"/>
          <w:szCs w:val="21"/>
          <w:highlight w:val="none"/>
        </w:rPr>
      </w:pPr>
    </w:p>
    <w:p w14:paraId="568299E0">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1.适用范围</w:t>
      </w:r>
    </w:p>
    <w:p w14:paraId="6B5618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60EAE6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1.2本竞争性磋商文件（以下简称磋商文件）适用于本项目的所有采购程序和环节（法律、法规另有规定的，从其规定）</w:t>
      </w:r>
      <w:r>
        <w:rPr>
          <w:rFonts w:hint="eastAsia" w:ascii="宋体" w:hAnsi="宋体" w:cs="宋体"/>
          <w:color w:val="auto"/>
          <w:spacing w:val="-6"/>
          <w:szCs w:val="21"/>
          <w:highlight w:val="none"/>
        </w:rPr>
        <w:t>。</w:t>
      </w:r>
    </w:p>
    <w:p w14:paraId="2E90B039">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2.定义</w:t>
      </w:r>
    </w:p>
    <w:p w14:paraId="7FC535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4B9AA676">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06F0CE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5F2D7D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2.4“工程”是指建设工程，包括建筑物和构筑物的新建、改建、扩建、装修、拆除、修缮等。</w:t>
      </w:r>
    </w:p>
    <w:p w14:paraId="6F3A42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2.5“竞标”是指供应商按照本项目竞争性磋商公告规定的方式获取磋商文件、提交响应文件并希望获得标的的行为。</w:t>
      </w:r>
    </w:p>
    <w:p w14:paraId="29035ED5">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0159E108">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2.7“响应文件”是指：供应商根据本磋商文件要求，编制包含资格证明、报价、商务技术等所有内容的文件</w:t>
      </w:r>
      <w:r>
        <w:rPr>
          <w:rFonts w:hint="eastAsia" w:ascii="宋体" w:hAnsi="宋体" w:cs="宋体"/>
          <w:color w:val="auto"/>
          <w:spacing w:val="-6"/>
          <w:szCs w:val="21"/>
          <w:highlight w:val="none"/>
        </w:rPr>
        <w:t>。</w:t>
      </w:r>
    </w:p>
    <w:p w14:paraId="701AA69A">
      <w:pPr>
        <w:spacing w:line="360" w:lineRule="auto"/>
        <w:ind w:firstLine="420" w:firstLineChars="200"/>
        <w:contextualSpacing/>
        <w:rPr>
          <w:rFonts w:ascii="宋体" w:hAnsi="宋体" w:cs="宋体"/>
          <w:b/>
          <w:bCs/>
          <w:color w:val="auto"/>
          <w:szCs w:val="21"/>
          <w:highlight w:val="none"/>
        </w:rPr>
      </w:pPr>
      <w:r>
        <w:rPr>
          <w:rFonts w:hint="eastAsia" w:ascii="宋体" w:hAnsi="宋体" w:cs="宋体"/>
          <w:b/>
          <w:bCs/>
          <w:color w:val="auto"/>
          <w:szCs w:val="21"/>
          <w:highlight w:val="none"/>
        </w:rPr>
        <w:t>2.8“实质性要求”是指磋商文件中已经指明不满足则响应文件按无效处理的条款，或者不能负偏离的条款，或者采购需求中带“▲”的条款。实质性要求若有任意一项不满足的，响应文件按无效处理。</w:t>
      </w:r>
    </w:p>
    <w:p w14:paraId="497652B7">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2.9“允许负偏离的条款”是指采购需求中的不属于“实质性要求”的条款。</w:t>
      </w:r>
    </w:p>
    <w:p w14:paraId="5B5003BB">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2.10“首次报价”是指供应商提交的首次响应文件中的报价。</w:t>
      </w:r>
    </w:p>
    <w:p w14:paraId="27AC0131">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3.供应商的资格条件</w:t>
      </w:r>
    </w:p>
    <w:p w14:paraId="0CB669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4CFEFB23">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4.竞标费用</w:t>
      </w:r>
    </w:p>
    <w:p w14:paraId="6CF549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191760A4">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5.联合体竞标</w:t>
      </w:r>
    </w:p>
    <w:p w14:paraId="30E326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154716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highlight w:val="none"/>
        </w:rPr>
        <w:t>如接受联合体竞标，</w:t>
      </w:r>
      <w:r>
        <w:rPr>
          <w:rFonts w:hint="eastAsia" w:ascii="宋体" w:hAnsi="宋体" w:cs="宋体"/>
          <w:color w:val="auto"/>
          <w:szCs w:val="21"/>
          <w:highlight w:val="none"/>
        </w:rPr>
        <w:t>联合体竞标要求详见“供应商须知前附表”。</w:t>
      </w:r>
    </w:p>
    <w:p w14:paraId="63423D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w:t>
      </w:r>
      <w:bookmarkStart w:id="53" w:name="_Hlk66782192"/>
      <w:r>
        <w:rPr>
          <w:rFonts w:hint="eastAsia" w:ascii="宋体" w:hAnsi="宋体" w:cs="宋体"/>
          <w:color w:val="auto"/>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-2%的扣除，用扣除后的价格参加评审。</w:t>
      </w:r>
      <w:bookmarkEnd w:id="53"/>
    </w:p>
    <w:p w14:paraId="7F476D3F">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 xml:space="preserve">6.转包与分包             </w:t>
      </w:r>
    </w:p>
    <w:p w14:paraId="7237182C">
      <w:pPr>
        <w:pStyle w:val="6"/>
        <w:keepNext w:val="0"/>
        <w:keepLines w:val="0"/>
        <w:spacing w:before="0" w:after="0" w:line="360" w:lineRule="auto"/>
        <w:ind w:left="420" w:leftChars="200"/>
        <w:rPr>
          <w:rFonts w:ascii="宋体" w:hAnsi="宋体" w:cs="宋体"/>
          <w:b w:val="0"/>
          <w:color w:val="auto"/>
          <w:sz w:val="21"/>
          <w:szCs w:val="21"/>
          <w:highlight w:val="none"/>
        </w:rPr>
      </w:pPr>
      <w:bookmarkStart w:id="54" w:name="_Toc254970673"/>
      <w:bookmarkStart w:id="55" w:name="_Toc254970532"/>
      <w:r>
        <w:rPr>
          <w:rFonts w:hint="eastAsia" w:ascii="宋体" w:hAnsi="宋体" w:cs="宋体"/>
          <w:b w:val="0"/>
          <w:color w:val="auto"/>
          <w:sz w:val="21"/>
          <w:szCs w:val="21"/>
          <w:highlight w:val="none"/>
        </w:rPr>
        <w:t>6.1本项目不允许转包。</w:t>
      </w:r>
    </w:p>
    <w:p w14:paraId="46A74DCA">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14:paraId="1B601753">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6.3供应商根据磋商文件的规定和采购项目的实际情况，拟在成交后将成交项目的非主体、非关键性工作分包的，应当在响应文件中载明</w:t>
      </w:r>
    </w:p>
    <w:p w14:paraId="506B95EE">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承担主体，分包承担主体应当具备相应资质条件且不得再次分包。</w:t>
      </w:r>
    </w:p>
    <w:p w14:paraId="4A63AFF1">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7.特别说明</w:t>
      </w:r>
      <w:bookmarkEnd w:id="54"/>
      <w:bookmarkEnd w:id="55"/>
    </w:p>
    <w:p w14:paraId="6D617A47">
      <w:pPr>
        <w:spacing w:line="360" w:lineRule="auto"/>
        <w:ind w:firstLine="420" w:firstLineChars="200"/>
        <w:rPr>
          <w:rFonts w:ascii="宋体" w:hAnsi="宋体" w:cs="宋体"/>
          <w:color w:val="auto"/>
          <w:szCs w:val="21"/>
          <w:highlight w:val="none"/>
        </w:rPr>
      </w:pPr>
      <w:bookmarkStart w:id="56" w:name="_8.1提供相同品牌产品且通过资格审查、符合性审查的不同投标人参加同一合"/>
      <w:bookmarkEnd w:id="56"/>
      <w:r>
        <w:rPr>
          <w:rFonts w:hint="eastAsia" w:ascii="宋体" w:hAnsi="宋体" w:cs="宋体"/>
          <w:color w:val="auto"/>
          <w:szCs w:val="21"/>
          <w:highlight w:val="none"/>
        </w:rPr>
        <w:t>7.1</w:t>
      </w:r>
      <w:bookmarkStart w:id="57"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57"/>
    <w:p w14:paraId="4F9CEB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520F1A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7.3供应商在竞标活动中提供任何虚假材料谋取成交的，将报财政部门查处；签订合同后发现的，成交供应商须依照</w:t>
      </w:r>
      <w:bookmarkStart w:id="58" w:name="_Hlk170492034"/>
      <w:r>
        <w:rPr>
          <w:rFonts w:hint="eastAsia" w:ascii="宋体" w:hAnsi="宋体" w:cs="宋体"/>
          <w:color w:val="auto"/>
          <w:szCs w:val="21"/>
          <w:highlight w:val="none"/>
        </w:rPr>
        <w:t>有关法律法规</w:t>
      </w:r>
      <w:bookmarkEnd w:id="58"/>
      <w:r>
        <w:rPr>
          <w:rFonts w:hint="eastAsia" w:ascii="宋体" w:hAnsi="宋体" w:cs="宋体"/>
          <w:color w:val="auto"/>
          <w:szCs w:val="21"/>
          <w:highlight w:val="none"/>
        </w:rPr>
        <w:t>规定赔偿采购人，且民事赔偿并不免除违法供应商的行政与刑事责任。</w:t>
      </w:r>
    </w:p>
    <w:p w14:paraId="288A93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67560F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6BACA2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58F242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60E16C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42FDCE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1DF3A4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6EB6F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312298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173EC6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5E6400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3D72D6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799833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5EF5749A">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14:paraId="098731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14:paraId="2284E6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5F994A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16C572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2FC667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6973D8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C4256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37F811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42BC261D">
      <w:pPr>
        <w:spacing w:line="360" w:lineRule="auto"/>
        <w:ind w:left="1" w:firstLine="417" w:firstLineChars="199"/>
        <w:jc w:val="center"/>
        <w:rPr>
          <w:rFonts w:ascii="宋体" w:hAnsi="宋体" w:cs="宋体"/>
          <w:color w:val="auto"/>
          <w:highlight w:val="none"/>
        </w:rPr>
      </w:pPr>
      <w:bookmarkStart w:id="59" w:name="_Toc254970534"/>
      <w:bookmarkStart w:id="60" w:name="_Toc254970675"/>
    </w:p>
    <w:p w14:paraId="470F0565">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二、磋商文件</w:t>
      </w:r>
      <w:bookmarkEnd w:id="59"/>
      <w:bookmarkEnd w:id="60"/>
    </w:p>
    <w:p w14:paraId="264ECBE2">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8.磋商文件的构成</w:t>
      </w:r>
    </w:p>
    <w:p w14:paraId="37F06EE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第一章  竞争性磋商公告；</w:t>
      </w:r>
    </w:p>
    <w:p w14:paraId="1DDC3B1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第二章  供应商须知； </w:t>
      </w:r>
    </w:p>
    <w:p w14:paraId="24D29AC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第三章  采购需求；</w:t>
      </w:r>
    </w:p>
    <w:p w14:paraId="3E89509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第四章  评审程序、评审方法和评审标准；</w:t>
      </w:r>
    </w:p>
    <w:p w14:paraId="34E65BF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第五章  工程量清单及图纸（另附）；</w:t>
      </w:r>
    </w:p>
    <w:p w14:paraId="0463172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第六章  响应文件格式；</w:t>
      </w:r>
    </w:p>
    <w:p w14:paraId="687B254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第七章  合同文本。</w:t>
      </w:r>
    </w:p>
    <w:p w14:paraId="57510767">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9.供应商的询问</w:t>
      </w:r>
    </w:p>
    <w:p w14:paraId="5A95DD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14:paraId="4264097C">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10.磋商文件的澄清和修改</w:t>
      </w:r>
    </w:p>
    <w:p w14:paraId="12CCA3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提交首次响应文件截止之日前，采购人或者采购代理机构可以对已发出的磋商文件进行必要的澄清或者修改，澄清或者修改的内容作为磋商文件的组成部分。澄清或者修改的内容可能影响响应文件编制的，采购人或者采购代理机构应当在提交首次响应文件截止之日3个工作日前，以书面形式通知所有获取磋商文件的供应商，不足3个工作日的，应当顺延提交首次响应文件截止之日。</w:t>
      </w:r>
    </w:p>
    <w:p w14:paraId="4F971A3C">
      <w:pPr>
        <w:spacing w:line="360" w:lineRule="auto"/>
        <w:rPr>
          <w:rFonts w:ascii="宋体" w:hAnsi="宋体" w:cs="宋体"/>
          <w:color w:val="auto"/>
          <w:szCs w:val="21"/>
          <w:highlight w:val="none"/>
        </w:rPr>
      </w:pPr>
    </w:p>
    <w:p w14:paraId="72D64FB4">
      <w:pPr>
        <w:spacing w:line="360" w:lineRule="auto"/>
        <w:jc w:val="center"/>
        <w:rPr>
          <w:rFonts w:ascii="宋体" w:hAnsi="宋体" w:cs="宋体"/>
          <w:b/>
          <w:bCs/>
          <w:color w:val="auto"/>
          <w:szCs w:val="21"/>
          <w:highlight w:val="none"/>
        </w:rPr>
      </w:pPr>
      <w:r>
        <w:rPr>
          <w:rFonts w:hint="eastAsia" w:ascii="宋体" w:hAnsi="宋体" w:cs="宋体"/>
          <w:b/>
          <w:bCs/>
          <w:color w:val="auto"/>
          <w:sz w:val="32"/>
          <w:szCs w:val="32"/>
          <w:highlight w:val="none"/>
        </w:rPr>
        <w:t>三、响应文件的编制</w:t>
      </w:r>
    </w:p>
    <w:p w14:paraId="22BC996A">
      <w:pPr>
        <w:spacing w:line="360" w:lineRule="auto"/>
        <w:rPr>
          <w:rFonts w:ascii="宋体" w:hAnsi="宋体" w:cs="宋体"/>
          <w:color w:val="auto"/>
          <w:szCs w:val="21"/>
          <w:highlight w:val="none"/>
        </w:rPr>
      </w:pPr>
    </w:p>
    <w:p w14:paraId="38563613">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11.响应文件的编制原则</w:t>
      </w:r>
    </w:p>
    <w:p w14:paraId="5E6544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6DF1908D">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12.响应文件的组成</w:t>
      </w:r>
    </w:p>
    <w:p w14:paraId="674350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1C754D0C">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5B197E74">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12.1.2报价文件：详见“供应商须知前附表”</w:t>
      </w:r>
    </w:p>
    <w:p w14:paraId="7C1511B6">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4F5570B2">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13.计量单位</w:t>
      </w:r>
    </w:p>
    <w:p w14:paraId="1BD146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469D2815">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14.竞标的风险</w:t>
      </w:r>
    </w:p>
    <w:p w14:paraId="161795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21C000BB">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15.竞标报价</w:t>
      </w:r>
    </w:p>
    <w:p w14:paraId="5DE8CA31">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15.1竞标报价应按磋商文件第五章“工程量清单及图纸”的要求及第六章“响应文件格式”填写相应表格。</w:t>
      </w:r>
    </w:p>
    <w:p w14:paraId="46A1A5D9">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42644CD3">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15.3本项目的增值税计税方法见“供应商须知前附表”。</w:t>
      </w:r>
    </w:p>
    <w:p w14:paraId="1CE41013">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15.4竞标报价要求</w:t>
      </w:r>
    </w:p>
    <w:p w14:paraId="74495F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15.4.1供应商的竞标报价应符合以下要求，否则响应文件按无效处理：</w:t>
      </w:r>
    </w:p>
    <w:p w14:paraId="3DD14241">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（1）供应商必须就“采购需求”中所竞标的全部内容分别作完整唯一总价报价，不得存在漏项报价；</w:t>
      </w:r>
    </w:p>
    <w:p w14:paraId="1FE796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（2）供应商必须就本项目的单项内容作唯一报价。</w:t>
      </w:r>
    </w:p>
    <w:p w14:paraId="127BD8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15.4.2竞标报价（包含首次报价、最后报价）超过本项目规定的采购预算金额或者最高限价的，其响应文件将按无效处理。</w:t>
      </w:r>
    </w:p>
    <w:p w14:paraId="342EDD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15.4.3</w:t>
      </w:r>
      <w:bookmarkStart w:id="61" w:name="_Hlk42592874"/>
      <w:r>
        <w:rPr>
          <w:rFonts w:hint="eastAsia" w:ascii="宋体" w:hAnsi="宋体" w:cs="宋体"/>
          <w:color w:val="auto"/>
          <w:szCs w:val="21"/>
          <w:highlight w:val="none"/>
        </w:rPr>
        <w:t>竞标报价（包含首次报价、最后报价）超过分项采购预算金额或者最高限价的（如有要求），其响应文件将按无效处理。</w:t>
      </w:r>
    </w:p>
    <w:p w14:paraId="0505BF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15.4.4供应商在提交响应文件截止时间前修改竞标函中的竞标报价，应同时修改响应文件“已标价工程量清单”中的相应报价。此修改须符合本须知正文第20条、第21条的有关要求。</w:t>
      </w:r>
    </w:p>
    <w:bookmarkEnd w:id="61"/>
    <w:p w14:paraId="489D9204">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16.竞标有效期</w:t>
      </w:r>
    </w:p>
    <w:p w14:paraId="5FF787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361286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7FBD22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15F49171">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17.磋商保证金</w:t>
      </w:r>
    </w:p>
    <w:p w14:paraId="627C58D1">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57682FAD">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52F9F350">
      <w:pPr>
        <w:spacing w:line="360" w:lineRule="auto"/>
        <w:ind w:firstLine="420" w:firstLineChars="200"/>
        <w:rPr>
          <w:rFonts w:ascii="宋体" w:hAnsi="宋体" w:cs="宋体"/>
          <w:color w:val="auto"/>
          <w:szCs w:val="21"/>
          <w:highlight w:val="none"/>
        </w:rPr>
      </w:pPr>
      <w:bookmarkStart w:id="62" w:name="_Hlk66782243"/>
      <w:r>
        <w:rPr>
          <w:rFonts w:hint="eastAsia" w:ascii="宋体" w:hAnsi="宋体" w:cs="宋体"/>
          <w:color w:val="auto"/>
          <w:szCs w:val="21"/>
          <w:highlight w:val="none"/>
        </w:rPr>
        <w:t>未成交供应商的磋商保证金自成交通知书发出之日起5个工作日内退还；成交供应商的磋商保证金自签订合同之日起5个工作日内退还或者转为成交供应商的履约保证金。</w:t>
      </w:r>
      <w:bookmarkEnd w:id="62"/>
      <w:r>
        <w:rPr>
          <w:rFonts w:hint="eastAsia" w:ascii="宋体" w:hAnsi="宋体" w:cs="宋体"/>
          <w:color w:val="auto"/>
          <w:szCs w:val="21"/>
          <w:highlight w:val="none"/>
        </w:rPr>
        <w:t xml:space="preserve"> </w:t>
      </w:r>
    </w:p>
    <w:p w14:paraId="59F81A61">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17.3磋商保证金不计息。</w:t>
      </w:r>
    </w:p>
    <w:p w14:paraId="1E18DEAC">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3B232162">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4DC48F95">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14:paraId="08C51EF3">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0D40FF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118D5C8C">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77242AF7">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41914A34">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18.响应文件编制的要求</w:t>
      </w:r>
    </w:p>
    <w:p w14:paraId="7DD88C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按照本项目竞争性磋商文件规定的格式和顺序和广西政府采购云平台的要求编制并加密。响应文件内容不完整、编排混乱导致响应文件被误读、漏读或者查找不到相关内容的，由此引发的后果由供应商承担。</w:t>
      </w:r>
    </w:p>
    <w:p w14:paraId="77847C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30A12C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14:paraId="324743A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w:t>
      </w:r>
      <w:bookmarkStart w:id="63" w:name="_Hlk170492647"/>
      <w:r>
        <w:rPr>
          <w:rFonts w:hint="eastAsia" w:ascii="宋体" w:hAnsi="宋体" w:cs="宋体"/>
          <w:color w:val="auto"/>
          <w:szCs w:val="21"/>
          <w:highlight w:val="none"/>
        </w:rPr>
        <w:t>，并与广西政府采购云平台中获取磋商文件的供应商名称一致，</w:t>
      </w:r>
      <w:bookmarkEnd w:id="63"/>
      <w:r>
        <w:rPr>
          <w:rFonts w:hint="eastAsia" w:ascii="宋体" w:hAnsi="宋体" w:cs="宋体"/>
          <w:color w:val="auto"/>
          <w:szCs w:val="21"/>
          <w:highlight w:val="none"/>
        </w:rPr>
        <w:t>否则其响应文件按无效处理。</w:t>
      </w:r>
    </w:p>
    <w:p w14:paraId="72FBD0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417DDFB0">
      <w:pPr>
        <w:spacing w:line="360" w:lineRule="auto"/>
        <w:ind w:firstLine="480" w:firstLineChars="200"/>
        <w:rPr>
          <w:rFonts w:ascii="宋体" w:hAnsi="宋体" w:cs="宋体"/>
          <w:color w:val="auto"/>
          <w:sz w:val="24"/>
          <w:highlight w:val="none"/>
        </w:rPr>
      </w:pPr>
      <w:r>
        <w:rPr>
          <w:rFonts w:hint="eastAsia" w:ascii="宋体" w:hAnsi="宋体" w:cs="宋体"/>
          <w:b/>
          <w:bCs/>
          <w:color w:val="auto"/>
          <w:sz w:val="24"/>
          <w:highlight w:val="none"/>
        </w:rPr>
        <w:t>19.电子</w:t>
      </w:r>
      <w:r>
        <w:rPr>
          <w:rFonts w:hint="eastAsia" w:ascii="宋体" w:hAnsi="宋体" w:cs="宋体"/>
          <w:b/>
          <w:color w:val="auto"/>
          <w:sz w:val="24"/>
          <w:highlight w:val="none"/>
        </w:rPr>
        <w:t>备份响应文件</w:t>
      </w:r>
    </w:p>
    <w:p w14:paraId="14FB2AA6">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电子备份响应文件是指通过在线编制生成且后缀名为“bfbs”的文件，是否接受电子备份响应文件</w:t>
      </w:r>
      <w:r>
        <w:rPr>
          <w:rFonts w:hint="eastAsia" w:ascii="宋体" w:hAnsi="宋体" w:cs="宋体"/>
          <w:bCs/>
          <w:color w:val="auto"/>
          <w:szCs w:val="21"/>
          <w:highlight w:val="none"/>
        </w:rPr>
        <w:t>详见“供应商须知前附表”。</w:t>
      </w:r>
    </w:p>
    <w:p w14:paraId="029FCF44">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20.响应文件的提交</w:t>
      </w:r>
    </w:p>
    <w:p w14:paraId="47DF16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20.1供应商必须按“供应商须知前附表”规定的时间及地点提交响应文件。电子响应文件应在制作完成后，在提交响应文件截止时间前通过有效数字证书（CA认证锁）进行电子签章、加密，然后通过网络将加密的电子响应文件提交至广西政府采购云平台。  </w:t>
      </w:r>
    </w:p>
    <w:p w14:paraId="547212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20.2未在规定时间内提交或者未按照磋商文件要求加密的电子响应文件，广西政府采购云平台将拒收。</w:t>
      </w:r>
    </w:p>
    <w:p w14:paraId="37397DDF">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14:paraId="339E962D">
      <w:pPr>
        <w:spacing w:line="360" w:lineRule="auto"/>
        <w:ind w:firstLine="420" w:firstLineChars="200"/>
        <w:rPr>
          <w:rFonts w:ascii="宋体" w:hAnsi="宋体" w:cs="宋体"/>
          <w:color w:val="auto"/>
          <w:szCs w:val="21"/>
          <w:highlight w:val="none"/>
        </w:rPr>
      </w:pPr>
      <w:bookmarkStart w:id="64" w:name="_Toc254970684"/>
      <w:bookmarkStart w:id="65" w:name="_Toc254970543"/>
      <w:r>
        <w:rPr>
          <w:rFonts w:hint="eastAsia" w:ascii="宋体" w:hAnsi="宋体" w:cs="宋体"/>
          <w:color w:val="auto"/>
          <w:szCs w:val="21"/>
          <w:highlight w:val="none"/>
        </w:rPr>
        <w:t>21.1供应商应当在提交响应文件截止时间前完成电子响应文件的提交（上传），提交响应文件截止时间前可以补充、修改或者撤回响应文件。补充或者修改响应文件的，应当先行撤回原响应文件，补充、修改后重新提交（上传），至提交响应文件截止时间止未完成提交（上传）的，视为撤回响应文件。提交响应文件截止时间以后提交（上传）的响应文件，广西政府采购云平台将予以拒收。（注：补充、修改或者撤回方式可登录广西政府采购云平台，进入“服务中心”中查看 “电子投标文件制作与投送教程”）</w:t>
      </w:r>
    </w:p>
    <w:bookmarkEnd w:id="64"/>
    <w:bookmarkEnd w:id="65"/>
    <w:p w14:paraId="65F3FE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21.2在提交响应文件截止时间前，除供应商补充、修改或者撤回响应文件外，任何单位和个人不得解密或提取响应文件。</w:t>
      </w:r>
    </w:p>
    <w:p w14:paraId="5C804996">
      <w:pPr>
        <w:spacing w:line="360" w:lineRule="auto"/>
        <w:ind w:firstLine="480" w:firstLineChars="200"/>
        <w:rPr>
          <w:rFonts w:ascii="宋体" w:hAnsi="宋体" w:cs="宋体"/>
          <w:b/>
          <w:bCs/>
          <w:color w:val="auto"/>
          <w:sz w:val="24"/>
          <w:highlight w:val="none"/>
        </w:rPr>
      </w:pPr>
      <w:bookmarkStart w:id="66" w:name="_Hlk45702405"/>
      <w:r>
        <w:rPr>
          <w:rFonts w:hint="eastAsia" w:ascii="宋体" w:hAnsi="宋体" w:cs="宋体"/>
          <w:b/>
          <w:bCs/>
          <w:color w:val="auto"/>
          <w:sz w:val="24"/>
          <w:highlight w:val="none"/>
        </w:rPr>
        <w:t>22.响应文件的退回</w:t>
      </w:r>
    </w:p>
    <w:p w14:paraId="4093F0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06891B13">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23.截止时间后的撤回</w:t>
      </w:r>
    </w:p>
    <w:p w14:paraId="54E069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供应商在响应文件提交截止时间后向采购人、采购代理机构书面申请撤回响应文件的，将根据本须知正文第17.4条的规定不予退还其磋商保证金。</w:t>
      </w:r>
    </w:p>
    <w:bookmarkEnd w:id="66"/>
    <w:p w14:paraId="4037F1BA">
      <w:pPr>
        <w:spacing w:line="360" w:lineRule="auto"/>
        <w:rPr>
          <w:rFonts w:ascii="宋体" w:hAnsi="宋体" w:cs="宋体"/>
          <w:color w:val="auto"/>
          <w:szCs w:val="21"/>
          <w:highlight w:val="none"/>
        </w:rPr>
      </w:pPr>
    </w:p>
    <w:p w14:paraId="3D414297">
      <w:pPr>
        <w:spacing w:line="360" w:lineRule="auto"/>
        <w:ind w:left="420" w:firstLine="42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四、评审及磋商</w:t>
      </w:r>
    </w:p>
    <w:p w14:paraId="0BA4626A">
      <w:pPr>
        <w:spacing w:line="360" w:lineRule="auto"/>
        <w:ind w:left="420" w:firstLine="420"/>
        <w:rPr>
          <w:rFonts w:ascii="宋体" w:hAnsi="宋体" w:cs="宋体"/>
          <w:color w:val="auto"/>
          <w:szCs w:val="21"/>
          <w:highlight w:val="none"/>
        </w:rPr>
      </w:pPr>
    </w:p>
    <w:p w14:paraId="3C6041E4">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24.磋商小组成立</w:t>
      </w:r>
    </w:p>
    <w:p w14:paraId="53CCA9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含3人）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6D8821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A7DEB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24.3</w:t>
      </w:r>
      <w:r>
        <w:rPr>
          <w:rFonts w:hint="eastAsia" w:ascii="宋体" w:hAnsi="宋体" w:cs="宋体"/>
          <w:bCs/>
          <w:color w:val="auto"/>
          <w:szCs w:val="21"/>
          <w:highlight w:val="none"/>
        </w:rPr>
        <w:t>采购代理机构</w:t>
      </w:r>
      <w:r>
        <w:rPr>
          <w:rFonts w:hint="eastAsia" w:ascii="宋体" w:hAnsi="宋体" w:cs="宋体"/>
          <w:bCs/>
          <w:color w:val="auto"/>
          <w:highlight w:val="none"/>
        </w:rPr>
        <w:t>应当</w:t>
      </w:r>
      <w:r>
        <w:rPr>
          <w:rFonts w:hint="eastAsia" w:ascii="宋体" w:hAnsi="宋体" w:cs="宋体"/>
          <w:bCs/>
          <w:color w:val="auto"/>
          <w:szCs w:val="21"/>
          <w:highlight w:val="none"/>
        </w:rPr>
        <w:t>基于广西政府采购云平台</w:t>
      </w:r>
      <w:r>
        <w:rPr>
          <w:rFonts w:hint="eastAsia" w:ascii="宋体" w:hAnsi="宋体" w:cs="宋体"/>
          <w:bCs/>
          <w:color w:val="auto"/>
          <w:highlight w:val="none"/>
        </w:rPr>
        <w:t>抽（选）取</w:t>
      </w:r>
      <w:r>
        <w:rPr>
          <w:rFonts w:hint="eastAsia" w:ascii="宋体" w:hAnsi="宋体" w:cs="宋体"/>
          <w:bCs/>
          <w:color w:val="auto"/>
          <w:szCs w:val="21"/>
          <w:highlight w:val="none"/>
        </w:rPr>
        <w:t>评审专家。</w:t>
      </w:r>
    </w:p>
    <w:p w14:paraId="6BD2F0B2">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25.首次响应文件的开启和解密</w:t>
      </w:r>
    </w:p>
    <w:p w14:paraId="1668C7D0">
      <w:pPr>
        <w:spacing w:line="360" w:lineRule="auto"/>
        <w:ind w:firstLine="420" w:firstLineChars="200"/>
        <w:rPr>
          <w:rFonts w:ascii="宋体" w:hAnsi="宋体" w:cs="宋体"/>
          <w:color w:val="auto"/>
          <w:szCs w:val="21"/>
          <w:highlight w:val="none"/>
        </w:rPr>
      </w:pPr>
      <w:r>
        <w:rPr>
          <w:rFonts w:hint="eastAsia" w:ascii="宋体" w:hAnsi="宋体" w:cs="宋体"/>
          <w:bCs/>
          <w:color w:val="auto"/>
          <w:highlight w:val="none"/>
        </w:rPr>
        <w:t>采购代理机构将在“供应商须知前附表”规定的时</w:t>
      </w:r>
      <w:r>
        <w:rPr>
          <w:rFonts w:hint="eastAsia" w:ascii="宋体" w:hAnsi="宋体" w:cs="宋体"/>
          <w:color w:val="auto"/>
          <w:highlight w:val="none"/>
        </w:rPr>
        <w:t>间通过电子交易平台组织响应文件开启，供应商的法定代表人或其委托代理人须携带加密时所用的CA锁，按平台提示和磋商文件的规定登录到广西政府采购云平台电子开标大厅签到，采购代理机构依托广西政府采购云平台向各供应商发出电子加密响应文件【开始解密】通知，由供应商按</w:t>
      </w:r>
      <w:r>
        <w:rPr>
          <w:rFonts w:hint="eastAsia" w:ascii="宋体" w:hAnsi="宋体" w:cs="宋体"/>
          <w:bCs/>
          <w:color w:val="auto"/>
          <w:szCs w:val="21"/>
          <w:highlight w:val="none"/>
        </w:rPr>
        <w:t>“供应商须知前附表”</w:t>
      </w:r>
      <w:r>
        <w:rPr>
          <w:rFonts w:hint="eastAsia" w:ascii="宋体" w:hAnsi="宋体" w:cs="宋体"/>
          <w:color w:val="auto"/>
          <w:highlight w:val="none"/>
        </w:rPr>
        <w:t>规定的时间内自行进行响应文件解密。</w:t>
      </w:r>
      <w:r>
        <w:rPr>
          <w:rFonts w:hint="eastAsia" w:ascii="宋体" w:hAnsi="宋体" w:cs="宋体"/>
          <w:b/>
          <w:color w:val="auto"/>
          <w:highlight w:val="none"/>
        </w:rPr>
        <w:t>供应商未在规定的时间内解密响应文件或者解密失败的，供应商</w:t>
      </w:r>
      <w:r>
        <w:rPr>
          <w:rFonts w:hint="eastAsia" w:ascii="宋体" w:hAnsi="宋体" w:cs="宋体"/>
          <w:b/>
          <w:color w:val="auto"/>
          <w:szCs w:val="21"/>
          <w:highlight w:val="none"/>
        </w:rPr>
        <w:t>的响应文件按无效处理</w:t>
      </w:r>
      <w:r>
        <w:rPr>
          <w:rFonts w:hint="eastAsia" w:ascii="宋体" w:hAnsi="宋体" w:cs="宋体"/>
          <w:b/>
          <w:color w:val="auto"/>
          <w:highlight w:val="none"/>
        </w:rPr>
        <w:t>。</w:t>
      </w:r>
    </w:p>
    <w:p w14:paraId="4CC646CF">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14:paraId="6D9761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26.1本项目的评审方法为综合评分法。</w:t>
      </w:r>
    </w:p>
    <w:p w14:paraId="6389C6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26.2磋商小组按照“第四章 评审程序、评审方法和评审标准”规定的方法、评审因素、标准和程序对响应文件进行评审并推荐成交候选供应商。</w:t>
      </w:r>
    </w:p>
    <w:p w14:paraId="379A2B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26.3 商务/技术及其他要求允许负偏离的条款数详见“供应商须知前附表”。</w:t>
      </w:r>
    </w:p>
    <w:p w14:paraId="308C946E">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26.4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1C26FE3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26.5电子交易活动的中止。采购过程中出现以下情形，导致电子交易平台无法正常运行，或者无法保证电子交易的公平、公正和安全时，采购机构可中止电子交易活动：</w:t>
      </w:r>
    </w:p>
    <w:p w14:paraId="1EF3CEB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0A4EF01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115C99F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288C424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27D7363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14:paraId="0647E46E">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26.6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0F12FA86">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14:paraId="6621A0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320B6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67" w:name="_Hlk66782294"/>
      <w:r>
        <w:rPr>
          <w:rFonts w:hint="eastAsia" w:ascii="宋体" w:hAnsi="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67"/>
    </w:p>
    <w:p w14:paraId="091284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27.3出现下列情形之一的，采购人或者采购代理机构应当终止竞争性磋商采购活动，发布项目终止公告并说明原因，重新开展采购活动：</w:t>
      </w:r>
    </w:p>
    <w:p w14:paraId="267810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（1）因情况变化，不再符合规定的竞争性磋商采购方式适用情形的；</w:t>
      </w:r>
    </w:p>
    <w:p w14:paraId="671349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6A040B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（3）除“第四章 评审程序、评审方法和评审标准”第4.3条规定的情形外，在采购过程中符合要求的供应商或者报价未超过采购预算的供应商不足3家的。</w:t>
      </w:r>
    </w:p>
    <w:p w14:paraId="3845A3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62A79BEB">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28.履约保证金</w:t>
      </w:r>
    </w:p>
    <w:p w14:paraId="531575CA">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28.1 履约保证金的金额、提交方式、退付的时间和条件详见 “供应商须知前附表”。成交供应商未按规定提交履约保证金的，视为拒绝</w:t>
      </w:r>
      <w:r>
        <w:rPr>
          <w:rFonts w:hint="eastAsia" w:ascii="宋体" w:hAnsi="宋体" w:cs="宋体"/>
          <w:color w:val="auto"/>
          <w:highlight w:val="none"/>
        </w:rPr>
        <w:t>与采购人</w:t>
      </w:r>
      <w:r>
        <w:rPr>
          <w:rFonts w:hint="eastAsia" w:ascii="宋体" w:hAnsi="宋体" w:cs="宋体"/>
          <w:color w:val="auto"/>
          <w:szCs w:val="21"/>
          <w:highlight w:val="none"/>
        </w:rPr>
        <w:t>签订合同。</w:t>
      </w:r>
    </w:p>
    <w:p w14:paraId="7954A40A">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28.2在履约保证金退还日期前，若成交供应商的开户名称、开户银行、账号有变动的，请以书面形式通知履约保证金收取单位，否则由此产生的后果由成交供应商自行承担。</w:t>
      </w:r>
    </w:p>
    <w:p w14:paraId="3F2615C9">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29.签订合同</w:t>
      </w:r>
    </w:p>
    <w:p w14:paraId="331E8721">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w:t>
      </w:r>
    </w:p>
    <w:p w14:paraId="3532BEE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76D35DF0">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25C7CA35">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29.3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7CA51D34">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55E5ECE">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7067FC0B">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603D31D2">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26AD40FF">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30.政府采购合同公告</w:t>
      </w:r>
    </w:p>
    <w:p w14:paraId="5FA34C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16AF515E">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31. 询问、质疑和投诉</w:t>
      </w:r>
    </w:p>
    <w:p w14:paraId="5ED13AE5">
      <w:pPr>
        <w:pStyle w:val="7"/>
        <w:spacing w:line="360" w:lineRule="auto"/>
        <w:rPr>
          <w:rFonts w:ascii="宋体" w:hAnsi="宋体" w:cs="宋体"/>
          <w:color w:val="auto"/>
          <w:szCs w:val="21"/>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r>
        <w:rPr>
          <w:rFonts w:hint="eastAsia" w:ascii="宋体" w:hAnsi="宋体" w:cs="宋体"/>
          <w:color w:val="auto"/>
          <w:szCs w:val="21"/>
          <w:highlight w:val="none"/>
        </w:rPr>
        <w:t>但答复的内容不得涉及商业秘密</w:t>
      </w:r>
      <w:r>
        <w:rPr>
          <w:rFonts w:hint="eastAsia" w:ascii="宋体" w:hAnsi="宋体" w:cs="宋体"/>
          <w:color w:val="auto"/>
          <w:highlight w:val="none"/>
        </w:rPr>
        <w:t>。</w:t>
      </w:r>
    </w:p>
    <w:p w14:paraId="1BCD426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2C7A244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（1）对可以质疑的磋商文件提出质疑的，为获取磋商文件之日或者竞争性磋商公告期限届满之日；</w:t>
      </w:r>
    </w:p>
    <w:p w14:paraId="64CE284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53EC3B5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28ADECC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336226A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14:paraId="5772892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6004498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1F8587E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60BB63C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（4）事实依据；</w:t>
      </w:r>
    </w:p>
    <w:p w14:paraId="0FF0F39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29BC9C5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43C6F5A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42CAA9B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73DC8A3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6EB06D6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0161CC1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1FDEF602">
      <w:pPr>
        <w:spacing w:line="400" w:lineRule="exact"/>
        <w:ind w:firstLine="420" w:firstLineChars="200"/>
        <w:rPr>
          <w:rFonts w:ascii="宋体" w:hAnsi="宋体" w:cs="宋体"/>
          <w:color w:val="auto"/>
          <w:szCs w:val="21"/>
          <w:highlight w:val="none"/>
        </w:rPr>
      </w:pPr>
      <w:r>
        <w:rPr>
          <w:rFonts w:hint="eastAsia" w:ascii="宋体" w:hAnsi="宋体" w:cs="宋体"/>
          <w:color w:val="auto"/>
          <w:highlight w:val="none"/>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7905CEE">
      <w:pPr>
        <w:spacing w:line="400" w:lineRule="exact"/>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32.其他内容</w:t>
      </w:r>
    </w:p>
    <w:p w14:paraId="0849F044">
      <w:pPr>
        <w:tabs>
          <w:tab w:val="left" w:pos="283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32.1采购代理服务收取标准及缴费账户详见“供应商须知前附表”。</w:t>
      </w:r>
    </w:p>
    <w:p w14:paraId="17931BC0">
      <w:pPr>
        <w:tabs>
          <w:tab w:val="left" w:pos="283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32.2采购代理服务费收费计算标准：</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14C0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019C4D53">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 xml:space="preserve">               费率</w:t>
            </w:r>
          </w:p>
          <w:p w14:paraId="644F21F2">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成交金额</w:t>
            </w:r>
          </w:p>
        </w:tc>
        <w:tc>
          <w:tcPr>
            <w:tcW w:w="1659" w:type="dxa"/>
            <w:vAlign w:val="center"/>
          </w:tcPr>
          <w:p w14:paraId="4AD634FB">
            <w:pPr>
              <w:keepNext w:val="0"/>
              <w:keepLines w:val="0"/>
              <w:suppressLineNumbers w:val="0"/>
              <w:spacing w:before="0" w:beforeAutospacing="0" w:after="0" w:afterAutospacing="0" w:line="400" w:lineRule="exact"/>
              <w:ind w:left="0" w:right="0" w:firstLine="105" w:firstLineChars="50"/>
              <w:jc w:val="center"/>
              <w:rPr>
                <w:rFonts w:hint="default"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16BB4DFD">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14:paraId="2AAB9D5B">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工程类</w:t>
            </w:r>
          </w:p>
        </w:tc>
      </w:tr>
      <w:tr w14:paraId="7CBD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7062F70">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100万元以下</w:t>
            </w:r>
          </w:p>
        </w:tc>
        <w:tc>
          <w:tcPr>
            <w:tcW w:w="1659" w:type="dxa"/>
            <w:vAlign w:val="center"/>
          </w:tcPr>
          <w:p w14:paraId="0356A665">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1.5%</w:t>
            </w:r>
          </w:p>
        </w:tc>
        <w:tc>
          <w:tcPr>
            <w:tcW w:w="1532" w:type="dxa"/>
            <w:vAlign w:val="center"/>
          </w:tcPr>
          <w:p w14:paraId="2E3A27D7">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1.5%</w:t>
            </w:r>
          </w:p>
        </w:tc>
        <w:tc>
          <w:tcPr>
            <w:tcW w:w="1546" w:type="dxa"/>
            <w:vAlign w:val="center"/>
          </w:tcPr>
          <w:p w14:paraId="081730F6">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1.0%</w:t>
            </w:r>
          </w:p>
        </w:tc>
      </w:tr>
      <w:tr w14:paraId="6FAA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E9DE261">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100～500万元</w:t>
            </w:r>
          </w:p>
        </w:tc>
        <w:tc>
          <w:tcPr>
            <w:tcW w:w="1659" w:type="dxa"/>
            <w:vAlign w:val="center"/>
          </w:tcPr>
          <w:p w14:paraId="2A025BF6">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1.1%</w:t>
            </w:r>
          </w:p>
        </w:tc>
        <w:tc>
          <w:tcPr>
            <w:tcW w:w="1532" w:type="dxa"/>
            <w:vAlign w:val="center"/>
          </w:tcPr>
          <w:p w14:paraId="378EB31A">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0.8%</w:t>
            </w:r>
          </w:p>
        </w:tc>
        <w:tc>
          <w:tcPr>
            <w:tcW w:w="1546" w:type="dxa"/>
            <w:vAlign w:val="center"/>
          </w:tcPr>
          <w:p w14:paraId="7879B1E7">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0.7%</w:t>
            </w:r>
          </w:p>
        </w:tc>
      </w:tr>
      <w:tr w14:paraId="5B418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77B9F15">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500～1000万元</w:t>
            </w:r>
          </w:p>
        </w:tc>
        <w:tc>
          <w:tcPr>
            <w:tcW w:w="1659" w:type="dxa"/>
            <w:vAlign w:val="center"/>
          </w:tcPr>
          <w:p w14:paraId="2C92ABB1">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0.8%</w:t>
            </w:r>
          </w:p>
        </w:tc>
        <w:tc>
          <w:tcPr>
            <w:tcW w:w="1532" w:type="dxa"/>
            <w:vAlign w:val="center"/>
          </w:tcPr>
          <w:p w14:paraId="11D16E95">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0.45%</w:t>
            </w:r>
          </w:p>
        </w:tc>
        <w:tc>
          <w:tcPr>
            <w:tcW w:w="1546" w:type="dxa"/>
            <w:vAlign w:val="center"/>
          </w:tcPr>
          <w:p w14:paraId="2A8C1655">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0.55%</w:t>
            </w:r>
          </w:p>
        </w:tc>
      </w:tr>
      <w:tr w14:paraId="5C60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C639A7D">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1000～5000万元</w:t>
            </w:r>
          </w:p>
        </w:tc>
        <w:tc>
          <w:tcPr>
            <w:tcW w:w="1659" w:type="dxa"/>
            <w:vAlign w:val="center"/>
          </w:tcPr>
          <w:p w14:paraId="142AAA8B">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0.5%</w:t>
            </w:r>
          </w:p>
        </w:tc>
        <w:tc>
          <w:tcPr>
            <w:tcW w:w="1532" w:type="dxa"/>
            <w:vAlign w:val="center"/>
          </w:tcPr>
          <w:p w14:paraId="43DD5729">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0.25%</w:t>
            </w:r>
          </w:p>
        </w:tc>
        <w:tc>
          <w:tcPr>
            <w:tcW w:w="1546" w:type="dxa"/>
            <w:vAlign w:val="center"/>
          </w:tcPr>
          <w:p w14:paraId="1D65905F">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0.35%</w:t>
            </w:r>
          </w:p>
        </w:tc>
      </w:tr>
      <w:tr w14:paraId="1B786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3FC5926">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vAlign w:val="center"/>
          </w:tcPr>
          <w:p w14:paraId="32F4F2ED">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0.25%</w:t>
            </w:r>
          </w:p>
        </w:tc>
        <w:tc>
          <w:tcPr>
            <w:tcW w:w="1532" w:type="dxa"/>
            <w:vAlign w:val="center"/>
          </w:tcPr>
          <w:p w14:paraId="7A184C21">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0.1%</w:t>
            </w:r>
          </w:p>
        </w:tc>
        <w:tc>
          <w:tcPr>
            <w:tcW w:w="1546" w:type="dxa"/>
            <w:vAlign w:val="center"/>
          </w:tcPr>
          <w:p w14:paraId="112D8C9F">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0.2%</w:t>
            </w:r>
          </w:p>
        </w:tc>
      </w:tr>
      <w:tr w14:paraId="2EA1E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4616E62">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1～5亿元</w:t>
            </w:r>
          </w:p>
        </w:tc>
        <w:tc>
          <w:tcPr>
            <w:tcW w:w="1659" w:type="dxa"/>
            <w:vAlign w:val="center"/>
          </w:tcPr>
          <w:p w14:paraId="58D48A14">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0.05%</w:t>
            </w:r>
          </w:p>
        </w:tc>
        <w:tc>
          <w:tcPr>
            <w:tcW w:w="1532" w:type="dxa"/>
            <w:vAlign w:val="center"/>
          </w:tcPr>
          <w:p w14:paraId="6CC2116E">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0.05%</w:t>
            </w:r>
          </w:p>
        </w:tc>
        <w:tc>
          <w:tcPr>
            <w:tcW w:w="1546" w:type="dxa"/>
            <w:vAlign w:val="center"/>
          </w:tcPr>
          <w:p w14:paraId="6C23A5F0">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0.05%</w:t>
            </w:r>
          </w:p>
        </w:tc>
      </w:tr>
      <w:tr w14:paraId="69B73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43A97A1">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5～10亿元</w:t>
            </w:r>
          </w:p>
        </w:tc>
        <w:tc>
          <w:tcPr>
            <w:tcW w:w="1659" w:type="dxa"/>
            <w:vAlign w:val="center"/>
          </w:tcPr>
          <w:p w14:paraId="26D7C093">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0.035%</w:t>
            </w:r>
          </w:p>
        </w:tc>
        <w:tc>
          <w:tcPr>
            <w:tcW w:w="1532" w:type="dxa"/>
            <w:vAlign w:val="center"/>
          </w:tcPr>
          <w:p w14:paraId="3E038D03">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0.035%</w:t>
            </w:r>
          </w:p>
        </w:tc>
        <w:tc>
          <w:tcPr>
            <w:tcW w:w="1546" w:type="dxa"/>
            <w:vAlign w:val="center"/>
          </w:tcPr>
          <w:p w14:paraId="29457C1D">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0.035%</w:t>
            </w:r>
          </w:p>
        </w:tc>
      </w:tr>
      <w:tr w14:paraId="7176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5D53B11">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10～50亿元</w:t>
            </w:r>
          </w:p>
        </w:tc>
        <w:tc>
          <w:tcPr>
            <w:tcW w:w="1659" w:type="dxa"/>
            <w:vAlign w:val="center"/>
          </w:tcPr>
          <w:p w14:paraId="5047BEAF">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0.008%</w:t>
            </w:r>
          </w:p>
        </w:tc>
        <w:tc>
          <w:tcPr>
            <w:tcW w:w="1532" w:type="dxa"/>
            <w:vAlign w:val="center"/>
          </w:tcPr>
          <w:p w14:paraId="6B6B32A9">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0.008%</w:t>
            </w:r>
          </w:p>
        </w:tc>
        <w:tc>
          <w:tcPr>
            <w:tcW w:w="1546" w:type="dxa"/>
            <w:vAlign w:val="center"/>
          </w:tcPr>
          <w:p w14:paraId="0A837D9A">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0.008%</w:t>
            </w:r>
          </w:p>
        </w:tc>
      </w:tr>
      <w:tr w14:paraId="0432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CF5FEDF">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50～100亿元</w:t>
            </w:r>
          </w:p>
        </w:tc>
        <w:tc>
          <w:tcPr>
            <w:tcW w:w="1659" w:type="dxa"/>
            <w:vAlign w:val="center"/>
          </w:tcPr>
          <w:p w14:paraId="643FA1A1">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0.006%</w:t>
            </w:r>
          </w:p>
        </w:tc>
        <w:tc>
          <w:tcPr>
            <w:tcW w:w="1532" w:type="dxa"/>
            <w:vAlign w:val="center"/>
          </w:tcPr>
          <w:p w14:paraId="7828778D">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0.006%</w:t>
            </w:r>
          </w:p>
        </w:tc>
        <w:tc>
          <w:tcPr>
            <w:tcW w:w="1546" w:type="dxa"/>
            <w:vAlign w:val="center"/>
          </w:tcPr>
          <w:p w14:paraId="437F42CD">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0.006%</w:t>
            </w:r>
          </w:p>
        </w:tc>
      </w:tr>
      <w:tr w14:paraId="79AF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05500B9">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100亿以上</w:t>
            </w:r>
          </w:p>
        </w:tc>
        <w:tc>
          <w:tcPr>
            <w:tcW w:w="1659" w:type="dxa"/>
            <w:vAlign w:val="center"/>
          </w:tcPr>
          <w:p w14:paraId="78097645">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0.004%</w:t>
            </w:r>
          </w:p>
        </w:tc>
        <w:tc>
          <w:tcPr>
            <w:tcW w:w="1532" w:type="dxa"/>
            <w:vAlign w:val="center"/>
          </w:tcPr>
          <w:p w14:paraId="1E0B36B2">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0.004%</w:t>
            </w:r>
          </w:p>
        </w:tc>
        <w:tc>
          <w:tcPr>
            <w:tcW w:w="1546" w:type="dxa"/>
            <w:vAlign w:val="center"/>
          </w:tcPr>
          <w:p w14:paraId="2F3E076F">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0.004%</w:t>
            </w:r>
          </w:p>
        </w:tc>
      </w:tr>
    </w:tbl>
    <w:p w14:paraId="6D18F59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注：</w:t>
      </w:r>
    </w:p>
    <w:p w14:paraId="71922B8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（1）按本表费率计算的收费为采购代理的收费基准价格；</w:t>
      </w:r>
    </w:p>
    <w:p w14:paraId="0F9C77C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（2）采购代理收费按差额定率累进法计算。</w:t>
      </w:r>
    </w:p>
    <w:p w14:paraId="00AC5E9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例如：某工程项目采购代理业务成交金额为150万元，计算采购代理收费额如下：</w:t>
      </w:r>
    </w:p>
    <w:p w14:paraId="6FB4C6E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100万元×l.0 %＝1.0万元</w:t>
      </w:r>
    </w:p>
    <w:p w14:paraId="053E764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（150-100）万元×0.7%＝0.35万元</w:t>
      </w:r>
    </w:p>
    <w:p w14:paraId="484CBE1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合计收费＝1.0+0.35＝1.35万元</w:t>
      </w:r>
    </w:p>
    <w:p w14:paraId="43253D97">
      <w:pPr>
        <w:spacing w:line="400" w:lineRule="exact"/>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33.需要补充的其他内容</w:t>
      </w:r>
    </w:p>
    <w:p w14:paraId="06B89D68">
      <w:pPr>
        <w:pStyle w:val="26"/>
        <w:spacing w:line="400" w:lineRule="exact"/>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33.1本磋商文件解释规则详见“供应商须知前附表”。</w:t>
      </w:r>
    </w:p>
    <w:p w14:paraId="737B4032">
      <w:pPr>
        <w:pStyle w:val="26"/>
        <w:spacing w:line="400" w:lineRule="exact"/>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33.2农民工工资保证金见“供应商须知前附表”。</w:t>
      </w:r>
    </w:p>
    <w:p w14:paraId="5A5ABED1">
      <w:pPr>
        <w:pStyle w:val="26"/>
        <w:spacing w:line="400" w:lineRule="exact"/>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33.3 其他事项详见“供应商须知前附表”。</w:t>
      </w:r>
    </w:p>
    <w:p w14:paraId="66572D1E">
      <w:pPr>
        <w:pStyle w:val="26"/>
        <w:spacing w:line="400" w:lineRule="exact"/>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33.4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396AC5E5">
      <w:pPr>
        <w:pStyle w:val="26"/>
        <w:spacing w:line="400" w:lineRule="exact"/>
        <w:ind w:firstLine="420" w:firstLineChars="200"/>
        <w:contextualSpacing/>
        <w:rPr>
          <w:rFonts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5036AE8B">
      <w:pPr>
        <w:pStyle w:val="26"/>
        <w:spacing w:line="400" w:lineRule="exact"/>
        <w:ind w:firstLine="420" w:firstLineChars="200"/>
        <w:contextualSpacing/>
        <w:rPr>
          <w:rFonts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5CD2E7DB">
      <w:pPr>
        <w:pStyle w:val="26"/>
        <w:spacing w:line="400" w:lineRule="exact"/>
        <w:ind w:firstLine="420" w:firstLineChars="200"/>
        <w:contextualSpacing/>
        <w:rPr>
          <w:rFonts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2215A2D6">
      <w:pPr>
        <w:pStyle w:val="26"/>
        <w:spacing w:line="400" w:lineRule="exact"/>
        <w:ind w:firstLine="420" w:firstLineChars="200"/>
        <w:contextualSpacing/>
        <w:rPr>
          <w:rFonts w:hAnsi="宋体" w:cs="宋体"/>
          <w:color w:val="auto"/>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w:t>
      </w:r>
    </w:p>
    <w:p w14:paraId="3314C342">
      <w:pPr>
        <w:pStyle w:val="26"/>
        <w:spacing w:line="400" w:lineRule="exact"/>
        <w:ind w:firstLine="420" w:firstLineChars="200"/>
        <w:contextualSpacing/>
        <w:rPr>
          <w:rFonts w:hAnsi="宋体" w:cs="宋体"/>
          <w:color w:val="auto"/>
          <w:sz w:val="21"/>
          <w:highlight w:val="none"/>
        </w:rPr>
      </w:pPr>
      <w:r>
        <w:rPr>
          <w:rFonts w:hint="eastAsia" w:hAnsi="宋体" w:cs="宋体"/>
          <w:color w:val="auto"/>
          <w:sz w:val="21"/>
          <w:highlight w:val="none"/>
        </w:rPr>
        <w:t>依据本磋商文件规定享受扶持政策获得政府采购合同的，小微企业不得将合同分包给大中型企业，中型企业不得将合同分包给大型企业。</w:t>
      </w:r>
    </w:p>
    <w:p w14:paraId="3E939ACF">
      <w:pPr>
        <w:pStyle w:val="2"/>
        <w:spacing w:before="0" w:after="0" w:line="360" w:lineRule="auto"/>
        <w:jc w:val="center"/>
        <w:rPr>
          <w:color w:val="auto"/>
          <w:highlight w:val="none"/>
        </w:rPr>
      </w:pPr>
      <w:bookmarkStart w:id="68" w:name="_Toc74323458"/>
    </w:p>
    <w:p w14:paraId="3FA6DD40">
      <w:pPr>
        <w:rPr>
          <w:color w:val="auto"/>
          <w:highlight w:val="none"/>
        </w:rPr>
      </w:pPr>
    </w:p>
    <w:p w14:paraId="7F82C939">
      <w:pPr>
        <w:rPr>
          <w:color w:val="auto"/>
          <w:highlight w:val="none"/>
        </w:rPr>
      </w:pPr>
    </w:p>
    <w:p w14:paraId="576E7BE7">
      <w:pPr>
        <w:pStyle w:val="2"/>
        <w:spacing w:before="0" w:after="0" w:line="360" w:lineRule="auto"/>
        <w:jc w:val="center"/>
        <w:rPr>
          <w:color w:val="auto"/>
          <w:highlight w:val="none"/>
        </w:rPr>
      </w:pPr>
      <w:r>
        <w:rPr>
          <w:rFonts w:hint="eastAsia"/>
          <w:color w:val="auto"/>
          <w:highlight w:val="none"/>
        </w:rPr>
        <w:t>第三章 采购需求</w:t>
      </w:r>
      <w:bookmarkEnd w:id="68"/>
    </w:p>
    <w:p w14:paraId="449431D9">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说明：</w:t>
      </w:r>
    </w:p>
    <w:p w14:paraId="04491F03">
      <w:pPr>
        <w:spacing w:line="400" w:lineRule="exact"/>
        <w:ind w:firstLine="420" w:firstLineChars="200"/>
        <w:jc w:val="left"/>
        <w:rPr>
          <w:rFonts w:ascii="宋体" w:hAnsi="宋体" w:cs="宋体"/>
          <w:color w:val="auto"/>
          <w:szCs w:val="21"/>
          <w:highlight w:val="none"/>
        </w:rPr>
      </w:pPr>
      <w:r>
        <w:rPr>
          <w:rFonts w:hint="eastAsia" w:ascii="宋体" w:hAnsi="宋体"/>
          <w:color w:val="auto"/>
          <w:highlight w:val="none"/>
        </w:rPr>
        <w:t>1</w:t>
      </w:r>
      <w:r>
        <w:rPr>
          <w:rFonts w:hint="eastAsia"/>
          <w:color w:val="auto"/>
          <w:highlight w:val="none"/>
        </w:rPr>
        <w:t>.为落实政府采购政策需满足的要求：</w:t>
      </w:r>
    </w:p>
    <w:p w14:paraId="53C93BBA">
      <w:pPr>
        <w:spacing w:line="40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（1）政府采购促进中小企业发展</w:t>
      </w:r>
      <w:r>
        <w:rPr>
          <w:rFonts w:hint="eastAsia" w:ascii="宋体" w:hAnsi="宋体" w:cs="宋体"/>
          <w:color w:val="auto"/>
          <w:szCs w:val="21"/>
          <w:highlight w:val="none"/>
        </w:rPr>
        <w:t>（本项目非专门面向中小企业采购）。</w:t>
      </w:r>
    </w:p>
    <w:p w14:paraId="125AC88B">
      <w:pPr>
        <w:spacing w:line="40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（2）政府采购支持采用本国产品的政策。</w:t>
      </w:r>
    </w:p>
    <w:p w14:paraId="378563DC">
      <w:pPr>
        <w:spacing w:line="40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（3）强制采购节能产品；优先采购节能产品、环境标志产品。</w:t>
      </w:r>
    </w:p>
    <w:p w14:paraId="7ADA10B2">
      <w:pPr>
        <w:spacing w:line="40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（4）政府采购促进残疾人就业政策。</w:t>
      </w:r>
    </w:p>
    <w:p w14:paraId="20918834">
      <w:pPr>
        <w:spacing w:line="40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（5）政府采购支持监狱企业发展。</w:t>
      </w:r>
    </w:p>
    <w:p w14:paraId="0A22F1AF">
      <w:pPr>
        <w:spacing w:line="400" w:lineRule="exact"/>
        <w:ind w:firstLine="424" w:firstLineChars="202"/>
        <w:jc w:val="left"/>
        <w:rPr>
          <w:rFonts w:ascii="宋体" w:hAnsi="宋体" w:cs="宋体"/>
          <w:b/>
          <w:bCs/>
          <w:color w:val="auto"/>
          <w:szCs w:val="21"/>
          <w:highlight w:val="none"/>
        </w:rPr>
      </w:pPr>
      <w:r>
        <w:rPr>
          <w:rFonts w:hint="eastAsia" w:ascii="宋体" w:hAnsi="宋体" w:cs="宋体"/>
          <w:b/>
          <w:bCs/>
          <w:color w:val="auto"/>
          <w:szCs w:val="21"/>
          <w:highlight w:val="none"/>
        </w:rPr>
        <w:t>2.“实质性要求”是指磋商文件中已经指明不满足则响应文件按无效处理的条款，或者不能负偏离的条款，或者采购需求中带“▲”的条款，实质性要求若有任意一项不满足的，响应文件按无效处理。</w:t>
      </w:r>
    </w:p>
    <w:p w14:paraId="799E824A">
      <w:pPr>
        <w:spacing w:line="400" w:lineRule="exact"/>
        <w:ind w:firstLine="424" w:firstLineChars="202"/>
        <w:jc w:val="left"/>
        <w:rPr>
          <w:rFonts w:ascii="宋体" w:hAnsi="宋体"/>
          <w:color w:val="auto"/>
          <w:szCs w:val="21"/>
          <w:highlight w:val="none"/>
        </w:rPr>
      </w:pPr>
      <w:r>
        <w:rPr>
          <w:rFonts w:hint="eastAsia" w:ascii="宋体" w:hAnsi="宋体" w:cs="宋体"/>
          <w:color w:val="auto"/>
          <w:szCs w:val="21"/>
          <w:highlight w:val="none"/>
        </w:rPr>
        <w:t>3.</w:t>
      </w:r>
      <w:r>
        <w:rPr>
          <w:rFonts w:hint="eastAsia"/>
          <w:color w:val="auto"/>
          <w:highlight w:val="none"/>
        </w:rPr>
        <w:t>供应商必须自行为其竞标产品侵犯他人的知识产权或者专利成果的行为承担相应法律责任</w:t>
      </w:r>
      <w:r>
        <w:rPr>
          <w:rFonts w:hint="eastAsia" w:ascii="宋体" w:hAnsi="宋体" w:cs="宋体"/>
          <w:color w:val="auto"/>
          <w:szCs w:val="21"/>
          <w:highlight w:val="none"/>
        </w:rPr>
        <w:t>。</w:t>
      </w:r>
    </w:p>
    <w:p w14:paraId="50F9482B">
      <w:pPr>
        <w:spacing w:line="400" w:lineRule="exact"/>
        <w:ind w:firstLine="308" w:firstLineChars="147"/>
        <w:jc w:val="left"/>
        <w:rPr>
          <w:rFonts w:ascii="宋体" w:hAnsi="宋体"/>
          <w:b/>
          <w:color w:val="auto"/>
          <w:szCs w:val="21"/>
          <w:highlight w:val="none"/>
        </w:rPr>
      </w:pPr>
      <w:r>
        <w:rPr>
          <w:rFonts w:hint="eastAsia" w:ascii="宋体" w:hAnsi="宋体"/>
          <w:b/>
          <w:color w:val="auto"/>
          <w:szCs w:val="21"/>
          <w:highlight w:val="none"/>
        </w:rPr>
        <w:t>采购预算：人民币</w:t>
      </w:r>
      <w:r>
        <w:rPr>
          <w:rFonts w:hint="eastAsia" w:ascii="宋体" w:hAnsi="宋体"/>
          <w:b/>
          <w:color w:val="auto"/>
          <w:szCs w:val="21"/>
          <w:highlight w:val="none"/>
          <w:lang w:eastAsia="zh-CN"/>
        </w:rPr>
        <w:t>贰佰叁拾陆万叁仟叁佰玖拾肆元叁角壹分</w:t>
      </w:r>
      <w:r>
        <w:rPr>
          <w:rFonts w:hint="eastAsia" w:ascii="宋体" w:hAnsi="宋体"/>
          <w:b/>
          <w:color w:val="auto"/>
          <w:szCs w:val="21"/>
          <w:highlight w:val="none"/>
        </w:rPr>
        <w:t>（</w:t>
      </w:r>
      <w:r>
        <w:rPr>
          <w:rFonts w:hint="eastAsia" w:ascii="方正粗黑宋简体" w:hAnsi="方正粗黑宋简体" w:eastAsia="方正粗黑宋简体"/>
          <w:b/>
          <w:color w:val="auto"/>
          <w:szCs w:val="21"/>
          <w:highlight w:val="none"/>
        </w:rPr>
        <w:t>¥</w:t>
      </w:r>
      <w:r>
        <w:rPr>
          <w:rFonts w:hint="eastAsia" w:ascii="宋体" w:hAnsi="宋体"/>
          <w:b/>
          <w:color w:val="auto"/>
          <w:szCs w:val="21"/>
          <w:highlight w:val="none"/>
        </w:rPr>
        <w:t>2363394.31）</w:t>
      </w:r>
    </w:p>
    <w:p w14:paraId="06527A0F">
      <w:pPr>
        <w:spacing w:line="400" w:lineRule="exact"/>
        <w:ind w:firstLine="308" w:firstLineChars="147"/>
        <w:jc w:val="left"/>
        <w:rPr>
          <w:rFonts w:ascii="宋体" w:hAnsi="宋体"/>
          <w:b/>
          <w:color w:val="auto"/>
          <w:szCs w:val="21"/>
          <w:highlight w:val="none"/>
        </w:rPr>
      </w:pPr>
      <w:r>
        <w:rPr>
          <w:rFonts w:hint="eastAsia" w:ascii="宋体" w:hAnsi="宋体"/>
          <w:b/>
          <w:color w:val="auto"/>
          <w:szCs w:val="21"/>
          <w:highlight w:val="none"/>
        </w:rPr>
        <w:t>所属行业：建筑业</w:t>
      </w: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0"/>
        <w:gridCol w:w="549"/>
        <w:gridCol w:w="1955"/>
        <w:gridCol w:w="4201"/>
      </w:tblGrid>
      <w:tr w14:paraId="77231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2649" w:type="dxa"/>
            <w:gridSpan w:val="2"/>
            <w:vAlign w:val="center"/>
          </w:tcPr>
          <w:p w14:paraId="25213C29">
            <w:pPr>
              <w:keepNext w:val="0"/>
              <w:keepLines w:val="0"/>
              <w:suppressLineNumbers w:val="0"/>
              <w:tabs>
                <w:tab w:val="left" w:pos="180"/>
                <w:tab w:val="left" w:pos="1620"/>
              </w:tabs>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标的的名称</w:t>
            </w:r>
          </w:p>
        </w:tc>
        <w:tc>
          <w:tcPr>
            <w:tcW w:w="1955" w:type="dxa"/>
            <w:vAlign w:val="center"/>
          </w:tcPr>
          <w:p w14:paraId="070DB8E8">
            <w:pPr>
              <w:keepNext w:val="0"/>
              <w:keepLines w:val="0"/>
              <w:suppressLineNumbers w:val="0"/>
              <w:tabs>
                <w:tab w:val="left" w:pos="180"/>
                <w:tab w:val="left" w:pos="1620"/>
              </w:tabs>
              <w:spacing w:before="0" w:beforeAutospacing="0" w:after="0" w:afterAutospacing="0" w:line="400" w:lineRule="exact"/>
              <w:ind w:left="0" w:right="0"/>
              <w:jc w:val="center"/>
              <w:rPr>
                <w:rFonts w:hint="default" w:ascii="宋体" w:hAnsi="宋体" w:cs="宋体"/>
                <w:color w:val="auto"/>
                <w:szCs w:val="21"/>
                <w:highlight w:val="none"/>
              </w:rPr>
            </w:pPr>
            <w:r>
              <w:rPr>
                <w:rFonts w:hint="eastAsia"/>
                <w:color w:val="auto"/>
                <w:highlight w:val="none"/>
              </w:rPr>
              <w:t>招标工程量清单</w:t>
            </w:r>
            <w:r>
              <w:rPr>
                <w:rFonts w:hint="eastAsia" w:ascii="宋体" w:hAnsi="宋体" w:cs="宋体"/>
                <w:color w:val="auto"/>
                <w:szCs w:val="21"/>
                <w:highlight w:val="none"/>
              </w:rPr>
              <w:t>及图纸</w:t>
            </w:r>
          </w:p>
        </w:tc>
        <w:tc>
          <w:tcPr>
            <w:tcW w:w="4201" w:type="dxa"/>
            <w:vAlign w:val="center"/>
          </w:tcPr>
          <w:p w14:paraId="347B3EC0">
            <w:pPr>
              <w:keepNext w:val="0"/>
              <w:keepLines w:val="0"/>
              <w:suppressLineNumbers w:val="0"/>
              <w:tabs>
                <w:tab w:val="left" w:pos="180"/>
                <w:tab w:val="left" w:pos="1620"/>
              </w:tabs>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具体要求</w:t>
            </w:r>
          </w:p>
        </w:tc>
      </w:tr>
      <w:tr w14:paraId="1B203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8805" w:type="dxa"/>
            <w:gridSpan w:val="4"/>
            <w:vAlign w:val="center"/>
          </w:tcPr>
          <w:p w14:paraId="17D68104">
            <w:pPr>
              <w:keepNext w:val="0"/>
              <w:keepLines w:val="0"/>
              <w:suppressLineNumbers w:val="0"/>
              <w:tabs>
                <w:tab w:val="left" w:pos="180"/>
                <w:tab w:val="left" w:pos="1620"/>
              </w:tabs>
              <w:spacing w:before="0" w:beforeAutospacing="0" w:after="0" w:afterAutospacing="0" w:line="400" w:lineRule="exact"/>
              <w:ind w:left="0" w:right="0"/>
              <w:jc w:val="left"/>
              <w:rPr>
                <w:rFonts w:hint="default" w:ascii="宋体" w:hAnsi="宋体" w:cs="宋体"/>
                <w:b/>
                <w:color w:val="auto"/>
                <w:szCs w:val="21"/>
                <w:highlight w:val="none"/>
              </w:rPr>
            </w:pPr>
            <w:r>
              <w:rPr>
                <w:rFonts w:hint="eastAsia" w:ascii="宋体" w:hAnsi="宋体" w:cs="宋体"/>
                <w:b/>
                <w:color w:val="auto"/>
                <w:szCs w:val="21"/>
                <w:highlight w:val="none"/>
              </w:rPr>
              <w:t>▲一、</w:t>
            </w:r>
            <w:r>
              <w:rPr>
                <w:rFonts w:hint="eastAsia"/>
                <w:b/>
                <w:color w:val="auto"/>
                <w:highlight w:val="none"/>
              </w:rPr>
              <w:t>技术及其他要求</w:t>
            </w:r>
          </w:p>
        </w:tc>
      </w:tr>
      <w:tr w14:paraId="40171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2649" w:type="dxa"/>
            <w:gridSpan w:val="2"/>
            <w:vAlign w:val="center"/>
          </w:tcPr>
          <w:p w14:paraId="3EBE410F">
            <w:pPr>
              <w:keepNext w:val="0"/>
              <w:keepLines w:val="0"/>
              <w:suppressLineNumbers w:val="0"/>
              <w:tabs>
                <w:tab w:val="left" w:pos="180"/>
                <w:tab w:val="left" w:pos="1620"/>
              </w:tabs>
              <w:spacing w:before="0" w:beforeAutospacing="0" w:after="0" w:afterAutospacing="0" w:line="400" w:lineRule="exact"/>
              <w:ind w:left="0" w:right="0"/>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兴安县人民医院门诊及住院楼装修项目（增加补充部分电力，墙板，门窗柜子等）</w:t>
            </w:r>
          </w:p>
        </w:tc>
        <w:tc>
          <w:tcPr>
            <w:tcW w:w="1955" w:type="dxa"/>
            <w:vAlign w:val="center"/>
          </w:tcPr>
          <w:p w14:paraId="23D2C3A1">
            <w:pPr>
              <w:keepNext w:val="0"/>
              <w:keepLines w:val="0"/>
              <w:suppressLineNumbers w:val="0"/>
              <w:tabs>
                <w:tab w:val="left" w:pos="180"/>
                <w:tab w:val="left" w:pos="1620"/>
              </w:tabs>
              <w:spacing w:before="0" w:beforeAutospacing="0" w:after="0" w:afterAutospacing="0" w:line="40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另附</w:t>
            </w:r>
          </w:p>
        </w:tc>
        <w:tc>
          <w:tcPr>
            <w:tcW w:w="4201" w:type="dxa"/>
            <w:vAlign w:val="center"/>
          </w:tcPr>
          <w:p w14:paraId="67A7AF88">
            <w:pPr>
              <w:pStyle w:val="64"/>
              <w:keepNext w:val="0"/>
              <w:keepLines w:val="0"/>
              <w:suppressLineNumbers w:val="0"/>
              <w:wordWrap w:val="0"/>
              <w:spacing w:before="0" w:beforeAutospacing="0" w:after="0" w:afterAutospacing="0" w:line="400" w:lineRule="exact"/>
              <w:ind w:left="0" w:right="0"/>
              <w:rPr>
                <w:rFonts w:hint="default" w:ascii="宋体" w:hAnsi="宋体"/>
                <w:b/>
                <w:bCs/>
                <w:color w:val="auto"/>
                <w:highlight w:val="none"/>
              </w:rPr>
            </w:pPr>
            <w:r>
              <w:rPr>
                <w:rFonts w:hint="eastAsia" w:ascii="宋体" w:hAnsi="宋体"/>
                <w:b/>
                <w:bCs/>
                <w:color w:val="auto"/>
                <w:highlight w:val="none"/>
              </w:rPr>
              <w:t>（一）工程概况：本项目为</w:t>
            </w:r>
            <w:r>
              <w:rPr>
                <w:rFonts w:hint="eastAsia" w:ascii="宋体" w:hAnsi="宋体"/>
                <w:b/>
                <w:bCs/>
                <w:color w:val="auto"/>
                <w:highlight w:val="none"/>
                <w:lang w:eastAsia="zh-CN"/>
              </w:rPr>
              <w:t>兴安县人民医院门诊及住院楼装修项目（增加补充部分电力，墙板，门窗柜子等）</w:t>
            </w:r>
            <w:r>
              <w:rPr>
                <w:rFonts w:hint="eastAsia" w:ascii="宋体" w:hAnsi="宋体"/>
                <w:b/>
                <w:bCs/>
                <w:color w:val="auto"/>
                <w:highlight w:val="none"/>
              </w:rPr>
              <w:t>，主要工作内容包括墙面装饰板、玻镁板配套踢脚线、墙面腻子、墙面喷（刷）涂料、铝合金门窗、定制实木门、定制衣柜、电力电缆等。具体详见工程量清单及图纸。</w:t>
            </w:r>
          </w:p>
          <w:p w14:paraId="2705EF84">
            <w:pPr>
              <w:pStyle w:val="64"/>
              <w:keepNext w:val="0"/>
              <w:keepLines w:val="0"/>
              <w:suppressLineNumbers w:val="0"/>
              <w:wordWrap w:val="0"/>
              <w:spacing w:before="0" w:beforeAutospacing="0" w:after="0" w:afterAutospacing="0" w:line="400" w:lineRule="exact"/>
              <w:ind w:left="0" w:right="0"/>
              <w:rPr>
                <w:rFonts w:hint="default" w:ascii="宋体" w:hAnsi="宋体"/>
                <w:b/>
                <w:bCs/>
                <w:color w:val="auto"/>
                <w:highlight w:val="none"/>
              </w:rPr>
            </w:pPr>
            <w:r>
              <w:rPr>
                <w:rFonts w:hint="eastAsia" w:ascii="宋体" w:hAnsi="宋体"/>
                <w:b/>
                <w:bCs/>
                <w:color w:val="auto"/>
                <w:highlight w:val="none"/>
              </w:rPr>
              <w:t>（二）质量要求：达到现行国家施工验收规范合格标准。</w:t>
            </w:r>
          </w:p>
          <w:p w14:paraId="29C25F24">
            <w:pPr>
              <w:pStyle w:val="64"/>
              <w:keepNext w:val="0"/>
              <w:keepLines w:val="0"/>
              <w:suppressLineNumbers w:val="0"/>
              <w:wordWrap w:val="0"/>
              <w:spacing w:before="0" w:beforeAutospacing="0" w:after="0" w:afterAutospacing="0" w:line="400" w:lineRule="exact"/>
              <w:ind w:left="0" w:right="0"/>
              <w:rPr>
                <w:rFonts w:hint="default" w:ascii="宋体" w:hAnsi="宋体"/>
                <w:b/>
                <w:bCs/>
                <w:color w:val="auto"/>
                <w:highlight w:val="none"/>
              </w:rPr>
            </w:pPr>
            <w:r>
              <w:rPr>
                <w:rFonts w:hint="eastAsia" w:ascii="宋体" w:hAnsi="宋体"/>
                <w:b/>
                <w:bCs/>
                <w:color w:val="auto"/>
                <w:highlight w:val="none"/>
              </w:rPr>
              <w:t>（三）安全要求：符合国家及行业规定。</w:t>
            </w:r>
          </w:p>
          <w:p w14:paraId="20C8A6CC">
            <w:pPr>
              <w:pStyle w:val="64"/>
              <w:keepNext w:val="0"/>
              <w:keepLines w:val="0"/>
              <w:suppressLineNumbers w:val="0"/>
              <w:wordWrap w:val="0"/>
              <w:spacing w:before="0" w:beforeAutospacing="0" w:after="0" w:afterAutospacing="0" w:line="400" w:lineRule="exact"/>
              <w:ind w:left="0" w:right="0"/>
              <w:rPr>
                <w:rFonts w:hint="default" w:ascii="宋体" w:hAnsi="宋体"/>
                <w:b/>
                <w:bCs/>
                <w:color w:val="auto"/>
                <w:highlight w:val="none"/>
              </w:rPr>
            </w:pPr>
            <w:r>
              <w:rPr>
                <w:rFonts w:hint="eastAsia" w:ascii="宋体" w:hAnsi="宋体"/>
                <w:b/>
                <w:bCs/>
                <w:color w:val="auto"/>
                <w:highlight w:val="none"/>
              </w:rPr>
              <w:t>（四）技术要求：本项目技术规范采用现行国家相关标准、行业标准、地方标准或者其他标准、规范。</w:t>
            </w:r>
          </w:p>
          <w:p w14:paraId="4CB394DC">
            <w:pPr>
              <w:pStyle w:val="64"/>
              <w:keepNext w:val="0"/>
              <w:keepLines w:val="0"/>
              <w:suppressLineNumbers w:val="0"/>
              <w:wordWrap w:val="0"/>
              <w:spacing w:before="0" w:beforeAutospacing="0" w:after="0" w:afterAutospacing="0" w:line="400" w:lineRule="exact"/>
              <w:ind w:left="0" w:right="0"/>
              <w:rPr>
                <w:rFonts w:hint="default" w:ascii="宋体" w:hAnsi="宋体"/>
                <w:b/>
                <w:bCs/>
                <w:color w:val="auto"/>
                <w:highlight w:val="none"/>
              </w:rPr>
            </w:pPr>
            <w:r>
              <w:rPr>
                <w:rFonts w:hint="eastAsia" w:ascii="宋体" w:hAnsi="宋体"/>
                <w:b/>
                <w:bCs/>
                <w:color w:val="auto"/>
                <w:highlight w:val="none"/>
              </w:rPr>
              <w:t>（五）报价形式：工程量清单报价。</w:t>
            </w:r>
          </w:p>
          <w:p w14:paraId="206290F8">
            <w:pPr>
              <w:pStyle w:val="64"/>
              <w:keepNext w:val="0"/>
              <w:keepLines w:val="0"/>
              <w:suppressLineNumbers w:val="0"/>
              <w:wordWrap w:val="0"/>
              <w:spacing w:before="0" w:beforeAutospacing="0" w:after="0" w:afterAutospacing="0" w:line="400" w:lineRule="exact"/>
              <w:ind w:left="0" w:right="0"/>
              <w:rPr>
                <w:rFonts w:hint="default" w:ascii="宋体" w:hAnsi="宋体"/>
                <w:b/>
                <w:bCs/>
                <w:color w:val="auto"/>
                <w:highlight w:val="none"/>
              </w:rPr>
            </w:pPr>
            <w:r>
              <w:rPr>
                <w:rFonts w:hint="eastAsia" w:ascii="宋体" w:hAnsi="宋体"/>
                <w:b/>
                <w:bCs/>
                <w:color w:val="auto"/>
                <w:highlight w:val="none"/>
              </w:rPr>
              <w:t>（六）项目管理机构人员</w:t>
            </w:r>
          </w:p>
          <w:p w14:paraId="006033CB">
            <w:pPr>
              <w:pStyle w:val="64"/>
              <w:keepNext w:val="0"/>
              <w:keepLines w:val="0"/>
              <w:suppressLineNumbers w:val="0"/>
              <w:wordWrap w:val="0"/>
              <w:spacing w:before="0" w:beforeAutospacing="0" w:after="0" w:afterAutospacing="0" w:line="400" w:lineRule="exact"/>
              <w:ind w:left="0" w:right="0"/>
              <w:rPr>
                <w:rFonts w:hint="default" w:ascii="宋体" w:hAnsi="宋体"/>
                <w:b/>
                <w:bCs/>
                <w:color w:val="auto"/>
                <w:highlight w:val="none"/>
              </w:rPr>
            </w:pPr>
            <w:r>
              <w:rPr>
                <w:rFonts w:hint="eastAsia" w:ascii="宋体" w:hAnsi="宋体"/>
                <w:b/>
                <w:bCs/>
                <w:color w:val="auto"/>
                <w:highlight w:val="none"/>
              </w:rPr>
              <w:t>1.配备要求：</w:t>
            </w:r>
          </w:p>
          <w:p w14:paraId="05AFA0FB">
            <w:pPr>
              <w:pStyle w:val="64"/>
              <w:keepNext w:val="0"/>
              <w:keepLines w:val="0"/>
              <w:suppressLineNumbers w:val="0"/>
              <w:wordWrap w:val="0"/>
              <w:spacing w:before="0" w:beforeAutospacing="0" w:after="0" w:afterAutospacing="0" w:line="400" w:lineRule="exact"/>
              <w:ind w:left="0" w:right="0"/>
              <w:rPr>
                <w:rFonts w:hint="default" w:ascii="宋体" w:hAnsi="宋体"/>
                <w:b/>
                <w:bCs/>
                <w:color w:val="auto"/>
                <w:highlight w:val="none"/>
              </w:rPr>
            </w:pPr>
            <w:r>
              <w:rPr>
                <w:rFonts w:hint="eastAsia" w:ascii="宋体" w:hAnsi="宋体"/>
                <w:b/>
                <w:bCs/>
                <w:color w:val="auto"/>
                <w:highlight w:val="none"/>
              </w:rPr>
              <w:t>①项目经理（1人）：供应商拟派本工程的项目经理必须具有建筑工程专业二级以上（含二级）注册建造师执业资格并具有有效的安全生产考核合格证（B类），且未在其他在建、已中标（或成交）未开工或已列为其他项目中标（或成交）候选人第一名的建造师作为项目经理【（符合《广西壮族自治区建筑市场诚信卡管理暂行办法》第十六条第一款及桂建管﹝2016﹞70号、桂建管〔2020〕11号文除外）】。</w:t>
            </w:r>
          </w:p>
          <w:p w14:paraId="3DBF736F">
            <w:pPr>
              <w:pStyle w:val="64"/>
              <w:keepNext w:val="0"/>
              <w:keepLines w:val="0"/>
              <w:suppressLineNumbers w:val="0"/>
              <w:wordWrap w:val="0"/>
              <w:spacing w:before="0" w:beforeAutospacing="0" w:after="0" w:afterAutospacing="0" w:line="400" w:lineRule="exact"/>
              <w:ind w:left="0" w:right="0"/>
              <w:rPr>
                <w:rFonts w:hint="default" w:ascii="宋体" w:hAnsi="宋体"/>
                <w:b/>
                <w:bCs/>
                <w:color w:val="auto"/>
                <w:highlight w:val="none"/>
              </w:rPr>
            </w:pPr>
            <w:r>
              <w:rPr>
                <w:rFonts w:hint="eastAsia" w:ascii="宋体" w:hAnsi="宋体"/>
                <w:b/>
                <w:bCs/>
                <w:color w:val="auto"/>
                <w:highlight w:val="none"/>
              </w:rPr>
              <w:t>②技术负责人（1人）：技术负责人具有与本项目相关的建筑工程专业中级及以上职称。</w:t>
            </w:r>
          </w:p>
          <w:p w14:paraId="74BC3EA7">
            <w:pPr>
              <w:pStyle w:val="64"/>
              <w:keepNext w:val="0"/>
              <w:keepLines w:val="0"/>
              <w:suppressLineNumbers w:val="0"/>
              <w:wordWrap w:val="0"/>
              <w:spacing w:before="0" w:beforeAutospacing="0" w:after="0" w:afterAutospacing="0" w:line="400" w:lineRule="exact"/>
              <w:ind w:left="0" w:right="0"/>
              <w:rPr>
                <w:rFonts w:hint="default" w:ascii="宋体" w:hAnsi="宋体"/>
                <w:b/>
                <w:bCs/>
                <w:color w:val="auto"/>
                <w:highlight w:val="none"/>
              </w:rPr>
            </w:pPr>
            <w:r>
              <w:rPr>
                <w:rFonts w:hint="eastAsia" w:ascii="宋体" w:hAnsi="宋体"/>
                <w:b/>
                <w:bCs/>
                <w:color w:val="auto"/>
                <w:highlight w:val="none"/>
              </w:rPr>
              <w:t>③专职安全生产管理人员（1人）：专职安全生产管理人员须具有安全生产考核合格证书（C类）；</w:t>
            </w:r>
          </w:p>
          <w:p w14:paraId="74BC71BE">
            <w:pPr>
              <w:pStyle w:val="64"/>
              <w:keepNext w:val="0"/>
              <w:keepLines w:val="0"/>
              <w:suppressLineNumbers w:val="0"/>
              <w:wordWrap w:val="0"/>
              <w:spacing w:before="0" w:beforeAutospacing="0" w:after="0" w:afterAutospacing="0" w:line="400" w:lineRule="exact"/>
              <w:ind w:left="0" w:right="0"/>
              <w:rPr>
                <w:rFonts w:hint="default" w:ascii="宋体" w:hAnsi="宋体"/>
                <w:b/>
                <w:bCs/>
                <w:color w:val="auto"/>
                <w:highlight w:val="none"/>
              </w:rPr>
            </w:pPr>
            <w:r>
              <w:rPr>
                <w:rFonts w:hint="eastAsia" w:ascii="宋体" w:hAnsi="宋体"/>
                <w:b/>
                <w:bCs/>
                <w:color w:val="auto"/>
                <w:highlight w:val="none"/>
              </w:rPr>
              <w:t>④施工员、质量员、材料员（各配备1人）：施工员、质量员、材料员须具有施工现场专业人员职业培训合格证书。</w:t>
            </w:r>
          </w:p>
          <w:p w14:paraId="7C648792">
            <w:pPr>
              <w:pStyle w:val="64"/>
              <w:keepNext w:val="0"/>
              <w:keepLines w:val="0"/>
              <w:suppressLineNumbers w:val="0"/>
              <w:wordWrap w:val="0"/>
              <w:spacing w:before="0" w:beforeAutospacing="0" w:after="0" w:afterAutospacing="0" w:line="400" w:lineRule="exact"/>
              <w:ind w:left="0" w:right="0"/>
              <w:rPr>
                <w:rFonts w:hint="default" w:ascii="宋体" w:hAnsi="宋体"/>
                <w:b/>
                <w:bCs/>
                <w:color w:val="auto"/>
                <w:highlight w:val="none"/>
              </w:rPr>
            </w:pPr>
            <w:r>
              <w:rPr>
                <w:rFonts w:hint="eastAsia" w:ascii="宋体" w:hAnsi="宋体"/>
                <w:b/>
                <w:bCs/>
                <w:color w:val="auto"/>
                <w:highlight w:val="none"/>
              </w:rPr>
              <w:t>2.供应商须按“第六章 响应文件格式”要求，于响应文件中必须提供“项目管理机构配备情况表”【含项目经理、技术负责人、专职安全生产管理人员、施工员、质量员、材料员的基本情况，并附以下证明材料：①项目经理具有建筑工程专业二级以上（含二级）注册建造师执业资格证书复印件及有效的安全生产考核合格证书复印件（B类），加盖供应商电子签章；②技术负责人的与本项目相关的建筑工程专业中级及以上职称证书复印件，加盖供应商电子签章；③专职安全生产管理人员须具有安全生产考核合格证书复印件（C类），加盖供应商电子签章；④施工员、质量员、材料员须具有施工现场专业人员职业培训合格证书复印件，加盖供应商电子签章；⑤以上项目管理机构人员的身份证复印件及2025年1月以来任意一个月供应商为以上项目管理机构人员交纳的社保证明材料复印件或劳动合同复印件，加盖供应商电子签章】。</w:t>
            </w:r>
          </w:p>
          <w:p w14:paraId="37B1EE7D">
            <w:pPr>
              <w:pStyle w:val="64"/>
              <w:keepNext w:val="0"/>
              <w:keepLines w:val="0"/>
              <w:suppressLineNumbers w:val="0"/>
              <w:wordWrap w:val="0"/>
              <w:spacing w:before="0" w:beforeAutospacing="0" w:after="0" w:afterAutospacing="0" w:line="400" w:lineRule="exact"/>
              <w:ind w:left="0" w:right="0"/>
              <w:rPr>
                <w:rFonts w:hint="default" w:ascii="宋体" w:hAnsi="宋体" w:cs="宋体"/>
                <w:b/>
                <w:bCs/>
                <w:color w:val="auto"/>
                <w:szCs w:val="21"/>
                <w:highlight w:val="none"/>
              </w:rPr>
            </w:pPr>
            <w:r>
              <w:rPr>
                <w:rFonts w:hint="eastAsia" w:ascii="宋体" w:hAnsi="宋体"/>
                <w:b/>
                <w:bCs/>
                <w:color w:val="auto"/>
                <w:highlight w:val="none"/>
              </w:rPr>
              <w:t>3.供应商须按“第六章 响应文件格式”要求，于响应文件中提供“供应商关于拟派项目经理的承诺书”。</w:t>
            </w:r>
          </w:p>
        </w:tc>
      </w:tr>
      <w:tr w14:paraId="5D891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4"/>
            <w:tcBorders>
              <w:top w:val="single" w:color="auto" w:sz="4" w:space="0"/>
              <w:left w:val="single" w:color="auto" w:sz="4" w:space="0"/>
              <w:bottom w:val="single" w:color="auto" w:sz="4" w:space="0"/>
              <w:right w:val="single" w:color="auto" w:sz="4" w:space="0"/>
            </w:tcBorders>
          </w:tcPr>
          <w:p w14:paraId="50761825">
            <w:pPr>
              <w:keepNext w:val="0"/>
              <w:keepLines w:val="0"/>
              <w:suppressLineNumbers w:val="0"/>
              <w:spacing w:before="0" w:beforeAutospacing="0" w:after="0" w:afterAutospacing="0" w:line="400" w:lineRule="exact"/>
              <w:ind w:left="0" w:right="0"/>
              <w:rPr>
                <w:rFonts w:hint="default" w:ascii="宋体" w:hAnsi="宋体"/>
                <w:color w:val="auto"/>
                <w:szCs w:val="21"/>
                <w:highlight w:val="none"/>
              </w:rPr>
            </w:pPr>
            <w:r>
              <w:rPr>
                <w:rFonts w:hint="eastAsia" w:ascii="宋体" w:hAnsi="宋体" w:cs="宋体"/>
                <w:color w:val="auto"/>
                <w:szCs w:val="21"/>
                <w:highlight w:val="none"/>
              </w:rPr>
              <w:t>▲</w:t>
            </w:r>
            <w:r>
              <w:rPr>
                <w:rFonts w:hint="eastAsia" w:ascii="宋体" w:hAnsi="宋体"/>
                <w:b/>
                <w:color w:val="auto"/>
                <w:szCs w:val="21"/>
                <w:highlight w:val="none"/>
              </w:rPr>
              <w:t>二、商务要求</w:t>
            </w:r>
          </w:p>
        </w:tc>
      </w:tr>
      <w:tr w14:paraId="4C0BA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cBorders>
            <w:vAlign w:val="center"/>
          </w:tcPr>
          <w:p w14:paraId="6F88AC96">
            <w:pPr>
              <w:keepNext w:val="0"/>
              <w:keepLines w:val="0"/>
              <w:suppressLineNumbers w:val="0"/>
              <w:spacing w:before="0" w:beforeAutospacing="0" w:after="0" w:afterAutospacing="0" w:line="400" w:lineRule="exact"/>
              <w:ind w:left="0" w:right="0"/>
              <w:jc w:val="center"/>
              <w:rPr>
                <w:rFonts w:hint="default" w:ascii="宋体" w:hAnsi="宋体"/>
                <w:b/>
                <w:bCs/>
                <w:color w:val="auto"/>
                <w:szCs w:val="21"/>
                <w:highlight w:val="none"/>
              </w:rPr>
            </w:pPr>
            <w:r>
              <w:rPr>
                <w:rFonts w:hint="eastAsia" w:ascii="宋体" w:hAnsi="宋体" w:cs="宋体"/>
                <w:b/>
                <w:bCs/>
                <w:color w:val="auto"/>
                <w:szCs w:val="21"/>
                <w:highlight w:val="none"/>
              </w:rPr>
              <w:t>（一）计划工期</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6951E0F7">
            <w:pPr>
              <w:keepNext w:val="0"/>
              <w:keepLines w:val="0"/>
              <w:suppressLineNumbers w:val="0"/>
              <w:spacing w:before="0" w:beforeAutospacing="0" w:after="0" w:afterAutospacing="0" w:line="400" w:lineRule="exact"/>
              <w:ind w:left="0" w:right="0"/>
              <w:rPr>
                <w:rFonts w:hint="default" w:ascii="宋体" w:hAnsi="宋体"/>
                <w:b/>
                <w:bCs/>
                <w:color w:val="auto"/>
                <w:szCs w:val="21"/>
                <w:highlight w:val="none"/>
              </w:rPr>
            </w:pPr>
            <w:r>
              <w:rPr>
                <w:rFonts w:hint="eastAsia" w:ascii="宋体" w:hAnsi="宋体"/>
                <w:b/>
                <w:bCs/>
                <w:color w:val="auto"/>
                <w:szCs w:val="21"/>
                <w:highlight w:val="none"/>
              </w:rPr>
              <w:t>计划工</w:t>
            </w:r>
            <w:r>
              <w:rPr>
                <w:rFonts w:hint="eastAsia" w:ascii="宋体" w:hAnsi="宋体"/>
                <w:b/>
                <w:bCs/>
                <w:color w:val="auto"/>
                <w:szCs w:val="21"/>
                <w:highlight w:val="none"/>
              </w:rPr>
              <w:t>期：自接到采购人或采购人委托的监理单位发出开工令之日起120天（日历天）内</w:t>
            </w:r>
          </w:p>
          <w:p w14:paraId="053041EB">
            <w:pPr>
              <w:keepNext w:val="0"/>
              <w:keepLines w:val="0"/>
              <w:suppressLineNumbers w:val="0"/>
              <w:spacing w:before="0" w:beforeAutospacing="0" w:after="0" w:afterAutospacing="0" w:line="400" w:lineRule="exact"/>
              <w:ind w:left="0" w:right="0"/>
              <w:rPr>
                <w:rFonts w:hint="default" w:ascii="宋体" w:hAnsi="宋体"/>
                <w:b/>
                <w:bCs/>
                <w:color w:val="auto"/>
                <w:szCs w:val="21"/>
                <w:highlight w:val="none"/>
              </w:rPr>
            </w:pPr>
            <w:r>
              <w:rPr>
                <w:rFonts w:hint="default" w:ascii="宋体" w:hAnsi="宋体"/>
                <w:b/>
                <w:bCs/>
                <w:color w:val="auto"/>
                <w:szCs w:val="21"/>
                <w:highlight w:val="none"/>
              </w:rPr>
              <w:t>计划开工日期：</w:t>
            </w:r>
            <w:r>
              <w:rPr>
                <w:rFonts w:hint="eastAsia" w:ascii="宋体" w:hAnsi="宋体"/>
                <w:b/>
                <w:bCs/>
                <w:color w:val="auto"/>
                <w:szCs w:val="21"/>
                <w:highlight w:val="none"/>
              </w:rPr>
              <w:t>2025年</w:t>
            </w:r>
            <w:r>
              <w:rPr>
                <w:rFonts w:hint="eastAsia" w:ascii="宋体" w:hAnsi="宋体"/>
                <w:b/>
                <w:bCs/>
                <w:color w:val="auto"/>
                <w:szCs w:val="21"/>
                <w:highlight w:val="none"/>
                <w:lang w:val="en-US" w:eastAsia="zh-CN"/>
              </w:rPr>
              <w:t>10</w:t>
            </w:r>
            <w:r>
              <w:rPr>
                <w:rFonts w:hint="eastAsia" w:ascii="宋体" w:hAnsi="宋体"/>
                <w:b/>
                <w:bCs/>
                <w:color w:val="auto"/>
                <w:szCs w:val="21"/>
                <w:highlight w:val="none"/>
              </w:rPr>
              <w:t>月</w:t>
            </w:r>
            <w:r>
              <w:rPr>
                <w:rFonts w:hint="eastAsia" w:ascii="宋体" w:hAnsi="宋体"/>
                <w:b/>
                <w:bCs/>
                <w:color w:val="auto"/>
                <w:szCs w:val="21"/>
                <w:highlight w:val="none"/>
                <w:lang w:val="en-US" w:eastAsia="zh-CN"/>
              </w:rPr>
              <w:t>24</w:t>
            </w:r>
            <w:r>
              <w:rPr>
                <w:rFonts w:hint="eastAsia" w:ascii="宋体" w:hAnsi="宋体"/>
                <w:b/>
                <w:bCs/>
                <w:color w:val="auto"/>
                <w:szCs w:val="21"/>
                <w:highlight w:val="none"/>
              </w:rPr>
              <w:t>日（实际以开工令为准）</w:t>
            </w:r>
          </w:p>
          <w:p w14:paraId="275D9436">
            <w:pPr>
              <w:keepNext w:val="0"/>
              <w:keepLines w:val="0"/>
              <w:suppressLineNumbers w:val="0"/>
              <w:spacing w:before="0" w:beforeAutospacing="0" w:after="0" w:afterAutospacing="0" w:line="400" w:lineRule="exact"/>
              <w:ind w:left="0" w:right="0"/>
              <w:rPr>
                <w:rFonts w:hint="default" w:ascii="宋体" w:hAnsi="宋体"/>
                <w:b/>
                <w:bCs/>
                <w:color w:val="auto"/>
                <w:szCs w:val="21"/>
                <w:highlight w:val="none"/>
              </w:rPr>
            </w:pPr>
            <w:r>
              <w:rPr>
                <w:rFonts w:hint="default" w:ascii="宋体" w:hAnsi="宋体"/>
                <w:b/>
                <w:bCs/>
                <w:color w:val="auto"/>
                <w:szCs w:val="21"/>
                <w:highlight w:val="none"/>
              </w:rPr>
              <w:t>计划</w:t>
            </w:r>
            <w:r>
              <w:rPr>
                <w:rFonts w:hint="eastAsia" w:ascii="宋体" w:hAnsi="宋体"/>
                <w:b/>
                <w:bCs/>
                <w:color w:val="auto"/>
                <w:szCs w:val="21"/>
                <w:highlight w:val="none"/>
              </w:rPr>
              <w:t>竣</w:t>
            </w:r>
            <w:r>
              <w:rPr>
                <w:rFonts w:hint="default" w:ascii="宋体" w:hAnsi="宋体"/>
                <w:b/>
                <w:bCs/>
                <w:color w:val="auto"/>
                <w:szCs w:val="21"/>
                <w:highlight w:val="none"/>
              </w:rPr>
              <w:t>工日期：</w:t>
            </w:r>
            <w:r>
              <w:rPr>
                <w:rFonts w:hint="eastAsia" w:ascii="宋体" w:hAnsi="宋体"/>
                <w:b/>
                <w:bCs/>
                <w:color w:val="auto"/>
                <w:szCs w:val="21"/>
                <w:highlight w:val="none"/>
              </w:rPr>
              <w:t>202</w:t>
            </w:r>
            <w:r>
              <w:rPr>
                <w:rFonts w:hint="eastAsia" w:ascii="宋体" w:hAnsi="宋体"/>
                <w:b/>
                <w:bCs/>
                <w:color w:val="auto"/>
                <w:szCs w:val="21"/>
                <w:highlight w:val="none"/>
                <w:lang w:val="en-US" w:eastAsia="zh-CN"/>
              </w:rPr>
              <w:t>6</w:t>
            </w:r>
            <w:r>
              <w:rPr>
                <w:rFonts w:hint="eastAsia" w:ascii="宋体" w:hAnsi="宋体"/>
                <w:b/>
                <w:bCs/>
                <w:color w:val="auto"/>
                <w:szCs w:val="21"/>
                <w:highlight w:val="none"/>
              </w:rPr>
              <w:t>年</w:t>
            </w:r>
            <w:r>
              <w:rPr>
                <w:rFonts w:hint="eastAsia" w:ascii="宋体" w:hAnsi="宋体"/>
                <w:b/>
                <w:bCs/>
                <w:color w:val="auto"/>
                <w:szCs w:val="21"/>
                <w:highlight w:val="none"/>
                <w:lang w:val="en-US" w:eastAsia="zh-CN"/>
              </w:rPr>
              <w:t>2</w:t>
            </w:r>
            <w:r>
              <w:rPr>
                <w:rFonts w:hint="eastAsia" w:ascii="宋体" w:hAnsi="宋体"/>
                <w:b/>
                <w:bCs/>
                <w:color w:val="auto"/>
                <w:szCs w:val="21"/>
                <w:highlight w:val="none"/>
              </w:rPr>
              <w:t>月</w:t>
            </w:r>
            <w:r>
              <w:rPr>
                <w:rFonts w:hint="eastAsia" w:ascii="宋体" w:hAnsi="宋体"/>
                <w:b/>
                <w:bCs/>
                <w:color w:val="auto"/>
                <w:szCs w:val="21"/>
                <w:highlight w:val="none"/>
                <w:lang w:val="en-US" w:eastAsia="zh-CN"/>
              </w:rPr>
              <w:t>21</w:t>
            </w:r>
            <w:r>
              <w:rPr>
                <w:rFonts w:hint="eastAsia" w:ascii="宋体" w:hAnsi="宋体"/>
                <w:b/>
                <w:bCs/>
                <w:color w:val="auto"/>
                <w:szCs w:val="21"/>
                <w:highlight w:val="none"/>
              </w:rPr>
              <w:t xml:space="preserve"> 日</w:t>
            </w:r>
          </w:p>
        </w:tc>
      </w:tr>
      <w:tr w14:paraId="6AA35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2100" w:type="dxa"/>
            <w:tcBorders>
              <w:top w:val="single" w:color="auto" w:sz="4" w:space="0"/>
              <w:left w:val="single" w:color="auto" w:sz="4" w:space="0"/>
              <w:bottom w:val="single" w:color="auto" w:sz="4" w:space="0"/>
              <w:right w:val="single" w:color="auto" w:sz="4" w:space="0"/>
            </w:tcBorders>
            <w:vAlign w:val="center"/>
          </w:tcPr>
          <w:p w14:paraId="76D8AB36">
            <w:pPr>
              <w:keepNext w:val="0"/>
              <w:keepLines w:val="0"/>
              <w:suppressLineNumbers w:val="0"/>
              <w:spacing w:before="0" w:beforeAutospacing="0" w:after="0" w:afterAutospacing="0" w:line="400" w:lineRule="exact"/>
              <w:ind w:left="0" w:right="0"/>
              <w:jc w:val="center"/>
              <w:rPr>
                <w:rFonts w:hint="default" w:ascii="宋体" w:hAnsi="宋体"/>
                <w:b/>
                <w:bCs/>
                <w:color w:val="auto"/>
                <w:szCs w:val="21"/>
                <w:highlight w:val="none"/>
              </w:rPr>
            </w:pPr>
            <w:r>
              <w:rPr>
                <w:rFonts w:hint="eastAsia" w:ascii="宋体" w:hAnsi="宋体"/>
                <w:b/>
                <w:bCs/>
                <w:color w:val="auto"/>
                <w:szCs w:val="21"/>
                <w:highlight w:val="none"/>
              </w:rPr>
              <w:t>（二）建设地点</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712D1C4B">
            <w:pPr>
              <w:keepNext w:val="0"/>
              <w:keepLines w:val="0"/>
              <w:suppressLineNumbers w:val="0"/>
              <w:spacing w:before="0" w:beforeAutospacing="0" w:after="0" w:afterAutospacing="0" w:line="400" w:lineRule="exact"/>
              <w:ind w:left="0" w:right="0"/>
              <w:rPr>
                <w:rFonts w:hint="default" w:ascii="宋体" w:hAnsi="宋体"/>
                <w:b/>
                <w:bCs/>
                <w:color w:val="auto"/>
                <w:szCs w:val="21"/>
                <w:highlight w:val="none"/>
              </w:rPr>
            </w:pPr>
            <w:r>
              <w:rPr>
                <w:rFonts w:hint="eastAsia" w:ascii="宋体" w:hAnsi="宋体"/>
                <w:b/>
                <w:bCs/>
                <w:color w:val="auto"/>
                <w:szCs w:val="21"/>
                <w:highlight w:val="none"/>
              </w:rPr>
              <w:t>广西桂林市兴安县兴安镇康宁街78号兴安县人民医院内</w:t>
            </w:r>
          </w:p>
        </w:tc>
      </w:tr>
      <w:tr w14:paraId="71B57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100" w:type="dxa"/>
            <w:tcBorders>
              <w:top w:val="single" w:color="auto" w:sz="4" w:space="0"/>
              <w:left w:val="single" w:color="auto" w:sz="4" w:space="0"/>
              <w:bottom w:val="single" w:color="auto" w:sz="4" w:space="0"/>
              <w:right w:val="single" w:color="auto" w:sz="4" w:space="0"/>
            </w:tcBorders>
            <w:vAlign w:val="center"/>
          </w:tcPr>
          <w:p w14:paraId="17201469">
            <w:pPr>
              <w:keepNext w:val="0"/>
              <w:keepLines w:val="0"/>
              <w:suppressLineNumbers w:val="0"/>
              <w:spacing w:before="0" w:beforeAutospacing="0" w:after="0" w:afterAutospacing="0" w:line="400" w:lineRule="exact"/>
              <w:ind w:left="0" w:right="0"/>
              <w:jc w:val="center"/>
              <w:rPr>
                <w:rFonts w:hint="default" w:ascii="宋体" w:hAnsi="宋体"/>
                <w:b/>
                <w:bCs/>
                <w:color w:val="auto"/>
                <w:szCs w:val="21"/>
                <w:highlight w:val="none"/>
              </w:rPr>
            </w:pPr>
            <w:r>
              <w:rPr>
                <w:rFonts w:hint="eastAsia" w:ascii="宋体" w:hAnsi="宋体"/>
                <w:b/>
                <w:bCs/>
                <w:color w:val="auto"/>
                <w:szCs w:val="21"/>
                <w:highlight w:val="none"/>
              </w:rPr>
              <w:t>（三）合同签订时间</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44BBBFAF">
            <w:pPr>
              <w:keepNext w:val="0"/>
              <w:keepLines w:val="0"/>
              <w:suppressLineNumbers w:val="0"/>
              <w:spacing w:before="0" w:beforeAutospacing="0" w:after="0" w:afterAutospacing="0" w:line="400" w:lineRule="exact"/>
              <w:ind w:left="0" w:right="0"/>
              <w:rPr>
                <w:rFonts w:hint="default" w:ascii="宋体" w:hAnsi="宋体"/>
                <w:b/>
                <w:bCs/>
                <w:color w:val="auto"/>
                <w:szCs w:val="21"/>
                <w:highlight w:val="none"/>
              </w:rPr>
            </w:pPr>
            <w:r>
              <w:rPr>
                <w:rFonts w:hint="eastAsia" w:ascii="宋体" w:hAnsi="宋体"/>
                <w:b/>
                <w:bCs/>
                <w:color w:val="auto"/>
                <w:szCs w:val="21"/>
                <w:highlight w:val="none"/>
              </w:rPr>
              <w:t>自成交通知书发出之日起8个工作日内</w:t>
            </w:r>
          </w:p>
        </w:tc>
      </w:tr>
      <w:tr w14:paraId="58593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cBorders>
            <w:vAlign w:val="center"/>
          </w:tcPr>
          <w:p w14:paraId="59BA901C">
            <w:pPr>
              <w:keepNext w:val="0"/>
              <w:keepLines w:val="0"/>
              <w:suppressLineNumbers w:val="0"/>
              <w:spacing w:before="0" w:beforeAutospacing="0" w:after="0" w:afterAutospacing="0" w:line="400" w:lineRule="exact"/>
              <w:ind w:left="0" w:right="0"/>
              <w:jc w:val="center"/>
              <w:rPr>
                <w:rFonts w:hint="default" w:ascii="宋体" w:hAnsi="宋体"/>
                <w:b/>
                <w:bCs/>
                <w:color w:val="auto"/>
                <w:szCs w:val="21"/>
                <w:highlight w:val="none"/>
              </w:rPr>
            </w:pPr>
            <w:r>
              <w:rPr>
                <w:rFonts w:hint="eastAsia" w:ascii="宋体" w:hAnsi="宋体"/>
                <w:b/>
                <w:bCs/>
                <w:color w:val="auto"/>
                <w:szCs w:val="21"/>
                <w:highlight w:val="none"/>
              </w:rPr>
              <w:t>（四）付款条件（进度和方式）</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65376680">
            <w:pPr>
              <w:pStyle w:val="79"/>
              <w:keepNext w:val="0"/>
              <w:keepLines w:val="0"/>
              <w:suppressLineNumbers w:val="0"/>
              <w:spacing w:before="0" w:beforeAutospacing="0" w:after="0" w:afterAutospacing="0"/>
              <w:ind w:left="0" w:right="0" w:firstLine="0" w:firstLineChars="0"/>
              <w:rPr>
                <w:rFonts w:hint="default" w:cs="宋体"/>
                <w:b/>
                <w:bCs/>
                <w:color w:val="auto"/>
                <w:sz w:val="21"/>
                <w:highlight w:val="none"/>
              </w:rPr>
            </w:pPr>
            <w:r>
              <w:rPr>
                <w:rFonts w:hint="eastAsia" w:cs="宋体"/>
                <w:b/>
                <w:bCs/>
                <w:color w:val="auto"/>
                <w:sz w:val="21"/>
                <w:highlight w:val="none"/>
              </w:rPr>
              <w:t>1.工程款原则上按月支付，工程进度款支付限额为已完成工程量的80%（政府机关、事业单位、国有企业建设工程进度款支付应不低于已完成工程价款的80%）。</w:t>
            </w:r>
          </w:p>
          <w:p w14:paraId="19641EA9">
            <w:pPr>
              <w:pStyle w:val="79"/>
              <w:keepNext w:val="0"/>
              <w:keepLines w:val="0"/>
              <w:suppressLineNumbers w:val="0"/>
              <w:spacing w:before="0" w:beforeAutospacing="0" w:after="0" w:afterAutospacing="0"/>
              <w:ind w:left="0" w:right="0" w:firstLine="0" w:firstLineChars="0"/>
              <w:rPr>
                <w:rFonts w:hint="default" w:cs="宋体"/>
                <w:b/>
                <w:bCs/>
                <w:color w:val="auto"/>
                <w:sz w:val="21"/>
                <w:highlight w:val="none"/>
              </w:rPr>
            </w:pPr>
            <w:r>
              <w:rPr>
                <w:rFonts w:hint="eastAsia" w:cs="宋体"/>
                <w:b/>
                <w:bCs/>
                <w:color w:val="auto"/>
                <w:sz w:val="21"/>
                <w:highlight w:val="none"/>
              </w:rPr>
              <w:t>2.工程完工验收达到质量要求，结算经采购人及财政或审计部门（如有）审定后，工程款支付至结算总价的100%（不得低于100%）。结算前，供应商按工程价款结算总额的3%（最高不超过3%）向采购人提交工程质量保证金。</w:t>
            </w:r>
          </w:p>
          <w:p w14:paraId="30F8EAEC">
            <w:pPr>
              <w:pStyle w:val="79"/>
              <w:keepNext w:val="0"/>
              <w:keepLines w:val="0"/>
              <w:suppressLineNumbers w:val="0"/>
              <w:spacing w:before="0" w:beforeAutospacing="0" w:after="0" w:afterAutospacing="0"/>
              <w:ind w:left="0" w:right="0" w:firstLine="0" w:firstLineChars="0"/>
              <w:rPr>
                <w:rFonts w:hint="default"/>
                <w:b/>
                <w:bCs/>
                <w:color w:val="auto"/>
                <w:highlight w:val="none"/>
              </w:rPr>
            </w:pPr>
            <w:r>
              <w:rPr>
                <w:rFonts w:hint="eastAsia" w:cs="宋体"/>
                <w:b/>
                <w:bCs/>
                <w:color w:val="auto"/>
                <w:sz w:val="21"/>
                <w:highlight w:val="none"/>
              </w:rPr>
              <w:t>3.合同约定的工程质量缺陷责任期（最长不超过2年）满后由供应商向采购人提出返还保证金的申请，采购人在接到供应商返还保证金申请后，于14天内会同采购人按照合同约定的内容进行核实。如无异议，采购人在核实后14天内将保证金返还供应商，逾期未返还的，依法承担违约责任。采购人在接到供应商返还保证金申请后14天内不予答复，经催告后14天内仍不予答复，视同认可供应商的返还保证金申请。</w:t>
            </w:r>
          </w:p>
        </w:tc>
      </w:tr>
      <w:tr w14:paraId="09E58A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2100" w:type="dxa"/>
            <w:tcBorders>
              <w:top w:val="single" w:color="auto" w:sz="4" w:space="0"/>
              <w:left w:val="single" w:color="auto" w:sz="4" w:space="0"/>
              <w:bottom w:val="single" w:color="auto" w:sz="4" w:space="0"/>
              <w:right w:val="single" w:color="auto" w:sz="4" w:space="0"/>
            </w:tcBorders>
            <w:vAlign w:val="center"/>
          </w:tcPr>
          <w:p w14:paraId="726169CE">
            <w:pPr>
              <w:keepNext w:val="0"/>
              <w:keepLines w:val="0"/>
              <w:suppressLineNumbers w:val="0"/>
              <w:spacing w:before="0" w:beforeAutospacing="0" w:after="0" w:afterAutospacing="0" w:line="400" w:lineRule="exact"/>
              <w:ind w:left="0" w:right="0"/>
              <w:jc w:val="center"/>
              <w:rPr>
                <w:rFonts w:hint="default" w:ascii="宋体" w:hAnsi="宋体"/>
                <w:b/>
                <w:bCs/>
                <w:color w:val="auto"/>
                <w:szCs w:val="21"/>
                <w:highlight w:val="none"/>
              </w:rPr>
            </w:pPr>
            <w:r>
              <w:rPr>
                <w:rFonts w:hint="eastAsia" w:ascii="宋体" w:hAnsi="宋体"/>
                <w:b/>
                <w:bCs/>
                <w:color w:val="auto"/>
                <w:szCs w:val="21"/>
                <w:highlight w:val="none"/>
              </w:rPr>
              <w:t>（五）工程保修期</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1E24EEB0">
            <w:pPr>
              <w:keepNext w:val="0"/>
              <w:keepLines w:val="0"/>
              <w:suppressLineNumbers w:val="0"/>
              <w:spacing w:before="0" w:beforeAutospacing="0" w:after="0" w:afterAutospacing="0" w:line="400" w:lineRule="exact"/>
              <w:ind w:left="0" w:right="0"/>
              <w:jc w:val="left"/>
              <w:rPr>
                <w:rFonts w:hint="default" w:asciiTheme="majorEastAsia" w:hAnsiTheme="majorEastAsia" w:eastAsiaTheme="majorEastAsia"/>
                <w:b/>
                <w:bCs/>
                <w:color w:val="auto"/>
                <w:szCs w:val="22"/>
                <w:highlight w:val="none"/>
              </w:rPr>
            </w:pPr>
            <w:r>
              <w:rPr>
                <w:rFonts w:hint="eastAsia" w:ascii="宋体" w:hAnsi="宋体" w:eastAsiaTheme="majorEastAsia"/>
                <w:b/>
                <w:bCs/>
                <w:color w:val="auto"/>
                <w:szCs w:val="21"/>
                <w:highlight w:val="none"/>
              </w:rPr>
              <w:t>2年。</w:t>
            </w:r>
          </w:p>
        </w:tc>
      </w:tr>
      <w:tr w14:paraId="3CF57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2100" w:type="dxa"/>
            <w:tcBorders>
              <w:top w:val="single" w:color="auto" w:sz="4" w:space="0"/>
              <w:left w:val="single" w:color="auto" w:sz="4" w:space="0"/>
              <w:bottom w:val="single" w:color="auto" w:sz="4" w:space="0"/>
              <w:right w:val="single" w:color="auto" w:sz="4" w:space="0"/>
            </w:tcBorders>
            <w:vAlign w:val="center"/>
          </w:tcPr>
          <w:p w14:paraId="45F7F7A1">
            <w:pPr>
              <w:keepNext w:val="0"/>
              <w:keepLines w:val="0"/>
              <w:suppressLineNumbers w:val="0"/>
              <w:spacing w:before="0" w:beforeAutospacing="0" w:after="0" w:afterAutospacing="0" w:line="400" w:lineRule="exact"/>
              <w:ind w:left="0" w:right="0"/>
              <w:jc w:val="center"/>
              <w:rPr>
                <w:rFonts w:hint="default" w:ascii="宋体" w:hAnsi="宋体"/>
                <w:b/>
                <w:bCs/>
                <w:color w:val="auto"/>
                <w:szCs w:val="21"/>
                <w:highlight w:val="none"/>
              </w:rPr>
            </w:pPr>
            <w:r>
              <w:rPr>
                <w:rFonts w:hint="eastAsia" w:ascii="宋体" w:hAnsi="宋体"/>
                <w:b/>
                <w:bCs/>
                <w:color w:val="auto"/>
                <w:szCs w:val="21"/>
                <w:highlight w:val="none"/>
              </w:rPr>
              <w:t>（六）工程隐蔽部位覆盖前的检查</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54E3A9CA">
            <w:pPr>
              <w:keepNext w:val="0"/>
              <w:keepLines w:val="0"/>
              <w:suppressLineNumbers w:val="0"/>
              <w:spacing w:before="0" w:beforeAutospacing="0" w:after="0" w:afterAutospacing="0" w:line="400" w:lineRule="exact"/>
              <w:ind w:left="0" w:right="0"/>
              <w:jc w:val="left"/>
              <w:rPr>
                <w:rFonts w:hint="default" w:ascii="宋体" w:hAnsi="宋体"/>
                <w:b/>
                <w:bCs/>
                <w:color w:val="auto"/>
                <w:szCs w:val="21"/>
                <w:highlight w:val="none"/>
              </w:rPr>
            </w:pPr>
            <w:r>
              <w:rPr>
                <w:rFonts w:hint="eastAsia" w:ascii="宋体" w:hAnsi="宋体"/>
                <w:b/>
                <w:bCs/>
                <w:color w:val="auto"/>
                <w:szCs w:val="21"/>
                <w:highlight w:val="none"/>
              </w:rPr>
              <w:t xml:space="preserve">任何部位的工程需要隐蔽覆盖或隐蔽前，均应提前48小时通知采购人进行中间验收并拍照，未经采购人批准，均不得隐蔽验收工作。  </w:t>
            </w:r>
          </w:p>
        </w:tc>
      </w:tr>
      <w:tr w14:paraId="32E84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cBorders>
            <w:vAlign w:val="center"/>
          </w:tcPr>
          <w:p w14:paraId="30CD3CAB">
            <w:pPr>
              <w:keepNext w:val="0"/>
              <w:keepLines w:val="0"/>
              <w:suppressLineNumbers w:val="0"/>
              <w:spacing w:before="0" w:beforeAutospacing="0" w:after="0" w:afterAutospacing="0" w:line="400" w:lineRule="exact"/>
              <w:ind w:left="0" w:right="0"/>
              <w:jc w:val="center"/>
              <w:rPr>
                <w:rFonts w:hint="default" w:ascii="宋体" w:hAnsi="宋体"/>
                <w:b/>
                <w:bCs/>
                <w:color w:val="auto"/>
                <w:szCs w:val="21"/>
                <w:highlight w:val="none"/>
              </w:rPr>
            </w:pPr>
            <w:r>
              <w:rPr>
                <w:rFonts w:hint="eastAsia" w:ascii="宋体" w:hAnsi="宋体"/>
                <w:b/>
                <w:bCs/>
                <w:color w:val="auto"/>
                <w:szCs w:val="21"/>
                <w:highlight w:val="none"/>
              </w:rPr>
              <w:t>（七）验收标准</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4C9D2704">
            <w:pPr>
              <w:keepNext w:val="0"/>
              <w:keepLines w:val="0"/>
              <w:suppressLineNumbers w:val="0"/>
              <w:spacing w:before="0" w:beforeAutospacing="0" w:after="0" w:afterAutospacing="0" w:line="400" w:lineRule="exact"/>
              <w:ind w:left="0" w:right="0"/>
              <w:jc w:val="left"/>
              <w:rPr>
                <w:rFonts w:hint="default" w:ascii="宋体" w:hAnsi="宋体"/>
                <w:b/>
                <w:bCs/>
                <w:color w:val="auto"/>
                <w:szCs w:val="21"/>
                <w:highlight w:val="none"/>
              </w:rPr>
            </w:pPr>
            <w:r>
              <w:rPr>
                <w:rFonts w:hint="eastAsia" w:ascii="宋体" w:hAnsi="宋体"/>
                <w:b/>
                <w:bCs/>
                <w:color w:val="auto"/>
                <w:szCs w:val="21"/>
                <w:highlight w:val="none"/>
              </w:rPr>
              <w:t>1</w:t>
            </w:r>
            <w:r>
              <w:rPr>
                <w:rFonts w:hint="default" w:ascii="宋体" w:hAnsi="宋体"/>
                <w:b/>
                <w:bCs/>
                <w:color w:val="auto"/>
                <w:szCs w:val="21"/>
                <w:highlight w:val="none"/>
              </w:rPr>
              <w:t>.</w:t>
            </w:r>
            <w:r>
              <w:rPr>
                <w:rFonts w:hint="eastAsia" w:ascii="宋体" w:hAnsi="宋体"/>
                <w:b/>
                <w:bCs/>
                <w:color w:val="auto"/>
                <w:szCs w:val="21"/>
                <w:highlight w:val="none"/>
              </w:rPr>
              <w:t>按照竞争性磋商文件要求及响应文件承诺进行验收，施工达到现行国家施工验收规范合格标准。</w:t>
            </w:r>
          </w:p>
          <w:p w14:paraId="43EE9573">
            <w:pPr>
              <w:keepNext w:val="0"/>
              <w:keepLines w:val="0"/>
              <w:suppressLineNumbers w:val="0"/>
              <w:spacing w:before="0" w:beforeAutospacing="0" w:after="0" w:afterAutospacing="0" w:line="400" w:lineRule="exact"/>
              <w:ind w:left="0" w:right="0"/>
              <w:jc w:val="left"/>
              <w:rPr>
                <w:rFonts w:hint="default" w:ascii="宋体" w:hAnsi="宋体"/>
                <w:b/>
                <w:bCs/>
                <w:color w:val="auto"/>
                <w:szCs w:val="21"/>
                <w:highlight w:val="none"/>
              </w:rPr>
            </w:pPr>
            <w:r>
              <w:rPr>
                <w:rFonts w:hint="eastAsia" w:ascii="宋体" w:hAnsi="宋体"/>
                <w:b/>
                <w:bCs/>
                <w:color w:val="auto"/>
                <w:szCs w:val="21"/>
                <w:highlight w:val="none"/>
              </w:rPr>
              <w:t>2</w:t>
            </w:r>
            <w:r>
              <w:rPr>
                <w:rFonts w:hint="default" w:ascii="宋体" w:hAnsi="宋体"/>
                <w:b/>
                <w:bCs/>
                <w:color w:val="auto"/>
                <w:szCs w:val="21"/>
                <w:highlight w:val="none"/>
              </w:rPr>
              <w:t>.</w:t>
            </w:r>
            <w:r>
              <w:rPr>
                <w:rFonts w:hint="eastAsia" w:ascii="宋体" w:hAnsi="宋体"/>
                <w:b/>
                <w:bCs/>
                <w:color w:val="auto"/>
                <w:szCs w:val="21"/>
                <w:highlight w:val="none"/>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14:paraId="0C24F3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4"/>
            <w:tcBorders>
              <w:top w:val="single" w:color="auto" w:sz="4" w:space="0"/>
              <w:left w:val="single" w:color="auto" w:sz="4" w:space="0"/>
              <w:bottom w:val="single" w:color="auto" w:sz="4" w:space="0"/>
              <w:right w:val="single" w:color="auto" w:sz="4" w:space="0"/>
            </w:tcBorders>
            <w:vAlign w:val="center"/>
          </w:tcPr>
          <w:p w14:paraId="138C65AA">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r>
              <w:rPr>
                <w:rFonts w:hint="eastAsia" w:ascii="宋体" w:hAnsi="宋体"/>
                <w:b/>
                <w:bCs/>
                <w:color w:val="auto"/>
                <w:szCs w:val="21"/>
                <w:highlight w:val="none"/>
              </w:rPr>
              <w:t>三、与实现项目目标相关的其他要求</w:t>
            </w:r>
          </w:p>
        </w:tc>
      </w:tr>
      <w:tr w14:paraId="20DF10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4"/>
            <w:tcBorders>
              <w:top w:val="single" w:color="auto" w:sz="4" w:space="0"/>
              <w:left w:val="single" w:color="auto" w:sz="4" w:space="0"/>
              <w:bottom w:val="single" w:color="auto" w:sz="4" w:space="0"/>
              <w:right w:val="single" w:color="auto" w:sz="4" w:space="0"/>
            </w:tcBorders>
            <w:vAlign w:val="center"/>
          </w:tcPr>
          <w:p w14:paraId="00907164">
            <w:pPr>
              <w:keepNext w:val="0"/>
              <w:keepLines w:val="0"/>
              <w:suppressLineNumbers w:val="0"/>
              <w:tabs>
                <w:tab w:val="left" w:pos="180"/>
                <w:tab w:val="left" w:pos="1620"/>
              </w:tabs>
              <w:spacing w:before="0" w:beforeAutospacing="0" w:after="0" w:afterAutospacing="0" w:line="360" w:lineRule="exact"/>
              <w:ind w:left="0" w:right="0"/>
              <w:rPr>
                <w:rFonts w:hint="default"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（一）施工组织设计要求</w:t>
            </w:r>
          </w:p>
          <w:p w14:paraId="405ABD7B">
            <w:pPr>
              <w:keepNext w:val="0"/>
              <w:keepLines w:val="0"/>
              <w:suppressLineNumbers w:val="0"/>
              <w:tabs>
                <w:tab w:val="left" w:pos="180"/>
                <w:tab w:val="left" w:pos="1620"/>
              </w:tabs>
              <w:spacing w:before="0" w:beforeAutospacing="0" w:after="0" w:afterAutospacing="0" w:line="36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根据图纸、工程量清单，于响应文件中提供施工组织设计（包含但不限于以下内容：①主要施工方法；②拟投入的主要物资计划；③劳动力安排计划；④确保工程质量的技术组织措施；⑤确保安全生产的技术组织措施；⑥确保工期的技术组织措施；⑦关键施工技术、工艺及工程实施的重点、难点和解决方案）。</w:t>
            </w:r>
          </w:p>
          <w:p w14:paraId="7423DB58">
            <w:pPr>
              <w:keepNext w:val="0"/>
              <w:keepLines w:val="0"/>
              <w:suppressLineNumbers w:val="0"/>
              <w:tabs>
                <w:tab w:val="left" w:pos="180"/>
                <w:tab w:val="left" w:pos="1620"/>
              </w:tabs>
              <w:spacing w:before="0" w:beforeAutospacing="0" w:after="0" w:afterAutospacing="0" w:line="360" w:lineRule="exact"/>
              <w:ind w:left="0" w:right="0"/>
              <w:rPr>
                <w:rFonts w:hint="default"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（二）履约要求</w:t>
            </w:r>
          </w:p>
          <w:p w14:paraId="60A479BC">
            <w:pPr>
              <w:keepNext w:val="0"/>
              <w:keepLines w:val="0"/>
              <w:suppressLineNumbers w:val="0"/>
              <w:tabs>
                <w:tab w:val="left" w:pos="180"/>
                <w:tab w:val="left" w:pos="1620"/>
              </w:tabs>
              <w:spacing w:before="0" w:beforeAutospacing="0" w:after="0" w:afterAutospacing="0" w:line="360" w:lineRule="exact"/>
              <w:ind w:left="0" w:right="0"/>
              <w:rPr>
                <w:rFonts w:hint="default"/>
                <w:color w:val="auto"/>
                <w:highlight w:val="none"/>
              </w:rPr>
            </w:pPr>
            <w:r>
              <w:rPr>
                <w:rFonts w:hint="eastAsia" w:cs="宋体" w:asciiTheme="minorEastAsia" w:hAnsiTheme="minorEastAsia" w:eastAsiaTheme="minorEastAsia"/>
                <w:color w:val="auto"/>
                <w:szCs w:val="21"/>
                <w:highlight w:val="none"/>
              </w:rPr>
              <w:t>2021年1月1日以来（以合同签订时间为准）承接过同类项目业绩（同类</w:t>
            </w:r>
            <w:r>
              <w:rPr>
                <w:rFonts w:hint="default" w:cs="宋体" w:asciiTheme="minorEastAsia" w:hAnsiTheme="minorEastAsia" w:eastAsiaTheme="minorEastAsia"/>
                <w:color w:val="auto"/>
                <w:szCs w:val="21"/>
                <w:highlight w:val="none"/>
              </w:rPr>
              <w:t>项目指</w:t>
            </w:r>
            <w:r>
              <w:rPr>
                <w:rFonts w:hint="eastAsia" w:cs="宋体" w:asciiTheme="minorEastAsia" w:hAnsiTheme="minorEastAsia" w:eastAsiaTheme="minorEastAsia"/>
                <w:color w:val="auto"/>
                <w:szCs w:val="21"/>
                <w:highlight w:val="none"/>
              </w:rPr>
              <w:t>装修项目）证明材料复印件等。</w:t>
            </w:r>
          </w:p>
        </w:tc>
      </w:tr>
    </w:tbl>
    <w:p w14:paraId="2882BACA">
      <w:pPr>
        <w:rPr>
          <w:color w:val="auto"/>
          <w:highlight w:val="none"/>
        </w:rPr>
      </w:pPr>
      <w:bookmarkStart w:id="1193" w:name="_GoBack"/>
      <w:bookmarkEnd w:id="1193"/>
      <w:bookmarkStart w:id="69" w:name="_Toc74323459"/>
    </w:p>
    <w:p w14:paraId="3A44A16A">
      <w:pPr>
        <w:rPr>
          <w:color w:val="auto"/>
          <w:highlight w:val="none"/>
        </w:rPr>
      </w:pPr>
    </w:p>
    <w:p w14:paraId="75F124AA">
      <w:pPr>
        <w:pStyle w:val="64"/>
        <w:rPr>
          <w:color w:val="auto"/>
          <w:kern w:val="44"/>
          <w:sz w:val="44"/>
          <w:szCs w:val="44"/>
          <w:highlight w:val="none"/>
        </w:rPr>
      </w:pPr>
      <w:r>
        <w:rPr>
          <w:color w:val="auto"/>
          <w:highlight w:val="none"/>
        </w:rPr>
        <w:br w:type="page"/>
      </w:r>
    </w:p>
    <w:p w14:paraId="3F1880B3">
      <w:pPr>
        <w:pStyle w:val="2"/>
        <w:spacing w:before="0" w:after="0" w:line="360" w:lineRule="auto"/>
        <w:jc w:val="center"/>
        <w:rPr>
          <w:color w:val="auto"/>
          <w:highlight w:val="none"/>
        </w:rPr>
      </w:pPr>
      <w:r>
        <w:rPr>
          <w:rFonts w:hint="eastAsia"/>
          <w:color w:val="auto"/>
          <w:highlight w:val="none"/>
        </w:rPr>
        <w:t>第四章  评审程序、评审方法和评审标准</w:t>
      </w:r>
      <w:bookmarkEnd w:id="69"/>
    </w:p>
    <w:p w14:paraId="2A0E1F15">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一、评审程序和评审方法</w:t>
      </w:r>
    </w:p>
    <w:p w14:paraId="7ACB2A1D">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1.资格审查</w:t>
      </w:r>
    </w:p>
    <w:p w14:paraId="5F1B914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1.1响应文件开启后，磋商小组依法对供应商的资格证明文件进行审查。</w:t>
      </w:r>
    </w:p>
    <w:p w14:paraId="3FA1E6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1.1.1磋商小组对供应商进行资格性审查时，将对供应商进行信用查询。</w:t>
      </w:r>
    </w:p>
    <w:p w14:paraId="411C55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查询渠道：“信用中国”网站（http://www.creditchina.gov.cn） 、中国政府采购网（http://www.ccgp.gov.cn）。</w:t>
      </w:r>
    </w:p>
    <w:p w14:paraId="7718D9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信用查询截止时点：资格审查结束前</w:t>
      </w:r>
    </w:p>
    <w:p w14:paraId="0F61FD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查询记录和证据留存方式：在查询网站中直接截图查询记录。</w:t>
      </w:r>
    </w:p>
    <w:p w14:paraId="3D4EEB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信用信息使用规则：对在“信用中国”网站（http://www.creditchina.gov.cn） 、中国政府采购网（http://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p w14:paraId="17A523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磋商小组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资格审查不通过处理。</w:t>
      </w:r>
    </w:p>
    <w:p w14:paraId="355EA9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查询渠道：《国家企业信用信息公示系统》（网址： www.gsxt.gov.cn/index.html）</w:t>
      </w:r>
    </w:p>
    <w:p w14:paraId="0B9AC0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审查流程：</w:t>
      </w:r>
    </w:p>
    <w:p w14:paraId="4AC80B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（1）进入《国家企业信用信息公示系统》（网址： www.gsxt.gov.cn/index.html），输入企业名称，进入企业信息主页面；</w:t>
      </w:r>
    </w:p>
    <w:p w14:paraId="7771AC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（2）查看主页“股东及出资信息”栏，或年报中的“股东及出资信息”栏信息；</w:t>
      </w:r>
    </w:p>
    <w:p w14:paraId="5F01BB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（3）将各供应商的股东及出资信息进行比对，得出审查结论；</w:t>
      </w:r>
    </w:p>
    <w:p w14:paraId="607007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（4）将相关资料作为评审资料打印存档。</w:t>
      </w:r>
    </w:p>
    <w:p w14:paraId="44CA86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289449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1.2资格审查标准为本磋商文件中载明对供应商资格要求的条件。资格审查采用合格制，凡符合磋商文件规定的供应商资格要求的响应文件均通过资格审查。</w:t>
      </w:r>
    </w:p>
    <w:p w14:paraId="5BE528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1.3供应商有下列情形之一的，资格审查不通过，其响应文件按无效处理：</w:t>
      </w:r>
    </w:p>
    <w:p w14:paraId="01400B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1105B4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（2）未按磋商文件规定的方式获取本磋商文件的供应商的；</w:t>
      </w:r>
    </w:p>
    <w:p w14:paraId="22E655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（3）响应文件的资格证明文件缺少任一项“供应商须知前附表”资格证明文件规定的“必须提供”的文件资料的；</w:t>
      </w:r>
    </w:p>
    <w:p w14:paraId="7968B1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（4）响应文件中的资格证明文件出现任一项不符合“供应商须知前附表”资格证明文件规定的“必须提供”的文件资料要求或者无效的；</w:t>
      </w:r>
    </w:p>
    <w:p w14:paraId="4076C3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（5）同一合同项下的不同供应商，单位负责人为同一人或者存在直接控股、管理关系的；为本项目提供过整体设计、规范编制或者项目管理、监理、检测等服务的供应商，再参加该采购项目的其他采购活动的。</w:t>
      </w:r>
    </w:p>
    <w:p w14:paraId="27497E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1.4通过资格审查的合格供应商不足3家的，不得进入符合性审查环节，应当重新开展采购活动。</w:t>
      </w:r>
    </w:p>
    <w:p w14:paraId="4989BA0C">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2.符合性审查</w:t>
      </w:r>
    </w:p>
    <w:p w14:paraId="43B346BC">
      <w:pPr>
        <w:spacing w:line="360" w:lineRule="auto"/>
        <w:ind w:firstLine="420" w:firstLineChars="200"/>
        <w:rPr>
          <w:rFonts w:ascii="宋体" w:hAnsi="宋体" w:cs="宋体"/>
          <w:color w:val="auto"/>
          <w:szCs w:val="21"/>
          <w:highlight w:val="none"/>
        </w:rPr>
      </w:pPr>
      <w:bookmarkStart w:id="70" w:name="_Hlk42528882"/>
      <w:r>
        <w:rPr>
          <w:rFonts w:hint="eastAsia" w:ascii="宋体" w:hAnsi="宋体" w:cs="宋体"/>
          <w:color w:val="auto"/>
          <w:szCs w:val="21"/>
          <w:highlight w:val="none"/>
        </w:rPr>
        <w:t>2.1磋商小组对通过资格审查的合格供应商的响应文件的竞标报价、商务、技术等实质性要求进行符合性审查，以确定其是否满足磋商文件的实质性要求。</w:t>
      </w:r>
    </w:p>
    <w:bookmarkEnd w:id="70"/>
    <w:p w14:paraId="4FAD75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C7292B4">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2.3磋商小组要求供应商澄清、说明或者更正响应文件应当以电子澄清函形式作出。供应商的澄清、说明或者更正应当以电子回函的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ascii="宋体" w:hAnsi="宋体" w:cs="宋体"/>
          <w:color w:val="auto"/>
          <w:highlight w:val="none"/>
        </w:rPr>
        <w:t>签章</w:t>
      </w:r>
      <w:r>
        <w:rPr>
          <w:rFonts w:hint="eastAsia" w:ascii="宋体" w:hAnsi="宋体" w:cs="宋体"/>
          <w:color w:val="auto"/>
          <w:spacing w:val="-6"/>
          <w:szCs w:val="21"/>
          <w:highlight w:val="none"/>
        </w:rPr>
        <w:t>。</w:t>
      </w:r>
    </w:p>
    <w:p w14:paraId="6272F3EE">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6F04EAEB">
      <w:pPr>
        <w:spacing w:line="360" w:lineRule="auto"/>
        <w:ind w:firstLine="396" w:firstLineChars="200"/>
        <w:rPr>
          <w:rFonts w:ascii="宋体" w:hAnsi="宋体" w:cs="宋体"/>
          <w:color w:val="auto"/>
          <w:szCs w:val="21"/>
          <w:highlight w:val="none"/>
        </w:rPr>
      </w:pPr>
      <w:r>
        <w:rPr>
          <w:rFonts w:hint="eastAsia"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2AB524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023593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5C5C91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664D49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3E0118D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同时出现两种以上不一致的，按照以上（1）-（4）规定的顺序逐条进行修正。修正后的报价经供应商确认后产生约束力，供应商不确认的，其响应文件按无效处理。</w:t>
      </w:r>
    </w:p>
    <w:p w14:paraId="4B21AC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2.5商务技术报价评审</w:t>
      </w:r>
    </w:p>
    <w:p w14:paraId="65D9A7B4">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在评审时，如发现下列情形之一的，将被视为响应文件无效处理：</w:t>
      </w:r>
    </w:p>
    <w:p w14:paraId="6A0394C8">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（1）商务技术评审</w:t>
      </w:r>
    </w:p>
    <w:p w14:paraId="266FA82E">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1）响应文件未按磋商文件要求签署、盖章的；</w:t>
      </w:r>
    </w:p>
    <w:p w14:paraId="2493B94A">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 xml:space="preserve">2）委托代理人未能出具有效身份证或者出具的身份证与授权委托书中的信息不符的； </w:t>
      </w:r>
    </w:p>
    <w:p w14:paraId="523817C9">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3）提交的磋商保证金无效的或者未按照磋商文件的规定提交磋商保证金的；</w:t>
      </w:r>
    </w:p>
    <w:p w14:paraId="4CF553EF">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4）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的。</w:t>
      </w:r>
    </w:p>
    <w:p w14:paraId="7AA1D076">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5）商务要求允许负偏离的条款数超过“供应商须知前附表”规定项数的；</w:t>
      </w:r>
    </w:p>
    <w:p w14:paraId="2CC73A80">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6）响应文件的实质性内容未使用中文表述、使用计量单位不符合磋商文件要求的；</w:t>
      </w:r>
    </w:p>
    <w:p w14:paraId="721C0F3F">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7）响应文件中的文件资料因填写不齐全或者内容虚假或者出现其他情形而导致被磋商小组认定无效的；</w:t>
      </w:r>
    </w:p>
    <w:p w14:paraId="3981E06B">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8）响应文件含有采购人不能接受的附加条件的；</w:t>
      </w:r>
    </w:p>
    <w:p w14:paraId="468B3E84">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9）属于“供应商须知正文”第7.5条供应商相互串通竞标情形的；</w:t>
      </w:r>
    </w:p>
    <w:p w14:paraId="66EA1907">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10）</w:t>
      </w:r>
      <w:r>
        <w:rPr>
          <w:rFonts w:hint="eastAsia" w:ascii="宋体" w:hAnsi="宋体" w:cs="宋体"/>
          <w:b/>
          <w:color w:val="auto"/>
          <w:highlight w:val="none"/>
        </w:rPr>
        <w:t>技术及其他要求</w:t>
      </w:r>
      <w:r>
        <w:rPr>
          <w:rFonts w:hint="eastAsia" w:ascii="宋体" w:hAnsi="宋体" w:cs="宋体"/>
          <w:b/>
          <w:color w:val="auto"/>
          <w:szCs w:val="21"/>
          <w:highlight w:val="none"/>
        </w:rPr>
        <w:t>允许负偏离的条款数超过“供应商须知前附表”规定项数的；</w:t>
      </w:r>
    </w:p>
    <w:p w14:paraId="3DCF21E5">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11）虚假竞标，或者出现其他情形而导致被磋商小组认定无效的；</w:t>
      </w:r>
    </w:p>
    <w:p w14:paraId="4E542DCD">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12）</w:t>
      </w:r>
      <w:bookmarkStart w:id="71" w:name="_Hlk71704147"/>
      <w:r>
        <w:rPr>
          <w:rFonts w:hint="eastAsia" w:ascii="宋体" w:hAnsi="宋体" w:cs="宋体"/>
          <w:b/>
          <w:color w:val="auto"/>
          <w:szCs w:val="21"/>
          <w:highlight w:val="none"/>
        </w:rPr>
        <w:t>磋商文件未载明允许提供备选（替代）竞标方案或明确不允许提供备选（替代）竞标方案时，供应商提供了备选（替代）竞标方案的；</w:t>
      </w:r>
      <w:bookmarkEnd w:id="71"/>
    </w:p>
    <w:p w14:paraId="0E6DE2A0">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13）竞争性磋商文件明确不允许分包，响应文件拟分包的；</w:t>
      </w:r>
    </w:p>
    <w:p w14:paraId="289BBCBD">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14）未响应磋商文件实质性要求的；</w:t>
      </w:r>
    </w:p>
    <w:p w14:paraId="79A4635E">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15）法律、法规和磋商文件规定的其他无效情形。</w:t>
      </w:r>
    </w:p>
    <w:p w14:paraId="3284FCA5">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（2）报价评审</w:t>
      </w:r>
    </w:p>
    <w:p w14:paraId="32DD0435">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1）未采用人民币报价或者未按照磋商文件标明的币种报价的；</w:t>
      </w:r>
    </w:p>
    <w:p w14:paraId="63F73CEB">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2）供应商未就本工程进行报价或者存在漏项报价；供应商未就本工程的单项内容作唯一报价；供应商未就本工程的全部内容作完整唯一总价报价；供应商响应文件中存在有选择、有条件报价的（磋商文件允许有备选方案或者其他约定的除外）；</w:t>
      </w:r>
    </w:p>
    <w:p w14:paraId="1EE8F125">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3）竞标报价（包含首次报价、最后报价）超过本项目规定的采购预算金额或者最高限价的（如本项目公布了最高限价）；</w:t>
      </w:r>
      <w:bookmarkStart w:id="72" w:name="_Hlk42596405"/>
      <w:r>
        <w:rPr>
          <w:rFonts w:hint="eastAsia" w:ascii="宋体" w:hAnsi="宋体" w:cs="宋体"/>
          <w:b/>
          <w:color w:val="auto"/>
          <w:szCs w:val="21"/>
          <w:highlight w:val="none"/>
        </w:rPr>
        <w:t>竞标报价（包含首次报价、最后报价）</w:t>
      </w:r>
      <w:bookmarkEnd w:id="72"/>
      <w:bookmarkStart w:id="73" w:name="_Hlk42596276"/>
      <w:r>
        <w:rPr>
          <w:rFonts w:hint="eastAsia" w:ascii="宋体" w:hAnsi="宋体" w:cs="宋体"/>
          <w:b/>
          <w:color w:val="auto"/>
          <w:szCs w:val="21"/>
          <w:highlight w:val="none"/>
        </w:rPr>
        <w:t>超过磋商文件分项采购预算金额或者最高限价的</w:t>
      </w:r>
      <w:bookmarkEnd w:id="73"/>
      <w:r>
        <w:rPr>
          <w:rFonts w:hint="eastAsia" w:ascii="宋体" w:hAnsi="宋体" w:cs="宋体"/>
          <w:b/>
          <w:color w:val="auto"/>
          <w:szCs w:val="21"/>
          <w:highlight w:val="none"/>
        </w:rPr>
        <w:t>（如本项目有要求并公布了分项采购预算金额或者最高限价）；</w:t>
      </w:r>
    </w:p>
    <w:p w14:paraId="6977CFE3">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4）修正后的报价，供应商不确认的；或者经供应商确认修正后的竞标报价（包含首次报价、最后报价）超过本项目规定的采购预算金额或者最高限价（如本项目公布了最高限价）；或者经供应商确认修正后竞标报价（包含首次报价、最后报价）超过磋商文件分项采购预算金额或者最高限价的（如本项目有要求并公布了分项采购预算金额或者最高限价）。</w:t>
      </w:r>
    </w:p>
    <w:p w14:paraId="346F2131">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5）在单价合同工程中供应商采用总价优惠或以总价百分比优惠的方式进行竞标报价的；</w:t>
      </w:r>
    </w:p>
    <w:p w14:paraId="26591398">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6）竞标报价与已标价工程量清单汇总表不一致的；</w:t>
      </w:r>
    </w:p>
    <w:p w14:paraId="425169F0">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7）安全文明施工费和规费、税金（含增值税）不按广西壮族自治区费用定额及造价管理相关文件规定报价的（园林绿化及仿古建筑工程除外）；</w:t>
      </w:r>
    </w:p>
    <w:p w14:paraId="4859ED1C">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8）供应商已标价工程量清单的项目编码（12位）、计量单位、工程量任何一处与工程量清单不一致的；</w:t>
      </w:r>
    </w:p>
    <w:p w14:paraId="3CEA2B9B">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9）供应商已标价工程量清单的项目名称或项目特征与工程量清单不一致，磋商小组要求澄清、说明或补正，但供应商拒绝澄清、说明或补正的；</w:t>
      </w:r>
    </w:p>
    <w:p w14:paraId="7E97AA61">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10）设有暂估价（如：材料设备暂估价、专业工程暂估价、安全生产责任保险费暂估价）、暂列金额的，竞标时未按工程量清单给出的暂估价总价、暂列金额总价计入竞标报价中的；</w:t>
      </w:r>
    </w:p>
    <w:p w14:paraId="1B70399C">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11）供应商对工程量清单内容进行增减或对竞标范围进行调整的；</w:t>
      </w:r>
    </w:p>
    <w:p w14:paraId="3B5EDE94">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12）响应文件响应的标的数量及单位与竞争性磋商采购文件要求实质性不一致的；</w:t>
      </w:r>
    </w:p>
    <w:p w14:paraId="418DA37D">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13）未对竞标有效期作出响应或者响应文件承诺的竞标有效期不满足磋商文件要求的；</w:t>
      </w:r>
    </w:p>
    <w:p w14:paraId="71C5D670">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14）未响应磋商文件实质性要求的。</w:t>
      </w:r>
    </w:p>
    <w:p w14:paraId="4DC073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2.6磋商小组对响应文件进行评审，未实质性响应磋商文件的响应文件按无效处理，磋商小组应当将资格和符合性不通过的情况告知有关供应商。</w:t>
      </w:r>
    </w:p>
    <w:p w14:paraId="6B156C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2.7通过符合性审查的合格供应商不足3家的，不得进入磋商环节，应当重新开展采购活动。</w:t>
      </w:r>
    </w:p>
    <w:p w14:paraId="2FEC942B">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3.磋商程序</w:t>
      </w:r>
    </w:p>
    <w:p w14:paraId="21FD0D1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3.1磋商小组</w:t>
      </w:r>
      <w:r>
        <w:rPr>
          <w:rFonts w:hint="eastAsia" w:ascii="宋体" w:hAnsi="宋体" w:cs="宋体"/>
          <w:color w:val="auto"/>
          <w:szCs w:val="21"/>
          <w:highlight w:val="none"/>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03EAF7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682C92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3.3对磋商文件作出的实质性变动是磋商文件的有效组成部分，由磋商小组及时以电子澄清函形式同时通知所有参加磋商的供应商。</w:t>
      </w:r>
    </w:p>
    <w:p w14:paraId="10EAB2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3.4供应商必须按照磋商文件的变动情况和磋商小组的要求以回函的形式重新提交响应文件，并加盖电子签章。参加磋商的供应商未在规定时间内重新提交响应文件的，视同退出磋商，其响应文件按无效处理。</w:t>
      </w:r>
    </w:p>
    <w:p w14:paraId="16CB7C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3.5磋商中，磋商的任何一方不得透露与磋商有关的其他供应商的技术资料、价格和其他信息</w:t>
      </w:r>
      <w:r>
        <w:rPr>
          <w:rFonts w:hint="eastAsia" w:ascii="宋体" w:hAnsi="宋体" w:cs="宋体"/>
          <w:color w:val="auto"/>
          <w:spacing w:val="-6"/>
          <w:szCs w:val="21"/>
          <w:highlight w:val="none"/>
        </w:rPr>
        <w:t>。</w:t>
      </w:r>
    </w:p>
    <w:p w14:paraId="1769903E">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3.6采购代理机构对磋商过程和磋商内容进行记录。</w:t>
      </w:r>
    </w:p>
    <w:p w14:paraId="47CF65D4">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3.8对磋商过程提交的响应文件进行有效性、完整性和响应程度审查，通过审查的合格供应商不足3家的，应当重新开展采购活动。</w:t>
      </w:r>
    </w:p>
    <w:p w14:paraId="7A823E8B">
      <w:pPr>
        <w:spacing w:line="360" w:lineRule="auto"/>
        <w:ind w:firstLine="480" w:firstLineChars="200"/>
        <w:rPr>
          <w:rFonts w:ascii="宋体" w:hAnsi="宋体" w:cs="宋体"/>
          <w:color w:val="auto"/>
          <w:szCs w:val="21"/>
          <w:highlight w:val="none"/>
        </w:rPr>
      </w:pPr>
      <w:r>
        <w:rPr>
          <w:rFonts w:hint="eastAsia" w:ascii="宋体" w:hAnsi="宋体" w:cs="宋体"/>
          <w:b/>
          <w:bCs/>
          <w:color w:val="auto"/>
          <w:sz w:val="24"/>
          <w:highlight w:val="none"/>
        </w:rPr>
        <w:t>4. 最后报价</w:t>
      </w:r>
    </w:p>
    <w:p w14:paraId="71A654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磋商文件能够详细列明采购标的的技术、服务要求的，磋商结束后，磋商小组应当要求所有实质性响应的供应商在规定时间内在广西政府采购云平台开标大厅提交加盖供应商电子签章的最后报价，除本章第4.3条规定的情形外，提交最后报价的供应商不得少于3家，否则应当重新开展采购活动。</w:t>
      </w:r>
    </w:p>
    <w:p w14:paraId="14F562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r>
        <w:rPr>
          <w:rFonts w:hint="eastAsia" w:ascii="宋体" w:hAnsi="宋体" w:cs="宋体"/>
          <w:b/>
          <w:color w:val="auto"/>
          <w:szCs w:val="21"/>
          <w:highlight w:val="none"/>
        </w:rPr>
        <w:t>如果供应商的最后报价与首次报价不一致的，不能只报竞标报价，必须同时提供“已标价工程量清单”，否则做无效响应处理。</w:t>
      </w:r>
    </w:p>
    <w:p w14:paraId="24C363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 最后报价是供应商响应文件的有效组成部分。</w:t>
      </w:r>
    </w:p>
    <w:p w14:paraId="76DF91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4.4已经提交响应文件的供应商，在提交最后报价之前，可以根据磋商情况退出磋商，退出磋商的供应商的响应文件按无效处理。采购人、采购代理机构将退还退出磋商的供应商的保证金。</w:t>
      </w:r>
    </w:p>
    <w:p w14:paraId="79CB11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4.5供应商未在规定时间内提交最后报价的，视同退出磋商，其响应文件按无效处理。</w:t>
      </w:r>
    </w:p>
    <w:p w14:paraId="7E6988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4.6最后报价统一开启后，磋商小组对最后报价进行有效性、完整性和响应程度的审查。</w:t>
      </w:r>
    </w:p>
    <w:p w14:paraId="31AA40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4.7最后报价出现前后不一致的，按照本章第2.4条的规定修正。 </w:t>
      </w:r>
    </w:p>
    <w:p w14:paraId="6B73B6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4.8修正后的报价出现下列情形的，按无效响应处理：</w:t>
      </w:r>
    </w:p>
    <w:p w14:paraId="5136DF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4135C0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（2）经供应商确认修正后的竞标报价（包含首次报价、最后报价）超过本项目规定的采购预算金额或者最高限价的（如本项目公布了最高限价）；</w:t>
      </w:r>
    </w:p>
    <w:p w14:paraId="4623EB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6B0D14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4.9经供应商确认修正后的最后报价作为评审及签订合同的依据。</w:t>
      </w:r>
    </w:p>
    <w:p w14:paraId="6FCD4F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14:paraId="3273CE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4.11最后报价结束后，磋商小组不得再与供应商进行任何形式的商谈。</w:t>
      </w:r>
    </w:p>
    <w:p w14:paraId="1FB442A8">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5.比较与评价</w:t>
      </w:r>
    </w:p>
    <w:p w14:paraId="616DE5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5.1评审方法：综合评分法。</w:t>
      </w:r>
    </w:p>
    <w:p w14:paraId="500B0B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5.2经磋商确定最终采购需求和提交最后报价的供应商后，由磋商小组采用综合评分法对提交最后报价的供应商的响应文件和最后报价进行综合评分。</w:t>
      </w:r>
    </w:p>
    <w:p w14:paraId="52D3E4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5.3评审时，磋商小组各成员应当独立对每个有效响应的文件进行评价、打分，然后汇总每个供应商每项评分因素的得分。</w:t>
      </w:r>
    </w:p>
    <w:p w14:paraId="26001D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6D89AC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559B22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5.4最终成交供应商的成交金额等于最后报价（如有修正，以确认修正后的最后报价为准）。</w:t>
      </w:r>
    </w:p>
    <w:p w14:paraId="3B8B55B9">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6. 成交供应商推荐原则</w:t>
      </w:r>
    </w:p>
    <w:p w14:paraId="6B6463A2">
      <w:pPr>
        <w:spacing w:line="360" w:lineRule="auto"/>
        <w:ind w:firstLine="420" w:firstLineChars="200"/>
        <w:rPr>
          <w:rFonts w:ascii="宋体" w:hAnsi="宋体"/>
          <w:color w:val="auto"/>
          <w:kern w:val="0"/>
          <w:szCs w:val="21"/>
          <w:highlight w:val="none"/>
        </w:rPr>
      </w:pPr>
      <w:r>
        <w:rPr>
          <w:rFonts w:hint="eastAsia" w:ascii="宋体" w:hAnsi="宋体" w:cs="宋体"/>
          <w:color w:val="auto"/>
          <w:szCs w:val="21"/>
          <w:highlight w:val="none"/>
        </w:rPr>
        <w:t>6.1</w:t>
      </w:r>
      <w:r>
        <w:rPr>
          <w:rFonts w:hint="eastAsia" w:ascii="宋体" w:hAnsi="宋体" w:cs="宋体"/>
          <w:bCs/>
          <w:color w:val="auto"/>
          <w:szCs w:val="21"/>
          <w:highlight w:val="none"/>
        </w:rPr>
        <w:t>由磋商小组根据综合评分情况，按照评审得分由高到低顺序推荐3名以上成交候选供应商，并编写评审报告，</w:t>
      </w:r>
      <w:r>
        <w:rPr>
          <w:rFonts w:hint="eastAsia" w:ascii="宋体" w:hAnsi="宋体" w:cs="宋体"/>
          <w:color w:val="auto"/>
          <w:highlight w:val="none"/>
        </w:rPr>
        <w:t>评审报告通过电子交易平台向采购人、采购代理机构提交。</w:t>
      </w:r>
      <w:r>
        <w:rPr>
          <w:rFonts w:hint="eastAsia" w:ascii="宋体" w:hAnsi="宋体" w:cs="宋体"/>
          <w:bCs/>
          <w:color w:val="auto"/>
          <w:szCs w:val="21"/>
          <w:highlight w:val="none"/>
        </w:rPr>
        <w:t>评审得分相同的，按照</w:t>
      </w:r>
      <w:r>
        <w:rPr>
          <w:rFonts w:hint="eastAsia" w:ascii="宋体" w:hAnsi="宋体" w:cs="宋体"/>
          <w:bCs/>
          <w:color w:val="auto"/>
          <w:szCs w:val="21"/>
          <w:highlight w:val="none"/>
          <w:lang w:eastAsia="zh-CN"/>
        </w:rPr>
        <w:t>评审报价由低到高的顺序推荐，评审报价也相同的，按照</w:t>
      </w:r>
      <w:r>
        <w:rPr>
          <w:rFonts w:hint="eastAsia" w:ascii="宋体" w:hAnsi="宋体" w:cs="宋体"/>
          <w:bCs/>
          <w:color w:val="auto"/>
          <w:szCs w:val="21"/>
          <w:highlight w:val="none"/>
        </w:rPr>
        <w:t>最后报价（不计算价格折扣）由低到高的顺序推荐。评审得分且最后报价（不计算价格折扣）相同的，按照技术指标优劣顺序推荐（按技术分由高到低排序，技术分相同的按照商务分由高到低排序）。评审得分、</w:t>
      </w:r>
      <w:r>
        <w:rPr>
          <w:rFonts w:hint="eastAsia" w:ascii="宋体" w:hAnsi="宋体" w:cs="宋体"/>
          <w:bCs/>
          <w:color w:val="auto"/>
          <w:szCs w:val="21"/>
          <w:highlight w:val="none"/>
          <w:lang w:eastAsia="zh-CN"/>
        </w:rPr>
        <w:t>评审报价、</w:t>
      </w:r>
      <w:r>
        <w:rPr>
          <w:rFonts w:hint="eastAsia" w:ascii="宋体" w:hAnsi="宋体" w:cs="宋体"/>
          <w:bCs/>
          <w:color w:val="auto"/>
          <w:szCs w:val="21"/>
          <w:highlight w:val="none"/>
        </w:rPr>
        <w:t>最后报价（不计算价格折扣）、技术分、技术及其他要</w:t>
      </w:r>
      <w:r>
        <w:rPr>
          <w:rFonts w:hint="eastAsia" w:ascii="宋体" w:hAnsi="宋体"/>
          <w:bCs/>
          <w:color w:val="auto"/>
          <w:szCs w:val="21"/>
          <w:highlight w:val="none"/>
        </w:rPr>
        <w:t>求偏离分均相同的，由磋商小组随机抽取推荐</w:t>
      </w:r>
      <w:r>
        <w:rPr>
          <w:rFonts w:hint="eastAsia" w:ascii="宋体" w:hAnsi="宋体"/>
          <w:color w:val="auto"/>
          <w:kern w:val="0"/>
          <w:szCs w:val="21"/>
          <w:highlight w:val="none"/>
        </w:rPr>
        <w:t>。</w:t>
      </w:r>
    </w:p>
    <w:p w14:paraId="054F3E5C">
      <w:pPr>
        <w:pStyle w:val="26"/>
        <w:spacing w:line="360" w:lineRule="auto"/>
        <w:ind w:firstLine="400" w:firstLineChars="200"/>
        <w:rPr>
          <w:rFonts w:hAnsi="宋体"/>
          <w:color w:val="auto"/>
          <w:highlight w:val="none"/>
        </w:rPr>
      </w:pPr>
      <w:r>
        <w:rPr>
          <w:rFonts w:hint="eastAsia" w:hAnsi="宋体"/>
          <w:color w:val="auto"/>
          <w:highlight w:val="none"/>
        </w:rPr>
        <w:t>6</w:t>
      </w:r>
      <w:r>
        <w:rPr>
          <w:rFonts w:hint="eastAsia" w:hAnsi="宋体" w:cs="宋体"/>
          <w:color w:val="auto"/>
          <w:sz w:val="21"/>
          <w:highlight w:val="none"/>
        </w:rPr>
        <w:t>.2排名第一的成交候选供应商放弃成交、因不可抗力提出不能履行合同，或者磋商文件规定应当提交履约保证金而在规定的期限内未能提交的，或因失信行为被取消成交候选供应商资格的，采购人可以按照评审报告推荐的成交候选供应商名单排序，确定下一候选供应商成交（以此类推），</w:t>
      </w:r>
      <w:r>
        <w:rPr>
          <w:rFonts w:hint="eastAsia" w:hAnsi="宋体" w:cs="宋体"/>
          <w:b/>
          <w:bCs/>
          <w:color w:val="auto"/>
          <w:sz w:val="21"/>
          <w:highlight w:val="none"/>
        </w:rPr>
        <w:t>也可以重新组织采购活动</w:t>
      </w:r>
      <w:r>
        <w:rPr>
          <w:rFonts w:hint="eastAsia" w:hAnsi="宋体" w:cs="宋体"/>
          <w:color w:val="auto"/>
          <w:sz w:val="21"/>
          <w:highlight w:val="none"/>
        </w:rPr>
        <w:t>。</w:t>
      </w:r>
    </w:p>
    <w:p w14:paraId="4C17F051">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6.3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D6B234D">
      <w:pPr>
        <w:spacing w:line="360" w:lineRule="auto"/>
        <w:ind w:firstLine="420" w:firstLineChars="200"/>
        <w:rPr>
          <w:rFonts w:ascii="宋体" w:hAnsi="宋体"/>
          <w:color w:val="auto"/>
          <w:kern w:val="0"/>
          <w:szCs w:val="21"/>
          <w:highlight w:val="none"/>
        </w:rPr>
      </w:pPr>
    </w:p>
    <w:p w14:paraId="22360C94">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二、评审标准</w:t>
      </w:r>
    </w:p>
    <w:p w14:paraId="0E8D47CF">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7</w:t>
      </w:r>
      <w:r>
        <w:rPr>
          <w:rFonts w:ascii="宋体" w:hAnsi="宋体"/>
          <w:bCs/>
          <w:color w:val="auto"/>
          <w:szCs w:val="21"/>
          <w:highlight w:val="none"/>
        </w:rPr>
        <w:t>.</w:t>
      </w:r>
      <w:r>
        <w:rPr>
          <w:rFonts w:hint="eastAsia" w:ascii="宋体" w:hAnsi="宋体"/>
          <w:bCs/>
          <w:color w:val="auto"/>
          <w:szCs w:val="21"/>
          <w:highlight w:val="none"/>
        </w:rPr>
        <w:t>评审依据：磋商小组以磋商文件为评审依据，对供应商的报价、技术、商务等方面内容按百分制打分。（计分方法按四舍五入取至百分位）</w:t>
      </w:r>
    </w:p>
    <w:tbl>
      <w:tblPr>
        <w:tblStyle w:val="46"/>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418"/>
        <w:gridCol w:w="6679"/>
      </w:tblGrid>
      <w:tr w14:paraId="129DD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D0892F5">
            <w:pPr>
              <w:keepNext w:val="0"/>
              <w:keepLines w:val="0"/>
              <w:widowControl/>
              <w:suppressLineNumbers w:val="0"/>
              <w:spacing w:before="0" w:beforeAutospacing="0" w:after="0" w:afterAutospacing="0" w:line="360" w:lineRule="auto"/>
              <w:ind w:left="0" w:right="0"/>
              <w:jc w:val="center"/>
              <w:rPr>
                <w:rFonts w:hint="default" w:cs="Tahoma" w:asciiTheme="majorEastAsia" w:hAnsiTheme="majorEastAsia" w:eastAsiaTheme="majorEastAsia"/>
                <w:b/>
                <w:bCs/>
                <w:color w:val="auto"/>
                <w:kern w:val="0"/>
                <w:szCs w:val="21"/>
                <w:highlight w:val="none"/>
              </w:rPr>
            </w:pPr>
            <w:r>
              <w:rPr>
                <w:rFonts w:hint="eastAsia" w:cs="Tahoma" w:asciiTheme="majorEastAsia" w:hAnsiTheme="majorEastAsia" w:eastAsiaTheme="majorEastAsia"/>
                <w:b/>
                <w:bCs/>
                <w:color w:val="auto"/>
                <w:kern w:val="0"/>
                <w:szCs w:val="21"/>
                <w:highlight w:val="none"/>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2CFABB23">
            <w:pPr>
              <w:keepNext w:val="0"/>
              <w:keepLines w:val="0"/>
              <w:widowControl/>
              <w:suppressLineNumbers w:val="0"/>
              <w:spacing w:before="0" w:beforeAutospacing="0" w:after="0" w:afterAutospacing="0" w:line="360" w:lineRule="auto"/>
              <w:ind w:left="0" w:right="0"/>
              <w:jc w:val="center"/>
              <w:rPr>
                <w:rFonts w:hint="default" w:cs="Tahoma" w:asciiTheme="majorEastAsia" w:hAnsiTheme="majorEastAsia" w:eastAsiaTheme="majorEastAsia"/>
                <w:b/>
                <w:bCs/>
                <w:color w:val="auto"/>
                <w:kern w:val="0"/>
                <w:szCs w:val="21"/>
                <w:highlight w:val="none"/>
              </w:rPr>
            </w:pPr>
            <w:r>
              <w:rPr>
                <w:rFonts w:hint="eastAsia" w:cs="Tahoma" w:asciiTheme="majorEastAsia" w:hAnsiTheme="majorEastAsia" w:eastAsiaTheme="majorEastAsia"/>
                <w:b/>
                <w:bCs/>
                <w:color w:val="auto"/>
                <w:kern w:val="0"/>
                <w:szCs w:val="21"/>
                <w:highlight w:val="none"/>
              </w:rPr>
              <w:t>评审因素</w:t>
            </w:r>
          </w:p>
        </w:tc>
        <w:tc>
          <w:tcPr>
            <w:tcW w:w="6679" w:type="dxa"/>
            <w:tcBorders>
              <w:top w:val="single" w:color="auto" w:sz="4" w:space="0"/>
              <w:left w:val="single" w:color="auto" w:sz="4" w:space="0"/>
              <w:bottom w:val="single" w:color="auto" w:sz="4" w:space="0"/>
              <w:right w:val="single" w:color="auto" w:sz="4" w:space="0"/>
            </w:tcBorders>
            <w:vAlign w:val="center"/>
          </w:tcPr>
          <w:p w14:paraId="29EA0A67">
            <w:pPr>
              <w:keepNext w:val="0"/>
              <w:keepLines w:val="0"/>
              <w:widowControl/>
              <w:suppressLineNumbers w:val="0"/>
              <w:spacing w:before="0" w:beforeAutospacing="0" w:after="0" w:afterAutospacing="0" w:line="360" w:lineRule="auto"/>
              <w:ind w:left="0" w:right="0"/>
              <w:jc w:val="center"/>
              <w:rPr>
                <w:rFonts w:hint="default" w:cs="Tahoma" w:asciiTheme="majorEastAsia" w:hAnsiTheme="majorEastAsia" w:eastAsiaTheme="majorEastAsia"/>
                <w:b/>
                <w:bCs/>
                <w:color w:val="auto"/>
                <w:kern w:val="0"/>
                <w:szCs w:val="21"/>
                <w:highlight w:val="none"/>
              </w:rPr>
            </w:pPr>
            <w:r>
              <w:rPr>
                <w:rFonts w:hint="eastAsia" w:cs="Tahoma" w:asciiTheme="majorEastAsia" w:hAnsiTheme="majorEastAsia" w:eastAsiaTheme="majorEastAsia"/>
                <w:b/>
                <w:bCs/>
                <w:color w:val="auto"/>
                <w:kern w:val="0"/>
                <w:szCs w:val="21"/>
                <w:highlight w:val="none"/>
              </w:rPr>
              <w:t>评审标准</w:t>
            </w:r>
          </w:p>
        </w:tc>
      </w:tr>
      <w:tr w14:paraId="30C45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D8E0936">
            <w:pPr>
              <w:keepNext w:val="0"/>
              <w:keepLines w:val="0"/>
              <w:widowControl/>
              <w:suppressLineNumbers w:val="0"/>
              <w:spacing w:before="0" w:beforeAutospacing="0" w:after="0" w:afterAutospacing="0" w:line="440" w:lineRule="exact"/>
              <w:ind w:left="0" w:right="0"/>
              <w:jc w:val="center"/>
              <w:rPr>
                <w:rFonts w:hint="default" w:cs="Tahoma" w:asciiTheme="majorEastAsia" w:hAnsiTheme="majorEastAsia" w:eastAsiaTheme="majorEastAsia"/>
                <w:color w:val="auto"/>
                <w:kern w:val="0"/>
                <w:szCs w:val="21"/>
                <w:highlight w:val="none"/>
              </w:rPr>
            </w:pPr>
            <w:r>
              <w:rPr>
                <w:rFonts w:hint="eastAsia" w:cs="Tahoma" w:asciiTheme="majorEastAsia" w:hAnsiTheme="majorEastAsia" w:eastAsiaTheme="majorEastAsia"/>
                <w:color w:val="auto"/>
                <w:kern w:val="0"/>
                <w:szCs w:val="21"/>
                <w:highlight w:val="none"/>
              </w:rPr>
              <w:t>1</w:t>
            </w:r>
          </w:p>
        </w:tc>
        <w:tc>
          <w:tcPr>
            <w:tcW w:w="1418" w:type="dxa"/>
            <w:tcBorders>
              <w:top w:val="single" w:color="auto" w:sz="4" w:space="0"/>
              <w:left w:val="single" w:color="auto" w:sz="4" w:space="0"/>
              <w:bottom w:val="single" w:color="auto" w:sz="4" w:space="0"/>
              <w:right w:val="single" w:color="auto" w:sz="4" w:space="0"/>
            </w:tcBorders>
            <w:vAlign w:val="center"/>
          </w:tcPr>
          <w:p w14:paraId="5D043914">
            <w:pPr>
              <w:keepNext w:val="0"/>
              <w:keepLines w:val="0"/>
              <w:widowControl/>
              <w:suppressLineNumbers w:val="0"/>
              <w:spacing w:before="0" w:beforeAutospacing="0" w:after="0" w:afterAutospacing="0" w:line="440" w:lineRule="exact"/>
              <w:ind w:left="0" w:right="0"/>
              <w:jc w:val="center"/>
              <w:rPr>
                <w:rFonts w:hint="default" w:cs="Tahoma" w:asciiTheme="majorEastAsia" w:hAnsiTheme="majorEastAsia" w:eastAsiaTheme="majorEastAsia"/>
                <w:color w:val="auto"/>
                <w:kern w:val="0"/>
                <w:szCs w:val="21"/>
                <w:highlight w:val="none"/>
              </w:rPr>
            </w:pPr>
            <w:r>
              <w:rPr>
                <w:rFonts w:hint="eastAsia" w:cs="Tahoma" w:asciiTheme="majorEastAsia" w:hAnsiTheme="majorEastAsia" w:eastAsiaTheme="majorEastAsia"/>
                <w:color w:val="auto"/>
                <w:kern w:val="0"/>
                <w:szCs w:val="21"/>
                <w:highlight w:val="none"/>
              </w:rPr>
              <w:t>价格分</w:t>
            </w:r>
          </w:p>
          <w:p w14:paraId="060E93A7">
            <w:pPr>
              <w:keepNext w:val="0"/>
              <w:keepLines w:val="0"/>
              <w:widowControl/>
              <w:suppressLineNumbers w:val="0"/>
              <w:spacing w:before="0" w:beforeAutospacing="0" w:after="0" w:afterAutospacing="0" w:line="440" w:lineRule="exact"/>
              <w:ind w:left="0" w:right="0"/>
              <w:jc w:val="center"/>
              <w:rPr>
                <w:rFonts w:hint="default" w:cs="Tahoma" w:asciiTheme="majorEastAsia" w:hAnsiTheme="majorEastAsia" w:eastAsiaTheme="majorEastAsia"/>
                <w:color w:val="auto"/>
                <w:kern w:val="0"/>
                <w:szCs w:val="21"/>
                <w:highlight w:val="none"/>
              </w:rPr>
            </w:pPr>
            <w:r>
              <w:rPr>
                <w:rFonts w:hint="eastAsia" w:cs="Tahoma" w:asciiTheme="majorEastAsia" w:hAnsiTheme="majorEastAsia" w:eastAsiaTheme="majorEastAsia"/>
                <w:color w:val="auto"/>
                <w:kern w:val="0"/>
                <w:szCs w:val="21"/>
                <w:highlight w:val="none"/>
              </w:rPr>
              <w:t>（30分）</w:t>
            </w:r>
          </w:p>
        </w:tc>
        <w:tc>
          <w:tcPr>
            <w:tcW w:w="6679" w:type="dxa"/>
            <w:tcBorders>
              <w:top w:val="single" w:color="auto" w:sz="4" w:space="0"/>
              <w:left w:val="single" w:color="auto" w:sz="4" w:space="0"/>
              <w:bottom w:val="single" w:color="auto" w:sz="4" w:space="0"/>
              <w:right w:val="single" w:color="auto" w:sz="4" w:space="0"/>
            </w:tcBorders>
          </w:tcPr>
          <w:p w14:paraId="0EBD7891">
            <w:pPr>
              <w:keepNext w:val="0"/>
              <w:keepLines w:val="0"/>
              <w:widowControl w:val="0"/>
              <w:suppressLineNumbers w:val="0"/>
              <w:spacing w:before="0" w:beforeAutospacing="0" w:after="0" w:afterAutospacing="0" w:line="360" w:lineRule="exact"/>
              <w:ind w:left="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评审价为供应商的最后报价进行政策性扣除后的价格，评审价只是作为评审时使用。最终成交供应商的成交金额等于最后报价（如有修正，以确认修正后的最后报价为准）。</w:t>
            </w:r>
          </w:p>
          <w:p w14:paraId="443E8D10">
            <w:pPr>
              <w:pStyle w:val="42"/>
              <w:keepNext w:val="0"/>
              <w:keepLines w:val="0"/>
              <w:widowControl w:val="0"/>
              <w:suppressLineNumbers w:val="0"/>
              <w:spacing w:before="0" w:beforeAutospacing="0" w:after="0" w:afterAutospacing="0" w:line="350" w:lineRule="exact"/>
              <w:ind w:left="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（2）政府采购政策性扣除计算方法</w:t>
            </w:r>
          </w:p>
          <w:p w14:paraId="70D5674B">
            <w:pPr>
              <w:keepNext w:val="0"/>
              <w:keepLines w:val="0"/>
              <w:widowControl w:val="0"/>
              <w:suppressLineNumbers w:val="0"/>
              <w:spacing w:before="0" w:beforeAutospacing="0" w:after="0" w:afterAutospacing="0" w:line="350" w:lineRule="exact"/>
              <w:ind w:left="0" w:right="0" w:firstLine="472" w:firstLineChars="22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根据《政府采购促进中小企业发展管理办法》（财库〔</w:t>
            </w:r>
            <w:r>
              <w:rPr>
                <w:rFonts w:hint="default" w:ascii="Times New Roman" w:hAnsi="Times New Roman" w:eastAsia="宋体" w:cs="Times New Roman"/>
                <w:color w:val="auto"/>
                <w:kern w:val="2"/>
                <w:sz w:val="21"/>
                <w:szCs w:val="21"/>
                <w:highlight w:val="none"/>
                <w:lang w:val="en-US" w:eastAsia="zh-CN" w:bidi="ar"/>
              </w:rPr>
              <w:t>2020</w:t>
            </w:r>
            <w:r>
              <w:rPr>
                <w:rFonts w:hint="eastAsia" w:ascii="宋体" w:hAnsi="宋体"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46</w:t>
            </w:r>
            <w:r>
              <w:rPr>
                <w:rFonts w:hint="eastAsia" w:ascii="宋体" w:hAnsi="宋体" w:eastAsia="宋体" w:cs="宋体"/>
                <w:color w:val="auto"/>
                <w:kern w:val="2"/>
                <w:sz w:val="21"/>
                <w:szCs w:val="21"/>
                <w:highlight w:val="none"/>
                <w:lang w:val="en-US" w:eastAsia="zh-CN" w:bidi="ar"/>
              </w:rPr>
              <w:t>号）及《广西壮族自治区财政厅关于贯彻落实政府采购支持中小企业发展政策的的通知》（桂财采【</w:t>
            </w:r>
            <w:r>
              <w:rPr>
                <w:rFonts w:hint="default" w:ascii="Times New Roman" w:hAnsi="Times New Roman" w:eastAsia="宋体" w:cs="Times New Roman"/>
                <w:color w:val="auto"/>
                <w:kern w:val="2"/>
                <w:sz w:val="21"/>
                <w:szCs w:val="21"/>
                <w:highlight w:val="none"/>
                <w:lang w:val="en-US" w:eastAsia="zh-CN" w:bidi="ar"/>
              </w:rPr>
              <w:t>2022</w:t>
            </w:r>
            <w:r>
              <w:rPr>
                <w:rFonts w:hint="eastAsia" w:ascii="宋体" w:hAnsi="宋体"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31</w:t>
            </w:r>
            <w:r>
              <w:rPr>
                <w:rFonts w:hint="eastAsia" w:ascii="宋体" w:hAnsi="宋体" w:eastAsia="宋体" w:cs="宋体"/>
                <w:color w:val="auto"/>
                <w:kern w:val="2"/>
                <w:sz w:val="21"/>
                <w:szCs w:val="21"/>
                <w:highlight w:val="none"/>
                <w:lang w:val="en-US" w:eastAsia="zh-CN" w:bidi="ar"/>
              </w:rPr>
              <w:t>号）的规定，供应商在其响应文件中提供《中小企业声明函》，</w:t>
            </w:r>
            <w:r>
              <w:rPr>
                <w:rFonts w:hint="eastAsia" w:ascii="宋体" w:hAnsi="宋体" w:eastAsia="宋体" w:cs="宋体"/>
                <w:bCs/>
                <w:color w:val="auto"/>
                <w:kern w:val="2"/>
                <w:sz w:val="21"/>
                <w:szCs w:val="21"/>
                <w:highlight w:val="none"/>
                <w:lang w:val="en-US" w:eastAsia="zh-CN" w:bidi="ar"/>
              </w:rPr>
              <w:t>且其竞标</w:t>
            </w:r>
            <w:r>
              <w:rPr>
                <w:rFonts w:hint="eastAsia" w:ascii="宋体" w:hAnsi="宋体" w:cs="宋体"/>
                <w:bCs/>
                <w:color w:val="auto"/>
                <w:kern w:val="2"/>
                <w:sz w:val="21"/>
                <w:szCs w:val="21"/>
                <w:highlight w:val="none"/>
                <w:lang w:val="en-US" w:eastAsia="zh-CN" w:bidi="ar"/>
              </w:rPr>
              <w:t>工程</w:t>
            </w:r>
            <w:r>
              <w:rPr>
                <w:rFonts w:hint="eastAsia" w:ascii="宋体" w:hAnsi="宋体" w:eastAsia="宋体" w:cs="宋体"/>
                <w:bCs/>
                <w:color w:val="auto"/>
                <w:kern w:val="2"/>
                <w:sz w:val="21"/>
                <w:szCs w:val="21"/>
                <w:highlight w:val="none"/>
                <w:lang w:val="en-US" w:eastAsia="zh-CN" w:bidi="ar"/>
              </w:rPr>
              <w:t>由符合政策要求的小微企业提供的</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bCs/>
                <w:color w:val="auto"/>
                <w:kern w:val="2"/>
                <w:sz w:val="21"/>
                <w:szCs w:val="21"/>
                <w:highlight w:val="none"/>
                <w:lang w:val="en-US" w:eastAsia="zh-CN" w:bidi="ar"/>
              </w:rPr>
              <w:t>对供应商的最后报价给予20%的扣除，扣除后的价格为评审价，即评审价=最后报价×（1-20%）。除上述情况外，评审价=最后报价。</w:t>
            </w:r>
          </w:p>
          <w:p w14:paraId="4F461866">
            <w:pPr>
              <w:keepNext w:val="0"/>
              <w:keepLines w:val="0"/>
              <w:widowControl w:val="0"/>
              <w:suppressLineNumbers w:val="0"/>
              <w:spacing w:before="0" w:beforeAutospacing="0" w:after="0" w:afterAutospacing="0" w:line="350" w:lineRule="exact"/>
              <w:ind w:left="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eastAsia="宋体" w:cs="宋体"/>
                <w:bCs/>
                <w:color w:val="auto"/>
                <w:kern w:val="2"/>
                <w:sz w:val="21"/>
                <w:szCs w:val="21"/>
                <w:highlight w:val="none"/>
                <w:lang w:val="en-US" w:eastAsia="zh-CN" w:bidi="ar"/>
              </w:rPr>
              <w:t>监狱企业属于小型、微型企业的，</w:t>
            </w:r>
            <w:r>
              <w:rPr>
                <w:rFonts w:hint="eastAsia" w:ascii="宋体" w:hAnsi="宋体" w:eastAsia="宋体" w:cs="宋体"/>
                <w:color w:val="auto"/>
                <w:kern w:val="2"/>
                <w:sz w:val="21"/>
                <w:szCs w:val="21"/>
                <w:highlight w:val="none"/>
                <w:lang w:val="en-US" w:eastAsia="zh-CN" w:bidi="ar"/>
              </w:rPr>
              <w:t>不重复享受政策。</w:t>
            </w:r>
          </w:p>
          <w:p w14:paraId="3730274B">
            <w:pPr>
              <w:keepNext w:val="0"/>
              <w:keepLines w:val="0"/>
              <w:widowControl w:val="0"/>
              <w:suppressLineNumbers w:val="0"/>
              <w:spacing w:before="0" w:beforeAutospacing="0" w:after="0" w:afterAutospacing="0" w:line="350" w:lineRule="exact"/>
              <w:ind w:left="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DE22F4F">
            <w:pPr>
              <w:pStyle w:val="42"/>
              <w:keepNext w:val="0"/>
              <w:keepLines w:val="0"/>
              <w:widowControl w:val="0"/>
              <w:suppressLineNumbers w:val="0"/>
              <w:spacing w:before="0" w:beforeAutospacing="0" w:after="0" w:afterAutospacing="0" w:line="350" w:lineRule="exact"/>
              <w:ind w:left="0" w:right="0" w:firstLine="0" w:firstLineChars="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（5）以进入比较与评价环节的最低的评审价为基准价，基准价得分为</w:t>
            </w:r>
            <w:r>
              <w:rPr>
                <w:rFonts w:hint="eastAsia" w:ascii="宋体" w:hAnsi="宋体" w:cs="宋体"/>
                <w:bCs/>
                <w:color w:val="auto"/>
                <w:kern w:val="2"/>
                <w:sz w:val="21"/>
                <w:szCs w:val="21"/>
                <w:highlight w:val="none"/>
                <w:u w:val="single"/>
                <w:lang w:val="en-US" w:eastAsia="zh-CN" w:bidi="ar"/>
              </w:rPr>
              <w:t>30</w:t>
            </w:r>
            <w:r>
              <w:rPr>
                <w:rFonts w:hint="eastAsia" w:ascii="宋体" w:hAnsi="宋体" w:eastAsia="宋体" w:cs="宋体"/>
                <w:bCs/>
                <w:color w:val="auto"/>
                <w:kern w:val="2"/>
                <w:sz w:val="21"/>
                <w:szCs w:val="21"/>
                <w:highlight w:val="none"/>
                <w:lang w:val="en-US" w:eastAsia="zh-CN" w:bidi="ar"/>
              </w:rPr>
              <w:t>分。</w:t>
            </w:r>
          </w:p>
          <w:p w14:paraId="2BCB4935">
            <w:pPr>
              <w:keepNext w:val="0"/>
              <w:keepLines w:val="0"/>
              <w:widowControl w:val="0"/>
              <w:suppressLineNumbers w:val="0"/>
              <w:spacing w:before="0" w:beforeAutospacing="0" w:after="0" w:afterAutospacing="0" w:line="360" w:lineRule="auto"/>
              <w:ind w:right="0"/>
              <w:jc w:val="both"/>
              <w:rPr>
                <w:rFonts w:hint="default" w:asciiTheme="majorEastAsia" w:hAnsiTheme="majorEastAsia" w:eastAsiaTheme="majorEastAsia"/>
                <w:color w:val="auto"/>
                <w:highlight w:val="none"/>
              </w:rPr>
            </w:pPr>
            <w:r>
              <w:rPr>
                <w:rFonts w:hint="eastAsia" w:ascii="宋体" w:hAnsi="宋体" w:eastAsia="宋体" w:cs="宋体"/>
                <w:bCs/>
                <w:color w:val="auto"/>
                <w:kern w:val="2"/>
                <w:sz w:val="21"/>
                <w:szCs w:val="21"/>
                <w:highlight w:val="none"/>
                <w:lang w:val="en-US" w:eastAsia="zh-CN" w:bidi="ar"/>
              </w:rPr>
              <w:t>（6）价格分计算公式：报价得分=（基准价/最后报价）×</w:t>
            </w:r>
            <w:r>
              <w:rPr>
                <w:rFonts w:hint="eastAsia" w:ascii="宋体" w:hAnsi="宋体" w:cs="宋体"/>
                <w:bCs/>
                <w:color w:val="auto"/>
                <w:kern w:val="2"/>
                <w:sz w:val="21"/>
                <w:szCs w:val="21"/>
                <w:highlight w:val="none"/>
                <w:u w:val="single"/>
                <w:lang w:val="en-US" w:eastAsia="zh-CN" w:bidi="ar"/>
              </w:rPr>
              <w:t>30</w:t>
            </w:r>
            <w:r>
              <w:rPr>
                <w:rFonts w:hint="eastAsia" w:ascii="宋体" w:hAnsi="宋体" w:eastAsia="宋体" w:cs="宋体"/>
                <w:bCs/>
                <w:color w:val="auto"/>
                <w:kern w:val="2"/>
                <w:sz w:val="21"/>
                <w:szCs w:val="21"/>
                <w:highlight w:val="none"/>
                <w:lang w:val="en-US" w:eastAsia="zh-CN" w:bidi="ar"/>
              </w:rPr>
              <w:t>分</w:t>
            </w:r>
          </w:p>
        </w:tc>
      </w:tr>
      <w:tr w14:paraId="04BC9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restart"/>
            <w:tcBorders>
              <w:top w:val="single" w:color="auto" w:sz="4" w:space="0"/>
              <w:left w:val="single" w:color="auto" w:sz="4" w:space="0"/>
              <w:bottom w:val="single" w:color="auto" w:sz="4" w:space="0"/>
              <w:right w:val="single" w:color="auto" w:sz="4" w:space="0"/>
            </w:tcBorders>
            <w:vAlign w:val="center"/>
          </w:tcPr>
          <w:p w14:paraId="766118F7">
            <w:pPr>
              <w:keepNext w:val="0"/>
              <w:keepLines w:val="0"/>
              <w:widowControl/>
              <w:suppressLineNumbers w:val="0"/>
              <w:spacing w:before="0" w:beforeAutospacing="0" w:after="0" w:afterAutospacing="0" w:line="440" w:lineRule="exact"/>
              <w:ind w:left="0" w:right="0"/>
              <w:jc w:val="center"/>
              <w:rPr>
                <w:rFonts w:hint="default" w:cs="Tahoma" w:asciiTheme="majorEastAsia" w:hAnsiTheme="majorEastAsia" w:eastAsiaTheme="majorEastAsia"/>
                <w:color w:val="auto"/>
                <w:kern w:val="0"/>
                <w:szCs w:val="21"/>
                <w:highlight w:val="none"/>
              </w:rPr>
            </w:pPr>
            <w:r>
              <w:rPr>
                <w:rFonts w:hint="eastAsia" w:asciiTheme="majorEastAsia" w:hAnsiTheme="majorEastAsia" w:eastAsiaTheme="majorEastAsia"/>
                <w:bCs/>
                <w:color w:val="auto"/>
                <w:kern w:val="0"/>
                <w:szCs w:val="21"/>
                <w:highlight w:val="none"/>
              </w:rPr>
              <w:t>2</w:t>
            </w:r>
          </w:p>
        </w:tc>
        <w:tc>
          <w:tcPr>
            <w:tcW w:w="1418" w:type="dxa"/>
            <w:tcBorders>
              <w:top w:val="single" w:color="auto" w:sz="4" w:space="0"/>
              <w:left w:val="single" w:color="auto" w:sz="4" w:space="0"/>
              <w:bottom w:val="single" w:color="auto" w:sz="4" w:space="0"/>
              <w:right w:val="single" w:color="auto" w:sz="4" w:space="0"/>
            </w:tcBorders>
            <w:vAlign w:val="center"/>
          </w:tcPr>
          <w:p w14:paraId="0607B485">
            <w:pPr>
              <w:keepNext w:val="0"/>
              <w:keepLines w:val="0"/>
              <w:widowControl/>
              <w:suppressLineNumbers w:val="0"/>
              <w:spacing w:before="0" w:beforeAutospacing="0" w:after="0" w:afterAutospacing="0" w:line="440" w:lineRule="exact"/>
              <w:ind w:left="0" w:right="0"/>
              <w:jc w:val="center"/>
              <w:rPr>
                <w:rFonts w:hint="default" w:cs="Tahoma" w:asciiTheme="majorEastAsia" w:hAnsiTheme="majorEastAsia" w:eastAsiaTheme="majorEastAsia"/>
                <w:color w:val="auto"/>
                <w:kern w:val="0"/>
                <w:szCs w:val="21"/>
                <w:highlight w:val="none"/>
              </w:rPr>
            </w:pPr>
            <w:r>
              <w:rPr>
                <w:rFonts w:hint="eastAsia" w:asciiTheme="majorEastAsia" w:hAnsiTheme="majorEastAsia" w:eastAsiaTheme="majorEastAsia"/>
                <w:bCs/>
                <w:color w:val="auto"/>
                <w:kern w:val="0"/>
                <w:szCs w:val="21"/>
                <w:highlight w:val="none"/>
              </w:rPr>
              <w:t>技术分【</w:t>
            </w:r>
            <w:r>
              <w:rPr>
                <w:rFonts w:hint="eastAsia" w:asciiTheme="majorEastAsia" w:hAnsiTheme="majorEastAsia" w:eastAsiaTheme="majorEastAsia"/>
                <w:color w:val="auto"/>
                <w:szCs w:val="21"/>
                <w:highlight w:val="none"/>
              </w:rPr>
              <w:t>施工组织设计（</w:t>
            </w:r>
            <w:r>
              <w:rPr>
                <w:rFonts w:hint="default" w:asciiTheme="majorEastAsia" w:hAnsiTheme="majorEastAsia" w:eastAsiaTheme="majorEastAsia"/>
                <w:color w:val="auto"/>
                <w:szCs w:val="21"/>
                <w:highlight w:val="none"/>
              </w:rPr>
              <w:t>6</w:t>
            </w:r>
            <w:r>
              <w:rPr>
                <w:rFonts w:hint="eastAsia" w:asciiTheme="majorEastAsia" w:hAnsiTheme="majorEastAsia" w:eastAsiaTheme="majorEastAsia"/>
                <w:color w:val="auto"/>
                <w:szCs w:val="21"/>
                <w:highlight w:val="none"/>
              </w:rPr>
              <w:t>0分）】</w:t>
            </w:r>
          </w:p>
        </w:tc>
        <w:tc>
          <w:tcPr>
            <w:tcW w:w="6679" w:type="dxa"/>
            <w:tcBorders>
              <w:top w:val="single" w:color="auto" w:sz="4" w:space="0"/>
              <w:left w:val="single" w:color="auto" w:sz="4" w:space="0"/>
              <w:bottom w:val="single" w:color="auto" w:sz="4" w:space="0"/>
              <w:right w:val="single" w:color="auto" w:sz="4" w:space="0"/>
            </w:tcBorders>
            <w:vAlign w:val="center"/>
          </w:tcPr>
          <w:p w14:paraId="70A4FE4C">
            <w:pPr>
              <w:keepNext w:val="0"/>
              <w:keepLines w:val="0"/>
              <w:suppressLineNumbers w:val="0"/>
              <w:spacing w:before="0" w:beforeAutospacing="0" w:after="0" w:afterAutospacing="0" w:line="440" w:lineRule="exact"/>
              <w:ind w:left="0" w:right="0"/>
              <w:jc w:val="center"/>
              <w:rPr>
                <w:rFonts w:hint="default" w:asciiTheme="majorEastAsia" w:hAnsiTheme="majorEastAsia" w:eastAsiaTheme="majorEastAsia"/>
                <w:bCs/>
                <w:color w:val="auto"/>
                <w:highlight w:val="none"/>
              </w:rPr>
            </w:pPr>
            <w:r>
              <w:rPr>
                <w:rFonts w:hint="eastAsia" w:asciiTheme="majorEastAsia" w:hAnsiTheme="majorEastAsia" w:eastAsiaTheme="majorEastAsia"/>
                <w:bCs/>
                <w:color w:val="auto"/>
                <w:highlight w:val="none"/>
              </w:rPr>
              <w:t>评审标准</w:t>
            </w:r>
          </w:p>
        </w:tc>
      </w:tr>
      <w:tr w14:paraId="1075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52A09B58">
            <w:pPr>
              <w:keepNext w:val="0"/>
              <w:keepLines w:val="0"/>
              <w:widowControl/>
              <w:suppressLineNumbers w:val="0"/>
              <w:spacing w:before="0" w:beforeAutospacing="0" w:after="0" w:afterAutospacing="0" w:line="440" w:lineRule="exact"/>
              <w:ind w:left="0" w:right="0"/>
              <w:jc w:val="left"/>
              <w:rPr>
                <w:rFonts w:hint="default"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76745C07">
            <w:pPr>
              <w:keepNext w:val="0"/>
              <w:keepLines w:val="0"/>
              <w:suppressLineNumbers w:val="0"/>
              <w:adjustRightInd w:val="0"/>
              <w:spacing w:before="0" w:beforeAutospacing="0" w:after="0" w:afterAutospacing="0" w:line="440" w:lineRule="exact"/>
              <w:ind w:left="0" w:right="0"/>
              <w:jc w:val="center"/>
              <w:textAlignment w:val="baseline"/>
              <w:rPr>
                <w:rFonts w:hint="default" w:asciiTheme="majorEastAsia" w:hAnsiTheme="majorEastAsia" w:eastAsiaTheme="majorEastAsia"/>
                <w:bCs/>
                <w:color w:val="auto"/>
                <w:kern w:val="0"/>
                <w:szCs w:val="21"/>
                <w:highlight w:val="none"/>
              </w:rPr>
            </w:pPr>
            <w:r>
              <w:rPr>
                <w:rFonts w:hint="eastAsia" w:asciiTheme="majorEastAsia" w:hAnsiTheme="majorEastAsia" w:eastAsiaTheme="majorEastAsia"/>
                <w:bCs/>
                <w:color w:val="auto"/>
                <w:kern w:val="0"/>
                <w:highlight w:val="none"/>
              </w:rPr>
              <w:t>2</w:t>
            </w:r>
            <w:r>
              <w:rPr>
                <w:rFonts w:hint="default" w:asciiTheme="majorEastAsia" w:hAnsiTheme="majorEastAsia" w:eastAsiaTheme="majorEastAsia"/>
                <w:bCs/>
                <w:color w:val="auto"/>
                <w:kern w:val="0"/>
                <w:highlight w:val="none"/>
              </w:rPr>
              <w:t>.1</w:t>
            </w:r>
            <w:r>
              <w:rPr>
                <w:rFonts w:hint="eastAsia" w:cs="宋体" w:asciiTheme="majorEastAsia" w:hAnsiTheme="majorEastAsia" w:eastAsiaTheme="majorEastAsia"/>
                <w:color w:val="auto"/>
                <w:spacing w:val="-2"/>
                <w:highlight w:val="none"/>
              </w:rPr>
              <w:t>主要</w:t>
            </w:r>
            <w:r>
              <w:rPr>
                <w:rFonts w:hint="eastAsia" w:cs="宋体" w:asciiTheme="majorEastAsia" w:hAnsiTheme="majorEastAsia" w:eastAsiaTheme="majorEastAsia"/>
                <w:color w:val="auto"/>
                <w:spacing w:val="-1"/>
                <w:highlight w:val="none"/>
              </w:rPr>
              <w:t>施工方</w:t>
            </w:r>
            <w:r>
              <w:rPr>
                <w:rFonts w:hint="eastAsia" w:cs="宋体" w:asciiTheme="majorEastAsia" w:hAnsiTheme="majorEastAsia" w:eastAsiaTheme="majorEastAsia"/>
                <w:color w:val="auto"/>
                <w:spacing w:val="7"/>
                <w:highlight w:val="none"/>
              </w:rPr>
              <w:t>法</w:t>
            </w:r>
            <w:r>
              <w:rPr>
                <w:rFonts w:hint="eastAsia" w:asciiTheme="majorEastAsia" w:hAnsiTheme="majorEastAsia" w:eastAsiaTheme="majorEastAsia"/>
                <w:bCs/>
                <w:color w:val="auto"/>
                <w:kern w:val="0"/>
                <w:highlight w:val="none"/>
              </w:rPr>
              <w:t>（</w:t>
            </w:r>
            <w:r>
              <w:rPr>
                <w:rFonts w:hint="default" w:asciiTheme="majorEastAsia" w:hAnsiTheme="majorEastAsia" w:eastAsiaTheme="majorEastAsia"/>
                <w:bCs/>
                <w:color w:val="auto"/>
                <w:kern w:val="0"/>
                <w:highlight w:val="none"/>
              </w:rPr>
              <w:t>10</w:t>
            </w:r>
            <w:r>
              <w:rPr>
                <w:rFonts w:hint="eastAsia" w:asciiTheme="majorEastAsia" w:hAnsiTheme="majorEastAsia" w:eastAsiaTheme="majorEastAsia"/>
                <w:bCs/>
                <w:color w:val="auto"/>
                <w:kern w:val="0"/>
                <w:highlight w:val="none"/>
              </w:rPr>
              <w:t>分</w:t>
            </w:r>
            <w:r>
              <w:rPr>
                <w:rFonts w:hint="eastAsia" w:asciiTheme="majorEastAsia" w:hAnsiTheme="majorEastAsia" w:eastAsiaTheme="majorEastAsia"/>
                <w:bCs/>
                <w:color w:val="auto"/>
                <w:kern w:val="0"/>
                <w:highlight w:val="none"/>
              </w:rPr>
              <w:t>）</w:t>
            </w:r>
          </w:p>
        </w:tc>
        <w:tc>
          <w:tcPr>
            <w:tcW w:w="6679" w:type="dxa"/>
            <w:tcBorders>
              <w:top w:val="single" w:color="auto" w:sz="4" w:space="0"/>
              <w:left w:val="single" w:color="auto" w:sz="4" w:space="0"/>
              <w:bottom w:val="single" w:color="auto" w:sz="4" w:space="0"/>
              <w:right w:val="single" w:color="auto" w:sz="4" w:space="0"/>
            </w:tcBorders>
            <w:vAlign w:val="center"/>
          </w:tcPr>
          <w:p w14:paraId="68FB694F">
            <w:pPr>
              <w:keepNext w:val="0"/>
              <w:keepLines w:val="0"/>
              <w:suppressLineNumbers w:val="0"/>
              <w:spacing w:before="0" w:beforeAutospacing="0" w:after="0" w:afterAutospacing="0" w:line="400" w:lineRule="exact"/>
              <w:ind w:left="0" w:right="0"/>
              <w:rPr>
                <w:rFonts w:hint="default"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评委根据供应商提供的“</w:t>
            </w:r>
            <w:r>
              <w:rPr>
                <w:rFonts w:hint="eastAsia" w:cs="宋体" w:asciiTheme="majorEastAsia" w:hAnsiTheme="majorEastAsia" w:eastAsiaTheme="majorEastAsia"/>
                <w:color w:val="auto"/>
                <w:spacing w:val="-2"/>
                <w:highlight w:val="none"/>
              </w:rPr>
              <w:t>主要</w:t>
            </w:r>
            <w:r>
              <w:rPr>
                <w:rFonts w:hint="eastAsia" w:cs="宋体" w:asciiTheme="majorEastAsia" w:hAnsiTheme="majorEastAsia" w:eastAsiaTheme="majorEastAsia"/>
                <w:color w:val="auto"/>
                <w:spacing w:val="-1"/>
                <w:highlight w:val="none"/>
              </w:rPr>
              <w:t>施工方</w:t>
            </w:r>
            <w:r>
              <w:rPr>
                <w:rFonts w:hint="eastAsia" w:cs="宋体" w:asciiTheme="majorEastAsia" w:hAnsiTheme="majorEastAsia" w:eastAsiaTheme="majorEastAsia"/>
                <w:color w:val="auto"/>
                <w:spacing w:val="7"/>
                <w:highlight w:val="none"/>
              </w:rPr>
              <w:t>法”</w:t>
            </w:r>
            <w:r>
              <w:rPr>
                <w:rFonts w:hint="eastAsia" w:cs="宋体" w:asciiTheme="majorEastAsia" w:hAnsiTheme="majorEastAsia" w:eastAsiaTheme="majorEastAsia"/>
                <w:color w:val="auto"/>
                <w:kern w:val="0"/>
                <w:highlight w:val="none"/>
              </w:rPr>
              <w:t>内容进行独立评审并打分：</w:t>
            </w:r>
          </w:p>
          <w:p w14:paraId="1003E3C7">
            <w:pPr>
              <w:keepNext w:val="0"/>
              <w:keepLines w:val="0"/>
              <w:suppressLineNumbers w:val="0"/>
              <w:spacing w:before="0" w:beforeAutospacing="0" w:after="0" w:afterAutospacing="0" w:line="400" w:lineRule="exact"/>
              <w:ind w:left="0" w:right="0"/>
              <w:rPr>
                <w:rFonts w:hint="default"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一档（</w:t>
            </w:r>
            <w:r>
              <w:rPr>
                <w:rFonts w:hint="eastAsia" w:cs="宋体" w:asciiTheme="majorEastAsia" w:hAnsiTheme="majorEastAsia" w:eastAsiaTheme="majorEastAsia"/>
                <w:color w:val="auto"/>
                <w:kern w:val="0"/>
                <w:highlight w:val="none"/>
              </w:rPr>
              <w:t>2分</w:t>
            </w:r>
            <w:r>
              <w:rPr>
                <w:rFonts w:hint="eastAsia" w:cs="宋体" w:asciiTheme="majorEastAsia" w:hAnsiTheme="majorEastAsia" w:eastAsiaTheme="majorEastAsia"/>
                <w:color w:val="auto"/>
                <w:kern w:val="0"/>
                <w:highlight w:val="none"/>
              </w:rPr>
              <w:t>）：各主要分部施工方法及施工技术方案不全面，工艺缺乏先进性、方法缺乏合理性、可行性、针对性，不能指导项目施工，确保工程的安全程度低。</w:t>
            </w:r>
          </w:p>
          <w:p w14:paraId="0046083D">
            <w:pPr>
              <w:keepNext w:val="0"/>
              <w:keepLines w:val="0"/>
              <w:suppressLineNumbers w:val="0"/>
              <w:spacing w:before="0" w:beforeAutospacing="0" w:after="0" w:afterAutospacing="0" w:line="400" w:lineRule="exact"/>
              <w:ind w:left="0" w:right="0"/>
              <w:rPr>
                <w:rFonts w:hint="default"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二档（</w:t>
            </w:r>
            <w:r>
              <w:rPr>
                <w:rFonts w:hint="default" w:cs="宋体" w:asciiTheme="majorEastAsia" w:hAnsiTheme="majorEastAsia" w:eastAsiaTheme="majorEastAsia"/>
                <w:color w:val="auto"/>
                <w:kern w:val="0"/>
                <w:highlight w:val="none"/>
              </w:rPr>
              <w:t>6</w:t>
            </w:r>
            <w:r>
              <w:rPr>
                <w:rFonts w:hint="eastAsia" w:cs="宋体" w:asciiTheme="majorEastAsia" w:hAnsiTheme="majorEastAsia" w:eastAsiaTheme="majorEastAsia"/>
                <w:color w:val="auto"/>
                <w:kern w:val="0"/>
                <w:highlight w:val="none"/>
              </w:rPr>
              <w:t>分</w:t>
            </w:r>
            <w:r>
              <w:rPr>
                <w:rFonts w:hint="eastAsia" w:cs="宋体" w:asciiTheme="majorEastAsia" w:hAnsiTheme="majorEastAsia" w:eastAsiaTheme="majorEastAsia"/>
                <w:color w:val="auto"/>
                <w:kern w:val="0"/>
                <w:highlight w:val="none"/>
              </w:rPr>
              <w:t>）：各主要分部施工方法符合项目实际，有</w:t>
            </w:r>
            <w:r>
              <w:rPr>
                <w:rFonts w:hint="eastAsia" w:cs="宋体" w:asciiTheme="majorEastAsia" w:hAnsiTheme="majorEastAsia" w:eastAsiaTheme="majorEastAsia"/>
                <w:color w:val="auto"/>
                <w:kern w:val="0"/>
                <w:highlight w:val="none"/>
                <w:lang w:eastAsia="zh-CN"/>
              </w:rPr>
              <w:t>较</w:t>
            </w:r>
            <w:r>
              <w:rPr>
                <w:rFonts w:hint="eastAsia" w:cs="宋体" w:asciiTheme="majorEastAsia" w:hAnsiTheme="majorEastAsia" w:eastAsiaTheme="majorEastAsia"/>
                <w:color w:val="auto"/>
                <w:kern w:val="0"/>
                <w:highlight w:val="none"/>
              </w:rPr>
              <w:t>详尽、</w:t>
            </w:r>
            <w:r>
              <w:rPr>
                <w:rFonts w:hint="eastAsia" w:cs="宋体" w:asciiTheme="majorEastAsia" w:hAnsiTheme="majorEastAsia" w:eastAsiaTheme="majorEastAsia"/>
                <w:color w:val="auto"/>
                <w:kern w:val="0"/>
                <w:highlight w:val="none"/>
                <w:lang w:eastAsia="zh-CN"/>
              </w:rPr>
              <w:t>较</w:t>
            </w:r>
            <w:r>
              <w:rPr>
                <w:rFonts w:hint="eastAsia" w:cs="宋体" w:asciiTheme="majorEastAsia" w:hAnsiTheme="majorEastAsia" w:eastAsiaTheme="majorEastAsia"/>
                <w:color w:val="auto"/>
                <w:kern w:val="0"/>
                <w:highlight w:val="none"/>
              </w:rPr>
              <w:t>全面的施工技术方案，工艺较先进，方法较科学合理、可行，能指导具体施工并确保安全。</w:t>
            </w:r>
          </w:p>
          <w:p w14:paraId="19B6AF74">
            <w:pPr>
              <w:keepNext w:val="0"/>
              <w:keepLines w:val="0"/>
              <w:suppressLineNumbers w:val="0"/>
              <w:spacing w:before="0" w:beforeAutospacing="0" w:after="0" w:afterAutospacing="0" w:line="400" w:lineRule="exact"/>
              <w:ind w:left="0" w:right="0"/>
              <w:rPr>
                <w:rFonts w:hint="default"/>
                <w:color w:val="auto"/>
                <w:highlight w:val="none"/>
              </w:rPr>
            </w:pPr>
            <w:r>
              <w:rPr>
                <w:rFonts w:hint="eastAsia" w:cs="宋体" w:asciiTheme="majorEastAsia" w:hAnsiTheme="majorEastAsia" w:eastAsiaTheme="majorEastAsia"/>
                <w:color w:val="auto"/>
                <w:kern w:val="0"/>
                <w:highlight w:val="none"/>
              </w:rPr>
              <w:t>三档（</w:t>
            </w:r>
            <w:r>
              <w:rPr>
                <w:rFonts w:hint="default" w:cs="宋体" w:asciiTheme="majorEastAsia" w:hAnsiTheme="majorEastAsia" w:eastAsiaTheme="majorEastAsia"/>
                <w:color w:val="auto"/>
                <w:kern w:val="0"/>
                <w:highlight w:val="none"/>
              </w:rPr>
              <w:t>10</w:t>
            </w:r>
            <w:r>
              <w:rPr>
                <w:rFonts w:hint="eastAsia" w:cs="宋体" w:asciiTheme="majorEastAsia" w:hAnsiTheme="majorEastAsia" w:eastAsiaTheme="majorEastAsia"/>
                <w:color w:val="auto"/>
                <w:kern w:val="0"/>
                <w:highlight w:val="none"/>
              </w:rPr>
              <w:t>分</w:t>
            </w:r>
            <w:r>
              <w:rPr>
                <w:rFonts w:hint="eastAsia" w:cs="宋体" w:asciiTheme="majorEastAsia" w:hAnsiTheme="majorEastAsia" w:eastAsiaTheme="majorEastAsia"/>
                <w:color w:val="auto"/>
                <w:kern w:val="0"/>
                <w:highlight w:val="none"/>
              </w:rPr>
              <w:t>）：各主要分部施工方法符合项目实际，有详尽、全面的施工技术方案，工艺先进、方法科学合理、可行，能指导具体施工并确保安全。</w:t>
            </w:r>
          </w:p>
        </w:tc>
      </w:tr>
      <w:tr w14:paraId="6B91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100010D8">
            <w:pPr>
              <w:keepNext w:val="0"/>
              <w:keepLines w:val="0"/>
              <w:widowControl/>
              <w:suppressLineNumbers w:val="0"/>
              <w:spacing w:before="0" w:beforeAutospacing="0" w:after="0" w:afterAutospacing="0" w:line="440" w:lineRule="exact"/>
              <w:ind w:left="0" w:right="0"/>
              <w:jc w:val="left"/>
              <w:rPr>
                <w:rFonts w:hint="default"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D92D52F">
            <w:pPr>
              <w:keepNext w:val="0"/>
              <w:keepLines w:val="0"/>
              <w:widowControl/>
              <w:suppressLineNumbers w:val="0"/>
              <w:spacing w:before="0" w:beforeAutospacing="0" w:after="0" w:afterAutospacing="0" w:line="360" w:lineRule="exact"/>
              <w:ind w:left="0" w:right="0"/>
              <w:jc w:val="center"/>
              <w:rPr>
                <w:rFonts w:hint="default" w:asciiTheme="majorEastAsia" w:hAnsiTheme="majorEastAsia" w:eastAsiaTheme="majorEastAsia"/>
                <w:bCs/>
                <w:color w:val="auto"/>
                <w:kern w:val="0"/>
                <w:highlight w:val="none"/>
              </w:rPr>
            </w:pPr>
            <w:r>
              <w:rPr>
                <w:rFonts w:hint="eastAsia" w:ascii="宋体" w:hAnsi="宋体" w:cs="宋体"/>
                <w:color w:val="auto"/>
                <w:kern w:val="0"/>
                <w:highlight w:val="none"/>
              </w:rPr>
              <w:t>2.2拟投入的主要物资计划（9分）</w:t>
            </w:r>
          </w:p>
        </w:tc>
        <w:tc>
          <w:tcPr>
            <w:tcW w:w="6679" w:type="dxa"/>
            <w:tcBorders>
              <w:top w:val="single" w:color="auto" w:sz="4" w:space="0"/>
              <w:left w:val="single" w:color="auto" w:sz="4" w:space="0"/>
              <w:bottom w:val="single" w:color="auto" w:sz="4" w:space="0"/>
              <w:right w:val="single" w:color="auto" w:sz="4" w:space="0"/>
            </w:tcBorders>
            <w:vAlign w:val="center"/>
          </w:tcPr>
          <w:p w14:paraId="3509709B">
            <w:pPr>
              <w:keepNext w:val="0"/>
              <w:keepLines w:val="0"/>
              <w:widowControl/>
              <w:suppressLineNumbers w:val="0"/>
              <w:spacing w:before="0" w:beforeAutospacing="0" w:after="0" w:afterAutospacing="0" w:line="400" w:lineRule="exact"/>
              <w:ind w:left="0" w:right="0"/>
              <w:jc w:val="left"/>
              <w:rPr>
                <w:rFonts w:hint="default" w:ascii="宋体" w:hAnsi="宋体"/>
                <w:color w:val="auto"/>
                <w:highlight w:val="none"/>
              </w:rPr>
            </w:pPr>
            <w:r>
              <w:rPr>
                <w:rFonts w:hint="eastAsia" w:cs="宋体" w:asciiTheme="majorEastAsia" w:hAnsiTheme="majorEastAsia" w:eastAsiaTheme="majorEastAsia"/>
                <w:color w:val="auto"/>
                <w:kern w:val="0"/>
                <w:highlight w:val="none"/>
              </w:rPr>
              <w:t>评委根据供应商提供的“</w:t>
            </w:r>
            <w:r>
              <w:rPr>
                <w:rFonts w:hint="eastAsia" w:ascii="宋体" w:hAnsi="宋体" w:cs="宋体"/>
                <w:color w:val="auto"/>
                <w:kern w:val="0"/>
                <w:highlight w:val="none"/>
              </w:rPr>
              <w:t>拟投入的主要物资计划”</w:t>
            </w:r>
            <w:r>
              <w:rPr>
                <w:rFonts w:hint="eastAsia" w:cs="宋体" w:asciiTheme="majorEastAsia" w:hAnsiTheme="majorEastAsia" w:eastAsiaTheme="majorEastAsia"/>
                <w:color w:val="auto"/>
                <w:kern w:val="0"/>
                <w:highlight w:val="none"/>
              </w:rPr>
              <w:t>内容进行独立评审并打分：</w:t>
            </w:r>
          </w:p>
          <w:p w14:paraId="4631B204">
            <w:pPr>
              <w:keepNext w:val="0"/>
              <w:keepLines w:val="0"/>
              <w:widowControl/>
              <w:suppressLineNumbers w:val="0"/>
              <w:spacing w:before="0" w:beforeAutospacing="0" w:after="0" w:afterAutospacing="0" w:line="400" w:lineRule="exact"/>
              <w:ind w:left="0" w:right="0"/>
              <w:jc w:val="left"/>
              <w:rPr>
                <w:rFonts w:hint="default" w:ascii="宋体" w:hAnsi="宋体"/>
                <w:color w:val="auto"/>
                <w:highlight w:val="none"/>
              </w:rPr>
            </w:pPr>
            <w:r>
              <w:rPr>
                <w:rFonts w:hint="eastAsia" w:ascii="宋体" w:hAnsi="宋体"/>
                <w:color w:val="auto"/>
                <w:highlight w:val="none"/>
              </w:rPr>
              <w:t>一档（3分）：</w:t>
            </w:r>
            <w:r>
              <w:rPr>
                <w:rFonts w:hint="eastAsia" w:ascii="宋体" w:hAnsi="宋体" w:cs="宋体"/>
                <w:color w:val="auto"/>
                <w:kern w:val="0"/>
                <w:highlight w:val="none"/>
              </w:rPr>
              <w:t>投入的施工材料有组织计划，数量、选型配置、进场时间基本满足施工需要的。</w:t>
            </w:r>
          </w:p>
          <w:p w14:paraId="7B8716C5">
            <w:pPr>
              <w:pStyle w:val="240"/>
              <w:keepNext w:val="0"/>
              <w:keepLines w:val="0"/>
              <w:suppressLineNumbers w:val="0"/>
              <w:spacing w:before="0" w:beforeAutospacing="0" w:after="0" w:afterAutospacing="0" w:line="400" w:lineRule="exact"/>
              <w:ind w:left="0" w:right="0" w:firstLine="0" w:firstLineChars="0"/>
              <w:rPr>
                <w:rFonts w:hint="default"/>
                <w:color w:val="auto"/>
                <w:highlight w:val="none"/>
              </w:rPr>
            </w:pPr>
            <w:r>
              <w:rPr>
                <w:rFonts w:hint="eastAsia"/>
                <w:color w:val="auto"/>
                <w:highlight w:val="none"/>
              </w:rPr>
              <w:t>二档</w:t>
            </w:r>
            <w:r>
              <w:rPr>
                <w:rFonts w:hint="eastAsia" w:ascii="宋体" w:hAnsi="宋体"/>
                <w:color w:val="auto"/>
                <w:highlight w:val="none"/>
              </w:rPr>
              <w:t>（6分）</w:t>
            </w:r>
            <w:r>
              <w:rPr>
                <w:rFonts w:hint="eastAsia"/>
                <w:color w:val="auto"/>
                <w:highlight w:val="none"/>
              </w:rPr>
              <w:t>：</w:t>
            </w:r>
            <w:r>
              <w:rPr>
                <w:rFonts w:hint="eastAsia" w:ascii="宋体" w:hAnsi="宋体" w:cs="宋体"/>
                <w:color w:val="auto"/>
                <w:kern w:val="0"/>
                <w:highlight w:val="none"/>
              </w:rPr>
              <w:t>投入的施工材料有详细的组织计划，但部分内容与项目实际情况不契合，数量、选型配置、进场时间安排较合理，满足施工需要的。</w:t>
            </w:r>
          </w:p>
          <w:p w14:paraId="0881832C">
            <w:pPr>
              <w:pStyle w:val="240"/>
              <w:keepNext w:val="0"/>
              <w:keepLines w:val="0"/>
              <w:suppressLineNumbers w:val="0"/>
              <w:spacing w:before="0" w:beforeAutospacing="0" w:after="0" w:afterAutospacing="0" w:line="400" w:lineRule="exact"/>
              <w:ind w:left="0" w:right="0" w:firstLine="0" w:firstLineChars="0"/>
              <w:rPr>
                <w:rFonts w:hint="default" w:cs="宋体" w:asciiTheme="majorEastAsia" w:hAnsiTheme="majorEastAsia" w:eastAsiaTheme="majorEastAsia"/>
                <w:color w:val="auto"/>
                <w:kern w:val="0"/>
                <w:highlight w:val="none"/>
              </w:rPr>
            </w:pPr>
            <w:r>
              <w:rPr>
                <w:rFonts w:hint="eastAsia"/>
                <w:color w:val="auto"/>
                <w:highlight w:val="none"/>
              </w:rPr>
              <w:t>三档</w:t>
            </w:r>
            <w:r>
              <w:rPr>
                <w:rFonts w:hint="eastAsia" w:ascii="宋体" w:hAnsi="宋体"/>
                <w:color w:val="auto"/>
                <w:highlight w:val="none"/>
              </w:rPr>
              <w:t>（9分）</w:t>
            </w:r>
            <w:r>
              <w:rPr>
                <w:rFonts w:hint="eastAsia"/>
                <w:color w:val="auto"/>
                <w:highlight w:val="none"/>
              </w:rPr>
              <w:t>：</w:t>
            </w:r>
            <w:r>
              <w:rPr>
                <w:rFonts w:hint="eastAsia" w:ascii="宋体" w:hAnsi="宋体" w:cs="宋体"/>
                <w:color w:val="auto"/>
                <w:kern w:val="0"/>
                <w:highlight w:val="none"/>
              </w:rPr>
              <w:t>投入的施工材料有详细的组织计划且计划周密，数量、选型配置、进场时间安排合理，满足施工需要的。</w:t>
            </w:r>
          </w:p>
        </w:tc>
      </w:tr>
      <w:tr w14:paraId="521ED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5898044B">
            <w:pPr>
              <w:keepNext w:val="0"/>
              <w:keepLines w:val="0"/>
              <w:widowControl/>
              <w:suppressLineNumbers w:val="0"/>
              <w:spacing w:before="0" w:beforeAutospacing="0" w:after="0" w:afterAutospacing="0" w:line="440" w:lineRule="exact"/>
              <w:ind w:left="0" w:right="0"/>
              <w:jc w:val="left"/>
              <w:rPr>
                <w:rFonts w:hint="default"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AE99EDD">
            <w:pPr>
              <w:keepNext w:val="0"/>
              <w:keepLines w:val="0"/>
              <w:suppressLineNumbers w:val="0"/>
              <w:adjustRightInd w:val="0"/>
              <w:spacing w:before="0" w:beforeAutospacing="0" w:after="0" w:afterAutospacing="0" w:line="440" w:lineRule="exact"/>
              <w:ind w:left="0" w:right="0"/>
              <w:jc w:val="center"/>
              <w:textAlignment w:val="baseline"/>
              <w:rPr>
                <w:rFonts w:hint="default" w:cs="宋体" w:asciiTheme="majorEastAsia" w:hAnsiTheme="majorEastAsia" w:eastAsiaTheme="majorEastAsia"/>
                <w:color w:val="auto"/>
                <w:highlight w:val="none"/>
              </w:rPr>
            </w:pPr>
            <w:r>
              <w:rPr>
                <w:rFonts w:hint="eastAsia" w:asciiTheme="majorEastAsia" w:hAnsiTheme="majorEastAsia" w:eastAsiaTheme="majorEastAsia"/>
                <w:bCs/>
                <w:color w:val="auto"/>
                <w:kern w:val="0"/>
                <w:highlight w:val="none"/>
              </w:rPr>
              <w:t>2</w:t>
            </w:r>
            <w:r>
              <w:rPr>
                <w:rFonts w:hint="default" w:asciiTheme="majorEastAsia" w:hAnsiTheme="majorEastAsia" w:eastAsiaTheme="majorEastAsia"/>
                <w:bCs/>
                <w:color w:val="auto"/>
                <w:kern w:val="0"/>
                <w:highlight w:val="none"/>
              </w:rPr>
              <w:t>.3</w:t>
            </w:r>
            <w:r>
              <w:rPr>
                <w:rFonts w:hint="eastAsia" w:cs="宋体" w:asciiTheme="majorEastAsia" w:hAnsiTheme="majorEastAsia" w:eastAsiaTheme="majorEastAsia"/>
                <w:color w:val="auto"/>
                <w:spacing w:val="-2"/>
                <w:highlight w:val="none"/>
              </w:rPr>
              <w:t>劳动力安排</w:t>
            </w:r>
            <w:r>
              <w:rPr>
                <w:rFonts w:hint="eastAsia" w:cs="宋体" w:asciiTheme="majorEastAsia" w:hAnsiTheme="majorEastAsia" w:eastAsiaTheme="majorEastAsia"/>
                <w:color w:val="auto"/>
                <w:spacing w:val="5"/>
                <w:highlight w:val="none"/>
              </w:rPr>
              <w:t>计划</w:t>
            </w:r>
            <w:r>
              <w:rPr>
                <w:rFonts w:hint="eastAsia" w:asciiTheme="majorEastAsia" w:hAnsiTheme="majorEastAsia" w:eastAsiaTheme="majorEastAsia"/>
                <w:color w:val="auto"/>
                <w:szCs w:val="21"/>
                <w:highlight w:val="none"/>
              </w:rPr>
              <w:t>（6分）</w:t>
            </w:r>
          </w:p>
        </w:tc>
        <w:tc>
          <w:tcPr>
            <w:tcW w:w="6679" w:type="dxa"/>
            <w:tcBorders>
              <w:top w:val="single" w:color="auto" w:sz="4" w:space="0"/>
              <w:left w:val="single" w:color="auto" w:sz="4" w:space="0"/>
              <w:bottom w:val="single" w:color="auto" w:sz="4" w:space="0"/>
              <w:right w:val="single" w:color="auto" w:sz="4" w:space="0"/>
            </w:tcBorders>
            <w:vAlign w:val="center"/>
          </w:tcPr>
          <w:p w14:paraId="4F807A85">
            <w:pPr>
              <w:keepNext w:val="0"/>
              <w:keepLines w:val="0"/>
              <w:suppressLineNumbers w:val="0"/>
              <w:spacing w:before="0" w:beforeAutospacing="0" w:after="0" w:afterAutospacing="0" w:line="400" w:lineRule="exact"/>
              <w:ind w:left="0" w:right="0"/>
              <w:rPr>
                <w:rFonts w:hint="default"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评委根据供应商提供的“</w:t>
            </w:r>
            <w:r>
              <w:rPr>
                <w:rFonts w:hint="eastAsia" w:cs="宋体" w:asciiTheme="majorEastAsia" w:hAnsiTheme="majorEastAsia" w:eastAsiaTheme="majorEastAsia"/>
                <w:color w:val="auto"/>
                <w:spacing w:val="-2"/>
                <w:highlight w:val="none"/>
              </w:rPr>
              <w:t>劳动力安排</w:t>
            </w:r>
            <w:r>
              <w:rPr>
                <w:rFonts w:hint="eastAsia" w:cs="宋体" w:asciiTheme="majorEastAsia" w:hAnsiTheme="majorEastAsia" w:eastAsiaTheme="majorEastAsia"/>
                <w:color w:val="auto"/>
                <w:spacing w:val="5"/>
                <w:highlight w:val="none"/>
              </w:rPr>
              <w:t>计划”</w:t>
            </w:r>
            <w:r>
              <w:rPr>
                <w:rFonts w:hint="eastAsia" w:cs="宋体" w:asciiTheme="majorEastAsia" w:hAnsiTheme="majorEastAsia" w:eastAsiaTheme="majorEastAsia"/>
                <w:color w:val="auto"/>
                <w:kern w:val="0"/>
                <w:highlight w:val="none"/>
              </w:rPr>
              <w:t>内容进行独立评审并打分：</w:t>
            </w:r>
          </w:p>
          <w:p w14:paraId="0EE93249">
            <w:pPr>
              <w:keepNext w:val="0"/>
              <w:keepLines w:val="0"/>
              <w:suppressLineNumbers w:val="0"/>
              <w:spacing w:before="0" w:beforeAutospacing="0" w:after="0" w:afterAutospacing="0" w:line="400" w:lineRule="exact"/>
              <w:ind w:left="0" w:right="0"/>
              <w:rPr>
                <w:rFonts w:hint="default"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一档（2分）：各主要施工工序的劳动力安排计划缺乏合理性，各工种劳动力安排计划不周全，劳动力投入缺乏合理性及针对性，不能满足施工需要。</w:t>
            </w:r>
          </w:p>
          <w:p w14:paraId="233AD890">
            <w:pPr>
              <w:keepNext w:val="0"/>
              <w:keepLines w:val="0"/>
              <w:suppressLineNumbers w:val="0"/>
              <w:spacing w:before="0" w:beforeAutospacing="0" w:after="0" w:afterAutospacing="0" w:line="400" w:lineRule="exact"/>
              <w:ind w:left="0" w:right="0"/>
              <w:rPr>
                <w:rFonts w:hint="default"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二档（4分）：各主要施工工序的劳动力安排计划较合理，各工种劳动力安排计划基本周全，劳动力投入有一定的科学合理性及针对性，基本满足施工需要。</w:t>
            </w:r>
          </w:p>
          <w:p w14:paraId="2392CF13">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olor w:val="auto"/>
                <w:highlight w:val="none"/>
              </w:rPr>
            </w:pPr>
            <w:r>
              <w:rPr>
                <w:rFonts w:hint="eastAsia" w:cs="宋体" w:asciiTheme="majorEastAsia" w:hAnsiTheme="majorEastAsia" w:eastAsiaTheme="majorEastAsia"/>
                <w:color w:val="auto"/>
                <w:kern w:val="0"/>
                <w:highlight w:val="none"/>
              </w:rPr>
              <w:t>三档（6分）：各主要施工工序的劳动力安排计划周密、合理，各工种劳动力安排计划周全，劳动力投入科学合理、针对性强，完全满足施工需要，有利于项目切实、有效地实施。</w:t>
            </w:r>
          </w:p>
        </w:tc>
      </w:tr>
      <w:tr w14:paraId="2C68F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0577A62D">
            <w:pPr>
              <w:keepNext w:val="0"/>
              <w:keepLines w:val="0"/>
              <w:widowControl/>
              <w:suppressLineNumbers w:val="0"/>
              <w:spacing w:before="0" w:beforeAutospacing="0" w:after="0" w:afterAutospacing="0" w:line="440" w:lineRule="exact"/>
              <w:ind w:left="0" w:right="0"/>
              <w:jc w:val="left"/>
              <w:rPr>
                <w:rFonts w:hint="default"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A2EB3E9">
            <w:pPr>
              <w:keepNext w:val="0"/>
              <w:keepLines w:val="0"/>
              <w:suppressLineNumbers w:val="0"/>
              <w:adjustRightInd w:val="0"/>
              <w:spacing w:before="0" w:beforeAutospacing="0" w:after="0" w:afterAutospacing="0" w:line="440" w:lineRule="exact"/>
              <w:ind w:left="0" w:right="0"/>
              <w:jc w:val="center"/>
              <w:textAlignment w:val="baseline"/>
              <w:rPr>
                <w:rFonts w:hint="default" w:cs="宋体" w:asciiTheme="majorEastAsia" w:hAnsiTheme="majorEastAsia" w:eastAsiaTheme="majorEastAsia"/>
                <w:color w:val="auto"/>
                <w:highlight w:val="none"/>
              </w:rPr>
            </w:pPr>
            <w:r>
              <w:rPr>
                <w:rFonts w:hint="eastAsia" w:asciiTheme="majorEastAsia" w:hAnsiTheme="majorEastAsia" w:eastAsiaTheme="majorEastAsia"/>
                <w:bCs/>
                <w:color w:val="auto"/>
                <w:kern w:val="0"/>
                <w:highlight w:val="none"/>
              </w:rPr>
              <w:t>2</w:t>
            </w:r>
            <w:r>
              <w:rPr>
                <w:rFonts w:hint="default" w:asciiTheme="majorEastAsia" w:hAnsiTheme="majorEastAsia" w:eastAsiaTheme="majorEastAsia"/>
                <w:bCs/>
                <w:color w:val="auto"/>
                <w:kern w:val="0"/>
                <w:highlight w:val="none"/>
              </w:rPr>
              <w:t>.4</w:t>
            </w:r>
            <w:r>
              <w:rPr>
                <w:rFonts w:hint="eastAsia" w:cs="宋体" w:asciiTheme="majorEastAsia" w:hAnsiTheme="majorEastAsia" w:eastAsiaTheme="majorEastAsia"/>
                <w:color w:val="auto"/>
                <w:spacing w:val="-1"/>
                <w:highlight w:val="none"/>
              </w:rPr>
              <w:t>确保工程质量的技术组</w:t>
            </w:r>
            <w:r>
              <w:rPr>
                <w:rFonts w:hint="eastAsia" w:cs="宋体" w:asciiTheme="majorEastAsia" w:hAnsiTheme="majorEastAsia" w:eastAsiaTheme="majorEastAsia"/>
                <w:color w:val="auto"/>
                <w:spacing w:val="15"/>
                <w:highlight w:val="none"/>
              </w:rPr>
              <w:t>织</w:t>
            </w:r>
            <w:r>
              <w:rPr>
                <w:rFonts w:hint="eastAsia" w:cs="宋体" w:asciiTheme="majorEastAsia" w:hAnsiTheme="majorEastAsia" w:eastAsiaTheme="majorEastAsia"/>
                <w:color w:val="auto"/>
                <w:spacing w:val="14"/>
                <w:highlight w:val="none"/>
              </w:rPr>
              <w:t>措施</w:t>
            </w:r>
            <w:r>
              <w:rPr>
                <w:rFonts w:hint="eastAsia" w:asciiTheme="majorEastAsia" w:hAnsiTheme="majorEastAsia" w:eastAsiaTheme="majorEastAsia"/>
                <w:color w:val="auto"/>
                <w:szCs w:val="21"/>
                <w:highlight w:val="none"/>
              </w:rPr>
              <w:t>（6分）</w:t>
            </w:r>
          </w:p>
        </w:tc>
        <w:tc>
          <w:tcPr>
            <w:tcW w:w="6679" w:type="dxa"/>
            <w:tcBorders>
              <w:top w:val="single" w:color="auto" w:sz="4" w:space="0"/>
              <w:left w:val="single" w:color="auto" w:sz="4" w:space="0"/>
              <w:bottom w:val="single" w:color="auto" w:sz="4" w:space="0"/>
              <w:right w:val="single" w:color="auto" w:sz="4" w:space="0"/>
            </w:tcBorders>
            <w:vAlign w:val="center"/>
          </w:tcPr>
          <w:p w14:paraId="4CB8C7E3">
            <w:pPr>
              <w:keepNext w:val="0"/>
              <w:keepLines w:val="0"/>
              <w:suppressLineNumbers w:val="0"/>
              <w:spacing w:before="0" w:beforeAutospacing="0" w:after="0" w:afterAutospacing="0" w:line="400" w:lineRule="exact"/>
              <w:ind w:left="0" w:right="0"/>
              <w:rPr>
                <w:rFonts w:hint="default"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评委根据供应商提供的“</w:t>
            </w:r>
            <w:r>
              <w:rPr>
                <w:rFonts w:hint="eastAsia" w:cs="宋体" w:asciiTheme="majorEastAsia" w:hAnsiTheme="majorEastAsia" w:eastAsiaTheme="majorEastAsia"/>
                <w:color w:val="auto"/>
                <w:spacing w:val="-1"/>
                <w:highlight w:val="none"/>
              </w:rPr>
              <w:t>确保工程质量的技术组</w:t>
            </w:r>
            <w:r>
              <w:rPr>
                <w:rFonts w:hint="eastAsia" w:cs="宋体" w:asciiTheme="majorEastAsia" w:hAnsiTheme="majorEastAsia" w:eastAsiaTheme="majorEastAsia"/>
                <w:color w:val="auto"/>
                <w:spacing w:val="15"/>
                <w:highlight w:val="none"/>
              </w:rPr>
              <w:t>织</w:t>
            </w:r>
            <w:r>
              <w:rPr>
                <w:rFonts w:hint="eastAsia" w:cs="宋体" w:asciiTheme="majorEastAsia" w:hAnsiTheme="majorEastAsia" w:eastAsiaTheme="majorEastAsia"/>
                <w:color w:val="auto"/>
                <w:spacing w:val="14"/>
                <w:highlight w:val="none"/>
              </w:rPr>
              <w:t>措施”</w:t>
            </w:r>
            <w:r>
              <w:rPr>
                <w:rFonts w:hint="eastAsia" w:cs="宋体" w:asciiTheme="majorEastAsia" w:hAnsiTheme="majorEastAsia" w:eastAsiaTheme="majorEastAsia"/>
                <w:color w:val="auto"/>
                <w:kern w:val="0"/>
                <w:highlight w:val="none"/>
              </w:rPr>
              <w:t>内容进行独立评审并打分：</w:t>
            </w:r>
          </w:p>
          <w:p w14:paraId="67D92BED">
            <w:pPr>
              <w:keepNext w:val="0"/>
              <w:keepLines w:val="0"/>
              <w:suppressLineNumbers w:val="0"/>
              <w:spacing w:before="0" w:beforeAutospacing="0" w:after="0" w:afterAutospacing="0" w:line="400" w:lineRule="exact"/>
              <w:ind w:left="0" w:right="0"/>
              <w:rPr>
                <w:rFonts w:hint="default"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 xml:space="preserve">一档（2分）：具有专门质量技术管理班子和制度，且人员配备基本合理，制度基本健全；主要工序具有浅显的质量技术保证措施和手段，自控体系不完整；缺乏针对性及可行性，能基本保证技术质量，基本达到承诺的质量标准。 </w:t>
            </w:r>
          </w:p>
          <w:p w14:paraId="1177027C">
            <w:pPr>
              <w:keepNext w:val="0"/>
              <w:keepLines w:val="0"/>
              <w:suppressLineNumbers w:val="0"/>
              <w:spacing w:before="0" w:beforeAutospacing="0" w:after="0" w:afterAutospacing="0" w:line="400" w:lineRule="exact"/>
              <w:ind w:left="0" w:right="0"/>
              <w:rPr>
                <w:rFonts w:hint="default"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 xml:space="preserve">二档（4分）：具有专门的质量技术管理班子和制度，且人员配备较合理，制度健全；主要工序具有较健全、较全面的质量技术保证措施和手段，自控体系基本完整；有一定的针对性及可行性；能保证技术质量，达到承诺的质量标准。 </w:t>
            </w:r>
          </w:p>
          <w:p w14:paraId="1DA70B4B">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olor w:val="auto"/>
                <w:highlight w:val="none"/>
              </w:rPr>
            </w:pPr>
            <w:r>
              <w:rPr>
                <w:rFonts w:hint="eastAsia" w:cs="宋体" w:asciiTheme="majorEastAsia" w:hAnsiTheme="majorEastAsia" w:eastAsiaTheme="majorEastAsia"/>
                <w:color w:val="auto"/>
                <w:kern w:val="0"/>
                <w:highlight w:val="none"/>
              </w:rPr>
              <w:t xml:space="preserve">三档（6分）：具有专门的质量技术管理班子和制度，且人员配备合理，制度健全；主要工序具有健全、详细的质量技术保证措施和手段，自控体系完整；针对性及可行性强；能有效保证技术质量，保证项目切实有效的实施，充分达到承诺的质量标准。 </w:t>
            </w:r>
          </w:p>
        </w:tc>
      </w:tr>
      <w:tr w14:paraId="3B3F7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50FADB4B">
            <w:pPr>
              <w:keepNext w:val="0"/>
              <w:keepLines w:val="0"/>
              <w:widowControl/>
              <w:suppressLineNumbers w:val="0"/>
              <w:spacing w:before="0" w:beforeAutospacing="0" w:after="0" w:afterAutospacing="0" w:line="440" w:lineRule="exact"/>
              <w:ind w:left="0" w:right="0"/>
              <w:jc w:val="left"/>
              <w:rPr>
                <w:rFonts w:hint="default"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42BB9FF1">
            <w:pPr>
              <w:keepNext w:val="0"/>
              <w:keepLines w:val="0"/>
              <w:suppressLineNumbers w:val="0"/>
              <w:adjustRightInd w:val="0"/>
              <w:spacing w:before="0" w:beforeAutospacing="0" w:after="0" w:afterAutospacing="0" w:line="440" w:lineRule="exact"/>
              <w:ind w:left="0" w:right="0"/>
              <w:jc w:val="center"/>
              <w:textAlignment w:val="baseline"/>
              <w:rPr>
                <w:rFonts w:hint="default" w:cs="宋体" w:asciiTheme="majorEastAsia" w:hAnsiTheme="majorEastAsia" w:eastAsiaTheme="majorEastAsia"/>
                <w:color w:val="auto"/>
                <w:highlight w:val="none"/>
              </w:rPr>
            </w:pPr>
            <w:r>
              <w:rPr>
                <w:rFonts w:hint="eastAsia" w:asciiTheme="majorEastAsia" w:hAnsiTheme="majorEastAsia" w:eastAsiaTheme="majorEastAsia"/>
                <w:bCs/>
                <w:color w:val="auto"/>
                <w:kern w:val="0"/>
                <w:highlight w:val="none"/>
              </w:rPr>
              <w:t>2</w:t>
            </w:r>
            <w:r>
              <w:rPr>
                <w:rFonts w:hint="default" w:asciiTheme="majorEastAsia" w:hAnsiTheme="majorEastAsia" w:eastAsiaTheme="majorEastAsia"/>
                <w:bCs/>
                <w:color w:val="auto"/>
                <w:kern w:val="0"/>
                <w:highlight w:val="none"/>
              </w:rPr>
              <w:t>.5</w:t>
            </w:r>
            <w:r>
              <w:rPr>
                <w:rFonts w:hint="eastAsia" w:cs="宋体" w:asciiTheme="majorEastAsia" w:hAnsiTheme="majorEastAsia" w:eastAsiaTheme="majorEastAsia"/>
                <w:color w:val="auto"/>
                <w:spacing w:val="-1"/>
                <w:highlight w:val="none"/>
              </w:rPr>
              <w:t>确保安全生产的技术组</w:t>
            </w:r>
            <w:r>
              <w:rPr>
                <w:rFonts w:hint="eastAsia" w:cs="宋体" w:asciiTheme="majorEastAsia" w:hAnsiTheme="majorEastAsia" w:eastAsiaTheme="majorEastAsia"/>
                <w:color w:val="auto"/>
                <w:spacing w:val="15"/>
                <w:highlight w:val="none"/>
              </w:rPr>
              <w:t>织</w:t>
            </w:r>
            <w:r>
              <w:rPr>
                <w:rFonts w:hint="eastAsia" w:cs="宋体" w:asciiTheme="majorEastAsia" w:hAnsiTheme="majorEastAsia" w:eastAsiaTheme="majorEastAsia"/>
                <w:color w:val="auto"/>
                <w:spacing w:val="14"/>
                <w:highlight w:val="none"/>
              </w:rPr>
              <w:t>措施</w:t>
            </w:r>
            <w:r>
              <w:rPr>
                <w:rFonts w:hint="eastAsia" w:asciiTheme="majorEastAsia" w:hAnsiTheme="majorEastAsia" w:eastAsiaTheme="majorEastAsia"/>
                <w:color w:val="auto"/>
                <w:szCs w:val="21"/>
                <w:highlight w:val="none"/>
              </w:rPr>
              <w:t>（</w:t>
            </w:r>
            <w:r>
              <w:rPr>
                <w:rFonts w:hint="default" w:asciiTheme="majorEastAsia" w:hAnsiTheme="majorEastAsia" w:eastAsiaTheme="majorEastAsia"/>
                <w:color w:val="auto"/>
                <w:szCs w:val="21"/>
                <w:highlight w:val="none"/>
              </w:rPr>
              <w:t>8</w:t>
            </w:r>
            <w:r>
              <w:rPr>
                <w:rFonts w:hint="eastAsia" w:asciiTheme="majorEastAsia" w:hAnsiTheme="majorEastAsia" w:eastAsiaTheme="majorEastAsia"/>
                <w:color w:val="auto"/>
                <w:szCs w:val="21"/>
                <w:highlight w:val="none"/>
              </w:rPr>
              <w:t>分</w:t>
            </w:r>
            <w:r>
              <w:rPr>
                <w:rFonts w:hint="eastAsia" w:asciiTheme="majorEastAsia" w:hAnsiTheme="majorEastAsia" w:eastAsiaTheme="majorEastAsia"/>
                <w:color w:val="auto"/>
                <w:szCs w:val="21"/>
                <w:highlight w:val="none"/>
              </w:rPr>
              <w:t>）</w:t>
            </w:r>
          </w:p>
        </w:tc>
        <w:tc>
          <w:tcPr>
            <w:tcW w:w="6679" w:type="dxa"/>
            <w:tcBorders>
              <w:top w:val="single" w:color="auto" w:sz="4" w:space="0"/>
              <w:left w:val="single" w:color="auto" w:sz="4" w:space="0"/>
              <w:bottom w:val="single" w:color="auto" w:sz="4" w:space="0"/>
              <w:right w:val="single" w:color="auto" w:sz="4" w:space="0"/>
            </w:tcBorders>
            <w:vAlign w:val="center"/>
          </w:tcPr>
          <w:p w14:paraId="32F3B645">
            <w:pPr>
              <w:keepNext w:val="0"/>
              <w:keepLines w:val="0"/>
              <w:suppressLineNumbers w:val="0"/>
              <w:spacing w:before="0" w:beforeAutospacing="0" w:after="0" w:afterAutospacing="0" w:line="400" w:lineRule="exact"/>
              <w:ind w:left="0" w:right="0"/>
              <w:rPr>
                <w:rFonts w:hint="default"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评委根据供应商提供的“</w:t>
            </w:r>
            <w:r>
              <w:rPr>
                <w:rFonts w:hint="eastAsia" w:cs="宋体" w:asciiTheme="majorEastAsia" w:hAnsiTheme="majorEastAsia" w:eastAsiaTheme="majorEastAsia"/>
                <w:color w:val="auto"/>
                <w:spacing w:val="-1"/>
                <w:highlight w:val="none"/>
              </w:rPr>
              <w:t>确保安全生产的技术组</w:t>
            </w:r>
            <w:r>
              <w:rPr>
                <w:rFonts w:hint="eastAsia" w:cs="宋体" w:asciiTheme="majorEastAsia" w:hAnsiTheme="majorEastAsia" w:eastAsiaTheme="majorEastAsia"/>
                <w:color w:val="auto"/>
                <w:spacing w:val="15"/>
                <w:highlight w:val="none"/>
              </w:rPr>
              <w:t>织</w:t>
            </w:r>
            <w:r>
              <w:rPr>
                <w:rFonts w:hint="eastAsia" w:cs="宋体" w:asciiTheme="majorEastAsia" w:hAnsiTheme="majorEastAsia" w:eastAsiaTheme="majorEastAsia"/>
                <w:color w:val="auto"/>
                <w:spacing w:val="14"/>
                <w:highlight w:val="none"/>
              </w:rPr>
              <w:t>措施”</w:t>
            </w:r>
            <w:r>
              <w:rPr>
                <w:rFonts w:hint="eastAsia" w:cs="宋体" w:asciiTheme="majorEastAsia" w:hAnsiTheme="majorEastAsia" w:eastAsiaTheme="majorEastAsia"/>
                <w:color w:val="auto"/>
                <w:kern w:val="0"/>
                <w:highlight w:val="none"/>
              </w:rPr>
              <w:t>内容进行独立评审并打分：</w:t>
            </w:r>
          </w:p>
          <w:p w14:paraId="4AA4471D">
            <w:pPr>
              <w:keepNext w:val="0"/>
              <w:keepLines w:val="0"/>
              <w:suppressLineNumbers w:val="0"/>
              <w:spacing w:before="0" w:beforeAutospacing="0" w:after="0" w:afterAutospacing="0" w:line="400" w:lineRule="exact"/>
              <w:ind w:left="0" w:right="0"/>
              <w:rPr>
                <w:rFonts w:hint="default"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一档（</w:t>
            </w:r>
            <w:r>
              <w:rPr>
                <w:rFonts w:hint="default" w:cs="宋体" w:asciiTheme="majorEastAsia" w:hAnsiTheme="majorEastAsia" w:eastAsiaTheme="majorEastAsia"/>
                <w:color w:val="auto"/>
                <w:kern w:val="0"/>
                <w:highlight w:val="none"/>
              </w:rPr>
              <w:t>2</w:t>
            </w:r>
            <w:r>
              <w:rPr>
                <w:rFonts w:hint="eastAsia" w:cs="宋体" w:asciiTheme="majorEastAsia" w:hAnsiTheme="majorEastAsia" w:eastAsiaTheme="majorEastAsia"/>
                <w:color w:val="auto"/>
                <w:kern w:val="0"/>
                <w:highlight w:val="none"/>
              </w:rPr>
              <w:t>分</w:t>
            </w:r>
            <w:r>
              <w:rPr>
                <w:rFonts w:hint="eastAsia" w:cs="宋体" w:asciiTheme="majorEastAsia" w:hAnsiTheme="majorEastAsia" w:eastAsiaTheme="majorEastAsia"/>
                <w:color w:val="auto"/>
                <w:kern w:val="0"/>
                <w:highlight w:val="none"/>
              </w:rPr>
              <w:t xml:space="preserve">）：具有专门的安全管理人员和制度，且人员配备基本合理，制度基本健全，各道工序安全技术措施缺乏针对性及可行性，基本符合实际且基本满足有关安全技术标准要求；现场防火、应急救援、社会治安安全措施欠缺周全性。 </w:t>
            </w:r>
          </w:p>
          <w:p w14:paraId="1B48F968">
            <w:pPr>
              <w:keepNext w:val="0"/>
              <w:keepLines w:val="0"/>
              <w:suppressLineNumbers w:val="0"/>
              <w:spacing w:before="0" w:beforeAutospacing="0" w:after="0" w:afterAutospacing="0" w:line="400" w:lineRule="exact"/>
              <w:ind w:left="0" w:right="0"/>
              <w:rPr>
                <w:rFonts w:hint="default"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二档（</w:t>
            </w:r>
            <w:r>
              <w:rPr>
                <w:rFonts w:hint="eastAsia" w:cs="宋体" w:asciiTheme="majorEastAsia" w:hAnsiTheme="majorEastAsia" w:eastAsiaTheme="majorEastAsia"/>
                <w:color w:val="auto"/>
                <w:kern w:val="0"/>
                <w:highlight w:val="none"/>
              </w:rPr>
              <w:t>5分</w:t>
            </w:r>
            <w:r>
              <w:rPr>
                <w:rFonts w:hint="eastAsia" w:cs="宋体" w:asciiTheme="majorEastAsia" w:hAnsiTheme="majorEastAsia" w:eastAsiaTheme="majorEastAsia"/>
                <w:color w:val="auto"/>
                <w:kern w:val="0"/>
                <w:highlight w:val="none"/>
              </w:rPr>
              <w:t xml:space="preserve">）：具有专门的安全管理人员和制度，且人员配备较合理，制度较健全，各道工序安全技术措施有一定的针对性及可行性，符合实际且满足有关安全技术标准要求；现场防火、应急救援、社会治安安全措施基本周全。 </w:t>
            </w:r>
          </w:p>
          <w:p w14:paraId="5994C466">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olor w:val="auto"/>
                <w:highlight w:val="none"/>
              </w:rPr>
            </w:pPr>
            <w:r>
              <w:rPr>
                <w:rFonts w:hint="eastAsia" w:cs="宋体" w:asciiTheme="majorEastAsia" w:hAnsiTheme="majorEastAsia" w:eastAsiaTheme="majorEastAsia"/>
                <w:color w:val="auto"/>
                <w:kern w:val="0"/>
                <w:highlight w:val="none"/>
              </w:rPr>
              <w:t>三档（</w:t>
            </w:r>
            <w:r>
              <w:rPr>
                <w:rFonts w:hint="default" w:cs="宋体" w:asciiTheme="majorEastAsia" w:hAnsiTheme="majorEastAsia" w:eastAsiaTheme="majorEastAsia"/>
                <w:color w:val="auto"/>
                <w:kern w:val="0"/>
                <w:highlight w:val="none"/>
              </w:rPr>
              <w:t>8</w:t>
            </w:r>
            <w:r>
              <w:rPr>
                <w:rFonts w:hint="eastAsia" w:cs="宋体" w:asciiTheme="majorEastAsia" w:hAnsiTheme="majorEastAsia" w:eastAsiaTheme="majorEastAsia"/>
                <w:color w:val="auto"/>
                <w:kern w:val="0"/>
                <w:highlight w:val="none"/>
              </w:rPr>
              <w:t>分</w:t>
            </w:r>
            <w:r>
              <w:rPr>
                <w:rFonts w:hint="eastAsia" w:cs="宋体" w:asciiTheme="majorEastAsia" w:hAnsiTheme="majorEastAsia" w:eastAsiaTheme="majorEastAsia"/>
                <w:color w:val="auto"/>
                <w:kern w:val="0"/>
                <w:highlight w:val="none"/>
              </w:rPr>
              <w:t xml:space="preserve">）：具有专门的安全管理人员和制度，且人员配备合理，制度健全，各道工序安全技术措施针对性及可行性强，充分符合实际且满足有关安全技术标准要求；现场防火、应急救援、社会治安安全措施周全且得力。 </w:t>
            </w:r>
          </w:p>
        </w:tc>
      </w:tr>
      <w:tr w14:paraId="35D1B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0BE093BB">
            <w:pPr>
              <w:keepNext w:val="0"/>
              <w:keepLines w:val="0"/>
              <w:widowControl/>
              <w:suppressLineNumbers w:val="0"/>
              <w:spacing w:before="0" w:beforeAutospacing="0" w:after="0" w:afterAutospacing="0" w:line="440" w:lineRule="exact"/>
              <w:ind w:left="0" w:right="0"/>
              <w:jc w:val="left"/>
              <w:rPr>
                <w:rFonts w:hint="default"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41903384">
            <w:pPr>
              <w:keepNext w:val="0"/>
              <w:keepLines w:val="0"/>
              <w:suppressLineNumbers w:val="0"/>
              <w:adjustRightInd w:val="0"/>
              <w:spacing w:before="0" w:beforeAutospacing="0" w:after="0" w:afterAutospacing="0" w:line="440" w:lineRule="exact"/>
              <w:ind w:left="0" w:right="0"/>
              <w:jc w:val="center"/>
              <w:textAlignment w:val="baseline"/>
              <w:rPr>
                <w:rFonts w:hint="default" w:cs="宋体"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kern w:val="0"/>
                <w:szCs w:val="21"/>
                <w:highlight w:val="none"/>
              </w:rPr>
              <w:t>2</w:t>
            </w:r>
            <w:r>
              <w:rPr>
                <w:rFonts w:hint="default" w:cs="宋体" w:asciiTheme="majorEastAsia" w:hAnsiTheme="majorEastAsia" w:eastAsiaTheme="majorEastAsia"/>
                <w:bCs/>
                <w:color w:val="auto"/>
                <w:kern w:val="0"/>
                <w:szCs w:val="21"/>
                <w:highlight w:val="none"/>
              </w:rPr>
              <w:t>.6</w:t>
            </w:r>
            <w:r>
              <w:rPr>
                <w:rFonts w:hint="eastAsia" w:cs="宋体" w:asciiTheme="majorEastAsia" w:hAnsiTheme="majorEastAsia" w:eastAsiaTheme="majorEastAsia"/>
                <w:color w:val="auto"/>
                <w:spacing w:val="-1"/>
                <w:szCs w:val="21"/>
                <w:highlight w:val="none"/>
              </w:rPr>
              <w:t>确保工期的技术组织</w:t>
            </w:r>
            <w:r>
              <w:rPr>
                <w:rFonts w:hint="eastAsia" w:cs="宋体" w:asciiTheme="majorEastAsia" w:hAnsiTheme="majorEastAsia" w:eastAsiaTheme="majorEastAsia"/>
                <w:color w:val="auto"/>
                <w:szCs w:val="21"/>
                <w:highlight w:val="none"/>
              </w:rPr>
              <w:t>措</w:t>
            </w:r>
            <w:r>
              <w:rPr>
                <w:rFonts w:hint="eastAsia" w:cs="宋体" w:asciiTheme="majorEastAsia" w:hAnsiTheme="majorEastAsia" w:eastAsiaTheme="majorEastAsia"/>
                <w:color w:val="auto"/>
                <w:spacing w:val="7"/>
                <w:szCs w:val="21"/>
                <w:highlight w:val="none"/>
              </w:rPr>
              <w:t>施</w:t>
            </w:r>
            <w:r>
              <w:rPr>
                <w:rFonts w:hint="eastAsia" w:asciiTheme="majorEastAsia" w:hAnsiTheme="majorEastAsia" w:eastAsiaTheme="majorEastAsia"/>
                <w:color w:val="auto"/>
                <w:szCs w:val="21"/>
                <w:highlight w:val="none"/>
              </w:rPr>
              <w:t>（9分）</w:t>
            </w:r>
          </w:p>
        </w:tc>
        <w:tc>
          <w:tcPr>
            <w:tcW w:w="6679" w:type="dxa"/>
            <w:tcBorders>
              <w:top w:val="single" w:color="auto" w:sz="4" w:space="0"/>
              <w:left w:val="single" w:color="auto" w:sz="4" w:space="0"/>
              <w:bottom w:val="single" w:color="auto" w:sz="4" w:space="0"/>
              <w:right w:val="single" w:color="auto" w:sz="4" w:space="0"/>
            </w:tcBorders>
            <w:vAlign w:val="center"/>
          </w:tcPr>
          <w:p w14:paraId="54152CD6">
            <w:pPr>
              <w:keepNext w:val="0"/>
              <w:keepLines w:val="0"/>
              <w:suppressLineNumbers w:val="0"/>
              <w:spacing w:before="0" w:beforeAutospacing="0" w:after="0" w:afterAutospacing="0" w:line="400" w:lineRule="exact"/>
              <w:ind w:left="0" w:right="0"/>
              <w:rPr>
                <w:rFonts w:hint="default"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评委根据供应商提供的“确保工期的技术组织措施”内容进行独立评审并打分：</w:t>
            </w:r>
          </w:p>
          <w:p w14:paraId="4B65FE6F">
            <w:pPr>
              <w:keepNext w:val="0"/>
              <w:keepLines w:val="0"/>
              <w:suppressLineNumbers w:val="0"/>
              <w:spacing w:before="0" w:beforeAutospacing="0" w:after="0" w:afterAutospacing="0" w:line="400" w:lineRule="exact"/>
              <w:ind w:left="0" w:right="0"/>
              <w:rPr>
                <w:rFonts w:hint="default"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一档（3分）：在施工工艺、施工方法、材料选用、劳动力安排、技术等方面有保证工期的基本措施；具有控制工期的基本施工进度计划；无施工总进度表或施工网络图，各项计划图表编制不完善，安排缺乏合理性，基本符合本项目施工实际要求。</w:t>
            </w:r>
          </w:p>
          <w:p w14:paraId="22DEC95C">
            <w:pPr>
              <w:keepNext w:val="0"/>
              <w:keepLines w:val="0"/>
              <w:suppressLineNumbers w:val="0"/>
              <w:spacing w:before="0" w:beforeAutospacing="0" w:after="0" w:afterAutospacing="0" w:line="400" w:lineRule="exact"/>
              <w:ind w:left="0" w:right="0" w:firstLine="34"/>
              <w:rPr>
                <w:rFonts w:hint="default"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二档（6分）：在施工工艺、施工方法、材料选用、劳动力安排、技术等方面有保证工期的较完整的措施且措施得当；具有控制工期的较完整的施工进度计划；有施工总进度表或施工网络图，各项计划图表编制比较完善，安排比较合理，符合本项目施工实际要求。</w:t>
            </w:r>
          </w:p>
          <w:p w14:paraId="57DF8A83">
            <w:pPr>
              <w:keepNext w:val="0"/>
              <w:keepLines w:val="0"/>
              <w:suppressLineNumbers w:val="0"/>
              <w:spacing w:before="0" w:beforeAutospacing="0" w:after="0" w:afterAutospacing="0" w:line="400" w:lineRule="exact"/>
              <w:ind w:left="0" w:right="0"/>
              <w:rPr>
                <w:rFonts w:hint="default"/>
                <w:color w:val="auto"/>
                <w:szCs w:val="21"/>
                <w:highlight w:val="none"/>
              </w:rPr>
            </w:pPr>
            <w:r>
              <w:rPr>
                <w:rFonts w:hint="eastAsia" w:cs="宋体" w:asciiTheme="majorEastAsia" w:hAnsiTheme="majorEastAsia" w:eastAsiaTheme="majorEastAsia"/>
                <w:color w:val="auto"/>
                <w:kern w:val="0"/>
                <w:szCs w:val="21"/>
                <w:highlight w:val="none"/>
              </w:rPr>
              <w:t>三档（9分）：在施工工艺、施工方法、材料选用、劳动力安排、技术等方面有保证工期的完整、周全的措施且措施得当；有控制工期的完整、周密的施工进度计划；有施工总进度表或施工网络图，各项计划图表编制完善，安排科学合理，可行性强，完全符合本项目施工实际要求。</w:t>
            </w:r>
          </w:p>
        </w:tc>
      </w:tr>
      <w:tr w14:paraId="427F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4973E9E3">
            <w:pPr>
              <w:keepNext w:val="0"/>
              <w:keepLines w:val="0"/>
              <w:widowControl/>
              <w:suppressLineNumbers w:val="0"/>
              <w:spacing w:before="0" w:beforeAutospacing="0" w:after="0" w:afterAutospacing="0" w:line="440" w:lineRule="exact"/>
              <w:ind w:left="0" w:right="0"/>
              <w:jc w:val="left"/>
              <w:rPr>
                <w:rFonts w:hint="default"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7EE07C6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bCs/>
                <w:color w:val="auto"/>
                <w:kern w:val="0"/>
                <w:highlight w:val="none"/>
              </w:rPr>
            </w:pPr>
            <w:r>
              <w:rPr>
                <w:rFonts w:hint="eastAsia" w:ascii="宋体" w:hAnsi="宋体" w:cs="宋体"/>
                <w:bCs/>
                <w:color w:val="auto"/>
                <w:kern w:val="0"/>
                <w:highlight w:val="none"/>
              </w:rPr>
              <w:t>2.7</w:t>
            </w:r>
            <w:r>
              <w:rPr>
                <w:rFonts w:hint="eastAsia" w:ascii="宋体" w:hAnsi="宋体" w:cs="宋体"/>
                <w:bCs/>
                <w:color w:val="auto"/>
                <w:szCs w:val="21"/>
                <w:highlight w:val="none"/>
              </w:rPr>
              <w:t>关键施工技术、工艺及工程实施的重点、难点和解决方案（</w:t>
            </w:r>
            <w:r>
              <w:rPr>
                <w:rFonts w:hint="default" w:ascii="宋体" w:hAnsi="宋体" w:cs="宋体"/>
                <w:bCs/>
                <w:color w:val="auto"/>
                <w:szCs w:val="21"/>
                <w:highlight w:val="none"/>
              </w:rPr>
              <w:t>12</w:t>
            </w:r>
            <w:r>
              <w:rPr>
                <w:rFonts w:hint="eastAsia" w:ascii="宋体" w:hAnsi="宋体" w:cs="宋体"/>
                <w:bCs/>
                <w:color w:val="auto"/>
                <w:szCs w:val="21"/>
                <w:highlight w:val="none"/>
              </w:rPr>
              <w:t>分</w:t>
            </w:r>
            <w:r>
              <w:rPr>
                <w:rFonts w:hint="eastAsia" w:ascii="宋体" w:hAnsi="宋体" w:cs="宋体"/>
                <w:bCs/>
                <w:color w:val="auto"/>
                <w:szCs w:val="21"/>
                <w:highlight w:val="none"/>
              </w:rPr>
              <w:t>）</w:t>
            </w:r>
          </w:p>
        </w:tc>
        <w:tc>
          <w:tcPr>
            <w:tcW w:w="6679" w:type="dxa"/>
            <w:tcBorders>
              <w:top w:val="single" w:color="auto" w:sz="4" w:space="0"/>
              <w:left w:val="single" w:color="auto" w:sz="4" w:space="0"/>
              <w:bottom w:val="single" w:color="auto" w:sz="4" w:space="0"/>
              <w:right w:val="single" w:color="auto" w:sz="4" w:space="0"/>
            </w:tcBorders>
            <w:vAlign w:val="center"/>
          </w:tcPr>
          <w:p w14:paraId="0511A4E9">
            <w:pPr>
              <w:keepNext w:val="0"/>
              <w:keepLines w:val="0"/>
              <w:suppressLineNumbers w:val="0"/>
              <w:spacing w:before="0" w:beforeAutospacing="0" w:after="0" w:afterAutospacing="0" w:line="400" w:lineRule="exact"/>
              <w:ind w:left="0" w:right="0"/>
              <w:jc w:val="left"/>
              <w:rPr>
                <w:rFonts w:hint="default"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评委根据供应商提供的“关键施工技术、工艺及工程实施的重点、难点和解决方案”内容进行独立评审并打分：</w:t>
            </w:r>
          </w:p>
          <w:p w14:paraId="10F02D54">
            <w:pPr>
              <w:keepNext w:val="0"/>
              <w:keepLines w:val="0"/>
              <w:suppressLineNumbers w:val="0"/>
              <w:spacing w:before="0" w:beforeAutospacing="0" w:after="0" w:afterAutospacing="0" w:line="400" w:lineRule="exact"/>
              <w:ind w:left="0" w:right="0"/>
              <w:jc w:val="left"/>
              <w:rPr>
                <w:rFonts w:hint="default" w:ascii="宋体" w:hAnsi="宋体" w:cs="宋体"/>
                <w:bCs/>
                <w:color w:val="auto"/>
                <w:szCs w:val="21"/>
                <w:highlight w:val="none"/>
              </w:rPr>
            </w:pPr>
            <w:r>
              <w:rPr>
                <w:rFonts w:hint="eastAsia" w:ascii="宋体" w:hAnsi="宋体" w:cs="宋体"/>
                <w:bCs/>
                <w:color w:val="auto"/>
                <w:szCs w:val="21"/>
                <w:highlight w:val="none"/>
              </w:rPr>
              <w:t>一档</w:t>
            </w:r>
            <w:r>
              <w:rPr>
                <w:rFonts w:hint="eastAsia" w:ascii="宋体" w:hAnsi="宋体" w:cs="宋体"/>
                <w:bCs/>
                <w:color w:val="auto"/>
                <w:szCs w:val="21"/>
                <w:highlight w:val="none"/>
              </w:rPr>
              <w:t>（</w:t>
            </w:r>
            <w:r>
              <w:rPr>
                <w:rFonts w:hint="default" w:ascii="宋体" w:hAnsi="宋体" w:cs="宋体"/>
                <w:bCs/>
                <w:color w:val="auto"/>
                <w:szCs w:val="21"/>
                <w:highlight w:val="none"/>
              </w:rPr>
              <w:t>4</w:t>
            </w:r>
            <w:r>
              <w:rPr>
                <w:rFonts w:hint="eastAsia" w:ascii="宋体" w:hAnsi="宋体" w:cs="宋体"/>
                <w:bCs/>
                <w:color w:val="auto"/>
                <w:szCs w:val="21"/>
                <w:highlight w:val="none"/>
              </w:rPr>
              <w:t>分）</w:t>
            </w:r>
            <w:r>
              <w:rPr>
                <w:rFonts w:hint="eastAsia" w:ascii="宋体" w:hAnsi="宋体" w:cs="宋体"/>
                <w:bCs/>
                <w:color w:val="auto"/>
                <w:szCs w:val="21"/>
                <w:highlight w:val="none"/>
              </w:rPr>
              <w:t>：对项目关键技术、工艺有浅显的表达，对重点、难点提出建议但欠缺合理性及针对性，解决方案欠缺经济、安全性，基本可行。</w:t>
            </w:r>
          </w:p>
          <w:p w14:paraId="6907A935">
            <w:pPr>
              <w:keepNext w:val="0"/>
              <w:keepLines w:val="0"/>
              <w:suppressLineNumbers w:val="0"/>
              <w:spacing w:before="0" w:beforeAutospacing="0" w:after="0" w:afterAutospacing="0" w:line="400" w:lineRule="exact"/>
              <w:ind w:left="0" w:right="0"/>
              <w:jc w:val="left"/>
              <w:rPr>
                <w:rFonts w:hint="default" w:ascii="宋体" w:hAnsi="宋体" w:cs="宋体"/>
                <w:bCs/>
                <w:color w:val="auto"/>
                <w:szCs w:val="21"/>
                <w:highlight w:val="none"/>
              </w:rPr>
            </w:pPr>
            <w:r>
              <w:rPr>
                <w:rFonts w:hint="eastAsia" w:ascii="宋体" w:hAnsi="宋体" w:cs="宋体"/>
                <w:bCs/>
                <w:color w:val="auto"/>
                <w:szCs w:val="21"/>
                <w:highlight w:val="none"/>
              </w:rPr>
              <w:t>二档</w:t>
            </w:r>
            <w:r>
              <w:rPr>
                <w:rFonts w:hint="eastAsia" w:ascii="宋体" w:hAnsi="宋体" w:cs="宋体"/>
                <w:bCs/>
                <w:color w:val="auto"/>
                <w:szCs w:val="21"/>
                <w:highlight w:val="none"/>
              </w:rPr>
              <w:t>（</w:t>
            </w:r>
            <w:r>
              <w:rPr>
                <w:rFonts w:hint="default" w:ascii="宋体" w:hAnsi="宋体" w:cs="宋体"/>
                <w:bCs/>
                <w:color w:val="auto"/>
                <w:szCs w:val="21"/>
                <w:highlight w:val="none"/>
              </w:rPr>
              <w:t>8</w:t>
            </w:r>
            <w:r>
              <w:rPr>
                <w:rFonts w:hint="eastAsia" w:ascii="宋体" w:hAnsi="宋体" w:cs="宋体"/>
                <w:bCs/>
                <w:color w:val="auto"/>
                <w:szCs w:val="21"/>
                <w:highlight w:val="none"/>
              </w:rPr>
              <w:t>分）</w:t>
            </w:r>
            <w:r>
              <w:rPr>
                <w:rFonts w:hint="eastAsia" w:ascii="宋体" w:hAnsi="宋体" w:cs="宋体"/>
                <w:bCs/>
                <w:color w:val="auto"/>
                <w:szCs w:val="21"/>
                <w:highlight w:val="none"/>
              </w:rPr>
              <w:t>：对项目关键技术、工艺有较深入的表达，对重点、难点提出建议且有一定的合理性及针对性，解决方案经济、安全、基本可行。</w:t>
            </w:r>
          </w:p>
          <w:p w14:paraId="65F35136">
            <w:pPr>
              <w:keepNext w:val="0"/>
              <w:keepLines w:val="0"/>
              <w:suppressLineNumbers w:val="0"/>
              <w:spacing w:before="0" w:beforeAutospacing="0" w:after="0" w:afterAutospacing="0" w:line="400" w:lineRule="exact"/>
              <w:ind w:left="0" w:right="0"/>
              <w:jc w:val="left"/>
              <w:rPr>
                <w:rFonts w:hint="default" w:ascii="宋体" w:hAnsi="宋体" w:cs="宋体"/>
                <w:b/>
                <w:color w:val="auto"/>
                <w:szCs w:val="21"/>
                <w:highlight w:val="none"/>
              </w:rPr>
            </w:pPr>
            <w:r>
              <w:rPr>
                <w:rFonts w:hint="eastAsia" w:ascii="宋体" w:hAnsi="宋体" w:cs="宋体"/>
                <w:bCs/>
                <w:color w:val="auto"/>
                <w:szCs w:val="21"/>
                <w:highlight w:val="none"/>
              </w:rPr>
              <w:t>三档（</w:t>
            </w:r>
            <w:r>
              <w:rPr>
                <w:rFonts w:hint="default" w:ascii="宋体" w:hAnsi="宋体" w:cs="宋体"/>
                <w:bCs/>
                <w:color w:val="auto"/>
                <w:szCs w:val="21"/>
                <w:highlight w:val="none"/>
              </w:rPr>
              <w:t>12</w:t>
            </w:r>
            <w:r>
              <w:rPr>
                <w:rFonts w:hint="eastAsia" w:ascii="宋体" w:hAnsi="宋体" w:cs="宋体"/>
                <w:bCs/>
                <w:color w:val="auto"/>
                <w:szCs w:val="21"/>
                <w:highlight w:val="none"/>
              </w:rPr>
              <w:t>分</w:t>
            </w:r>
            <w:r>
              <w:rPr>
                <w:rFonts w:hint="eastAsia" w:ascii="宋体" w:hAnsi="宋体" w:cs="宋体"/>
                <w:bCs/>
                <w:color w:val="auto"/>
                <w:szCs w:val="21"/>
                <w:highlight w:val="none"/>
              </w:rPr>
              <w:t>）：对项目关键技术、工艺有深入的表达，对重点、难点有先进合理、针对性强的施工措施并有可行的安全措施，解决方案全面、经济、安全、切实可行，措施得力。</w:t>
            </w:r>
          </w:p>
        </w:tc>
      </w:tr>
      <w:tr w14:paraId="55F1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restart"/>
            <w:tcBorders>
              <w:top w:val="single" w:color="auto" w:sz="4" w:space="0"/>
              <w:left w:val="single" w:color="auto" w:sz="4" w:space="0"/>
              <w:bottom w:val="single" w:color="auto" w:sz="4" w:space="0"/>
              <w:right w:val="single" w:color="auto" w:sz="4" w:space="0"/>
            </w:tcBorders>
            <w:vAlign w:val="center"/>
          </w:tcPr>
          <w:p w14:paraId="2BC1DB64">
            <w:pPr>
              <w:keepNext w:val="0"/>
              <w:keepLines w:val="0"/>
              <w:widowControl/>
              <w:suppressLineNumbers w:val="0"/>
              <w:spacing w:before="0" w:beforeAutospacing="0" w:after="0" w:afterAutospacing="0" w:line="440" w:lineRule="exact"/>
              <w:ind w:left="0" w:right="0"/>
              <w:jc w:val="center"/>
              <w:rPr>
                <w:rFonts w:hint="default" w:cs="Tahoma" w:asciiTheme="majorEastAsia" w:hAnsiTheme="majorEastAsia" w:eastAsiaTheme="majorEastAsia"/>
                <w:color w:val="auto"/>
                <w:kern w:val="0"/>
                <w:szCs w:val="21"/>
                <w:highlight w:val="none"/>
              </w:rPr>
            </w:pPr>
            <w:r>
              <w:rPr>
                <w:rFonts w:hint="eastAsia" w:cs="Tahoma" w:asciiTheme="majorEastAsia" w:hAnsiTheme="majorEastAsia" w:eastAsiaTheme="majorEastAsia"/>
                <w:color w:val="auto"/>
                <w:kern w:val="0"/>
                <w:szCs w:val="21"/>
                <w:highlight w:val="none"/>
              </w:rPr>
              <w:t>3</w:t>
            </w:r>
          </w:p>
        </w:tc>
        <w:tc>
          <w:tcPr>
            <w:tcW w:w="1418" w:type="dxa"/>
            <w:tcBorders>
              <w:top w:val="single" w:color="auto" w:sz="4" w:space="0"/>
              <w:left w:val="single" w:color="auto" w:sz="4" w:space="0"/>
              <w:bottom w:val="single" w:color="auto" w:sz="4" w:space="0"/>
              <w:right w:val="single" w:color="auto" w:sz="4" w:space="0"/>
            </w:tcBorders>
            <w:vAlign w:val="center"/>
          </w:tcPr>
          <w:p w14:paraId="470A65B1">
            <w:pPr>
              <w:keepNext w:val="0"/>
              <w:keepLines w:val="0"/>
              <w:widowControl/>
              <w:suppressLineNumbers w:val="0"/>
              <w:spacing w:before="0" w:beforeAutospacing="0" w:after="0" w:afterAutospacing="0" w:line="440" w:lineRule="exact"/>
              <w:ind w:left="0" w:right="0"/>
              <w:jc w:val="center"/>
              <w:rPr>
                <w:rFonts w:hint="default" w:cs="Courier New" w:asciiTheme="majorEastAsia" w:hAnsiTheme="majorEastAsia" w:eastAsiaTheme="majorEastAsia"/>
                <w:bCs/>
                <w:color w:val="auto"/>
                <w:szCs w:val="21"/>
                <w:highlight w:val="none"/>
              </w:rPr>
            </w:pPr>
            <w:r>
              <w:rPr>
                <w:rFonts w:hint="eastAsia" w:cs="Courier New" w:asciiTheme="majorEastAsia" w:hAnsiTheme="majorEastAsia" w:eastAsiaTheme="majorEastAsia"/>
                <w:bCs/>
                <w:color w:val="auto"/>
                <w:szCs w:val="21"/>
                <w:highlight w:val="none"/>
              </w:rPr>
              <w:t>商务分</w:t>
            </w:r>
          </w:p>
          <w:p w14:paraId="74EC1362">
            <w:pPr>
              <w:keepNext w:val="0"/>
              <w:keepLines w:val="0"/>
              <w:widowControl/>
              <w:suppressLineNumbers w:val="0"/>
              <w:spacing w:before="0" w:beforeAutospacing="0" w:after="0" w:afterAutospacing="0" w:line="440" w:lineRule="exact"/>
              <w:ind w:left="0" w:right="0"/>
              <w:jc w:val="center"/>
              <w:rPr>
                <w:rFonts w:hint="default" w:cs="Courier New" w:asciiTheme="majorEastAsia" w:hAnsiTheme="majorEastAsia" w:eastAsiaTheme="majorEastAsia"/>
                <w:bCs/>
                <w:color w:val="auto"/>
                <w:szCs w:val="21"/>
                <w:highlight w:val="none"/>
              </w:rPr>
            </w:pPr>
            <w:r>
              <w:rPr>
                <w:rFonts w:hint="eastAsia" w:cs="Courier New" w:asciiTheme="majorEastAsia" w:hAnsiTheme="majorEastAsia" w:eastAsiaTheme="majorEastAsia"/>
                <w:bCs/>
                <w:color w:val="auto"/>
                <w:szCs w:val="21"/>
                <w:highlight w:val="none"/>
              </w:rPr>
              <w:t>（</w:t>
            </w:r>
            <w:r>
              <w:rPr>
                <w:rFonts w:hint="default" w:cs="Courier New" w:asciiTheme="majorEastAsia" w:hAnsiTheme="majorEastAsia" w:eastAsiaTheme="majorEastAsia"/>
                <w:bCs/>
                <w:color w:val="auto"/>
                <w:szCs w:val="21"/>
                <w:highlight w:val="none"/>
              </w:rPr>
              <w:t>10</w:t>
            </w:r>
            <w:r>
              <w:rPr>
                <w:rFonts w:hint="eastAsia" w:cs="Courier New" w:asciiTheme="majorEastAsia" w:hAnsiTheme="majorEastAsia" w:eastAsiaTheme="majorEastAsia"/>
                <w:bCs/>
                <w:color w:val="auto"/>
                <w:szCs w:val="21"/>
                <w:highlight w:val="none"/>
              </w:rPr>
              <w:t>分）</w:t>
            </w:r>
          </w:p>
        </w:tc>
        <w:tc>
          <w:tcPr>
            <w:tcW w:w="6679" w:type="dxa"/>
            <w:tcBorders>
              <w:top w:val="single" w:color="auto" w:sz="4" w:space="0"/>
              <w:left w:val="single" w:color="auto" w:sz="4" w:space="0"/>
              <w:bottom w:val="single" w:color="auto" w:sz="4" w:space="0"/>
              <w:right w:val="single" w:color="auto" w:sz="4" w:space="0"/>
            </w:tcBorders>
            <w:vAlign w:val="center"/>
          </w:tcPr>
          <w:p w14:paraId="1FB09FDF">
            <w:pPr>
              <w:keepNext w:val="0"/>
              <w:keepLines w:val="0"/>
              <w:widowControl/>
              <w:suppressLineNumbers w:val="0"/>
              <w:spacing w:before="0" w:beforeAutospacing="0" w:after="0" w:afterAutospacing="0" w:line="400" w:lineRule="exact"/>
              <w:ind w:left="0" w:right="0"/>
              <w:jc w:val="center"/>
              <w:rPr>
                <w:rFonts w:hint="default" w:cs="Tahoma" w:asciiTheme="majorEastAsia" w:hAnsiTheme="majorEastAsia" w:eastAsiaTheme="majorEastAsia"/>
                <w:color w:val="auto"/>
                <w:kern w:val="0"/>
                <w:szCs w:val="21"/>
                <w:highlight w:val="none"/>
              </w:rPr>
            </w:pPr>
            <w:r>
              <w:rPr>
                <w:rFonts w:hint="eastAsia" w:cs="Tahoma" w:asciiTheme="majorEastAsia" w:hAnsiTheme="majorEastAsia" w:eastAsiaTheme="majorEastAsia"/>
                <w:color w:val="auto"/>
                <w:kern w:val="0"/>
                <w:szCs w:val="21"/>
                <w:highlight w:val="none"/>
              </w:rPr>
              <w:t>评审标准</w:t>
            </w:r>
          </w:p>
        </w:tc>
      </w:tr>
      <w:tr w14:paraId="68F07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3FCB1763">
            <w:pPr>
              <w:keepNext w:val="0"/>
              <w:keepLines w:val="0"/>
              <w:widowControl/>
              <w:suppressLineNumbers w:val="0"/>
              <w:spacing w:before="0" w:beforeAutospacing="0" w:after="0" w:afterAutospacing="0" w:line="440" w:lineRule="exact"/>
              <w:ind w:left="0" w:right="0"/>
              <w:jc w:val="left"/>
              <w:rPr>
                <w:rFonts w:hint="default"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D4D0628">
            <w:pPr>
              <w:keepNext w:val="0"/>
              <w:keepLines w:val="0"/>
              <w:suppressLineNumbers w:val="0"/>
              <w:spacing w:before="0" w:beforeAutospacing="0" w:after="0" w:afterAutospacing="0" w:line="400" w:lineRule="exact"/>
              <w:ind w:left="0" w:right="0"/>
              <w:jc w:val="center"/>
              <w:rPr>
                <w:rFonts w:hint="default" w:cs="Tahoma" w:asciiTheme="majorEastAsia" w:hAnsiTheme="majorEastAsia" w:eastAsiaTheme="majorEastAsia"/>
                <w:color w:val="auto"/>
                <w:kern w:val="0"/>
                <w:szCs w:val="21"/>
                <w:highlight w:val="none"/>
              </w:rPr>
            </w:pPr>
            <w:r>
              <w:rPr>
                <w:rFonts w:hint="eastAsia" w:ascii="宋体" w:hAnsi="宋体" w:cs="宋体"/>
                <w:bCs/>
                <w:color w:val="auto"/>
                <w:szCs w:val="21"/>
                <w:highlight w:val="none"/>
                <w:lang w:bidi="ar"/>
              </w:rPr>
              <w:t>业绩分（10分）</w:t>
            </w:r>
          </w:p>
        </w:tc>
        <w:tc>
          <w:tcPr>
            <w:tcW w:w="6679" w:type="dxa"/>
            <w:tcBorders>
              <w:top w:val="single" w:color="auto" w:sz="4" w:space="0"/>
              <w:left w:val="single" w:color="auto" w:sz="4" w:space="0"/>
              <w:bottom w:val="single" w:color="auto" w:sz="4" w:space="0"/>
              <w:right w:val="single" w:color="auto" w:sz="4" w:space="0"/>
            </w:tcBorders>
          </w:tcPr>
          <w:p w14:paraId="3EF21A87">
            <w:pPr>
              <w:keepNext w:val="0"/>
              <w:keepLines w:val="0"/>
              <w:suppressLineNumbers w:val="0"/>
              <w:autoSpaceDE w:val="0"/>
              <w:spacing w:before="0" w:beforeAutospacing="0" w:after="0" w:afterAutospacing="0" w:line="400" w:lineRule="exact"/>
              <w:ind w:left="0" w:right="0"/>
              <w:jc w:val="left"/>
              <w:rPr>
                <w:rFonts w:hint="default" w:asciiTheme="majorEastAsia" w:hAnsiTheme="majorEastAsia" w:eastAsiaTheme="majorEastAsia"/>
                <w:b/>
                <w:bCs/>
                <w:color w:val="auto"/>
                <w:kern w:val="0"/>
                <w:szCs w:val="21"/>
                <w:highlight w:val="none"/>
              </w:rPr>
            </w:pPr>
            <w:r>
              <w:rPr>
                <w:rFonts w:hint="eastAsia" w:ascii="宋体" w:hAnsi="宋体" w:cs="宋体"/>
                <w:color w:val="auto"/>
                <w:szCs w:val="21"/>
                <w:highlight w:val="none"/>
                <w:lang w:bidi="ar"/>
              </w:rPr>
              <w:t>供应商自2021年1月1日以来（以合同签订时间为准）承接过同类项目业绩（同类项目指装修项目业绩）的【响应文件中提供合同协议书复印件，要求能清晰反映工程名称、工程内容，同一个编号的项目有两个或两个以上的分标中标的只算1个业绩，加盖供应商电子签章，否则不予认可】，</w:t>
            </w:r>
            <w:r>
              <w:rPr>
                <w:rFonts w:hint="eastAsia" w:ascii="宋体" w:hAnsi="宋体" w:cs="宋体"/>
                <w:color w:val="auto"/>
                <w:szCs w:val="21"/>
                <w:highlight w:val="none"/>
                <w:lang w:bidi="ar"/>
              </w:rPr>
              <w:t>每提供1项业绩得</w:t>
            </w:r>
            <w:r>
              <w:rPr>
                <w:rFonts w:hint="default" w:ascii="宋体" w:hAnsi="宋体" w:cs="宋体"/>
                <w:color w:val="auto"/>
                <w:szCs w:val="21"/>
                <w:highlight w:val="none"/>
                <w:lang w:bidi="ar"/>
              </w:rPr>
              <w:t>5</w:t>
            </w:r>
            <w:r>
              <w:rPr>
                <w:rFonts w:hint="eastAsia" w:ascii="宋体" w:hAnsi="宋体" w:cs="宋体"/>
                <w:color w:val="auto"/>
                <w:szCs w:val="21"/>
                <w:highlight w:val="none"/>
                <w:lang w:bidi="ar"/>
              </w:rPr>
              <w:t>分，最多得10分。</w:t>
            </w:r>
          </w:p>
        </w:tc>
      </w:tr>
      <w:tr w14:paraId="515E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873" w:type="dxa"/>
            <w:gridSpan w:val="3"/>
            <w:tcBorders>
              <w:top w:val="single" w:color="auto" w:sz="4" w:space="0"/>
              <w:left w:val="single" w:color="auto" w:sz="4" w:space="0"/>
              <w:bottom w:val="single" w:color="auto" w:sz="4" w:space="0"/>
              <w:right w:val="single" w:color="auto" w:sz="4" w:space="0"/>
            </w:tcBorders>
          </w:tcPr>
          <w:p w14:paraId="6C6DF50D">
            <w:pPr>
              <w:pStyle w:val="26"/>
              <w:keepNext w:val="0"/>
              <w:keepLines w:val="0"/>
              <w:suppressLineNumbers w:val="0"/>
              <w:spacing w:before="0" w:beforeAutospacing="0" w:after="0" w:afterAutospacing="0" w:line="440" w:lineRule="exact"/>
              <w:ind w:left="0" w:right="0"/>
              <w:rPr>
                <w:rFonts w:hint="default" w:asciiTheme="majorEastAsia" w:hAnsiTheme="majorEastAsia" w:eastAsiaTheme="majorEastAsia"/>
                <w:color w:val="auto"/>
                <w:kern w:val="2"/>
                <w:sz w:val="21"/>
                <w:highlight w:val="none"/>
              </w:rPr>
            </w:pPr>
            <w:r>
              <w:rPr>
                <w:rFonts w:hint="eastAsia" w:asciiTheme="majorEastAsia" w:hAnsiTheme="majorEastAsia" w:eastAsiaTheme="majorEastAsia"/>
                <w:color w:val="auto"/>
                <w:kern w:val="2"/>
                <w:sz w:val="21"/>
                <w:highlight w:val="none"/>
              </w:rPr>
              <w:t>总得分为以上各项评审因素得分合计。</w:t>
            </w:r>
          </w:p>
        </w:tc>
      </w:tr>
    </w:tbl>
    <w:p w14:paraId="3EDE0997">
      <w:pPr>
        <w:spacing w:line="400" w:lineRule="exact"/>
        <w:rPr>
          <w:rFonts w:ascii="宋体" w:hAnsi="宋体" w:cs="宋体"/>
          <w:color w:val="auto"/>
          <w:highlight w:val="none"/>
        </w:rPr>
      </w:pPr>
    </w:p>
    <w:p w14:paraId="6722CCA8">
      <w:pPr>
        <w:rPr>
          <w:rFonts w:ascii="宋体" w:hAnsi="宋体" w:cs="宋体"/>
          <w:color w:val="auto"/>
          <w:highlight w:val="none"/>
        </w:rPr>
      </w:pPr>
    </w:p>
    <w:p w14:paraId="3D122AF7">
      <w:pPr>
        <w:rPr>
          <w:rFonts w:ascii="宋体" w:hAnsi="宋体" w:cs="宋体"/>
          <w:color w:val="auto"/>
          <w:highlight w:val="none"/>
        </w:rPr>
      </w:pPr>
    </w:p>
    <w:p w14:paraId="7D0708B7">
      <w:pPr>
        <w:rPr>
          <w:rFonts w:ascii="宋体" w:hAnsi="宋体" w:cs="宋体"/>
          <w:color w:val="auto"/>
          <w:highlight w:val="none"/>
        </w:rPr>
      </w:pPr>
    </w:p>
    <w:p w14:paraId="04BEA53E">
      <w:pPr>
        <w:rPr>
          <w:color w:val="auto"/>
          <w:highlight w:val="none"/>
        </w:rPr>
      </w:pPr>
    </w:p>
    <w:p w14:paraId="20D600E9">
      <w:pPr>
        <w:rPr>
          <w:color w:val="auto"/>
          <w:highlight w:val="none"/>
        </w:rPr>
      </w:pPr>
    </w:p>
    <w:p w14:paraId="4CEDA5C3">
      <w:pPr>
        <w:rPr>
          <w:color w:val="auto"/>
          <w:highlight w:val="none"/>
        </w:rPr>
      </w:pPr>
    </w:p>
    <w:p w14:paraId="53FD0FBE">
      <w:pPr>
        <w:rPr>
          <w:color w:val="auto"/>
          <w:highlight w:val="none"/>
        </w:rPr>
      </w:pPr>
    </w:p>
    <w:p w14:paraId="2E51C710">
      <w:pPr>
        <w:rPr>
          <w:color w:val="auto"/>
          <w:highlight w:val="none"/>
        </w:rPr>
      </w:pPr>
    </w:p>
    <w:p w14:paraId="124E7EE4">
      <w:pPr>
        <w:rPr>
          <w:color w:val="auto"/>
          <w:highlight w:val="none"/>
        </w:rPr>
      </w:pPr>
    </w:p>
    <w:p w14:paraId="6866AEA4">
      <w:pPr>
        <w:rPr>
          <w:color w:val="auto"/>
          <w:highlight w:val="none"/>
        </w:rPr>
      </w:pPr>
    </w:p>
    <w:p w14:paraId="4646C429">
      <w:pPr>
        <w:rPr>
          <w:color w:val="auto"/>
          <w:highlight w:val="none"/>
        </w:rPr>
      </w:pPr>
    </w:p>
    <w:p w14:paraId="23E03908">
      <w:pPr>
        <w:rPr>
          <w:color w:val="auto"/>
          <w:highlight w:val="none"/>
        </w:rPr>
      </w:pPr>
    </w:p>
    <w:p w14:paraId="6BF89D1A">
      <w:pPr>
        <w:rPr>
          <w:color w:val="auto"/>
          <w:highlight w:val="none"/>
        </w:rPr>
      </w:pPr>
    </w:p>
    <w:p w14:paraId="5716F695">
      <w:pPr>
        <w:pStyle w:val="2"/>
        <w:jc w:val="center"/>
        <w:rPr>
          <w:color w:val="auto"/>
          <w:highlight w:val="none"/>
        </w:rPr>
      </w:pPr>
    </w:p>
    <w:p w14:paraId="26FE9290">
      <w:pPr>
        <w:pStyle w:val="2"/>
        <w:jc w:val="center"/>
        <w:rPr>
          <w:color w:val="auto"/>
          <w:highlight w:val="none"/>
        </w:rPr>
      </w:pPr>
    </w:p>
    <w:p w14:paraId="0F496F63">
      <w:pPr>
        <w:pStyle w:val="2"/>
        <w:jc w:val="center"/>
        <w:rPr>
          <w:color w:val="auto"/>
          <w:highlight w:val="none"/>
        </w:rPr>
      </w:pPr>
    </w:p>
    <w:p w14:paraId="0F42F0F9">
      <w:pPr>
        <w:pStyle w:val="2"/>
        <w:jc w:val="center"/>
        <w:rPr>
          <w:color w:val="auto"/>
          <w:highlight w:val="none"/>
        </w:rPr>
      </w:pPr>
      <w:r>
        <w:rPr>
          <w:rFonts w:hint="eastAsia"/>
          <w:color w:val="auto"/>
          <w:highlight w:val="none"/>
        </w:rPr>
        <w:t>第五章 工程量清单及图纸（另附）</w:t>
      </w:r>
    </w:p>
    <w:p w14:paraId="1623494A">
      <w:pPr>
        <w:pStyle w:val="2"/>
        <w:jc w:val="center"/>
        <w:rPr>
          <w:color w:val="auto"/>
          <w:highlight w:val="none"/>
        </w:rPr>
      </w:pPr>
    </w:p>
    <w:p w14:paraId="54636387">
      <w:pPr>
        <w:pStyle w:val="42"/>
        <w:keepNext w:val="0"/>
        <w:keepLines w:val="0"/>
        <w:widowControl w:val="0"/>
        <w:suppressLineNumbers w:val="0"/>
        <w:spacing w:before="0" w:beforeAutospacing="0" w:after="0" w:afterAutospacing="0" w:line="340" w:lineRule="exact"/>
        <w:ind w:left="0" w:right="0" w:firstLine="0" w:firstLineChars="0"/>
        <w:jc w:val="center"/>
        <w:rPr>
          <w:rFonts w:hint="default" w:ascii="Times New Roman" w:hAnsi="宋体" w:eastAsia="宋体" w:cs="宋体"/>
          <w:b/>
          <w:bCs w:val="0"/>
          <w:color w:val="auto"/>
          <w:kern w:val="2"/>
          <w:sz w:val="32"/>
          <w:szCs w:val="32"/>
          <w:highlight w:val="none"/>
        </w:rPr>
      </w:pPr>
      <w:r>
        <w:rPr>
          <w:color w:val="auto"/>
          <w:highlight w:val="none"/>
        </w:rPr>
        <w:br w:type="page"/>
      </w:r>
      <w:r>
        <w:rPr>
          <w:rFonts w:hint="eastAsia" w:ascii="宋体" w:hAnsi="宋体" w:eastAsia="宋体" w:cs="宋体"/>
          <w:b/>
          <w:bCs w:val="0"/>
          <w:color w:val="auto"/>
          <w:kern w:val="2"/>
          <w:sz w:val="32"/>
          <w:szCs w:val="32"/>
          <w:highlight w:val="none"/>
          <w:lang w:val="en-US" w:eastAsia="zh-CN" w:bidi="ar"/>
        </w:rPr>
        <w:t>工程量清单具体要求</w:t>
      </w:r>
    </w:p>
    <w:p w14:paraId="0812FA63">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459F431">
      <w:pPr>
        <w:pStyle w:val="42"/>
        <w:keepNext w:val="0"/>
        <w:keepLines w:val="0"/>
        <w:widowControl w:val="0"/>
        <w:suppressLineNumbers w:val="0"/>
        <w:spacing w:before="0" w:beforeAutospacing="0" w:after="0" w:afterAutospacing="0" w:line="440" w:lineRule="exact"/>
        <w:ind w:left="0" w:right="0" w:firstLine="0" w:firstLineChars="0"/>
        <w:jc w:val="both"/>
        <w:rPr>
          <w:rFonts w:hint="default" w:ascii="Times New Roman" w:hAnsi="宋体" w:eastAsia="宋体" w:cs="宋体"/>
          <w:color w:val="auto"/>
          <w:kern w:val="21"/>
          <w:sz w:val="21"/>
          <w:szCs w:val="21"/>
          <w:highlight w:val="none"/>
        </w:rPr>
      </w:pPr>
      <w:r>
        <w:rPr>
          <w:rFonts w:hint="eastAsia" w:ascii="宋体" w:hAnsi="宋体" w:eastAsia="宋体" w:cs="宋体"/>
          <w:b/>
          <w:bCs w:val="0"/>
          <w:color w:val="auto"/>
          <w:kern w:val="2"/>
          <w:sz w:val="24"/>
          <w:szCs w:val="24"/>
          <w:highlight w:val="none"/>
          <w:lang w:val="en-US" w:eastAsia="zh-CN" w:bidi="ar"/>
        </w:rPr>
        <w:t>一</w:t>
      </w:r>
      <w:r>
        <w:rPr>
          <w:rFonts w:hint="eastAsia" w:ascii="宋体" w:hAnsi="宋体" w:eastAsia="宋体" w:cs="宋体"/>
          <w:b/>
          <w:bCs w:val="0"/>
          <w:color w:val="auto"/>
          <w:kern w:val="2"/>
          <w:sz w:val="21"/>
          <w:szCs w:val="21"/>
          <w:highlight w:val="none"/>
          <w:lang w:val="en-US" w:eastAsia="zh-CN" w:bidi="ar"/>
        </w:rPr>
        <w:t>、工程量清单说明</w:t>
      </w:r>
      <w:r>
        <w:rPr>
          <w:rFonts w:hint="eastAsia" w:ascii="宋体" w:hAnsi="宋体" w:eastAsia="宋体" w:cs="宋体"/>
          <w:color w:val="auto"/>
          <w:kern w:val="21"/>
          <w:sz w:val="21"/>
          <w:szCs w:val="21"/>
          <w:highlight w:val="none"/>
          <w:lang w:val="en-US" w:eastAsia="zh-CN" w:bidi="ar"/>
        </w:rPr>
        <w:t>：</w:t>
      </w:r>
    </w:p>
    <w:p w14:paraId="6EB9080A">
      <w:pPr>
        <w:pStyle w:val="42"/>
        <w:keepNext w:val="0"/>
        <w:keepLines w:val="0"/>
        <w:widowControl w:val="0"/>
        <w:suppressLineNumbers w:val="0"/>
        <w:spacing w:before="0" w:beforeAutospacing="0" w:after="0" w:afterAutospacing="0" w:line="440" w:lineRule="exact"/>
        <w:ind w:left="0" w:right="0" w:firstLine="420" w:firstLineChars="0"/>
        <w:jc w:val="both"/>
        <w:rPr>
          <w:rFonts w:hint="default" w:ascii="Times New Roman" w:hAnsi="宋体" w:eastAsia="宋体" w:cs="宋体"/>
          <w:color w:val="auto"/>
          <w:kern w:val="21"/>
          <w:sz w:val="21"/>
          <w:szCs w:val="21"/>
          <w:highlight w:val="none"/>
        </w:rPr>
      </w:pPr>
      <w:r>
        <w:rPr>
          <w:rFonts w:hint="default" w:ascii="Times New Roman" w:hAnsi="Times New Roman" w:eastAsia="宋体" w:cs="Times New Roman"/>
          <w:color w:val="auto"/>
          <w:kern w:val="21"/>
          <w:sz w:val="21"/>
          <w:szCs w:val="21"/>
          <w:highlight w:val="none"/>
          <w:lang w:val="en-US" w:eastAsia="zh-CN" w:bidi="ar"/>
        </w:rPr>
        <w:t>1.</w:t>
      </w:r>
      <w:r>
        <w:rPr>
          <w:rFonts w:hint="eastAsia" w:ascii="宋体" w:hAnsi="宋体" w:eastAsia="宋体" w:cs="宋体"/>
          <w:color w:val="auto"/>
          <w:kern w:val="21"/>
          <w:sz w:val="21"/>
          <w:szCs w:val="21"/>
          <w:highlight w:val="none"/>
          <w:lang w:val="en-US" w:eastAsia="zh-CN" w:bidi="ar"/>
        </w:rPr>
        <w:t>工程量清单所列的工程数量为采购时的工程量，仅作为报价的共同基础，不作为最终结算与支付的依据。实际支付应按磋商文件文件中“合同条款”有关规定执行。</w:t>
      </w:r>
    </w:p>
    <w:p w14:paraId="146434DF">
      <w:pPr>
        <w:pStyle w:val="42"/>
        <w:keepNext w:val="0"/>
        <w:keepLines w:val="0"/>
        <w:widowControl w:val="0"/>
        <w:suppressLineNumbers w:val="0"/>
        <w:spacing w:before="0" w:beforeAutospacing="0" w:after="0" w:afterAutospacing="0" w:line="440" w:lineRule="exact"/>
        <w:ind w:left="0" w:right="0" w:firstLine="420" w:firstLineChars="0"/>
        <w:jc w:val="both"/>
        <w:rPr>
          <w:rFonts w:hint="default" w:ascii="Times New Roman" w:hAnsi="宋体" w:eastAsia="宋体" w:cs="宋体"/>
          <w:color w:val="auto"/>
          <w:kern w:val="2"/>
          <w:sz w:val="21"/>
          <w:szCs w:val="21"/>
          <w:highlight w:val="none"/>
        </w:rPr>
      </w:pPr>
      <w:r>
        <w:rPr>
          <w:rFonts w:hint="default" w:ascii="Times New Roman" w:hAnsi="Times New Roman" w:eastAsia="宋体" w:cs="Times New Roman"/>
          <w:color w:val="auto"/>
          <w:kern w:val="21"/>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本工程计价及结算参考依据：</w:t>
      </w:r>
    </w:p>
    <w:p w14:paraId="73967384">
      <w:pPr>
        <w:pStyle w:val="42"/>
        <w:keepNext w:val="0"/>
        <w:keepLines w:val="0"/>
        <w:widowControl w:val="0"/>
        <w:suppressLineNumbers w:val="0"/>
        <w:spacing w:before="0" w:beforeAutospacing="0" w:after="0" w:afterAutospacing="0" w:line="440" w:lineRule="exact"/>
        <w:ind w:left="0" w:right="0" w:firstLine="420" w:firstLineChars="0"/>
        <w:jc w:val="both"/>
        <w:rPr>
          <w:rFonts w:hint="default" w:ascii="Times New Roman"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 设计施工图纸；</w:t>
      </w:r>
    </w:p>
    <w:p w14:paraId="57663027">
      <w:pPr>
        <w:pStyle w:val="42"/>
        <w:keepNext w:val="0"/>
        <w:keepLines w:val="0"/>
        <w:widowControl w:val="0"/>
        <w:suppressLineNumbers w:val="0"/>
        <w:spacing w:before="0" w:beforeAutospacing="0" w:after="0" w:afterAutospacing="0" w:line="440" w:lineRule="exact"/>
        <w:ind w:left="0" w:right="0" w:firstLine="420" w:firstLineChars="0"/>
        <w:jc w:val="both"/>
        <w:rPr>
          <w:rFonts w:hint="default" w:ascii="Times New Roman"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）《建设工程工程量清单计价规范》(GB50500-2013)；</w:t>
      </w:r>
    </w:p>
    <w:p w14:paraId="3DC71AC2">
      <w:pPr>
        <w:pStyle w:val="42"/>
        <w:keepNext w:val="0"/>
        <w:keepLines w:val="0"/>
        <w:widowControl w:val="0"/>
        <w:suppressLineNumbers w:val="0"/>
        <w:spacing w:before="0" w:beforeAutospacing="0" w:after="0" w:afterAutospacing="0" w:line="440" w:lineRule="exact"/>
        <w:ind w:left="0" w:right="0" w:firstLine="420" w:firstLineChars="0"/>
        <w:jc w:val="both"/>
        <w:rPr>
          <w:rFonts w:hint="default" w:ascii="Times New Roman"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《&lt;建设工程工程量计算规范&gt;(GB50854～GB50862-2013)广西壮族自治区实施细则》（修订本）</w:t>
      </w:r>
      <w:r>
        <w:rPr>
          <w:rFonts w:hint="eastAsia" w:ascii="宋体" w:hAnsi="宋体" w:eastAsia="宋体" w:cs="宋体"/>
          <w:color w:val="auto"/>
          <w:kern w:val="2"/>
          <w:sz w:val="21"/>
          <w:szCs w:val="21"/>
          <w:highlight w:val="none"/>
          <w:lang w:val="en-US" w:eastAsia="zh-CN" w:bidi="ar"/>
        </w:rPr>
        <w:t>；</w:t>
      </w:r>
    </w:p>
    <w:p w14:paraId="1D045FAB">
      <w:pPr>
        <w:pStyle w:val="42"/>
        <w:keepNext w:val="0"/>
        <w:keepLines w:val="0"/>
        <w:widowControl w:val="0"/>
        <w:suppressLineNumbers w:val="0"/>
        <w:spacing w:before="0" w:beforeAutospacing="0" w:after="0" w:afterAutospacing="0" w:line="440" w:lineRule="exact"/>
        <w:ind w:left="0" w:right="0" w:firstLine="420" w:firstLineChars="0"/>
        <w:jc w:val="both"/>
        <w:rPr>
          <w:rFonts w:hint="default" w:ascii="Times New Roman"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val="en-US" w:eastAsia="zh-CN" w:bidi="ar"/>
        </w:rPr>
        <w:t>）2013年《广西壮族自治区建筑装饰装修工程消耗量定额》；</w:t>
      </w:r>
    </w:p>
    <w:p w14:paraId="4C94D0E2">
      <w:pPr>
        <w:pStyle w:val="42"/>
        <w:keepNext w:val="0"/>
        <w:keepLines w:val="0"/>
        <w:widowControl w:val="0"/>
        <w:suppressLineNumbers w:val="0"/>
        <w:spacing w:before="0" w:beforeAutospacing="0" w:after="0" w:afterAutospacing="0" w:line="440" w:lineRule="exact"/>
        <w:ind w:left="0" w:right="0" w:firstLine="420" w:firstLineChars="0"/>
        <w:jc w:val="both"/>
        <w:rPr>
          <w:rFonts w:hint="default" w:ascii="Times New Roman"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5</w:t>
      </w:r>
      <w:r>
        <w:rPr>
          <w:rFonts w:hint="eastAsia" w:ascii="宋体" w:hAnsi="宋体" w:eastAsia="宋体" w:cs="宋体"/>
          <w:color w:val="auto"/>
          <w:kern w:val="2"/>
          <w:sz w:val="21"/>
          <w:szCs w:val="21"/>
          <w:highlight w:val="none"/>
          <w:lang w:val="en-US" w:eastAsia="zh-CN" w:bidi="ar"/>
        </w:rPr>
        <w:t>）2015年《广西壮族自治区安装工程消耗量定额》；</w:t>
      </w:r>
    </w:p>
    <w:p w14:paraId="4AE3E598">
      <w:pPr>
        <w:pStyle w:val="42"/>
        <w:keepNext w:val="0"/>
        <w:keepLines w:val="0"/>
        <w:widowControl w:val="0"/>
        <w:suppressLineNumbers w:val="0"/>
        <w:spacing w:before="0" w:beforeAutospacing="0" w:after="0" w:afterAutospacing="0" w:line="440" w:lineRule="exact"/>
        <w:ind w:left="0" w:right="0" w:firstLine="420" w:firstLineChars="0"/>
        <w:jc w:val="both"/>
        <w:rPr>
          <w:rFonts w:hint="default" w:ascii="Times New Roman"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6</w:t>
      </w:r>
      <w:r>
        <w:rPr>
          <w:rFonts w:hint="eastAsia" w:ascii="宋体" w:hAnsi="宋体" w:eastAsia="宋体" w:cs="宋体"/>
          <w:color w:val="auto"/>
          <w:kern w:val="2"/>
          <w:sz w:val="21"/>
          <w:szCs w:val="21"/>
          <w:highlight w:val="none"/>
          <w:lang w:val="en-US" w:eastAsia="zh-CN" w:bidi="ar"/>
        </w:rPr>
        <w:t>）2016年《广西壮族自治区建设工程费用定额》；</w:t>
      </w:r>
    </w:p>
    <w:p w14:paraId="0A82B1E1">
      <w:pPr>
        <w:pStyle w:val="42"/>
        <w:keepNext w:val="0"/>
        <w:keepLines w:val="0"/>
        <w:widowControl w:val="0"/>
        <w:suppressLineNumbers w:val="0"/>
        <w:spacing w:before="0" w:beforeAutospacing="0" w:after="0" w:afterAutospacing="0" w:line="440" w:lineRule="exact"/>
        <w:ind w:left="0" w:right="0" w:firstLine="420" w:firstLineChars="0"/>
        <w:jc w:val="both"/>
        <w:rPr>
          <w:rFonts w:hint="default" w:ascii="Times New Roman"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7</w:t>
      </w:r>
      <w:r>
        <w:rPr>
          <w:rFonts w:hint="eastAsia" w:ascii="宋体" w:hAnsi="宋体" w:eastAsia="宋体" w:cs="宋体"/>
          <w:color w:val="auto"/>
          <w:kern w:val="2"/>
          <w:sz w:val="21"/>
          <w:szCs w:val="21"/>
          <w:highlight w:val="none"/>
          <w:lang w:val="en-US" w:eastAsia="zh-CN" w:bidi="ar"/>
        </w:rPr>
        <w:t>）桂建标【2023】7号文《自治区住房城乡建设厅关于调整建设工程定额人工费及有关费率的通知》；</w:t>
      </w:r>
    </w:p>
    <w:p w14:paraId="4177C82A">
      <w:pPr>
        <w:pStyle w:val="42"/>
        <w:keepNext w:val="0"/>
        <w:keepLines w:val="0"/>
        <w:widowControl w:val="0"/>
        <w:suppressLineNumbers w:val="0"/>
        <w:spacing w:before="0" w:beforeAutospacing="0" w:after="0" w:afterAutospacing="0" w:line="440" w:lineRule="exact"/>
        <w:ind w:left="0" w:right="0" w:firstLine="420" w:firstLineChars="0"/>
        <w:jc w:val="both"/>
        <w:rPr>
          <w:rFonts w:hint="eastAsia" w:ascii="宋体" w:hAnsi="宋体" w:eastAsia="宋体" w:cs="宋体"/>
          <w:color w:val="auto"/>
          <w:kern w:val="21"/>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8</w:t>
      </w:r>
      <w:r>
        <w:rPr>
          <w:rFonts w:hint="eastAsia" w:ascii="宋体" w:hAnsi="宋体" w:eastAsia="宋体" w:cs="宋体"/>
          <w:color w:val="auto"/>
          <w:kern w:val="2"/>
          <w:sz w:val="21"/>
          <w:szCs w:val="21"/>
          <w:highlight w:val="none"/>
          <w:lang w:val="en-US" w:eastAsia="zh-CN" w:bidi="ar"/>
        </w:rPr>
        <w:t>）桂建标[2019]12号文《自治区住房城乡建设厅关于调整建设工程计价增值税税率的通知》</w:t>
      </w:r>
      <w:r>
        <w:rPr>
          <w:rFonts w:hint="eastAsia" w:ascii="宋体" w:hAnsi="宋体" w:eastAsia="宋体" w:cs="宋体"/>
          <w:color w:val="auto"/>
          <w:kern w:val="21"/>
          <w:sz w:val="21"/>
          <w:szCs w:val="21"/>
          <w:highlight w:val="none"/>
          <w:lang w:val="en-US" w:eastAsia="zh-CN" w:bidi="ar"/>
        </w:rPr>
        <w:t>。</w:t>
      </w:r>
    </w:p>
    <w:p w14:paraId="01B08959">
      <w:pPr>
        <w:pStyle w:val="42"/>
        <w:keepNext w:val="0"/>
        <w:keepLines w:val="0"/>
        <w:widowControl w:val="0"/>
        <w:suppressLineNumbers w:val="0"/>
        <w:spacing w:before="0" w:beforeAutospacing="0" w:after="0" w:afterAutospacing="0" w:line="440" w:lineRule="exact"/>
        <w:ind w:left="0" w:right="0" w:firstLine="420" w:firstLineChars="0"/>
        <w:jc w:val="both"/>
        <w:rPr>
          <w:rFonts w:hint="default" w:ascii="宋体" w:hAnsi="宋体" w:eastAsia="宋体" w:cs="宋体"/>
          <w:color w:val="auto"/>
          <w:kern w:val="21"/>
          <w:sz w:val="21"/>
          <w:szCs w:val="21"/>
          <w:highlight w:val="none"/>
          <w:lang w:val="en-US" w:eastAsia="zh-CN" w:bidi="ar"/>
        </w:rPr>
      </w:pPr>
      <w:r>
        <w:rPr>
          <w:rFonts w:hint="eastAsia" w:ascii="宋体" w:hAnsi="宋体" w:cs="宋体"/>
          <w:color w:val="auto"/>
          <w:kern w:val="21"/>
          <w:sz w:val="21"/>
          <w:szCs w:val="21"/>
          <w:highlight w:val="none"/>
          <w:lang w:val="en-US" w:eastAsia="zh-CN" w:bidi="ar"/>
        </w:rPr>
        <w:t>（9）</w:t>
      </w:r>
      <w:r>
        <w:rPr>
          <w:rFonts w:hint="default" w:ascii="宋体" w:hAnsi="宋体" w:eastAsia="宋体" w:cs="宋体"/>
          <w:color w:val="auto"/>
          <w:kern w:val="21"/>
          <w:sz w:val="21"/>
          <w:szCs w:val="21"/>
          <w:highlight w:val="none"/>
          <w:lang w:val="en-US" w:eastAsia="zh-CN" w:bidi="ar"/>
        </w:rPr>
        <w:t>材料价格采用2024年《桂林市建设工程造价信息》第12期公布的</w:t>
      </w:r>
      <w:r>
        <w:rPr>
          <w:rFonts w:hint="eastAsia" w:ascii="宋体" w:hAnsi="宋体" w:cs="宋体"/>
          <w:color w:val="auto"/>
          <w:kern w:val="21"/>
          <w:sz w:val="21"/>
          <w:szCs w:val="21"/>
          <w:highlight w:val="none"/>
          <w:lang w:val="en-US" w:eastAsia="zh-CN" w:bidi="ar"/>
        </w:rPr>
        <w:t>兴安县</w:t>
      </w:r>
      <w:r>
        <w:rPr>
          <w:rFonts w:hint="default" w:ascii="宋体" w:hAnsi="宋体" w:eastAsia="宋体" w:cs="宋体"/>
          <w:color w:val="auto"/>
          <w:kern w:val="21"/>
          <w:sz w:val="21"/>
          <w:szCs w:val="21"/>
          <w:highlight w:val="none"/>
          <w:lang w:val="en-US" w:eastAsia="zh-CN" w:bidi="ar"/>
        </w:rPr>
        <w:t>信息价（除税价格），信息价上未公布的采用市场询价</w:t>
      </w:r>
      <w:r>
        <w:rPr>
          <w:rFonts w:hint="eastAsia" w:ascii="宋体" w:hAnsi="宋体" w:cs="宋体"/>
          <w:color w:val="auto"/>
          <w:kern w:val="21"/>
          <w:sz w:val="21"/>
          <w:szCs w:val="21"/>
          <w:highlight w:val="none"/>
          <w:lang w:val="en-US" w:eastAsia="zh-CN" w:bidi="ar"/>
        </w:rPr>
        <w:t>。</w:t>
      </w:r>
    </w:p>
    <w:p w14:paraId="3F7996BA">
      <w:pPr>
        <w:pStyle w:val="42"/>
        <w:keepNext w:val="0"/>
        <w:keepLines w:val="0"/>
        <w:widowControl w:val="0"/>
        <w:suppressLineNumbers w:val="0"/>
        <w:spacing w:before="0" w:beforeAutospacing="0" w:after="0" w:afterAutospacing="0" w:line="440" w:lineRule="exact"/>
        <w:ind w:left="0" w:right="0" w:firstLine="0" w:firstLineChars="0"/>
        <w:jc w:val="both"/>
        <w:rPr>
          <w:rFonts w:hint="default" w:ascii="Times New Roman"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二、磋商报价说明</w:t>
      </w:r>
    </w:p>
    <w:p w14:paraId="6A47AC5C">
      <w:pPr>
        <w:pStyle w:val="42"/>
        <w:keepNext w:val="0"/>
        <w:keepLines w:val="0"/>
        <w:widowControl w:val="0"/>
        <w:suppressLineNumbers w:val="0"/>
        <w:spacing w:before="0" w:beforeAutospacing="0" w:after="0" w:afterAutospacing="0" w:line="440" w:lineRule="exact"/>
        <w:ind w:left="0" w:right="0" w:firstLine="420" w:firstLineChars="0"/>
        <w:jc w:val="both"/>
        <w:rPr>
          <w:rFonts w:hint="default" w:ascii="Times New Roman" w:hAnsi="宋体" w:eastAsia="宋体" w:cs="宋体"/>
          <w:color w:val="auto"/>
          <w:kern w:val="21"/>
          <w:sz w:val="21"/>
          <w:szCs w:val="21"/>
          <w:highlight w:val="none"/>
        </w:rPr>
      </w:pPr>
      <w:r>
        <w:rPr>
          <w:rFonts w:hint="default" w:ascii="Times New Roman" w:hAnsi="Times New Roman" w:eastAsia="宋体" w:cs="Times New Roman"/>
          <w:color w:val="auto"/>
          <w:kern w:val="2"/>
          <w:sz w:val="21"/>
          <w:szCs w:val="21"/>
          <w:highlight w:val="none"/>
          <w:lang w:val="en-US" w:eastAsia="zh-CN" w:bidi="ar"/>
        </w:rPr>
        <w:t>1</w:t>
      </w:r>
      <w:r>
        <w:rPr>
          <w:rFonts w:hint="eastAsia" w:ascii="宋体" w:hAnsi="宋体" w:eastAsia="宋体" w:cs="宋体"/>
          <w:color w:val="auto"/>
          <w:kern w:val="21"/>
          <w:sz w:val="21"/>
          <w:szCs w:val="21"/>
          <w:highlight w:val="none"/>
          <w:lang w:val="en-US" w:eastAsia="zh-CN" w:bidi="ar"/>
        </w:rPr>
        <w:t>有价标的工程量清单中的每一细目须填入单价和合价，且只允许有一个报价。</w:t>
      </w:r>
      <w:r>
        <w:rPr>
          <w:rFonts w:hint="eastAsia" w:ascii="宋体" w:hAnsi="宋体" w:eastAsia="宋体" w:cs="宋体"/>
          <w:color w:val="auto"/>
          <w:kern w:val="2"/>
          <w:sz w:val="21"/>
          <w:szCs w:val="21"/>
          <w:highlight w:val="none"/>
          <w:lang w:val="en-US" w:eastAsia="zh-CN" w:bidi="ar"/>
        </w:rPr>
        <w:t>供应商</w:t>
      </w:r>
      <w:r>
        <w:rPr>
          <w:rFonts w:hint="eastAsia" w:ascii="宋体" w:hAnsi="宋体" w:eastAsia="宋体" w:cs="宋体"/>
          <w:color w:val="auto"/>
          <w:kern w:val="21"/>
          <w:sz w:val="21"/>
          <w:szCs w:val="21"/>
          <w:highlight w:val="none"/>
          <w:lang w:val="en-US" w:eastAsia="zh-CN" w:bidi="ar"/>
        </w:rPr>
        <w:t>没有填写单价和合价的细目，其费用应视为已分配在相关工程细目的单价与合价之中。</w:t>
      </w:r>
    </w:p>
    <w:p w14:paraId="6DFF4F4F">
      <w:pPr>
        <w:pStyle w:val="42"/>
        <w:keepNext w:val="0"/>
        <w:keepLines w:val="0"/>
        <w:widowControl w:val="0"/>
        <w:suppressLineNumbers w:val="0"/>
        <w:spacing w:before="0" w:beforeAutospacing="0" w:after="0" w:afterAutospacing="0" w:line="440" w:lineRule="exact"/>
        <w:ind w:left="0" w:right="0" w:firstLine="420" w:firstLineChars="0"/>
        <w:jc w:val="both"/>
        <w:rPr>
          <w:rFonts w:hint="default" w:ascii="Times New Roman" w:hAnsi="宋体" w:eastAsia="宋体" w:cs="宋体"/>
          <w:color w:val="auto"/>
          <w:kern w:val="21"/>
          <w:sz w:val="21"/>
          <w:szCs w:val="21"/>
          <w:highlight w:val="none"/>
        </w:rPr>
      </w:pPr>
      <w:r>
        <w:rPr>
          <w:rFonts w:hint="default" w:ascii="Times New Roman" w:hAnsi="Times New Roman" w:eastAsia="宋体" w:cs="Times New Roman"/>
          <w:color w:val="auto"/>
          <w:kern w:val="21"/>
          <w:sz w:val="21"/>
          <w:szCs w:val="21"/>
          <w:highlight w:val="none"/>
          <w:lang w:val="en-US" w:eastAsia="zh-CN" w:bidi="ar"/>
        </w:rPr>
        <w:t>2</w:t>
      </w:r>
      <w:r>
        <w:rPr>
          <w:rFonts w:hint="eastAsia" w:ascii="宋体" w:hAnsi="宋体" w:eastAsia="宋体" w:cs="宋体"/>
          <w:color w:val="auto"/>
          <w:kern w:val="21"/>
          <w:sz w:val="21"/>
          <w:szCs w:val="21"/>
          <w:highlight w:val="none"/>
          <w:lang w:val="en-US" w:eastAsia="zh-CN" w:bidi="ar"/>
        </w:rPr>
        <w:t>工程量清单中的任何算术性错误，磋商小组将按下述原则予以调整。</w:t>
      </w:r>
    </w:p>
    <w:p w14:paraId="31EA5D97">
      <w:pPr>
        <w:pStyle w:val="42"/>
        <w:keepNext w:val="0"/>
        <w:keepLines w:val="0"/>
        <w:widowControl w:val="0"/>
        <w:suppressLineNumbers w:val="0"/>
        <w:spacing w:before="0" w:beforeAutospacing="0" w:after="0" w:afterAutospacing="0" w:line="440" w:lineRule="exact"/>
        <w:ind w:left="0" w:right="0" w:firstLine="420" w:firstLineChars="0"/>
        <w:jc w:val="both"/>
        <w:rPr>
          <w:rFonts w:hint="default" w:ascii="Times New Roman" w:hAnsi="宋体" w:eastAsia="宋体" w:cs="宋体"/>
          <w:color w:val="auto"/>
          <w:kern w:val="21"/>
          <w:sz w:val="21"/>
          <w:szCs w:val="21"/>
          <w:highlight w:val="none"/>
        </w:rPr>
      </w:pPr>
      <w:r>
        <w:rPr>
          <w:rFonts w:hint="default" w:ascii="Times New Roman" w:hAnsi="Times New Roman" w:eastAsia="宋体" w:cs="Times New Roman"/>
          <w:color w:val="auto"/>
          <w:kern w:val="21"/>
          <w:sz w:val="21"/>
          <w:szCs w:val="21"/>
          <w:highlight w:val="none"/>
          <w:lang w:val="en-US" w:eastAsia="zh-CN" w:bidi="ar"/>
        </w:rPr>
        <w:t>(a)</w:t>
      </w:r>
      <w:r>
        <w:rPr>
          <w:rFonts w:hint="eastAsia" w:ascii="宋体" w:hAnsi="宋体" w:eastAsia="宋体" w:cs="宋体"/>
          <w:color w:val="auto"/>
          <w:kern w:val="21"/>
          <w:sz w:val="21"/>
          <w:szCs w:val="21"/>
          <w:highlight w:val="none"/>
          <w:lang w:val="en-US" w:eastAsia="zh-CN" w:bidi="ar"/>
        </w:rPr>
        <w:t>如果用数字表示的数额与用文字表示的数额不一致时，以文字数额为准。</w:t>
      </w:r>
    </w:p>
    <w:p w14:paraId="74550EB1">
      <w:pPr>
        <w:pStyle w:val="42"/>
        <w:keepNext w:val="0"/>
        <w:keepLines w:val="0"/>
        <w:widowControl w:val="0"/>
        <w:suppressLineNumbers w:val="0"/>
        <w:spacing w:before="0" w:beforeAutospacing="0" w:after="0" w:afterAutospacing="0" w:line="440" w:lineRule="exact"/>
        <w:ind w:left="0" w:right="0" w:firstLine="420" w:firstLineChars="0"/>
        <w:jc w:val="both"/>
        <w:rPr>
          <w:rFonts w:hint="default" w:ascii="Times New Roman" w:hAnsi="宋体" w:eastAsia="宋体" w:cs="宋体"/>
          <w:color w:val="auto"/>
          <w:kern w:val="21"/>
          <w:sz w:val="21"/>
          <w:szCs w:val="21"/>
          <w:highlight w:val="none"/>
        </w:rPr>
      </w:pPr>
      <w:r>
        <w:rPr>
          <w:rFonts w:hint="default" w:ascii="Times New Roman" w:hAnsi="Times New Roman" w:eastAsia="宋体" w:cs="Times New Roman"/>
          <w:color w:val="auto"/>
          <w:kern w:val="21"/>
          <w:sz w:val="21"/>
          <w:szCs w:val="21"/>
          <w:highlight w:val="none"/>
          <w:lang w:val="en-US" w:eastAsia="zh-CN" w:bidi="ar"/>
        </w:rPr>
        <w:t>(b)</w:t>
      </w:r>
      <w:r>
        <w:rPr>
          <w:rFonts w:hint="eastAsia" w:ascii="宋体" w:hAnsi="宋体" w:eastAsia="宋体" w:cs="宋体"/>
          <w:color w:val="auto"/>
          <w:kern w:val="21"/>
          <w:sz w:val="21"/>
          <w:szCs w:val="21"/>
          <w:highlight w:val="none"/>
          <w:lang w:val="en-US" w:eastAsia="zh-CN" w:bidi="ar"/>
        </w:rPr>
        <w:t>当单价与数量的乘积与总额之间不一致时，通常以标出的单价为准，除非磋商小组认为有明显的小数点出错，此时应以标出的总额为准，并修改单价。</w:t>
      </w:r>
    </w:p>
    <w:p w14:paraId="41CA4E84">
      <w:pPr>
        <w:pStyle w:val="42"/>
        <w:keepNext w:val="0"/>
        <w:keepLines w:val="0"/>
        <w:widowControl w:val="0"/>
        <w:suppressLineNumbers w:val="0"/>
        <w:spacing w:before="0" w:beforeAutospacing="0" w:after="0" w:afterAutospacing="0" w:line="440" w:lineRule="exact"/>
        <w:ind w:left="0" w:right="0" w:firstLine="420" w:firstLineChars="0"/>
        <w:jc w:val="both"/>
        <w:rPr>
          <w:rFonts w:hint="default" w:ascii="Times New Roman" w:hAnsi="宋体" w:eastAsia="宋体" w:cs="宋体"/>
          <w:color w:val="auto"/>
          <w:kern w:val="21"/>
          <w:sz w:val="21"/>
          <w:szCs w:val="21"/>
          <w:highlight w:val="none"/>
        </w:rPr>
      </w:pPr>
      <w:r>
        <w:rPr>
          <w:rFonts w:hint="default" w:ascii="Times New Roman" w:hAnsi="Times New Roman" w:eastAsia="宋体" w:cs="Times New Roman"/>
          <w:color w:val="auto"/>
          <w:kern w:val="21"/>
          <w:sz w:val="21"/>
          <w:szCs w:val="21"/>
          <w:highlight w:val="none"/>
          <w:lang w:val="en-US" w:eastAsia="zh-CN" w:bidi="ar"/>
        </w:rPr>
        <w:t>3.</w:t>
      </w:r>
      <w:r>
        <w:rPr>
          <w:rFonts w:hint="eastAsia" w:ascii="宋体" w:hAnsi="宋体" w:eastAsia="宋体" w:cs="宋体"/>
          <w:color w:val="auto"/>
          <w:kern w:val="21"/>
          <w:sz w:val="21"/>
          <w:szCs w:val="21"/>
          <w:highlight w:val="none"/>
          <w:lang w:val="en-US" w:eastAsia="zh-CN" w:bidi="ar"/>
        </w:rPr>
        <w:t>供</w:t>
      </w:r>
      <w:r>
        <w:rPr>
          <w:rFonts w:hint="eastAsia" w:ascii="宋体" w:hAnsi="宋体" w:eastAsia="宋体" w:cs="宋体"/>
          <w:color w:val="auto"/>
          <w:kern w:val="2"/>
          <w:sz w:val="21"/>
          <w:szCs w:val="21"/>
          <w:highlight w:val="none"/>
          <w:lang w:val="en-US" w:eastAsia="zh-CN" w:bidi="ar"/>
        </w:rPr>
        <w:t>应商</w:t>
      </w:r>
      <w:r>
        <w:rPr>
          <w:rFonts w:hint="eastAsia" w:ascii="宋体" w:hAnsi="宋体" w:eastAsia="宋体" w:cs="宋体"/>
          <w:color w:val="auto"/>
          <w:kern w:val="21"/>
          <w:sz w:val="21"/>
          <w:szCs w:val="21"/>
          <w:highlight w:val="none"/>
          <w:lang w:val="en-US" w:eastAsia="zh-CN" w:bidi="ar"/>
        </w:rPr>
        <w:t>在进行工程量清单报价时，应按照采购人（采购代理机构）提供的工程量清单进行报价。</w:t>
      </w:r>
      <w:r>
        <w:rPr>
          <w:rFonts w:hint="eastAsia" w:ascii="宋体" w:hAnsi="宋体" w:eastAsia="宋体" w:cs="宋体"/>
          <w:color w:val="auto"/>
          <w:kern w:val="2"/>
          <w:sz w:val="21"/>
          <w:szCs w:val="21"/>
          <w:highlight w:val="none"/>
          <w:lang w:val="en-US" w:eastAsia="zh-CN" w:bidi="ar"/>
        </w:rPr>
        <w:t>已标价工程量清单中项目编码、项目名称、项目特征、计量单位、工程量必须与工程量清单一致，供应商不得对工程量清单项目进行增减调整，否则响应文件无效。</w:t>
      </w:r>
    </w:p>
    <w:p w14:paraId="0C4B0EB4">
      <w:pPr>
        <w:pStyle w:val="42"/>
        <w:keepNext w:val="0"/>
        <w:keepLines w:val="0"/>
        <w:widowControl w:val="0"/>
        <w:suppressLineNumbers w:val="0"/>
        <w:spacing w:before="0" w:beforeAutospacing="0" w:after="0" w:afterAutospacing="0" w:line="440" w:lineRule="exact"/>
        <w:ind w:left="0" w:right="0" w:firstLine="420" w:firstLineChars="0"/>
        <w:jc w:val="both"/>
        <w:rPr>
          <w:rFonts w:hint="default" w:ascii="Times New Roman" w:hAnsi="宋体" w:eastAsia="宋体" w:cs="宋体"/>
          <w:color w:val="auto"/>
          <w:kern w:val="21"/>
          <w:sz w:val="21"/>
          <w:szCs w:val="21"/>
          <w:highlight w:val="none"/>
        </w:rPr>
      </w:pPr>
      <w:r>
        <w:rPr>
          <w:rFonts w:hint="default" w:ascii="Times New Roman" w:hAnsi="Times New Roman" w:eastAsia="宋体" w:cs="Times New Roman"/>
          <w:color w:val="auto"/>
          <w:kern w:val="21"/>
          <w:sz w:val="21"/>
          <w:szCs w:val="21"/>
          <w:highlight w:val="none"/>
          <w:lang w:val="en-US" w:eastAsia="zh-CN" w:bidi="ar"/>
        </w:rPr>
        <w:t>4.</w:t>
      </w:r>
      <w:r>
        <w:rPr>
          <w:rFonts w:hint="eastAsia" w:ascii="宋体" w:hAnsi="宋体" w:eastAsia="宋体" w:cs="宋体"/>
          <w:color w:val="auto"/>
          <w:kern w:val="21"/>
          <w:sz w:val="21"/>
          <w:szCs w:val="21"/>
          <w:highlight w:val="none"/>
          <w:lang w:val="en-US" w:eastAsia="zh-CN" w:bidi="ar"/>
        </w:rPr>
        <w:t>供</w:t>
      </w:r>
      <w:r>
        <w:rPr>
          <w:rFonts w:hint="eastAsia" w:ascii="宋体" w:hAnsi="宋体" w:eastAsia="宋体" w:cs="宋体"/>
          <w:color w:val="auto"/>
          <w:kern w:val="2"/>
          <w:sz w:val="21"/>
          <w:szCs w:val="21"/>
          <w:highlight w:val="none"/>
          <w:lang w:val="en-US" w:eastAsia="zh-CN" w:bidi="ar"/>
        </w:rPr>
        <w:t>应商</w:t>
      </w:r>
      <w:r>
        <w:rPr>
          <w:rFonts w:hint="eastAsia" w:ascii="宋体" w:hAnsi="宋体" w:eastAsia="宋体" w:cs="宋体"/>
          <w:color w:val="auto"/>
          <w:kern w:val="21"/>
          <w:sz w:val="21"/>
          <w:szCs w:val="21"/>
          <w:highlight w:val="none"/>
          <w:lang w:val="en-US" w:eastAsia="zh-CN" w:bidi="ar"/>
        </w:rPr>
        <w:t>应认真对照施工设计等文件核对采购人颁布的工程预算控制价，发现工程预算控制价中计算存在明显误差或有遗漏的，必须在</w:t>
      </w:r>
      <w:r>
        <w:rPr>
          <w:rFonts w:hint="eastAsia" w:ascii="宋体" w:hAnsi="宋体" w:eastAsia="宋体" w:cs="宋体"/>
          <w:color w:val="auto"/>
          <w:kern w:val="2"/>
          <w:sz w:val="21"/>
          <w:szCs w:val="21"/>
          <w:highlight w:val="none"/>
          <w:lang w:val="en-US" w:eastAsia="zh-CN" w:bidi="ar"/>
        </w:rPr>
        <w:t>响应文件</w:t>
      </w:r>
      <w:r>
        <w:rPr>
          <w:rFonts w:hint="eastAsia" w:ascii="宋体" w:hAnsi="宋体" w:eastAsia="宋体" w:cs="宋体"/>
          <w:color w:val="auto"/>
          <w:kern w:val="21"/>
          <w:sz w:val="21"/>
          <w:szCs w:val="21"/>
          <w:highlight w:val="none"/>
          <w:lang w:val="en-US" w:eastAsia="zh-CN" w:bidi="ar"/>
        </w:rPr>
        <w:t>递交截止时间</w:t>
      </w:r>
      <w:r>
        <w:rPr>
          <w:rFonts w:hint="default" w:ascii="Times New Roman" w:hAnsi="Times New Roman" w:eastAsia="宋体" w:cs="Times New Roman"/>
          <w:color w:val="auto"/>
          <w:kern w:val="21"/>
          <w:sz w:val="21"/>
          <w:szCs w:val="21"/>
          <w:highlight w:val="none"/>
          <w:lang w:val="en-US" w:eastAsia="zh-CN" w:bidi="ar"/>
        </w:rPr>
        <w:t>2</w:t>
      </w:r>
      <w:r>
        <w:rPr>
          <w:rFonts w:hint="eastAsia" w:ascii="宋体" w:hAnsi="宋体" w:eastAsia="宋体" w:cs="宋体"/>
          <w:color w:val="auto"/>
          <w:kern w:val="21"/>
          <w:sz w:val="21"/>
          <w:szCs w:val="21"/>
          <w:highlight w:val="none"/>
          <w:lang w:val="en-US" w:eastAsia="zh-CN" w:bidi="ar"/>
        </w:rPr>
        <w:t>天前向采购人（采购代理机构）提出书面异议或修正要求。</w:t>
      </w:r>
    </w:p>
    <w:p w14:paraId="00CBCBD5">
      <w:pPr>
        <w:pStyle w:val="42"/>
        <w:keepNext w:val="0"/>
        <w:keepLines w:val="0"/>
        <w:widowControl w:val="0"/>
        <w:suppressLineNumbers w:val="0"/>
        <w:spacing w:before="0" w:beforeAutospacing="0" w:after="0" w:afterAutospacing="0" w:line="440" w:lineRule="exact"/>
        <w:ind w:left="0" w:right="0" w:firstLine="420" w:firstLineChars="0"/>
        <w:jc w:val="both"/>
        <w:rPr>
          <w:rFonts w:hint="default" w:ascii="Times New Roman" w:hAnsi="宋体" w:eastAsia="宋体" w:cs="宋体"/>
          <w:color w:val="auto"/>
          <w:kern w:val="21"/>
          <w:sz w:val="21"/>
          <w:szCs w:val="21"/>
          <w:highlight w:val="none"/>
        </w:rPr>
      </w:pPr>
      <w:r>
        <w:rPr>
          <w:rFonts w:hint="default" w:ascii="Times New Roman" w:hAnsi="Times New Roman" w:eastAsia="宋体" w:cs="Times New Roman"/>
          <w:color w:val="auto"/>
          <w:kern w:val="21"/>
          <w:sz w:val="21"/>
          <w:szCs w:val="21"/>
          <w:highlight w:val="none"/>
          <w:lang w:val="en-US" w:eastAsia="zh-CN" w:bidi="ar"/>
        </w:rPr>
        <w:t>5.</w:t>
      </w:r>
      <w:r>
        <w:rPr>
          <w:rFonts w:hint="eastAsia" w:ascii="宋体" w:hAnsi="宋体" w:eastAsia="宋体" w:cs="宋体"/>
          <w:color w:val="auto"/>
          <w:kern w:val="21"/>
          <w:sz w:val="21"/>
          <w:szCs w:val="21"/>
          <w:highlight w:val="none"/>
          <w:lang w:val="en-US" w:eastAsia="zh-CN" w:bidi="ar"/>
        </w:rPr>
        <w:t>供</w:t>
      </w:r>
      <w:r>
        <w:rPr>
          <w:rFonts w:hint="eastAsia" w:ascii="宋体" w:hAnsi="宋体" w:eastAsia="宋体" w:cs="宋体"/>
          <w:color w:val="auto"/>
          <w:kern w:val="2"/>
          <w:sz w:val="21"/>
          <w:szCs w:val="21"/>
          <w:highlight w:val="none"/>
          <w:lang w:val="en-US" w:eastAsia="zh-CN" w:bidi="ar"/>
        </w:rPr>
        <w:t>应商</w:t>
      </w:r>
      <w:r>
        <w:rPr>
          <w:rFonts w:hint="eastAsia" w:ascii="宋体" w:hAnsi="宋体" w:eastAsia="宋体" w:cs="宋体"/>
          <w:color w:val="auto"/>
          <w:kern w:val="21"/>
          <w:sz w:val="21"/>
          <w:szCs w:val="21"/>
          <w:highlight w:val="none"/>
          <w:lang w:val="en-US" w:eastAsia="zh-CN" w:bidi="ar"/>
        </w:rPr>
        <w:t>应对磋商</w:t>
      </w:r>
      <w:r>
        <w:rPr>
          <w:rFonts w:hint="eastAsia" w:ascii="宋体" w:hAnsi="宋体" w:eastAsia="宋体" w:cs="宋体"/>
          <w:color w:val="auto"/>
          <w:kern w:val="2"/>
          <w:sz w:val="21"/>
          <w:szCs w:val="21"/>
          <w:highlight w:val="none"/>
          <w:lang w:val="en-US" w:eastAsia="zh-CN" w:bidi="ar"/>
        </w:rPr>
        <w:t>文件</w:t>
      </w:r>
      <w:r>
        <w:rPr>
          <w:rFonts w:hint="eastAsia" w:ascii="宋体" w:hAnsi="宋体" w:eastAsia="宋体" w:cs="宋体"/>
          <w:color w:val="auto"/>
          <w:kern w:val="21"/>
          <w:sz w:val="21"/>
          <w:szCs w:val="21"/>
          <w:highlight w:val="none"/>
          <w:lang w:val="en-US" w:eastAsia="zh-CN" w:bidi="ar"/>
        </w:rPr>
        <w:t>中工程量清单所列的各项内容和要求作实质性响应，报价不得低于企业成本。</w:t>
      </w:r>
    </w:p>
    <w:p w14:paraId="3A4AA957">
      <w:pPr>
        <w:pStyle w:val="42"/>
        <w:keepNext w:val="0"/>
        <w:keepLines w:val="0"/>
        <w:widowControl w:val="0"/>
        <w:suppressLineNumbers w:val="0"/>
        <w:spacing w:before="0" w:beforeAutospacing="0" w:after="0" w:afterAutospacing="0" w:line="440" w:lineRule="exact"/>
        <w:ind w:left="0" w:right="0" w:firstLine="420" w:firstLineChars="0"/>
        <w:jc w:val="both"/>
        <w:rPr>
          <w:rFonts w:hint="default" w:ascii="Times New Roman" w:hAnsi="宋体" w:eastAsia="宋体" w:cs="宋体"/>
          <w:color w:val="auto"/>
          <w:kern w:val="21"/>
          <w:sz w:val="21"/>
          <w:szCs w:val="21"/>
          <w:highlight w:val="none"/>
        </w:rPr>
      </w:pPr>
      <w:r>
        <w:rPr>
          <w:rFonts w:hint="default" w:ascii="Times New Roman" w:hAnsi="Times New Roman" w:eastAsia="宋体" w:cs="Times New Roman"/>
          <w:color w:val="auto"/>
          <w:kern w:val="21"/>
          <w:sz w:val="21"/>
          <w:szCs w:val="21"/>
          <w:highlight w:val="none"/>
          <w:lang w:val="en-US" w:eastAsia="zh-CN" w:bidi="ar"/>
        </w:rPr>
        <w:t>6.</w:t>
      </w:r>
      <w:r>
        <w:rPr>
          <w:rFonts w:hint="eastAsia" w:ascii="宋体" w:hAnsi="宋体" w:eastAsia="宋体" w:cs="宋体"/>
          <w:color w:val="auto"/>
          <w:kern w:val="21"/>
          <w:sz w:val="21"/>
          <w:szCs w:val="21"/>
          <w:highlight w:val="none"/>
          <w:lang w:val="en-US" w:eastAsia="zh-CN" w:bidi="ar"/>
        </w:rPr>
        <w:t>供</w:t>
      </w:r>
      <w:r>
        <w:rPr>
          <w:rFonts w:hint="eastAsia" w:ascii="宋体" w:hAnsi="宋体" w:eastAsia="宋体" w:cs="宋体"/>
          <w:color w:val="auto"/>
          <w:kern w:val="2"/>
          <w:sz w:val="21"/>
          <w:szCs w:val="21"/>
          <w:highlight w:val="none"/>
          <w:lang w:val="en-US" w:eastAsia="zh-CN" w:bidi="ar"/>
        </w:rPr>
        <w:t>应商</w:t>
      </w:r>
      <w:r>
        <w:rPr>
          <w:rFonts w:hint="eastAsia" w:ascii="宋体" w:hAnsi="宋体" w:eastAsia="宋体" w:cs="宋体"/>
          <w:color w:val="auto"/>
          <w:kern w:val="21"/>
          <w:sz w:val="21"/>
          <w:szCs w:val="21"/>
          <w:highlight w:val="none"/>
          <w:lang w:val="en-US" w:eastAsia="zh-CN" w:bidi="ar"/>
        </w:rPr>
        <w:t>应采用综合单价进行工程量清单报价，不得采用总价让利或以百分比让利等形式进行报价。</w:t>
      </w:r>
    </w:p>
    <w:p w14:paraId="38AF33A1">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7.列金额的数量及拟用子目的说明（如有）：应按采购人在其他项目清单中列出的金额填写，不得变动。</w:t>
      </w:r>
    </w:p>
    <w:p w14:paraId="036C2EFF">
      <w:pPr>
        <w:keepNext w:val="0"/>
        <w:keepLines w:val="0"/>
        <w:widowControl w:val="0"/>
        <w:suppressLineNumbers w:val="0"/>
        <w:tabs>
          <w:tab w:val="left" w:pos="210"/>
        </w:tabs>
        <w:spacing w:before="0" w:beforeAutospacing="0" w:after="0" w:afterAutospacing="0" w:line="44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8.估价的数量及拟用子目的说明（如有）：材料暂估价应按采购人在其他项目清单中列出的单价计入综合单价；专业工程暂估价应按采购人在其他项目清单中列出的金额填写。</w:t>
      </w:r>
    </w:p>
    <w:p w14:paraId="686280A5">
      <w:pPr>
        <w:keepNext w:val="0"/>
        <w:keepLines w:val="0"/>
        <w:widowControl w:val="0"/>
        <w:suppressLineNumbers w:val="0"/>
        <w:tabs>
          <w:tab w:val="left" w:pos="210"/>
        </w:tabs>
        <w:spacing w:before="0" w:beforeAutospacing="0" w:after="0" w:afterAutospacing="0" w:line="440" w:lineRule="exact"/>
        <w:ind w:left="0" w:right="0" w:firstLine="420" w:firstLineChars="200"/>
        <w:jc w:val="left"/>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9.工程量清单封面须由编制人签字并盖专用章，否则响应文件按无效处理。</w:t>
      </w:r>
    </w:p>
    <w:p w14:paraId="7B3E8A49">
      <w:pPr>
        <w:keepNext w:val="0"/>
        <w:keepLines w:val="0"/>
        <w:widowControl w:val="0"/>
        <w:suppressLineNumbers w:val="0"/>
        <w:tabs>
          <w:tab w:val="left" w:pos="210"/>
        </w:tabs>
        <w:spacing w:before="0" w:beforeAutospacing="0" w:after="0" w:afterAutospacing="0" w:line="440" w:lineRule="exact"/>
        <w:ind w:left="0" w:right="0" w:firstLine="420" w:firstLineChars="200"/>
        <w:jc w:val="left"/>
        <w:rPr>
          <w:rFonts w:hint="eastAsia" w:ascii="宋体" w:hAnsi="宋体" w:eastAsia="宋体" w:cs="宋体"/>
          <w:b/>
          <w:bCs w:val="0"/>
          <w:color w:val="auto"/>
          <w:kern w:val="2"/>
          <w:sz w:val="21"/>
          <w:szCs w:val="21"/>
          <w:highlight w:val="none"/>
        </w:rPr>
      </w:pPr>
      <w:r>
        <w:rPr>
          <w:rFonts w:hint="eastAsia" w:ascii="宋体" w:hAnsi="宋体" w:cs="宋体"/>
          <w:b/>
          <w:bCs w:val="0"/>
          <w:color w:val="auto"/>
          <w:kern w:val="2"/>
          <w:sz w:val="21"/>
          <w:szCs w:val="21"/>
          <w:highlight w:val="none"/>
          <w:lang w:val="en-US" w:eastAsia="zh-CN" w:bidi="ar"/>
        </w:rPr>
        <w:t>三</w:t>
      </w:r>
      <w:r>
        <w:rPr>
          <w:rFonts w:hint="eastAsia" w:ascii="宋体" w:hAnsi="宋体" w:eastAsia="宋体" w:cs="宋体"/>
          <w:b/>
          <w:bCs w:val="0"/>
          <w:color w:val="auto"/>
          <w:kern w:val="2"/>
          <w:sz w:val="21"/>
          <w:szCs w:val="21"/>
          <w:highlight w:val="none"/>
          <w:lang w:val="en-US" w:eastAsia="zh-CN" w:bidi="ar"/>
        </w:rPr>
        <w:t>、工程量清单及图纸另附，作为本磋商文件的一个重要组成部分。</w:t>
      </w:r>
    </w:p>
    <w:p w14:paraId="11A01B28">
      <w:pPr>
        <w:pStyle w:val="3"/>
        <w:spacing w:before="0" w:after="0" w:line="360" w:lineRule="auto"/>
        <w:rPr>
          <w:rFonts w:cs="黑体" w:asciiTheme="minorEastAsia" w:hAnsiTheme="minorEastAsia" w:eastAsiaTheme="minorEastAsia"/>
          <w:color w:val="auto"/>
          <w:highlight w:val="none"/>
        </w:rPr>
      </w:pPr>
    </w:p>
    <w:p w14:paraId="463E7B2A">
      <w:pPr>
        <w:pStyle w:val="3"/>
        <w:spacing w:before="0" w:after="0" w:line="360" w:lineRule="auto"/>
        <w:jc w:val="center"/>
        <w:rPr>
          <w:color w:val="auto"/>
          <w:highlight w:val="none"/>
        </w:rPr>
      </w:pPr>
      <w:r>
        <w:rPr>
          <w:rFonts w:cs="黑体"/>
          <w:color w:val="auto"/>
          <w:highlight w:val="none"/>
        </w:rPr>
        <w:br w:type="page"/>
      </w:r>
    </w:p>
    <w:p w14:paraId="6607C57C">
      <w:pPr>
        <w:pStyle w:val="4"/>
        <w:spacing w:before="0" w:after="0" w:line="360" w:lineRule="auto"/>
        <w:rPr>
          <w:color w:val="auto"/>
          <w:highlight w:val="none"/>
        </w:rPr>
      </w:pPr>
    </w:p>
    <w:p w14:paraId="53300DF9">
      <w:pPr>
        <w:rPr>
          <w:color w:val="auto"/>
          <w:highlight w:val="none"/>
        </w:rPr>
      </w:pPr>
    </w:p>
    <w:p w14:paraId="7594E0D2">
      <w:pPr>
        <w:rPr>
          <w:color w:val="auto"/>
          <w:highlight w:val="none"/>
        </w:rPr>
      </w:pPr>
    </w:p>
    <w:p w14:paraId="6B81D08C">
      <w:pPr>
        <w:rPr>
          <w:color w:val="auto"/>
          <w:highlight w:val="none"/>
        </w:rPr>
      </w:pPr>
    </w:p>
    <w:p w14:paraId="6E2A793A">
      <w:pPr>
        <w:rPr>
          <w:color w:val="auto"/>
          <w:highlight w:val="none"/>
        </w:rPr>
      </w:pPr>
    </w:p>
    <w:p w14:paraId="6E799556">
      <w:pPr>
        <w:rPr>
          <w:color w:val="auto"/>
          <w:highlight w:val="none"/>
        </w:rPr>
      </w:pPr>
    </w:p>
    <w:p w14:paraId="4962FA67">
      <w:pPr>
        <w:rPr>
          <w:color w:val="auto"/>
          <w:highlight w:val="none"/>
        </w:rPr>
      </w:pPr>
    </w:p>
    <w:p w14:paraId="752D2C7D">
      <w:pPr>
        <w:rPr>
          <w:color w:val="auto"/>
          <w:highlight w:val="none"/>
        </w:rPr>
      </w:pPr>
    </w:p>
    <w:p w14:paraId="6110A6E7">
      <w:pPr>
        <w:rPr>
          <w:color w:val="auto"/>
          <w:highlight w:val="none"/>
        </w:rPr>
      </w:pPr>
    </w:p>
    <w:p w14:paraId="56DFD08C">
      <w:pPr>
        <w:rPr>
          <w:color w:val="auto"/>
          <w:highlight w:val="none"/>
        </w:rPr>
      </w:pPr>
    </w:p>
    <w:p w14:paraId="63506286">
      <w:pPr>
        <w:pStyle w:val="7"/>
        <w:rPr>
          <w:color w:val="auto"/>
          <w:highlight w:val="none"/>
        </w:rPr>
      </w:pPr>
    </w:p>
    <w:p w14:paraId="1DE09C74">
      <w:pPr>
        <w:pStyle w:val="7"/>
        <w:rPr>
          <w:color w:val="auto"/>
          <w:highlight w:val="none"/>
        </w:rPr>
      </w:pPr>
    </w:p>
    <w:p w14:paraId="4CDEC596">
      <w:pPr>
        <w:pStyle w:val="7"/>
        <w:rPr>
          <w:color w:val="auto"/>
          <w:highlight w:val="none"/>
        </w:rPr>
      </w:pPr>
    </w:p>
    <w:p w14:paraId="194EF538">
      <w:pPr>
        <w:pStyle w:val="7"/>
        <w:rPr>
          <w:color w:val="auto"/>
          <w:highlight w:val="none"/>
        </w:rPr>
      </w:pPr>
    </w:p>
    <w:p w14:paraId="05222423">
      <w:pPr>
        <w:pStyle w:val="7"/>
        <w:rPr>
          <w:color w:val="auto"/>
          <w:highlight w:val="none"/>
        </w:rPr>
      </w:pPr>
    </w:p>
    <w:p w14:paraId="09D10E70">
      <w:pPr>
        <w:pStyle w:val="7"/>
        <w:rPr>
          <w:color w:val="auto"/>
          <w:highlight w:val="none"/>
        </w:rPr>
      </w:pPr>
    </w:p>
    <w:p w14:paraId="3423893F">
      <w:pPr>
        <w:rPr>
          <w:color w:val="auto"/>
          <w:highlight w:val="none"/>
        </w:rPr>
      </w:pPr>
    </w:p>
    <w:p w14:paraId="52551652">
      <w:pPr>
        <w:rPr>
          <w:color w:val="auto"/>
          <w:highlight w:val="none"/>
        </w:rPr>
      </w:pPr>
    </w:p>
    <w:p w14:paraId="254618DD">
      <w:pPr>
        <w:pStyle w:val="2"/>
        <w:jc w:val="center"/>
        <w:rPr>
          <w:color w:val="auto"/>
          <w:highlight w:val="none"/>
        </w:rPr>
      </w:pPr>
      <w:bookmarkStart w:id="74" w:name="_Toc74323460"/>
      <w:r>
        <w:rPr>
          <w:rFonts w:hint="eastAsia"/>
          <w:color w:val="auto"/>
          <w:highlight w:val="none"/>
        </w:rPr>
        <w:t>第六章 响应文件格式</w:t>
      </w:r>
      <w:bookmarkEnd w:id="74"/>
    </w:p>
    <w:p w14:paraId="0D349E4B">
      <w:pPr>
        <w:spacing w:line="240" w:lineRule="atLeast"/>
        <w:rPr>
          <w:rFonts w:ascii="宋体" w:hAnsi="宋体"/>
          <w:b/>
          <w:color w:val="auto"/>
          <w:sz w:val="32"/>
          <w:szCs w:val="32"/>
          <w:highlight w:val="none"/>
        </w:rPr>
      </w:pPr>
    </w:p>
    <w:p w14:paraId="36A96C14">
      <w:pPr>
        <w:spacing w:line="240" w:lineRule="atLeast"/>
        <w:rPr>
          <w:rFonts w:ascii="宋体" w:hAnsi="宋体"/>
          <w:b/>
          <w:color w:val="auto"/>
          <w:sz w:val="32"/>
          <w:szCs w:val="32"/>
          <w:highlight w:val="none"/>
        </w:rPr>
      </w:pPr>
    </w:p>
    <w:p w14:paraId="1CA40406">
      <w:pPr>
        <w:spacing w:line="240" w:lineRule="atLeast"/>
        <w:rPr>
          <w:rFonts w:ascii="宋体" w:hAnsi="宋体"/>
          <w:b/>
          <w:color w:val="auto"/>
          <w:sz w:val="32"/>
          <w:szCs w:val="32"/>
          <w:highlight w:val="none"/>
        </w:rPr>
      </w:pPr>
    </w:p>
    <w:p w14:paraId="5B3B1BF7">
      <w:pPr>
        <w:spacing w:line="240" w:lineRule="atLeast"/>
        <w:rPr>
          <w:rFonts w:ascii="宋体" w:hAnsi="宋体"/>
          <w:b/>
          <w:color w:val="auto"/>
          <w:sz w:val="32"/>
          <w:szCs w:val="32"/>
          <w:highlight w:val="none"/>
        </w:rPr>
      </w:pPr>
    </w:p>
    <w:p w14:paraId="05ACBF01">
      <w:pPr>
        <w:spacing w:line="240" w:lineRule="atLeast"/>
        <w:rPr>
          <w:rFonts w:ascii="宋体" w:hAnsi="宋体"/>
          <w:b/>
          <w:color w:val="auto"/>
          <w:sz w:val="32"/>
          <w:szCs w:val="32"/>
          <w:highlight w:val="none"/>
        </w:rPr>
      </w:pPr>
    </w:p>
    <w:p w14:paraId="4F284EE5">
      <w:pPr>
        <w:spacing w:line="240" w:lineRule="atLeast"/>
        <w:rPr>
          <w:rFonts w:ascii="宋体" w:hAnsi="宋体"/>
          <w:b/>
          <w:color w:val="auto"/>
          <w:sz w:val="32"/>
          <w:szCs w:val="32"/>
          <w:highlight w:val="none"/>
        </w:rPr>
      </w:pPr>
    </w:p>
    <w:p w14:paraId="5867969C">
      <w:pPr>
        <w:spacing w:line="240" w:lineRule="atLeast"/>
        <w:rPr>
          <w:rFonts w:ascii="宋体" w:hAnsi="宋体"/>
          <w:b/>
          <w:color w:val="auto"/>
          <w:sz w:val="32"/>
          <w:szCs w:val="32"/>
          <w:highlight w:val="none"/>
        </w:rPr>
      </w:pPr>
    </w:p>
    <w:p w14:paraId="1909BC56">
      <w:pPr>
        <w:spacing w:line="240" w:lineRule="atLeast"/>
        <w:rPr>
          <w:rFonts w:ascii="宋体" w:hAnsi="宋体"/>
          <w:b/>
          <w:color w:val="auto"/>
          <w:sz w:val="32"/>
          <w:szCs w:val="32"/>
          <w:highlight w:val="none"/>
        </w:rPr>
      </w:pPr>
    </w:p>
    <w:p w14:paraId="258AE4AB">
      <w:pPr>
        <w:spacing w:line="240" w:lineRule="atLeast"/>
        <w:rPr>
          <w:rFonts w:ascii="宋体" w:hAnsi="宋体"/>
          <w:b/>
          <w:color w:val="auto"/>
          <w:sz w:val="32"/>
          <w:szCs w:val="32"/>
          <w:highlight w:val="none"/>
        </w:rPr>
      </w:pPr>
    </w:p>
    <w:p w14:paraId="5C733B27">
      <w:pPr>
        <w:spacing w:line="240" w:lineRule="atLeast"/>
        <w:rPr>
          <w:rFonts w:ascii="宋体" w:hAnsi="宋体"/>
          <w:b/>
          <w:color w:val="auto"/>
          <w:sz w:val="32"/>
          <w:szCs w:val="32"/>
          <w:highlight w:val="none"/>
        </w:rPr>
      </w:pPr>
    </w:p>
    <w:p w14:paraId="4BB12880">
      <w:pPr>
        <w:spacing w:line="240" w:lineRule="atLeast"/>
        <w:rPr>
          <w:rFonts w:ascii="宋体" w:hAnsi="宋体"/>
          <w:b/>
          <w:color w:val="auto"/>
          <w:sz w:val="32"/>
          <w:szCs w:val="32"/>
          <w:highlight w:val="none"/>
        </w:rPr>
      </w:pPr>
    </w:p>
    <w:p w14:paraId="666B8E77">
      <w:pPr>
        <w:snapToGrid w:val="0"/>
        <w:spacing w:before="50" w:after="50"/>
        <w:outlineLvl w:val="1"/>
        <w:rPr>
          <w:rFonts w:ascii="宋体" w:hAnsi="宋体"/>
          <w:b/>
          <w:bCs/>
          <w:color w:val="auto"/>
          <w:sz w:val="24"/>
          <w:highlight w:val="none"/>
        </w:rPr>
      </w:pPr>
    </w:p>
    <w:p w14:paraId="47454E83">
      <w:pPr>
        <w:rPr>
          <w:b/>
          <w:color w:val="auto"/>
          <w:sz w:val="32"/>
          <w:szCs w:val="32"/>
          <w:highlight w:val="none"/>
        </w:rPr>
      </w:pPr>
      <w:bookmarkStart w:id="75" w:name="_Toc35611516"/>
      <w:bookmarkStart w:id="76" w:name="_Toc71366186"/>
      <w:bookmarkStart w:id="77" w:name="_Toc35611438"/>
      <w:bookmarkStart w:id="78" w:name="_Toc31728084"/>
      <w:bookmarkStart w:id="79" w:name="_Toc44229899"/>
      <w:bookmarkStart w:id="80" w:name="_Toc31723070"/>
      <w:r>
        <w:rPr>
          <w:rFonts w:hint="eastAsia"/>
          <w:b/>
          <w:color w:val="auto"/>
          <w:sz w:val="32"/>
          <w:szCs w:val="32"/>
          <w:highlight w:val="none"/>
        </w:rPr>
        <w:t>一、资格证明文件格式</w:t>
      </w:r>
      <w:bookmarkEnd w:id="75"/>
      <w:bookmarkEnd w:id="76"/>
      <w:bookmarkEnd w:id="77"/>
      <w:bookmarkEnd w:id="78"/>
      <w:bookmarkEnd w:id="79"/>
      <w:bookmarkEnd w:id="80"/>
    </w:p>
    <w:p w14:paraId="48E1C4EA">
      <w:pPr>
        <w:snapToGrid w:val="0"/>
        <w:spacing w:before="156" w:beforeLines="50" w:after="50" w:line="360" w:lineRule="auto"/>
        <w:jc w:val="left"/>
        <w:rPr>
          <w:rFonts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184C303C">
      <w:pPr>
        <w:snapToGrid w:val="0"/>
        <w:spacing w:before="156" w:beforeLines="50" w:after="50"/>
        <w:jc w:val="center"/>
        <w:rPr>
          <w:rFonts w:ascii="宋体" w:hAnsi="宋体"/>
          <w:color w:val="auto"/>
          <w:sz w:val="44"/>
          <w:szCs w:val="44"/>
          <w:highlight w:val="none"/>
        </w:rPr>
      </w:pPr>
    </w:p>
    <w:p w14:paraId="3DE31E80">
      <w:pPr>
        <w:snapToGrid w:val="0"/>
        <w:spacing w:before="156" w:beforeLines="50" w:after="50"/>
        <w:jc w:val="center"/>
        <w:rPr>
          <w:rFonts w:ascii="宋体" w:hAnsi="宋体"/>
          <w:color w:val="auto"/>
          <w:sz w:val="44"/>
          <w:szCs w:val="44"/>
          <w:highlight w:val="none"/>
        </w:rPr>
      </w:pPr>
      <w:r>
        <w:rPr>
          <w:rFonts w:hint="eastAsia" w:ascii="宋体" w:hAnsi="宋体"/>
          <w:color w:val="auto"/>
          <w:sz w:val="44"/>
          <w:szCs w:val="44"/>
          <w:highlight w:val="none"/>
        </w:rPr>
        <w:t>电 子 响 应 文 件</w:t>
      </w:r>
    </w:p>
    <w:p w14:paraId="4D15F0E3">
      <w:pPr>
        <w:snapToGrid w:val="0"/>
        <w:spacing w:before="156" w:beforeLines="50" w:after="50"/>
        <w:rPr>
          <w:rFonts w:ascii="宋体" w:hAnsi="宋体"/>
          <w:color w:val="auto"/>
          <w:sz w:val="24"/>
          <w:szCs w:val="20"/>
          <w:highlight w:val="none"/>
        </w:rPr>
      </w:pPr>
    </w:p>
    <w:p w14:paraId="5DC70CE1">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3845FA77">
      <w:pPr>
        <w:snapToGrid w:val="0"/>
        <w:spacing w:before="156" w:beforeLines="50" w:after="50"/>
        <w:rPr>
          <w:rFonts w:ascii="宋体" w:hAnsi="宋体"/>
          <w:bCs/>
          <w:color w:val="auto"/>
          <w:sz w:val="24"/>
          <w:szCs w:val="20"/>
          <w:highlight w:val="none"/>
        </w:rPr>
      </w:pPr>
    </w:p>
    <w:p w14:paraId="6FA68231">
      <w:pPr>
        <w:snapToGrid w:val="0"/>
        <w:spacing w:before="156" w:beforeLines="50" w:after="50"/>
        <w:rPr>
          <w:rFonts w:ascii="宋体" w:hAnsi="宋体"/>
          <w:bCs/>
          <w:color w:val="auto"/>
          <w:sz w:val="24"/>
          <w:szCs w:val="20"/>
          <w:highlight w:val="none"/>
        </w:rPr>
      </w:pPr>
    </w:p>
    <w:p w14:paraId="61DD7F45">
      <w:pPr>
        <w:snapToGrid w:val="0"/>
        <w:spacing w:before="156" w:beforeLines="50" w:after="50"/>
        <w:rPr>
          <w:rFonts w:ascii="宋体" w:hAnsi="宋体"/>
          <w:bCs/>
          <w:color w:val="auto"/>
          <w:sz w:val="24"/>
          <w:szCs w:val="20"/>
          <w:highlight w:val="none"/>
        </w:rPr>
      </w:pPr>
    </w:p>
    <w:p w14:paraId="09686272">
      <w:pPr>
        <w:snapToGrid w:val="0"/>
        <w:spacing w:before="156" w:beforeLines="50" w:after="50"/>
        <w:rPr>
          <w:rFonts w:ascii="宋体" w:hAnsi="宋体"/>
          <w:bCs/>
          <w:color w:val="auto"/>
          <w:sz w:val="24"/>
          <w:szCs w:val="20"/>
          <w:highlight w:val="none"/>
        </w:rPr>
      </w:pPr>
    </w:p>
    <w:p w14:paraId="049563DE">
      <w:pPr>
        <w:snapToGrid w:val="0"/>
        <w:spacing w:before="156" w:beforeLines="50" w:after="50"/>
        <w:rPr>
          <w:rFonts w:ascii="宋体" w:hAnsi="宋体"/>
          <w:bCs/>
          <w:color w:val="auto"/>
          <w:sz w:val="24"/>
          <w:szCs w:val="20"/>
          <w:highlight w:val="none"/>
        </w:rPr>
      </w:pPr>
    </w:p>
    <w:p w14:paraId="7224F4D1">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0ED0E679">
      <w:pPr>
        <w:snapToGrid w:val="0"/>
        <w:spacing w:before="156" w:beforeLines="50" w:after="50"/>
        <w:ind w:firstLine="720" w:firstLineChars="225"/>
        <w:rPr>
          <w:rFonts w:ascii="宋体" w:hAnsi="宋体" w:cs="仿宋_GB2312"/>
          <w:bCs/>
          <w:color w:val="auto"/>
          <w:sz w:val="32"/>
          <w:szCs w:val="32"/>
          <w:highlight w:val="none"/>
        </w:rPr>
      </w:pPr>
    </w:p>
    <w:p w14:paraId="7F265CD6">
      <w:pPr>
        <w:snapToGrid w:val="0"/>
        <w:spacing w:before="156"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7DC47660">
      <w:pPr>
        <w:snapToGrid w:val="0"/>
        <w:spacing w:before="156"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74FE2BCB">
      <w:pPr>
        <w:snapToGrid w:val="0"/>
        <w:spacing w:before="156" w:beforeLines="50" w:after="50"/>
        <w:ind w:firstLine="720" w:firstLineChars="225"/>
        <w:rPr>
          <w:rFonts w:ascii="宋体" w:hAnsi="宋体" w:cs="仿宋_GB2312"/>
          <w:bCs/>
          <w:color w:val="auto"/>
          <w:sz w:val="32"/>
          <w:szCs w:val="32"/>
          <w:highlight w:val="none"/>
        </w:rPr>
      </w:pPr>
    </w:p>
    <w:p w14:paraId="55E312BD">
      <w:pPr>
        <w:pStyle w:val="7"/>
        <w:snapToGrid w:val="0"/>
        <w:spacing w:before="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0352D094">
      <w:pPr>
        <w:snapToGrid w:val="0"/>
        <w:spacing w:before="156" w:beforeLines="50" w:after="50"/>
        <w:ind w:firstLine="640" w:firstLineChars="200"/>
        <w:rPr>
          <w:rFonts w:ascii="宋体" w:hAnsi="宋体" w:cs="仿宋_GB2312"/>
          <w:bCs/>
          <w:color w:val="auto"/>
          <w:sz w:val="32"/>
          <w:szCs w:val="32"/>
          <w:highlight w:val="none"/>
        </w:rPr>
      </w:pPr>
    </w:p>
    <w:p w14:paraId="1B18712B">
      <w:pPr>
        <w:pStyle w:val="7"/>
        <w:snapToGrid w:val="0"/>
        <w:spacing w:before="50" w:after="50"/>
        <w:ind w:firstLine="720" w:firstLineChars="225"/>
        <w:rPr>
          <w:rFonts w:ascii="宋体" w:hAnsi="宋体" w:cs="仿宋_GB2312"/>
          <w:bCs/>
          <w:color w:val="auto"/>
          <w:sz w:val="32"/>
          <w:szCs w:val="32"/>
          <w:highlight w:val="none"/>
        </w:rPr>
      </w:pPr>
    </w:p>
    <w:p w14:paraId="13BA4954">
      <w:pPr>
        <w:pStyle w:val="7"/>
        <w:snapToGrid w:val="0"/>
        <w:spacing w:before="50" w:after="50"/>
        <w:ind w:firstLine="720" w:firstLineChars="225"/>
        <w:rPr>
          <w:rFonts w:ascii="宋体" w:hAnsi="宋体" w:cs="仿宋_GB2312"/>
          <w:bCs/>
          <w:color w:val="auto"/>
          <w:sz w:val="32"/>
          <w:szCs w:val="32"/>
          <w:highlight w:val="none"/>
        </w:rPr>
      </w:pPr>
    </w:p>
    <w:p w14:paraId="6C9BE9AA">
      <w:pPr>
        <w:pStyle w:val="7"/>
        <w:snapToGrid w:val="0"/>
        <w:spacing w:before="50" w:after="50"/>
        <w:ind w:firstLine="1280" w:firstLineChars="400"/>
        <w:rPr>
          <w:rFonts w:ascii="宋体" w:hAnsi="宋体" w:cs="仿宋_GB2312"/>
          <w:bCs/>
          <w:color w:val="auto"/>
          <w:sz w:val="32"/>
          <w:szCs w:val="32"/>
          <w:highlight w:val="none"/>
        </w:rPr>
      </w:pPr>
    </w:p>
    <w:p w14:paraId="346009E8">
      <w:pPr>
        <w:snapToGrid w:val="0"/>
        <w:spacing w:before="156"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6368D987">
      <w:pPr>
        <w:snapToGrid w:val="0"/>
        <w:spacing w:before="156" w:beforeLines="50" w:after="50" w:line="360" w:lineRule="auto"/>
        <w:ind w:left="142"/>
        <w:jc w:val="left"/>
        <w:rPr>
          <w:rFonts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486DFE7D">
      <w:pPr>
        <w:snapToGrid w:val="0"/>
        <w:spacing w:before="156"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3EC8D136">
      <w:pPr>
        <w:snapToGrid w:val="0"/>
        <w:spacing w:before="156"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390EC941">
      <w:pPr>
        <w:spacing w:line="300" w:lineRule="auto"/>
        <w:rPr>
          <w:rFonts w:ascii="宋体" w:hAnsi="宋体"/>
          <w:color w:val="auto"/>
          <w:szCs w:val="21"/>
          <w:highlight w:val="none"/>
        </w:rPr>
      </w:pPr>
    </w:p>
    <w:p w14:paraId="074B84C7">
      <w:pPr>
        <w:spacing w:line="300" w:lineRule="auto"/>
        <w:rPr>
          <w:rFonts w:ascii="宋体" w:hAnsi="宋体"/>
          <w:color w:val="auto"/>
          <w:szCs w:val="21"/>
          <w:highlight w:val="none"/>
        </w:rPr>
      </w:pPr>
    </w:p>
    <w:p w14:paraId="773188AD">
      <w:pPr>
        <w:spacing w:line="300" w:lineRule="auto"/>
        <w:rPr>
          <w:rFonts w:ascii="宋体" w:hAnsi="宋体"/>
          <w:color w:val="auto"/>
          <w:szCs w:val="21"/>
          <w:highlight w:val="none"/>
        </w:rPr>
      </w:pPr>
    </w:p>
    <w:p w14:paraId="42555281">
      <w:pPr>
        <w:spacing w:line="300" w:lineRule="auto"/>
        <w:rPr>
          <w:rFonts w:ascii="宋体" w:hAnsi="宋体"/>
          <w:color w:val="auto"/>
          <w:szCs w:val="21"/>
          <w:highlight w:val="none"/>
        </w:rPr>
      </w:pPr>
    </w:p>
    <w:p w14:paraId="5E4AE9DD">
      <w:pPr>
        <w:spacing w:line="300" w:lineRule="auto"/>
        <w:rPr>
          <w:rFonts w:ascii="宋体" w:hAnsi="宋体"/>
          <w:color w:val="auto"/>
          <w:szCs w:val="21"/>
          <w:highlight w:val="none"/>
        </w:rPr>
      </w:pPr>
    </w:p>
    <w:p w14:paraId="7AFABCAA">
      <w:pPr>
        <w:spacing w:line="300" w:lineRule="auto"/>
        <w:rPr>
          <w:rFonts w:ascii="宋体" w:hAnsi="宋体"/>
          <w:color w:val="auto"/>
          <w:szCs w:val="21"/>
          <w:highlight w:val="none"/>
        </w:rPr>
      </w:pPr>
    </w:p>
    <w:p w14:paraId="0024CFDB">
      <w:pPr>
        <w:spacing w:line="300" w:lineRule="auto"/>
        <w:rPr>
          <w:rFonts w:ascii="宋体" w:hAnsi="宋体"/>
          <w:color w:val="auto"/>
          <w:szCs w:val="21"/>
          <w:highlight w:val="none"/>
        </w:rPr>
      </w:pPr>
    </w:p>
    <w:p w14:paraId="1F46AF0C">
      <w:pPr>
        <w:spacing w:line="300" w:lineRule="auto"/>
        <w:rPr>
          <w:rFonts w:ascii="宋体" w:hAnsi="宋体"/>
          <w:color w:val="auto"/>
          <w:szCs w:val="21"/>
          <w:highlight w:val="none"/>
        </w:rPr>
      </w:pPr>
    </w:p>
    <w:p w14:paraId="75B61276">
      <w:pPr>
        <w:spacing w:line="300" w:lineRule="auto"/>
        <w:rPr>
          <w:rFonts w:ascii="宋体" w:hAnsi="宋体"/>
          <w:color w:val="auto"/>
          <w:szCs w:val="21"/>
          <w:highlight w:val="none"/>
        </w:rPr>
      </w:pPr>
    </w:p>
    <w:p w14:paraId="64EF1C72">
      <w:pPr>
        <w:spacing w:line="300" w:lineRule="auto"/>
        <w:rPr>
          <w:rFonts w:ascii="宋体" w:hAnsi="宋体"/>
          <w:color w:val="auto"/>
          <w:szCs w:val="21"/>
          <w:highlight w:val="none"/>
        </w:rPr>
      </w:pPr>
    </w:p>
    <w:p w14:paraId="44232AB0">
      <w:pPr>
        <w:spacing w:line="300" w:lineRule="auto"/>
        <w:rPr>
          <w:rFonts w:ascii="宋体" w:hAnsi="宋体"/>
          <w:color w:val="auto"/>
          <w:szCs w:val="21"/>
          <w:highlight w:val="none"/>
        </w:rPr>
      </w:pPr>
    </w:p>
    <w:p w14:paraId="142983A6">
      <w:pPr>
        <w:spacing w:line="300" w:lineRule="auto"/>
        <w:rPr>
          <w:rFonts w:ascii="宋体" w:hAnsi="宋体"/>
          <w:color w:val="auto"/>
          <w:szCs w:val="21"/>
          <w:highlight w:val="none"/>
        </w:rPr>
      </w:pPr>
    </w:p>
    <w:p w14:paraId="17AC2563">
      <w:pPr>
        <w:spacing w:line="300" w:lineRule="auto"/>
        <w:rPr>
          <w:rFonts w:ascii="宋体" w:hAnsi="宋体"/>
          <w:color w:val="auto"/>
          <w:szCs w:val="21"/>
          <w:highlight w:val="none"/>
        </w:rPr>
      </w:pPr>
    </w:p>
    <w:p w14:paraId="422315A4">
      <w:pPr>
        <w:spacing w:line="300" w:lineRule="auto"/>
        <w:rPr>
          <w:rFonts w:ascii="宋体" w:hAnsi="宋体"/>
          <w:color w:val="auto"/>
          <w:szCs w:val="21"/>
          <w:highlight w:val="none"/>
        </w:rPr>
      </w:pPr>
    </w:p>
    <w:p w14:paraId="570203C7">
      <w:pPr>
        <w:spacing w:line="300" w:lineRule="auto"/>
        <w:rPr>
          <w:rFonts w:ascii="宋体" w:hAnsi="宋体"/>
          <w:color w:val="auto"/>
          <w:szCs w:val="21"/>
          <w:highlight w:val="none"/>
        </w:rPr>
      </w:pPr>
    </w:p>
    <w:p w14:paraId="0357C2E9">
      <w:pPr>
        <w:spacing w:line="320" w:lineRule="exact"/>
        <w:jc w:val="left"/>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 xml:space="preserve"> </w:t>
      </w:r>
    </w:p>
    <w:p w14:paraId="58DD2169">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供应商直接控股、管理关系信息表</w:t>
      </w:r>
    </w:p>
    <w:p w14:paraId="36579EE6">
      <w:pPr>
        <w:snapToGrid w:val="0"/>
        <w:spacing w:before="156" w:beforeLines="50" w:after="50" w:line="360" w:lineRule="auto"/>
        <w:jc w:val="center"/>
        <w:rPr>
          <w:rFonts w:ascii="宋体" w:hAnsi="宋体"/>
          <w:b/>
          <w:color w:val="auto"/>
          <w:sz w:val="24"/>
          <w:highlight w:val="none"/>
        </w:rPr>
      </w:pPr>
    </w:p>
    <w:p w14:paraId="5A77AAA8">
      <w:pPr>
        <w:spacing w:line="360" w:lineRule="auto"/>
        <w:contextualSpacing/>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3BDAC559">
      <w:pPr>
        <w:spacing w:line="360" w:lineRule="auto"/>
        <w:contextualSpacing/>
        <w:jc w:val="center"/>
        <w:rPr>
          <w:rFonts w:ascii="宋体" w:hAnsi="宋体"/>
          <w:b/>
          <w:color w:val="auto"/>
          <w:sz w:val="24"/>
          <w:highlight w:val="none"/>
        </w:rPr>
      </w:pPr>
    </w:p>
    <w:tbl>
      <w:tblPr>
        <w:tblStyle w:val="46"/>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3E718EC4">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2D1CAC3">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55C761A">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72BA66D">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09C7B6A">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E3766DA">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46FEB5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57EB951">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998102D">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9B14738">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1060404">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ED4CAAC">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highlight w:val="none"/>
              </w:rPr>
            </w:pPr>
          </w:p>
        </w:tc>
      </w:tr>
      <w:tr w14:paraId="0BE342F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4A38387">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FF9AA9C">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812F0F9">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9B3532D">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F8AD390">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highlight w:val="none"/>
              </w:rPr>
            </w:pPr>
          </w:p>
        </w:tc>
      </w:tr>
      <w:tr w14:paraId="3AC5ED5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88B9BF9">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EEB6E6F">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8F85D08">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B15EB66">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2F48CAF">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highlight w:val="none"/>
              </w:rPr>
            </w:pPr>
          </w:p>
        </w:tc>
      </w:tr>
      <w:tr w14:paraId="1F7A8546">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62E0ACD">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F61342A">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F1AF2FF">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7E8DBE8">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B4920C1">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highlight w:val="none"/>
              </w:rPr>
            </w:pPr>
          </w:p>
        </w:tc>
      </w:tr>
    </w:tbl>
    <w:p w14:paraId="3A579D41">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14:paraId="4E38A3C0">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DEECE1F">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7D665F23">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5B5CC6DC">
      <w:pPr>
        <w:spacing w:line="360" w:lineRule="auto"/>
        <w:ind w:firstLine="420" w:firstLineChars="200"/>
        <w:contextualSpacing/>
        <w:jc w:val="left"/>
        <w:rPr>
          <w:rFonts w:ascii="宋体" w:hAnsi="宋体" w:cs="宋体"/>
          <w:color w:val="auto"/>
          <w:szCs w:val="21"/>
          <w:highlight w:val="none"/>
        </w:rPr>
      </w:pPr>
    </w:p>
    <w:p w14:paraId="1145DD96">
      <w:pPr>
        <w:spacing w:line="360" w:lineRule="auto"/>
        <w:ind w:firstLine="560" w:firstLineChars="200"/>
        <w:contextualSpacing/>
        <w:jc w:val="left"/>
        <w:rPr>
          <w:rFonts w:ascii="宋体" w:hAnsi="宋体" w:cs="宋体"/>
          <w:color w:val="auto"/>
          <w:sz w:val="28"/>
          <w:szCs w:val="28"/>
          <w:highlight w:val="none"/>
        </w:rPr>
      </w:pPr>
    </w:p>
    <w:p w14:paraId="40527A0A">
      <w:pPr>
        <w:spacing w:line="36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3720B477">
      <w:pPr>
        <w:spacing w:line="360" w:lineRule="auto"/>
        <w:ind w:right="480" w:firstLine="3000" w:firstLineChars="1250"/>
        <w:contextualSpacing/>
        <w:rPr>
          <w:rFonts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p>
    <w:p w14:paraId="7CB8031B">
      <w:pPr>
        <w:spacing w:line="360" w:lineRule="auto"/>
        <w:ind w:firstLine="480" w:firstLineChars="200"/>
        <w:contextualSpacing/>
        <w:jc w:val="right"/>
        <w:rPr>
          <w:rFonts w:ascii="宋体" w:hAnsi="宋体" w:cs="宋体"/>
          <w:color w:val="auto"/>
          <w:sz w:val="28"/>
          <w:szCs w:val="28"/>
          <w:highlight w:val="none"/>
        </w:rPr>
      </w:pPr>
      <w:r>
        <w:rPr>
          <w:rFonts w:hint="eastAsia" w:ascii="宋体" w:hAnsi="宋体" w:cs="宋体"/>
          <w:color w:val="auto"/>
          <w:sz w:val="24"/>
          <w:highlight w:val="none"/>
        </w:rPr>
        <w:t>年    月    日</w:t>
      </w:r>
    </w:p>
    <w:p w14:paraId="3A5C26C2">
      <w:pPr>
        <w:snapToGrid w:val="0"/>
        <w:jc w:val="center"/>
        <w:rPr>
          <w:rFonts w:ascii="宋体" w:hAnsi="宋体"/>
          <w:b/>
          <w:color w:val="auto"/>
          <w:sz w:val="28"/>
          <w:szCs w:val="28"/>
          <w:highlight w:val="none"/>
        </w:rPr>
      </w:pPr>
      <w:r>
        <w:rPr>
          <w:rFonts w:ascii="宋体" w:hAnsi="宋体"/>
          <w:b/>
          <w:color w:val="auto"/>
          <w:sz w:val="28"/>
          <w:szCs w:val="28"/>
          <w:highlight w:val="none"/>
        </w:rPr>
        <w:br w:type="page"/>
      </w:r>
    </w:p>
    <w:p w14:paraId="7C47B55E">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6605CFA2">
      <w:pPr>
        <w:snapToGrid w:val="0"/>
        <w:spacing w:line="360" w:lineRule="auto"/>
        <w:jc w:val="center"/>
        <w:rPr>
          <w:rFonts w:ascii="宋体" w:hAnsi="宋体"/>
          <w:b/>
          <w:color w:val="auto"/>
          <w:sz w:val="24"/>
          <w:highlight w:val="none"/>
        </w:rPr>
      </w:pPr>
    </w:p>
    <w:tbl>
      <w:tblPr>
        <w:tblStyle w:val="46"/>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32F17FF6">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7FB56B1">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03979CD">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8027B79">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247AE2C">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相互关系</w:t>
            </w:r>
          </w:p>
        </w:tc>
      </w:tr>
      <w:tr w14:paraId="1C80A70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5C6E01F">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9910AB5">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C54AEEC">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7C78686">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highlight w:val="none"/>
              </w:rPr>
            </w:pPr>
          </w:p>
        </w:tc>
      </w:tr>
      <w:tr w14:paraId="72B11F0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E93D9E3">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91A8AFE">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A530E95">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F6361F1">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highlight w:val="none"/>
              </w:rPr>
            </w:pPr>
          </w:p>
        </w:tc>
      </w:tr>
      <w:tr w14:paraId="174EB97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00076DC">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CDCA09F">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70AF7A3">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ACAF611">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highlight w:val="none"/>
              </w:rPr>
            </w:pPr>
          </w:p>
        </w:tc>
      </w:tr>
      <w:tr w14:paraId="279F82E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22D515C">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F97156E">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21E0317">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46952F0">
            <w:pPr>
              <w:keepNext w:val="0"/>
              <w:keepLines w:val="0"/>
              <w:widowControl/>
              <w:suppressLineNumbers w:val="0"/>
              <w:spacing w:before="0" w:beforeAutospacing="0" w:after="0" w:afterAutospacing="0" w:line="360" w:lineRule="auto"/>
              <w:ind w:left="0" w:right="0"/>
              <w:contextualSpacing/>
              <w:jc w:val="center"/>
              <w:rPr>
                <w:rFonts w:hint="default" w:ascii="宋体" w:hAnsi="宋体" w:cs="宋体"/>
                <w:color w:val="auto"/>
                <w:kern w:val="0"/>
                <w:sz w:val="24"/>
                <w:highlight w:val="none"/>
              </w:rPr>
            </w:pPr>
          </w:p>
        </w:tc>
      </w:tr>
    </w:tbl>
    <w:p w14:paraId="2D6D96DC">
      <w:pPr>
        <w:spacing w:line="360" w:lineRule="auto"/>
        <w:contextualSpacing/>
        <w:jc w:val="left"/>
        <w:rPr>
          <w:rFonts w:ascii="宋体" w:hAnsi="宋体"/>
          <w:color w:val="auto"/>
          <w:sz w:val="24"/>
          <w:highlight w:val="none"/>
        </w:rPr>
      </w:pPr>
      <w:r>
        <w:rPr>
          <w:rFonts w:hint="eastAsia" w:ascii="宋体" w:hAnsi="宋体"/>
          <w:color w:val="auto"/>
          <w:sz w:val="24"/>
          <w:highlight w:val="none"/>
        </w:rPr>
        <w:t>注：</w:t>
      </w:r>
    </w:p>
    <w:p w14:paraId="60413F93">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4230D972">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6712CB98">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5719769C">
      <w:pPr>
        <w:spacing w:line="360" w:lineRule="auto"/>
        <w:contextualSpacing/>
        <w:jc w:val="left"/>
        <w:rPr>
          <w:rFonts w:ascii="宋体" w:hAnsi="宋体"/>
          <w:color w:val="auto"/>
          <w:sz w:val="28"/>
          <w:szCs w:val="28"/>
          <w:highlight w:val="none"/>
        </w:rPr>
      </w:pPr>
    </w:p>
    <w:p w14:paraId="06E82A33">
      <w:pPr>
        <w:spacing w:line="360" w:lineRule="auto"/>
        <w:contextualSpacing/>
        <w:jc w:val="left"/>
        <w:rPr>
          <w:rFonts w:ascii="宋体" w:hAnsi="宋体"/>
          <w:color w:val="auto"/>
          <w:sz w:val="28"/>
          <w:szCs w:val="28"/>
          <w:highlight w:val="none"/>
        </w:rPr>
      </w:pPr>
    </w:p>
    <w:p w14:paraId="13A78CBE">
      <w:pPr>
        <w:spacing w:line="360" w:lineRule="auto"/>
        <w:contextualSpacing/>
        <w:jc w:val="left"/>
        <w:rPr>
          <w:color w:val="auto"/>
          <w:sz w:val="28"/>
          <w:szCs w:val="28"/>
          <w:highlight w:val="none"/>
        </w:rPr>
      </w:pPr>
    </w:p>
    <w:p w14:paraId="1DCF20EE">
      <w:pPr>
        <w:spacing w:line="360" w:lineRule="auto"/>
        <w:contextualSpacing/>
        <w:jc w:val="left"/>
        <w:rPr>
          <w:color w:val="auto"/>
          <w:sz w:val="28"/>
          <w:szCs w:val="28"/>
          <w:highlight w:val="none"/>
        </w:rPr>
      </w:pPr>
    </w:p>
    <w:p w14:paraId="2E2EFE03">
      <w:pPr>
        <w:spacing w:line="360" w:lineRule="auto"/>
        <w:contextualSpacing/>
        <w:jc w:val="left"/>
        <w:rPr>
          <w:color w:val="auto"/>
          <w:sz w:val="28"/>
          <w:szCs w:val="28"/>
          <w:highlight w:val="none"/>
        </w:rPr>
      </w:pPr>
    </w:p>
    <w:p w14:paraId="5BD391BB">
      <w:pPr>
        <w:spacing w:line="360" w:lineRule="auto"/>
        <w:contextualSpacing/>
        <w:jc w:val="left"/>
        <w:rPr>
          <w:rFonts w:ascii="宋体" w:hAnsi="宋体"/>
          <w:color w:val="auto"/>
          <w:sz w:val="28"/>
          <w:szCs w:val="28"/>
          <w:highlight w:val="none"/>
        </w:rPr>
      </w:pPr>
    </w:p>
    <w:p w14:paraId="5E8A8833">
      <w:pPr>
        <w:spacing w:line="360" w:lineRule="auto"/>
        <w:ind w:right="480"/>
        <w:contextualSpacing/>
        <w:jc w:val="center"/>
        <w:rPr>
          <w:rFonts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0398017F">
      <w:pPr>
        <w:spacing w:line="360" w:lineRule="auto"/>
        <w:ind w:right="480" w:firstLine="3360" w:firstLineChars="1400"/>
        <w:contextualSpacing/>
        <w:rPr>
          <w:rFonts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14:paraId="797E0700">
      <w:pPr>
        <w:spacing w:line="360" w:lineRule="auto"/>
        <w:ind w:firstLine="480" w:firstLineChars="200"/>
        <w:contextualSpacing/>
        <w:jc w:val="left"/>
        <w:rPr>
          <w:rFonts w:ascii="宋体" w:hAnsi="宋体"/>
          <w:color w:val="auto"/>
          <w:sz w:val="28"/>
          <w:szCs w:val="28"/>
          <w:highlight w:val="none"/>
        </w:rPr>
      </w:pPr>
      <w:r>
        <w:rPr>
          <w:rFonts w:hint="eastAsia" w:ascii="宋体" w:hAnsi="宋体"/>
          <w:color w:val="auto"/>
          <w:sz w:val="24"/>
          <w:highlight w:val="none"/>
        </w:rPr>
        <w:t xml:space="preserve">                                        年    月    日</w:t>
      </w:r>
    </w:p>
    <w:p w14:paraId="72DF8F19">
      <w:pPr>
        <w:spacing w:line="320" w:lineRule="exact"/>
        <w:jc w:val="center"/>
        <w:rPr>
          <w:rFonts w:ascii="宋体" w:hAnsi="宋体"/>
          <w:b/>
          <w:color w:val="auto"/>
          <w:sz w:val="32"/>
          <w:szCs w:val="32"/>
          <w:highlight w:val="none"/>
        </w:rPr>
      </w:pPr>
      <w:r>
        <w:rPr>
          <w:rFonts w:ascii="宋体" w:hAnsi="宋体"/>
          <w:color w:val="auto"/>
          <w:sz w:val="28"/>
          <w:szCs w:val="28"/>
          <w:highlight w:val="none"/>
        </w:rPr>
        <w:br w:type="page"/>
      </w:r>
      <w:r>
        <w:rPr>
          <w:rFonts w:hint="eastAsia" w:ascii="宋体" w:hAnsi="宋体"/>
          <w:b/>
          <w:color w:val="auto"/>
          <w:sz w:val="32"/>
          <w:szCs w:val="32"/>
          <w:highlight w:val="none"/>
        </w:rPr>
        <w:t>竞标声明</w:t>
      </w:r>
    </w:p>
    <w:p w14:paraId="058194EB">
      <w:pPr>
        <w:spacing w:line="320" w:lineRule="exact"/>
        <w:jc w:val="center"/>
        <w:rPr>
          <w:rFonts w:ascii="宋体" w:hAnsi="宋体"/>
          <w:color w:val="auto"/>
          <w:sz w:val="24"/>
          <w:szCs w:val="20"/>
          <w:highlight w:val="none"/>
        </w:rPr>
      </w:pPr>
    </w:p>
    <w:p w14:paraId="573A9EF6">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7EF127EB">
      <w:pPr>
        <w:wordWrap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4955970">
      <w:pPr>
        <w:spacing w:line="38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（项目名称）（项目编号）</w:t>
      </w:r>
      <w:r>
        <w:rPr>
          <w:rFonts w:hint="eastAsia" w:ascii="宋体" w:hAnsi="宋体" w:cs="宋体"/>
          <w:color w:val="auto"/>
          <w:sz w:val="24"/>
          <w:highlight w:val="none"/>
        </w:rPr>
        <w:t>项目的竞标，为便于贵方公正、择优地确定成交供应商及其服务，我方就本次竞标有关事项郑重声明如下：</w:t>
      </w:r>
    </w:p>
    <w:p w14:paraId="7094C2ED">
      <w:pPr>
        <w:spacing w:line="38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1606E281">
      <w:pPr>
        <w:spacing w:line="38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212C31A0">
      <w:pPr>
        <w:spacing w:line="38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37789AE5">
      <w:pPr>
        <w:spacing w:line="38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28DB1FE1">
      <w:pPr>
        <w:spacing w:line="38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7962C8A9">
      <w:pPr>
        <w:spacing w:line="38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5DB8F800">
      <w:pPr>
        <w:spacing w:line="38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1C0EF48A">
      <w:pPr>
        <w:spacing w:line="38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04C81220">
      <w:pPr>
        <w:spacing w:line="38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A6C0DC0">
      <w:pPr>
        <w:spacing w:line="38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6E583419">
      <w:pPr>
        <w:spacing w:line="38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8D38982">
      <w:pPr>
        <w:spacing w:line="38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64F25C0">
      <w:pPr>
        <w:spacing w:line="38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5683BAC">
      <w:pPr>
        <w:spacing w:line="38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1AC61851">
      <w:pPr>
        <w:spacing w:line="38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C9FA54E">
      <w:pPr>
        <w:spacing w:line="380" w:lineRule="exact"/>
        <w:ind w:firstLine="420"/>
        <w:rPr>
          <w:rFonts w:ascii="宋体" w:hAnsi="宋体" w:cs="宋体"/>
          <w:color w:val="auto"/>
          <w:kern w:val="0"/>
          <w:sz w:val="24"/>
          <w:highlight w:val="none"/>
        </w:rPr>
      </w:pPr>
      <w:r>
        <w:rPr>
          <w:rFonts w:hint="eastAsia" w:ascii="宋体" w:hAnsi="宋体"/>
          <w:color w:val="auto"/>
          <w:sz w:val="24"/>
          <w:highlight w:val="none"/>
        </w:rPr>
        <w:t>6.</w:t>
      </w:r>
      <w:r>
        <w:rPr>
          <w:rFonts w:hint="eastAsia" w:ascii="宋体" w:hAnsi="宋体" w:cs="宋体"/>
          <w:color w:val="auto"/>
          <w:kern w:val="0"/>
          <w:sz w:val="24"/>
          <w:highlight w:val="none"/>
        </w:rPr>
        <w:t>如我方成交，我方保证在成交结果公告发出之日起五个工作日内，按本项目竞争性磋商文件的规定及标准向贵单位一次性足额支付采购代理服务费。采购代理服务费发票我方选择开具：□</w:t>
      </w:r>
      <w:r>
        <w:rPr>
          <w:rFonts w:hint="eastAsia" w:ascii="宋体" w:hAnsi="宋体" w:cs="宋体"/>
          <w:color w:val="auto"/>
          <w:kern w:val="0"/>
          <w:sz w:val="24"/>
          <w:highlight w:val="none"/>
          <w:u w:val="single"/>
        </w:rPr>
        <w:t>增值税普通发票</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增值税专用发票</w:t>
      </w:r>
      <w:r>
        <w:rPr>
          <w:rFonts w:hint="eastAsia" w:ascii="宋体" w:hAnsi="宋体" w:cs="宋体"/>
          <w:color w:val="auto"/>
          <w:kern w:val="0"/>
          <w:sz w:val="24"/>
          <w:highlight w:val="none"/>
        </w:rPr>
        <w:t>，开票信息如下：</w:t>
      </w:r>
    </w:p>
    <w:p w14:paraId="53957EEC">
      <w:pPr>
        <w:spacing w:line="380" w:lineRule="exact"/>
        <w:ind w:firstLine="420"/>
        <w:rPr>
          <w:rFonts w:ascii="宋体" w:hAnsi="宋体" w:cs="宋体"/>
          <w:color w:val="auto"/>
          <w:kern w:val="0"/>
          <w:sz w:val="24"/>
          <w:highlight w:val="none"/>
        </w:rPr>
      </w:pPr>
      <w:r>
        <w:rPr>
          <w:rFonts w:hint="eastAsia" w:ascii="宋体" w:hAnsi="宋体" w:cs="宋体"/>
          <w:color w:val="auto"/>
          <w:kern w:val="0"/>
          <w:sz w:val="24"/>
          <w:highlight w:val="none"/>
        </w:rPr>
        <w:t>①公司名称：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2932F88E">
      <w:pPr>
        <w:spacing w:line="380" w:lineRule="exact"/>
        <w:ind w:firstLine="420"/>
        <w:rPr>
          <w:rFonts w:ascii="宋体" w:hAnsi="宋体" w:cs="宋体"/>
          <w:color w:val="auto"/>
          <w:kern w:val="0"/>
          <w:sz w:val="24"/>
          <w:highlight w:val="none"/>
        </w:rPr>
      </w:pPr>
      <w:r>
        <w:rPr>
          <w:rFonts w:hint="eastAsia" w:ascii="宋体" w:hAnsi="宋体" w:cs="宋体"/>
          <w:color w:val="auto"/>
          <w:kern w:val="0"/>
          <w:sz w:val="24"/>
          <w:highlight w:val="none"/>
        </w:rPr>
        <w:t>②纳税人识别号：</w:t>
      </w:r>
      <w:r>
        <w:rPr>
          <w:rFonts w:hint="eastAsia" w:ascii="宋体" w:hAnsi="宋体" w:cs="宋体"/>
          <w:color w:val="auto"/>
          <w:kern w:val="0"/>
          <w:sz w:val="24"/>
          <w:highlight w:val="none"/>
          <w:u w:val="single"/>
        </w:rPr>
        <w:t xml:space="preserve">               </w:t>
      </w:r>
    </w:p>
    <w:p w14:paraId="23762ABE">
      <w:pPr>
        <w:spacing w:line="38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7.根据《中华人民共和国政府采购法实施条例》第五十条要求对政府采购合同进行公告，但政府采购合同中涉及国家秘密、商业秘密的内容除外。我方就对本次响应文件进行注明如下：（两项内容中必须选择一项）</w:t>
      </w:r>
    </w:p>
    <w:p w14:paraId="0752759F">
      <w:pPr>
        <w:spacing w:line="38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017709E4">
      <w:pPr>
        <w:spacing w:line="38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EC31AFC">
      <w:pPr>
        <w:pStyle w:val="26"/>
        <w:spacing w:line="380" w:lineRule="exact"/>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8.与本磋商有关的一切正式往来信函请寄：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2DEF275E">
      <w:pPr>
        <w:pStyle w:val="26"/>
        <w:spacing w:line="380" w:lineRule="exact"/>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4AC5FCB7">
      <w:pPr>
        <w:pStyle w:val="21"/>
        <w:tabs>
          <w:tab w:val="left" w:pos="939"/>
        </w:tabs>
        <w:spacing w:line="380" w:lineRule="exact"/>
        <w:ind w:left="140"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账号：</w:t>
      </w:r>
      <w:r>
        <w:rPr>
          <w:rFonts w:hint="eastAsia" w:ascii="宋体" w:hAnsi="宋体" w:cs="宋体"/>
          <w:color w:val="auto"/>
          <w:sz w:val="24"/>
          <w:highlight w:val="none"/>
          <w:u w:val="single"/>
        </w:rPr>
        <w:t xml:space="preserve">                               </w:t>
      </w:r>
    </w:p>
    <w:p w14:paraId="287CE1D5">
      <w:pPr>
        <w:pStyle w:val="21"/>
        <w:tabs>
          <w:tab w:val="left" w:pos="939"/>
        </w:tabs>
        <w:spacing w:line="38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9.以上事项如有虚假或者隐瞒，我方愿意承担一切后果，并不再寻求任何旨在减轻或者免除法律责任的辩解。</w:t>
      </w:r>
    </w:p>
    <w:p w14:paraId="59F06AB0">
      <w:pPr>
        <w:pStyle w:val="21"/>
        <w:tabs>
          <w:tab w:val="left" w:pos="939"/>
        </w:tabs>
        <w:spacing w:line="380" w:lineRule="exact"/>
        <w:ind w:left="140"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7739D89F">
      <w:pPr>
        <w:spacing w:line="360" w:lineRule="auto"/>
        <w:ind w:firstLine="480" w:firstLineChars="200"/>
        <w:contextualSpacing/>
        <w:jc w:val="left"/>
        <w:rPr>
          <w:rFonts w:ascii="宋体" w:hAnsi="宋体"/>
          <w:b/>
          <w:color w:val="auto"/>
          <w:sz w:val="24"/>
          <w:highlight w:val="none"/>
        </w:rPr>
      </w:pPr>
    </w:p>
    <w:p w14:paraId="0138412E">
      <w:pPr>
        <w:spacing w:line="360" w:lineRule="auto"/>
        <w:contextualSpacing/>
        <w:jc w:val="left"/>
        <w:rPr>
          <w:rFonts w:ascii="宋体" w:hAnsi="宋体" w:cs="宋体"/>
          <w:color w:val="auto"/>
          <w:szCs w:val="21"/>
          <w:highlight w:val="none"/>
        </w:rPr>
      </w:pPr>
    </w:p>
    <w:p w14:paraId="66292719">
      <w:pPr>
        <w:spacing w:line="360" w:lineRule="auto"/>
        <w:ind w:firstLine="1800" w:firstLineChars="750"/>
        <w:contextualSpacing/>
        <w:rPr>
          <w:color w:val="auto"/>
          <w:sz w:val="24"/>
          <w:highlight w:val="none"/>
        </w:rPr>
      </w:pPr>
      <w:r>
        <w:rPr>
          <w:rFonts w:hint="eastAsia"/>
          <w:color w:val="auto"/>
          <w:sz w:val="24"/>
          <w:highlight w:val="none"/>
        </w:rPr>
        <w:t xml:space="preserve"> 法定代表人或者委托代理人（签字或者电子签名）： </w:t>
      </w:r>
      <w:r>
        <w:rPr>
          <w:rFonts w:hint="eastAsia"/>
          <w:color w:val="auto"/>
          <w:sz w:val="24"/>
          <w:highlight w:val="none"/>
          <w:u w:val="single"/>
        </w:rPr>
        <w:t xml:space="preserve">             </w:t>
      </w:r>
      <w:r>
        <w:rPr>
          <w:rFonts w:hint="eastAsia"/>
          <w:color w:val="auto"/>
          <w:sz w:val="24"/>
          <w:highlight w:val="none"/>
        </w:rPr>
        <w:t xml:space="preserve">     </w:t>
      </w:r>
    </w:p>
    <w:p w14:paraId="53CDDC6C">
      <w:pPr>
        <w:spacing w:line="360" w:lineRule="auto"/>
        <w:ind w:firstLine="1800" w:firstLineChars="750"/>
        <w:contextualSpacing/>
        <w:rPr>
          <w:rFonts w:ascii="宋体" w:hAnsi="宋体" w:cs="宋体"/>
          <w:color w:val="auto"/>
          <w:sz w:val="24"/>
          <w:highlight w:val="none"/>
          <w:u w:val="single"/>
        </w:rPr>
      </w:pPr>
      <w:r>
        <w:rPr>
          <w:rFonts w:hint="eastAsia"/>
          <w:color w:val="auto"/>
          <w:sz w:val="24"/>
          <w:highlight w:val="none"/>
        </w:rPr>
        <w:t xml:space="preserve">                               供应商（电子签章）：</w:t>
      </w:r>
      <w:r>
        <w:rPr>
          <w:rFonts w:hint="eastAsia"/>
          <w:color w:val="auto"/>
          <w:sz w:val="24"/>
          <w:highlight w:val="none"/>
          <w:u w:val="single"/>
        </w:rPr>
        <w:t xml:space="preserve">                               </w:t>
      </w:r>
      <w:r>
        <w:rPr>
          <w:rFonts w:hint="eastAsia"/>
          <w:color w:val="auto"/>
          <w:sz w:val="24"/>
          <w:highlight w:val="none"/>
        </w:rPr>
        <w:t xml:space="preserve">       </w:t>
      </w:r>
      <w:r>
        <w:rPr>
          <w:rFonts w:hint="eastAsia" w:ascii="宋体" w:hAnsi="宋体" w:cs="宋体"/>
          <w:color w:val="auto"/>
          <w:sz w:val="24"/>
          <w:highlight w:val="none"/>
        </w:rPr>
        <w:t xml:space="preserve">    </w:t>
      </w:r>
    </w:p>
    <w:p w14:paraId="1B8E0795">
      <w:pPr>
        <w:pStyle w:val="21"/>
        <w:tabs>
          <w:tab w:val="left" w:pos="939"/>
        </w:tabs>
        <w:spacing w:line="360" w:lineRule="auto"/>
        <w:ind w:left="0" w:leftChars="0" w:firstLine="480" w:firstLineChars="200"/>
        <w:rPr>
          <w:color w:val="auto"/>
          <w:sz w:val="24"/>
          <w:highlight w:val="none"/>
        </w:rPr>
      </w:pPr>
      <w:r>
        <w:rPr>
          <w:rFonts w:hint="eastAsia" w:ascii="宋体" w:hAnsi="宋体" w:cs="宋体"/>
          <w:color w:val="auto"/>
          <w:sz w:val="24"/>
          <w:highlight w:val="none"/>
        </w:rPr>
        <w:t xml:space="preserve">                                            </w:t>
      </w:r>
      <w:r>
        <w:rPr>
          <w:rFonts w:hint="eastAsia"/>
          <w:color w:val="auto"/>
          <w:sz w:val="24"/>
          <w:highlight w:val="none"/>
        </w:rPr>
        <w:t>年    月    日</w:t>
      </w:r>
    </w:p>
    <w:p w14:paraId="32C5ABA2">
      <w:pPr>
        <w:pStyle w:val="7"/>
        <w:overflowPunct w:val="0"/>
        <w:spacing w:line="520" w:lineRule="exact"/>
        <w:ind w:firstLine="0"/>
        <w:jc w:val="center"/>
        <w:rPr>
          <w:color w:val="auto"/>
          <w:sz w:val="24"/>
          <w:highlight w:val="none"/>
        </w:rPr>
      </w:pPr>
      <w:r>
        <w:rPr>
          <w:rFonts w:hint="eastAsia"/>
          <w:color w:val="auto"/>
          <w:sz w:val="24"/>
          <w:highlight w:val="none"/>
        </w:rPr>
        <w:br w:type="page"/>
      </w:r>
    </w:p>
    <w:p w14:paraId="64562AC9">
      <w:pPr>
        <w:spacing w:line="360" w:lineRule="auto"/>
        <w:ind w:firstLine="560" w:firstLineChars="200"/>
        <w:jc w:val="center"/>
        <w:rPr>
          <w:rFonts w:cs="宋体"/>
          <w:b/>
          <w:bCs/>
          <w:color w:val="auto"/>
          <w:sz w:val="28"/>
          <w:szCs w:val="28"/>
          <w:highlight w:val="none"/>
        </w:rPr>
      </w:pPr>
    </w:p>
    <w:p w14:paraId="58B43F0E">
      <w:pPr>
        <w:spacing w:line="360" w:lineRule="auto"/>
        <w:jc w:val="center"/>
        <w:rPr>
          <w:rFonts w:cs="宋体"/>
          <w:b/>
          <w:bCs/>
          <w:color w:val="auto"/>
          <w:sz w:val="32"/>
          <w:szCs w:val="32"/>
          <w:highlight w:val="none"/>
        </w:rPr>
      </w:pPr>
      <w:r>
        <w:rPr>
          <w:rFonts w:hint="eastAsia" w:cs="宋体"/>
          <w:b/>
          <w:bCs/>
          <w:color w:val="auto"/>
          <w:sz w:val="32"/>
          <w:szCs w:val="32"/>
          <w:highlight w:val="none"/>
        </w:rPr>
        <w:t>供应商在人员、设备、资金等方面具有相应的履约能力</w:t>
      </w:r>
    </w:p>
    <w:p w14:paraId="15E3D45B">
      <w:pPr>
        <w:spacing w:line="360" w:lineRule="auto"/>
        <w:ind w:firstLine="640" w:firstLineChars="200"/>
        <w:jc w:val="center"/>
        <w:rPr>
          <w:rFonts w:cs="宋体"/>
          <w:b/>
          <w:bCs/>
          <w:color w:val="auto"/>
          <w:sz w:val="32"/>
          <w:szCs w:val="32"/>
          <w:highlight w:val="none"/>
        </w:rPr>
      </w:pPr>
      <w:r>
        <w:rPr>
          <w:rFonts w:hint="eastAsia" w:cs="宋体"/>
          <w:b/>
          <w:bCs/>
          <w:color w:val="auto"/>
          <w:sz w:val="32"/>
          <w:szCs w:val="32"/>
          <w:highlight w:val="none"/>
        </w:rPr>
        <w:t>承诺函</w:t>
      </w:r>
    </w:p>
    <w:p w14:paraId="6056597C">
      <w:pPr>
        <w:spacing w:line="520" w:lineRule="exact"/>
        <w:ind w:left="-10" w:firstLine="520" w:firstLineChars="217"/>
        <w:jc w:val="left"/>
        <w:rPr>
          <w:rFonts w:cs="宋体"/>
          <w:bCs/>
          <w:color w:val="auto"/>
          <w:sz w:val="24"/>
          <w:highlight w:val="none"/>
        </w:rPr>
      </w:pPr>
      <w:r>
        <w:rPr>
          <w:rFonts w:hint="eastAsia" w:cs="宋体"/>
          <w:bCs/>
          <w:color w:val="auto"/>
          <w:sz w:val="24"/>
          <w:highlight w:val="none"/>
        </w:rPr>
        <w:t>我公司郑重承诺：在参加本次</w:t>
      </w:r>
      <w:r>
        <w:rPr>
          <w:rFonts w:hint="eastAsia" w:cs="宋体"/>
          <w:bCs/>
          <w:color w:val="auto"/>
          <w:sz w:val="24"/>
          <w:highlight w:val="none"/>
          <w:u w:val="single"/>
        </w:rPr>
        <w:t xml:space="preserve">（项目名称）      </w:t>
      </w:r>
      <w:r>
        <w:rPr>
          <w:rFonts w:hint="eastAsia" w:cs="宋体"/>
          <w:bCs/>
          <w:color w:val="auto"/>
          <w:sz w:val="24"/>
          <w:highlight w:val="none"/>
        </w:rPr>
        <w:t>（项目编号</w:t>
      </w:r>
      <w:r>
        <w:rPr>
          <w:rFonts w:hint="eastAsia" w:cs="宋体"/>
          <w:bCs/>
          <w:color w:val="auto"/>
          <w:sz w:val="24"/>
          <w:highlight w:val="none"/>
          <w:u w:val="single"/>
        </w:rPr>
        <w:t xml:space="preserve">            </w:t>
      </w:r>
      <w:r>
        <w:rPr>
          <w:rFonts w:hint="eastAsia" w:cs="宋体"/>
          <w:bCs/>
          <w:color w:val="auto"/>
          <w:sz w:val="24"/>
          <w:highlight w:val="none"/>
        </w:rPr>
        <w:t>）竞争性磋商项目中，在人员、设备、资金等方面具有相应的履约能力。</w:t>
      </w:r>
    </w:p>
    <w:p w14:paraId="6BB3CD40">
      <w:pPr>
        <w:spacing w:line="520" w:lineRule="exact"/>
        <w:ind w:left="-10" w:firstLine="520" w:firstLineChars="217"/>
        <w:jc w:val="left"/>
        <w:rPr>
          <w:color w:val="auto"/>
          <w:sz w:val="24"/>
          <w:highlight w:val="none"/>
        </w:rPr>
      </w:pPr>
      <w:r>
        <w:rPr>
          <w:rFonts w:hint="eastAsia" w:ascii="宋体" w:hAnsi="宋体" w:cs="仿宋_GB2312"/>
          <w:color w:val="auto"/>
          <w:sz w:val="24"/>
          <w:highlight w:val="none"/>
        </w:rPr>
        <w:t>本单位对上述承诺的真实性负责。如有虚假，将依法承担相应责任。</w:t>
      </w:r>
    </w:p>
    <w:p w14:paraId="6BD5FCF8">
      <w:pPr>
        <w:spacing w:line="520" w:lineRule="exact"/>
        <w:ind w:left="-10" w:firstLine="455" w:firstLineChars="217"/>
        <w:jc w:val="left"/>
        <w:rPr>
          <w:color w:val="auto"/>
          <w:szCs w:val="21"/>
          <w:highlight w:val="none"/>
        </w:rPr>
      </w:pPr>
    </w:p>
    <w:p w14:paraId="0B56A584">
      <w:pPr>
        <w:spacing w:line="520" w:lineRule="exact"/>
        <w:jc w:val="left"/>
        <w:rPr>
          <w:color w:val="auto"/>
          <w:highlight w:val="none"/>
        </w:rPr>
      </w:pPr>
    </w:p>
    <w:p w14:paraId="16187054">
      <w:pPr>
        <w:spacing w:line="360" w:lineRule="auto"/>
        <w:ind w:firstLine="4410" w:firstLineChars="2100"/>
        <w:jc w:val="left"/>
        <w:rPr>
          <w:rFonts w:cs="宋体"/>
          <w:color w:val="auto"/>
          <w:highlight w:val="none"/>
        </w:rPr>
      </w:pPr>
    </w:p>
    <w:p w14:paraId="429A02E8">
      <w:pPr>
        <w:wordWrap w:val="0"/>
        <w:spacing w:line="480" w:lineRule="auto"/>
        <w:ind w:left="2699"/>
        <w:rPr>
          <w:color w:val="auto"/>
          <w:sz w:val="24"/>
          <w:highlight w:val="none"/>
        </w:rPr>
      </w:pPr>
      <w:r>
        <w:rPr>
          <w:rFonts w:hint="eastAsia" w:cs="宋体"/>
          <w:color w:val="auto"/>
          <w:sz w:val="24"/>
          <w:highlight w:val="none"/>
        </w:rPr>
        <w:t>供应商（电子签章）：</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p>
    <w:p w14:paraId="296E678F">
      <w:pPr>
        <w:wordWrap w:val="0"/>
        <w:spacing w:line="480" w:lineRule="auto"/>
        <w:ind w:left="2699"/>
        <w:rPr>
          <w:color w:val="auto"/>
          <w:sz w:val="24"/>
          <w:highlight w:val="none"/>
        </w:rPr>
      </w:pPr>
      <w:r>
        <w:rPr>
          <w:rFonts w:hint="eastAsia" w:cs="宋体"/>
          <w:color w:val="auto"/>
          <w:sz w:val="24"/>
          <w:highlight w:val="none"/>
        </w:rPr>
        <w:t>法定代表人（或委托代理人）：</w:t>
      </w:r>
      <w:r>
        <w:rPr>
          <w:color w:val="auto"/>
          <w:sz w:val="24"/>
          <w:highlight w:val="none"/>
          <w:u w:val="single"/>
        </w:rPr>
        <w:t xml:space="preserve"> </w:t>
      </w:r>
      <w:r>
        <w:rPr>
          <w:rFonts w:hint="eastAsia"/>
          <w:color w:val="auto"/>
          <w:sz w:val="24"/>
          <w:highlight w:val="none"/>
          <w:u w:val="single"/>
        </w:rPr>
        <w:t>（签字或者电子签名）</w:t>
      </w:r>
    </w:p>
    <w:p w14:paraId="0B87944C">
      <w:pPr>
        <w:wordWrap w:val="0"/>
        <w:spacing w:line="360" w:lineRule="auto"/>
        <w:ind w:firstLine="5040" w:firstLineChars="2100"/>
        <w:rPr>
          <w:rFonts w:cs="宋体"/>
          <w:color w:val="auto"/>
          <w:sz w:val="24"/>
          <w:highlight w:val="none"/>
        </w:rPr>
      </w:pPr>
      <w:r>
        <w:rPr>
          <w:rFonts w:hint="eastAsia" w:cs="宋体"/>
          <w:color w:val="auto"/>
          <w:sz w:val="24"/>
          <w:highlight w:val="none"/>
        </w:rPr>
        <w:t>日期：</w:t>
      </w:r>
      <w:r>
        <w:rPr>
          <w:color w:val="auto"/>
          <w:sz w:val="24"/>
          <w:highlight w:val="none"/>
          <w:u w:val="single"/>
        </w:rPr>
        <w:t xml:space="preserve">       </w:t>
      </w:r>
      <w:r>
        <w:rPr>
          <w:rFonts w:hint="eastAsia" w:cs="宋体"/>
          <w:color w:val="auto"/>
          <w:sz w:val="24"/>
          <w:highlight w:val="none"/>
        </w:rPr>
        <w:t>年</w:t>
      </w:r>
      <w:r>
        <w:rPr>
          <w:color w:val="auto"/>
          <w:sz w:val="24"/>
          <w:highlight w:val="none"/>
          <w:u w:val="single"/>
        </w:rPr>
        <w:t xml:space="preserve">     </w:t>
      </w:r>
      <w:r>
        <w:rPr>
          <w:rFonts w:hint="eastAsia" w:cs="宋体"/>
          <w:color w:val="auto"/>
          <w:sz w:val="24"/>
          <w:highlight w:val="none"/>
        </w:rPr>
        <w:t>月</w:t>
      </w:r>
      <w:r>
        <w:rPr>
          <w:color w:val="auto"/>
          <w:sz w:val="24"/>
          <w:highlight w:val="none"/>
          <w:u w:val="single"/>
        </w:rPr>
        <w:t xml:space="preserve">     </w:t>
      </w:r>
      <w:r>
        <w:rPr>
          <w:rFonts w:hint="eastAsia" w:cs="宋体"/>
          <w:color w:val="auto"/>
          <w:sz w:val="24"/>
          <w:highlight w:val="none"/>
        </w:rPr>
        <w:t>日</w:t>
      </w:r>
    </w:p>
    <w:p w14:paraId="6B50D5B0">
      <w:pPr>
        <w:spacing w:line="360" w:lineRule="auto"/>
        <w:ind w:firstLine="2730" w:firstLineChars="1300"/>
        <w:rPr>
          <w:rFonts w:cs="宋体"/>
          <w:color w:val="auto"/>
          <w:highlight w:val="none"/>
        </w:rPr>
      </w:pPr>
    </w:p>
    <w:p w14:paraId="1722B5FA">
      <w:pPr>
        <w:spacing w:line="360" w:lineRule="auto"/>
        <w:ind w:firstLine="2730" w:firstLineChars="1300"/>
        <w:rPr>
          <w:rFonts w:cs="宋体"/>
          <w:color w:val="auto"/>
          <w:highlight w:val="none"/>
        </w:rPr>
      </w:pPr>
    </w:p>
    <w:p w14:paraId="29AC072C">
      <w:pPr>
        <w:spacing w:line="360" w:lineRule="auto"/>
        <w:ind w:firstLine="2730" w:firstLineChars="1300"/>
        <w:rPr>
          <w:rFonts w:cs="宋体"/>
          <w:color w:val="auto"/>
          <w:highlight w:val="none"/>
        </w:rPr>
      </w:pPr>
    </w:p>
    <w:p w14:paraId="479BE42C">
      <w:pPr>
        <w:spacing w:line="360" w:lineRule="auto"/>
        <w:ind w:firstLine="2730" w:firstLineChars="1300"/>
        <w:rPr>
          <w:rFonts w:cs="宋体"/>
          <w:color w:val="auto"/>
          <w:highlight w:val="none"/>
        </w:rPr>
      </w:pPr>
    </w:p>
    <w:p w14:paraId="428D46DF">
      <w:pPr>
        <w:spacing w:line="360" w:lineRule="auto"/>
        <w:ind w:firstLine="2730" w:firstLineChars="1300"/>
        <w:rPr>
          <w:rFonts w:cs="宋体"/>
          <w:color w:val="auto"/>
          <w:highlight w:val="none"/>
        </w:rPr>
      </w:pPr>
    </w:p>
    <w:p w14:paraId="40E4BF84">
      <w:pPr>
        <w:spacing w:line="360" w:lineRule="auto"/>
        <w:ind w:firstLine="2730" w:firstLineChars="1300"/>
        <w:rPr>
          <w:rFonts w:cs="宋体"/>
          <w:color w:val="auto"/>
          <w:highlight w:val="none"/>
        </w:rPr>
      </w:pPr>
    </w:p>
    <w:p w14:paraId="2293F103">
      <w:pPr>
        <w:spacing w:line="360" w:lineRule="auto"/>
        <w:ind w:firstLine="2730" w:firstLineChars="1300"/>
        <w:rPr>
          <w:rFonts w:cs="宋体"/>
          <w:color w:val="auto"/>
          <w:highlight w:val="none"/>
        </w:rPr>
      </w:pPr>
    </w:p>
    <w:p w14:paraId="2091D390">
      <w:pPr>
        <w:spacing w:line="360" w:lineRule="auto"/>
        <w:ind w:firstLine="2730" w:firstLineChars="1300"/>
        <w:rPr>
          <w:rFonts w:cs="宋体"/>
          <w:color w:val="auto"/>
          <w:highlight w:val="none"/>
        </w:rPr>
      </w:pPr>
    </w:p>
    <w:p w14:paraId="156DFC21">
      <w:pPr>
        <w:spacing w:line="360" w:lineRule="auto"/>
        <w:ind w:firstLine="2730" w:firstLineChars="1300"/>
        <w:rPr>
          <w:rFonts w:cs="宋体"/>
          <w:color w:val="auto"/>
          <w:highlight w:val="none"/>
        </w:rPr>
      </w:pPr>
    </w:p>
    <w:p w14:paraId="376E3609">
      <w:pPr>
        <w:spacing w:line="360" w:lineRule="auto"/>
        <w:ind w:firstLine="2730" w:firstLineChars="1300"/>
        <w:rPr>
          <w:rFonts w:cs="宋体"/>
          <w:color w:val="auto"/>
          <w:highlight w:val="none"/>
        </w:rPr>
      </w:pPr>
    </w:p>
    <w:p w14:paraId="1A1BCC04">
      <w:pPr>
        <w:spacing w:line="360" w:lineRule="auto"/>
        <w:ind w:firstLine="2730" w:firstLineChars="1300"/>
        <w:rPr>
          <w:rFonts w:cs="宋体"/>
          <w:color w:val="auto"/>
          <w:highlight w:val="none"/>
        </w:rPr>
      </w:pPr>
    </w:p>
    <w:p w14:paraId="376E79A4">
      <w:pPr>
        <w:spacing w:line="360" w:lineRule="auto"/>
        <w:ind w:firstLine="2730" w:firstLineChars="1300"/>
        <w:rPr>
          <w:rFonts w:cs="宋体"/>
          <w:color w:val="auto"/>
          <w:highlight w:val="none"/>
        </w:rPr>
      </w:pPr>
    </w:p>
    <w:p w14:paraId="243D474C">
      <w:pPr>
        <w:spacing w:line="360" w:lineRule="auto"/>
        <w:ind w:firstLine="2730" w:firstLineChars="1300"/>
        <w:rPr>
          <w:rFonts w:cs="宋体"/>
          <w:color w:val="auto"/>
          <w:highlight w:val="none"/>
        </w:rPr>
      </w:pPr>
    </w:p>
    <w:p w14:paraId="5DE4E35B">
      <w:pPr>
        <w:spacing w:line="360" w:lineRule="auto"/>
        <w:ind w:firstLine="2730" w:firstLineChars="1300"/>
        <w:rPr>
          <w:rFonts w:cs="宋体"/>
          <w:color w:val="auto"/>
          <w:highlight w:val="none"/>
        </w:rPr>
      </w:pPr>
    </w:p>
    <w:p w14:paraId="30F31577">
      <w:pPr>
        <w:spacing w:line="360" w:lineRule="auto"/>
        <w:ind w:firstLine="2730" w:firstLineChars="1300"/>
        <w:rPr>
          <w:rFonts w:cs="宋体"/>
          <w:color w:val="auto"/>
          <w:highlight w:val="none"/>
        </w:rPr>
      </w:pPr>
    </w:p>
    <w:p w14:paraId="0C484DA2">
      <w:pPr>
        <w:spacing w:line="360" w:lineRule="auto"/>
        <w:ind w:right="420"/>
        <w:contextualSpacing/>
        <w:jc w:val="left"/>
        <w:rPr>
          <w:rFonts w:ascii="宋体" w:hAnsi="宋体"/>
          <w:b/>
          <w:color w:val="auto"/>
          <w:sz w:val="32"/>
          <w:szCs w:val="32"/>
          <w:highlight w:val="none"/>
        </w:rPr>
      </w:pP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4CD6FCD8">
      <w:pPr>
        <w:snapToGrid w:val="0"/>
        <w:spacing w:before="156"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1.报价文件封面格式</w:t>
      </w:r>
    </w:p>
    <w:p w14:paraId="6EAEBEC3">
      <w:pPr>
        <w:snapToGrid w:val="0"/>
        <w:spacing w:before="156"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40D925F1">
      <w:pPr>
        <w:snapToGrid w:val="0"/>
        <w:spacing w:before="156"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659165FD">
      <w:pPr>
        <w:snapToGrid w:val="0"/>
        <w:spacing w:before="156" w:beforeLines="50" w:after="50"/>
        <w:rPr>
          <w:rFonts w:ascii="宋体" w:hAnsi="宋体"/>
          <w:color w:val="auto"/>
          <w:sz w:val="24"/>
          <w:szCs w:val="20"/>
          <w:highlight w:val="none"/>
        </w:rPr>
      </w:pPr>
    </w:p>
    <w:p w14:paraId="16029A24">
      <w:pPr>
        <w:snapToGrid w:val="0"/>
        <w:spacing w:before="156" w:beforeLines="50" w:after="50"/>
        <w:rPr>
          <w:rFonts w:ascii="宋体" w:hAnsi="宋体"/>
          <w:color w:val="auto"/>
          <w:sz w:val="24"/>
          <w:szCs w:val="20"/>
          <w:highlight w:val="none"/>
        </w:rPr>
      </w:pPr>
    </w:p>
    <w:p w14:paraId="7CE01AE3">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3C745F11">
      <w:pPr>
        <w:snapToGrid w:val="0"/>
        <w:spacing w:before="156" w:beforeLines="50" w:after="50"/>
        <w:rPr>
          <w:rFonts w:ascii="宋体" w:hAnsi="宋体"/>
          <w:bCs/>
          <w:color w:val="auto"/>
          <w:sz w:val="24"/>
          <w:szCs w:val="20"/>
          <w:highlight w:val="none"/>
        </w:rPr>
      </w:pPr>
    </w:p>
    <w:p w14:paraId="576FD888">
      <w:pPr>
        <w:snapToGrid w:val="0"/>
        <w:spacing w:before="156" w:beforeLines="50" w:after="50"/>
        <w:rPr>
          <w:rFonts w:ascii="宋体" w:hAnsi="宋体"/>
          <w:bCs/>
          <w:color w:val="auto"/>
          <w:sz w:val="24"/>
          <w:szCs w:val="20"/>
          <w:highlight w:val="none"/>
        </w:rPr>
      </w:pPr>
    </w:p>
    <w:p w14:paraId="78D2AC93">
      <w:pPr>
        <w:snapToGrid w:val="0"/>
        <w:spacing w:before="156" w:beforeLines="50" w:after="50"/>
        <w:rPr>
          <w:rFonts w:ascii="宋体" w:hAnsi="宋体"/>
          <w:bCs/>
          <w:color w:val="auto"/>
          <w:sz w:val="24"/>
          <w:szCs w:val="20"/>
          <w:highlight w:val="none"/>
        </w:rPr>
      </w:pPr>
    </w:p>
    <w:p w14:paraId="45337512">
      <w:pPr>
        <w:snapToGrid w:val="0"/>
        <w:spacing w:before="156" w:beforeLines="50" w:after="50"/>
        <w:rPr>
          <w:rFonts w:ascii="宋体" w:hAnsi="宋体"/>
          <w:bCs/>
          <w:color w:val="auto"/>
          <w:sz w:val="24"/>
          <w:szCs w:val="20"/>
          <w:highlight w:val="none"/>
        </w:rPr>
      </w:pPr>
    </w:p>
    <w:p w14:paraId="621EFC25">
      <w:pPr>
        <w:snapToGrid w:val="0"/>
        <w:spacing w:before="156" w:beforeLines="50" w:after="50"/>
        <w:rPr>
          <w:rFonts w:ascii="宋体" w:hAnsi="宋体"/>
          <w:bCs/>
          <w:color w:val="auto"/>
          <w:sz w:val="24"/>
          <w:szCs w:val="20"/>
          <w:highlight w:val="none"/>
        </w:rPr>
      </w:pPr>
    </w:p>
    <w:p w14:paraId="59BBF1A7">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1A32882F">
      <w:pPr>
        <w:snapToGrid w:val="0"/>
        <w:spacing w:before="156" w:beforeLines="50" w:after="50"/>
        <w:ind w:firstLine="720" w:firstLineChars="225"/>
        <w:rPr>
          <w:rFonts w:ascii="宋体" w:hAnsi="宋体" w:cs="仿宋_GB2312"/>
          <w:bCs/>
          <w:color w:val="auto"/>
          <w:sz w:val="32"/>
          <w:szCs w:val="32"/>
          <w:highlight w:val="none"/>
        </w:rPr>
      </w:pPr>
    </w:p>
    <w:p w14:paraId="1F9F37DC">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3A2EC305">
      <w:pPr>
        <w:snapToGrid w:val="0"/>
        <w:spacing w:before="156"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2EFC7753">
      <w:pPr>
        <w:snapToGrid w:val="0"/>
        <w:spacing w:before="156" w:beforeLines="50" w:after="50"/>
        <w:ind w:firstLine="720" w:firstLineChars="225"/>
        <w:rPr>
          <w:rFonts w:ascii="宋体" w:hAnsi="宋体" w:cs="仿宋_GB2312"/>
          <w:bCs/>
          <w:color w:val="auto"/>
          <w:sz w:val="32"/>
          <w:szCs w:val="32"/>
          <w:highlight w:val="none"/>
        </w:rPr>
      </w:pPr>
    </w:p>
    <w:p w14:paraId="267A8332">
      <w:pPr>
        <w:pStyle w:val="7"/>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507D90D">
      <w:pPr>
        <w:pStyle w:val="7"/>
        <w:snapToGrid w:val="0"/>
        <w:spacing w:before="50" w:after="50"/>
        <w:ind w:firstLine="640" w:firstLineChars="200"/>
        <w:rPr>
          <w:rFonts w:ascii="宋体" w:hAnsi="宋体" w:cs="仿宋_GB2312"/>
          <w:bCs/>
          <w:color w:val="auto"/>
          <w:sz w:val="32"/>
          <w:szCs w:val="32"/>
          <w:highlight w:val="none"/>
        </w:rPr>
      </w:pPr>
    </w:p>
    <w:p w14:paraId="591E90ED">
      <w:pPr>
        <w:pStyle w:val="7"/>
        <w:snapToGrid w:val="0"/>
        <w:spacing w:before="50" w:after="50"/>
        <w:ind w:firstLine="720" w:firstLineChars="225"/>
        <w:rPr>
          <w:rFonts w:ascii="宋体" w:hAnsi="宋体" w:cs="仿宋_GB2312"/>
          <w:bCs/>
          <w:color w:val="auto"/>
          <w:sz w:val="32"/>
          <w:szCs w:val="32"/>
          <w:highlight w:val="none"/>
        </w:rPr>
      </w:pPr>
    </w:p>
    <w:p w14:paraId="04AABFB3">
      <w:pPr>
        <w:pStyle w:val="7"/>
        <w:snapToGrid w:val="0"/>
        <w:spacing w:before="50" w:after="50"/>
        <w:ind w:firstLine="0"/>
        <w:rPr>
          <w:rFonts w:ascii="宋体" w:hAnsi="宋体" w:cs="仿宋_GB2312"/>
          <w:bCs/>
          <w:color w:val="auto"/>
          <w:sz w:val="32"/>
          <w:szCs w:val="32"/>
          <w:highlight w:val="none"/>
        </w:rPr>
      </w:pPr>
    </w:p>
    <w:p w14:paraId="2588E336">
      <w:pPr>
        <w:pStyle w:val="7"/>
        <w:snapToGrid w:val="0"/>
        <w:spacing w:before="50" w:after="50"/>
        <w:ind w:firstLine="1280" w:firstLineChars="400"/>
        <w:rPr>
          <w:rFonts w:ascii="宋体" w:hAnsi="宋体" w:cs="仿宋_GB2312"/>
          <w:bCs/>
          <w:color w:val="auto"/>
          <w:sz w:val="32"/>
          <w:szCs w:val="32"/>
          <w:highlight w:val="none"/>
        </w:rPr>
      </w:pPr>
    </w:p>
    <w:p w14:paraId="0F815667">
      <w:pPr>
        <w:snapToGrid w:val="0"/>
        <w:spacing w:before="156"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6FDC6157">
      <w:pPr>
        <w:snapToGrid w:val="0"/>
        <w:spacing w:before="156" w:beforeLines="50" w:after="50" w:line="360" w:lineRule="auto"/>
        <w:ind w:left="142"/>
        <w:jc w:val="left"/>
        <w:rPr>
          <w:rFonts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748F4216">
      <w:pPr>
        <w:spacing w:line="520" w:lineRule="exact"/>
        <w:jc w:val="center"/>
        <w:rPr>
          <w:rFonts w:ascii="宋体" w:hAnsi="宋体" w:cs="方正小标宋简体"/>
          <w:b/>
          <w:bCs/>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r>
        <w:rPr>
          <w:rFonts w:ascii="宋体" w:hAnsi="宋体"/>
          <w:b/>
          <w:bCs/>
          <w:color w:val="auto"/>
          <w:sz w:val="32"/>
          <w:szCs w:val="32"/>
          <w:highlight w:val="none"/>
        </w:rPr>
        <w:br w:type="page"/>
      </w:r>
      <w:r>
        <w:rPr>
          <w:rFonts w:hint="eastAsia" w:ascii="宋体" w:hAnsi="宋体" w:cs="方正小标宋简体"/>
          <w:b/>
          <w:bCs/>
          <w:color w:val="auto"/>
          <w:sz w:val="32"/>
          <w:szCs w:val="32"/>
          <w:highlight w:val="none"/>
        </w:rPr>
        <w:t>竞标函及竞标函附录</w:t>
      </w:r>
    </w:p>
    <w:p w14:paraId="36E72D05">
      <w:pPr>
        <w:spacing w:line="520" w:lineRule="exact"/>
        <w:jc w:val="center"/>
        <w:rPr>
          <w:rFonts w:ascii="宋体" w:hAnsi="宋体" w:cs="方正小标宋简体"/>
          <w:b/>
          <w:bCs/>
          <w:color w:val="auto"/>
          <w:sz w:val="32"/>
          <w:szCs w:val="32"/>
          <w:highlight w:val="none"/>
        </w:rPr>
      </w:pPr>
    </w:p>
    <w:p w14:paraId="5DB6E95D">
      <w:pPr>
        <w:spacing w:line="520" w:lineRule="exact"/>
        <w:jc w:val="center"/>
        <w:rPr>
          <w:rFonts w:ascii="宋体" w:hAnsi="宋体" w:cs="方正小标宋简体"/>
          <w:b/>
          <w:bCs/>
          <w:color w:val="auto"/>
          <w:sz w:val="32"/>
          <w:szCs w:val="32"/>
          <w:highlight w:val="none"/>
        </w:rPr>
      </w:pPr>
      <w:r>
        <w:rPr>
          <w:rFonts w:hint="eastAsia" w:ascii="宋体" w:hAnsi="宋体" w:cs="方正小标宋简体"/>
          <w:b/>
          <w:bCs/>
          <w:color w:val="auto"/>
          <w:sz w:val="32"/>
          <w:szCs w:val="32"/>
          <w:highlight w:val="none"/>
        </w:rPr>
        <w:t>（一）竞标函</w:t>
      </w:r>
    </w:p>
    <w:p w14:paraId="4D2378BD">
      <w:pPr>
        <w:spacing w:line="520" w:lineRule="exact"/>
        <w:jc w:val="center"/>
        <w:rPr>
          <w:rFonts w:ascii="宋体" w:hAnsi="宋体" w:cs="方正小标宋简体"/>
          <w:b/>
          <w:bCs/>
          <w:color w:val="auto"/>
          <w:sz w:val="32"/>
          <w:szCs w:val="32"/>
          <w:highlight w:val="none"/>
        </w:rPr>
      </w:pPr>
    </w:p>
    <w:p w14:paraId="64DBD056">
      <w:pPr>
        <w:spacing w:line="360" w:lineRule="auto"/>
        <w:rPr>
          <w:color w:val="auto"/>
          <w:szCs w:val="21"/>
          <w:highlight w:val="none"/>
        </w:rPr>
      </w:pP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rFonts w:hint="eastAsia"/>
          <w:color w:val="auto"/>
          <w:szCs w:val="21"/>
          <w:highlight w:val="none"/>
          <w:lang w:val="zh-CN" w:bidi="zh-CN"/>
        </w:rPr>
        <w:t>采购人</w:t>
      </w:r>
      <w:r>
        <w:rPr>
          <w:color w:val="auto"/>
          <w:szCs w:val="21"/>
          <w:highlight w:val="none"/>
          <w:lang w:val="zh-CN" w:bidi="zh-CN"/>
        </w:rPr>
        <w:t>名称</w:t>
      </w:r>
      <w:r>
        <w:rPr>
          <w:color w:val="auto"/>
          <w:szCs w:val="21"/>
          <w:highlight w:val="none"/>
        </w:rPr>
        <w:t>）：</w:t>
      </w:r>
    </w:p>
    <w:p w14:paraId="5FD45FBD">
      <w:pPr>
        <w:pStyle w:val="217"/>
        <w:numPr>
          <w:ilvl w:val="0"/>
          <w:numId w:val="1"/>
        </w:numPr>
        <w:tabs>
          <w:tab w:val="left" w:pos="762"/>
          <w:tab w:val="left" w:pos="2074"/>
          <w:tab w:val="left" w:pos="3430"/>
          <w:tab w:val="left" w:pos="4687"/>
          <w:tab w:val="left" w:pos="7898"/>
        </w:tabs>
        <w:ind w:firstLine="440"/>
        <w:rPr>
          <w:rFonts w:cs="Times New Roman" w:asciiTheme="minorEastAsia" w:hAnsiTheme="minorEastAsia" w:eastAsiaTheme="minorEastAsia"/>
          <w:color w:val="auto"/>
          <w:szCs w:val="21"/>
          <w:highlight w:val="none"/>
        </w:rPr>
      </w:pPr>
      <w:bookmarkStart w:id="81" w:name="bookmark2065"/>
      <w:bookmarkEnd w:id="81"/>
      <w:r>
        <w:rPr>
          <w:rFonts w:cs="Times New Roman" w:asciiTheme="minorEastAsia" w:hAnsiTheme="minorEastAsia" w:eastAsiaTheme="minorEastAsia"/>
          <w:color w:val="auto"/>
          <w:szCs w:val="21"/>
          <w:highlight w:val="none"/>
        </w:rPr>
        <w:t>我方已仔细研究了</w:t>
      </w:r>
      <w:r>
        <w:rPr>
          <w:rFonts w:hint="eastAsia" w:cs="Times New Roman" w:asciiTheme="minorEastAsia" w:hAnsiTheme="minorEastAsia" w:eastAsiaTheme="minorEastAsia"/>
          <w:color w:val="auto"/>
          <w:szCs w:val="21"/>
          <w:highlight w:val="none"/>
          <w:u w:val="single"/>
          <w:lang w:val="en-US"/>
        </w:rPr>
        <w:t xml:space="preserve">           </w:t>
      </w:r>
      <w:r>
        <w:rPr>
          <w:rFonts w:cs="Times New Roman" w:asciiTheme="minorEastAsia" w:hAnsiTheme="minorEastAsia" w:eastAsiaTheme="minorEastAsia"/>
          <w:color w:val="auto"/>
          <w:szCs w:val="21"/>
          <w:highlight w:val="none"/>
          <w:u w:val="single"/>
        </w:rPr>
        <w:t>（项目名称</w:t>
      </w:r>
      <w:r>
        <w:rPr>
          <w:rFonts w:hint="eastAsia" w:cs="Times New Roman" w:asciiTheme="minorEastAsia" w:hAnsiTheme="minorEastAsia" w:eastAsiaTheme="minorEastAsia"/>
          <w:color w:val="auto"/>
          <w:szCs w:val="21"/>
          <w:highlight w:val="none"/>
          <w:u w:val="single"/>
        </w:rPr>
        <w:t>、项目编号</w:t>
      </w:r>
      <w:r>
        <w:rPr>
          <w:rFonts w:cs="Times New Roman" w:asciiTheme="minorEastAsia" w:hAnsiTheme="minorEastAsia" w:eastAsiaTheme="minorEastAsia"/>
          <w:color w:val="auto"/>
          <w:szCs w:val="21"/>
          <w:highlight w:val="none"/>
          <w:u w:val="single"/>
        </w:rPr>
        <w:t>）</w:t>
      </w:r>
      <w:r>
        <w:rPr>
          <w:rFonts w:hint="eastAsia" w:cs="Times New Roman" w:asciiTheme="minorEastAsia" w:hAnsiTheme="minorEastAsia" w:eastAsiaTheme="minorEastAsia"/>
          <w:color w:val="auto"/>
          <w:szCs w:val="21"/>
          <w:highlight w:val="none"/>
          <w:u w:val="single"/>
          <w:lang w:val="en-US"/>
        </w:rPr>
        <w:t xml:space="preserve">          </w:t>
      </w:r>
      <w:r>
        <w:rPr>
          <w:rFonts w:hint="eastAsia" w:cs="Times New Roman" w:asciiTheme="minorEastAsia" w:hAnsiTheme="minorEastAsia" w:eastAsiaTheme="minorEastAsia"/>
          <w:color w:val="auto"/>
          <w:szCs w:val="21"/>
          <w:highlight w:val="none"/>
        </w:rPr>
        <w:t>磋商</w:t>
      </w:r>
      <w:r>
        <w:rPr>
          <w:rFonts w:cs="Times New Roman" w:asciiTheme="minorEastAsia" w:hAnsiTheme="minorEastAsia" w:eastAsiaTheme="minorEastAsia"/>
          <w:color w:val="auto"/>
          <w:szCs w:val="21"/>
          <w:highlight w:val="none"/>
        </w:rPr>
        <w:t>文件的全部内容，愿意以人民币（大写）</w:t>
      </w:r>
      <w:r>
        <w:rPr>
          <w:rFonts w:hint="eastAsia" w:cs="Times New Roman" w:asciiTheme="minorEastAsia" w:hAnsiTheme="minorEastAsia" w:eastAsiaTheme="minorEastAsia"/>
          <w:color w:val="auto"/>
          <w:szCs w:val="21"/>
          <w:highlight w:val="none"/>
          <w:u w:val="single"/>
          <w:lang w:val="en-US"/>
        </w:rPr>
        <w:t xml:space="preserve">            </w:t>
      </w:r>
      <w:r>
        <w:rPr>
          <w:rFonts w:cs="Times New Roman" w:asciiTheme="minorEastAsia" w:hAnsiTheme="minorEastAsia" w:eastAsiaTheme="minorEastAsia"/>
          <w:color w:val="auto"/>
          <w:szCs w:val="21"/>
          <w:highlight w:val="none"/>
        </w:rPr>
        <w:t>元（¥</w:t>
      </w:r>
      <w:r>
        <w:rPr>
          <w:rFonts w:hint="eastAsia" w:cs="Times New Roman" w:asciiTheme="minorEastAsia" w:hAnsiTheme="minorEastAsia" w:eastAsiaTheme="minorEastAsia"/>
          <w:color w:val="auto"/>
          <w:szCs w:val="21"/>
          <w:highlight w:val="none"/>
          <w:u w:val="single"/>
          <w:lang w:val="en-US"/>
        </w:rPr>
        <w:t xml:space="preserve">        </w:t>
      </w:r>
      <w:r>
        <w:rPr>
          <w:rFonts w:cs="Times New Roman" w:asciiTheme="minorEastAsia" w:hAnsiTheme="minorEastAsia" w:eastAsiaTheme="minorEastAsia"/>
          <w:color w:val="auto"/>
          <w:szCs w:val="21"/>
          <w:highlight w:val="none"/>
        </w:rPr>
        <w:t>）的</w:t>
      </w:r>
      <w:r>
        <w:rPr>
          <w:rFonts w:hint="eastAsia" w:cs="Times New Roman" w:asciiTheme="minorEastAsia" w:hAnsiTheme="minorEastAsia" w:eastAsiaTheme="minorEastAsia"/>
          <w:color w:val="auto"/>
          <w:szCs w:val="21"/>
          <w:highlight w:val="none"/>
        </w:rPr>
        <w:t>竞</w:t>
      </w:r>
      <w:r>
        <w:rPr>
          <w:rFonts w:cs="Times New Roman" w:asciiTheme="minorEastAsia" w:hAnsiTheme="minorEastAsia" w:eastAsiaTheme="minorEastAsia"/>
          <w:color w:val="auto"/>
          <w:szCs w:val="21"/>
          <w:highlight w:val="none"/>
        </w:rPr>
        <w:t>标报价，工期</w:t>
      </w:r>
      <w:r>
        <w:rPr>
          <w:rFonts w:hint="eastAsia" w:cs="Times New Roman" w:asciiTheme="minorEastAsia" w:hAnsiTheme="minorEastAsia" w:eastAsiaTheme="minorEastAsia"/>
          <w:color w:val="auto"/>
          <w:szCs w:val="21"/>
          <w:highlight w:val="none"/>
          <w:u w:val="single"/>
          <w:lang w:val="en-US"/>
        </w:rPr>
        <w:t xml:space="preserve">                </w:t>
      </w:r>
      <w:r>
        <w:rPr>
          <w:rFonts w:cs="Times New Roman" w:asciiTheme="minorEastAsia" w:hAnsiTheme="minorEastAsia" w:eastAsiaTheme="minorEastAsia"/>
          <w:color w:val="auto"/>
          <w:szCs w:val="21"/>
          <w:highlight w:val="none"/>
        </w:rPr>
        <w:t>，按合同约定实施和完成承包工程，修补工程中的任何缺陷，工程质量达到</w:t>
      </w:r>
      <w:r>
        <w:rPr>
          <w:rFonts w:hint="eastAsia" w:cs="Times New Roman" w:asciiTheme="minorEastAsia" w:hAnsiTheme="minorEastAsia" w:eastAsiaTheme="minorEastAsia"/>
          <w:color w:val="auto"/>
          <w:szCs w:val="21"/>
          <w:highlight w:val="none"/>
          <w:u w:val="single"/>
          <w:lang w:val="en-US"/>
        </w:rPr>
        <w:t xml:space="preserve">           </w:t>
      </w:r>
      <w:r>
        <w:rPr>
          <w:rFonts w:cs="Times New Roman" w:asciiTheme="minorEastAsia" w:hAnsiTheme="minorEastAsia" w:eastAsiaTheme="minorEastAsia"/>
          <w:color w:val="auto"/>
          <w:szCs w:val="21"/>
          <w:highlight w:val="none"/>
          <w:u w:val="single"/>
        </w:rPr>
        <w:t xml:space="preserve"> </w:t>
      </w:r>
      <w:r>
        <w:rPr>
          <w:rFonts w:cs="Times New Roman" w:asciiTheme="minorEastAsia" w:hAnsiTheme="minorEastAsia" w:eastAsiaTheme="minorEastAsia"/>
          <w:color w:val="auto"/>
          <w:szCs w:val="21"/>
          <w:highlight w:val="none"/>
          <w:lang w:val="en-US" w:bidi="en-US"/>
        </w:rPr>
        <w:t>。</w:t>
      </w:r>
    </w:p>
    <w:p w14:paraId="7169B019">
      <w:pPr>
        <w:pStyle w:val="217"/>
        <w:numPr>
          <w:ilvl w:val="0"/>
          <w:numId w:val="1"/>
        </w:numPr>
        <w:tabs>
          <w:tab w:val="left" w:pos="762"/>
        </w:tabs>
        <w:ind w:firstLine="420"/>
        <w:rPr>
          <w:rFonts w:cs="Times New Roman" w:asciiTheme="minorEastAsia" w:hAnsiTheme="minorEastAsia" w:eastAsiaTheme="minorEastAsia"/>
          <w:color w:val="auto"/>
          <w:szCs w:val="21"/>
          <w:highlight w:val="none"/>
        </w:rPr>
      </w:pPr>
      <w:bookmarkStart w:id="82" w:name="bookmark2067"/>
      <w:bookmarkEnd w:id="82"/>
      <w:bookmarkStart w:id="83" w:name="bookmark2066"/>
      <w:bookmarkEnd w:id="83"/>
      <w:bookmarkStart w:id="84" w:name="bookmark2068"/>
      <w:bookmarkEnd w:id="84"/>
      <w:r>
        <w:rPr>
          <w:rFonts w:hint="eastAsia" w:asciiTheme="minorEastAsia" w:hAnsiTheme="minorEastAsia" w:eastAsiaTheme="minorEastAsia"/>
          <w:color w:val="auto"/>
          <w:highlight w:val="none"/>
        </w:rPr>
        <w:t>我方承认竞标函附录是我方竞标函的组成部分。</w:t>
      </w:r>
    </w:p>
    <w:p w14:paraId="7E959222">
      <w:pPr>
        <w:pStyle w:val="217"/>
        <w:numPr>
          <w:ilvl w:val="0"/>
          <w:numId w:val="1"/>
        </w:numPr>
        <w:tabs>
          <w:tab w:val="left" w:pos="762"/>
        </w:tabs>
        <w:ind w:firstLine="420"/>
        <w:rPr>
          <w:rFonts w:cs="Times New Roman" w:asciiTheme="minorEastAsia" w:hAnsiTheme="minorEastAsia" w:eastAsiaTheme="minorEastAsia"/>
          <w:color w:val="auto"/>
          <w:szCs w:val="21"/>
          <w:highlight w:val="none"/>
        </w:rPr>
      </w:pPr>
      <w:r>
        <w:rPr>
          <w:rFonts w:cs="Times New Roman" w:asciiTheme="minorEastAsia" w:hAnsiTheme="minorEastAsia" w:eastAsiaTheme="minorEastAsia"/>
          <w:color w:val="auto"/>
          <w:szCs w:val="21"/>
          <w:highlight w:val="none"/>
        </w:rPr>
        <w:t>如我方</w:t>
      </w:r>
      <w:r>
        <w:rPr>
          <w:rFonts w:hint="eastAsia" w:cs="Times New Roman" w:asciiTheme="minorEastAsia" w:hAnsiTheme="minorEastAsia" w:eastAsiaTheme="minorEastAsia"/>
          <w:color w:val="auto"/>
          <w:szCs w:val="21"/>
          <w:highlight w:val="none"/>
        </w:rPr>
        <w:t>成交</w:t>
      </w:r>
      <w:r>
        <w:rPr>
          <w:rFonts w:cs="Times New Roman" w:asciiTheme="minorEastAsia" w:hAnsiTheme="minorEastAsia" w:eastAsiaTheme="minorEastAsia"/>
          <w:color w:val="auto"/>
          <w:szCs w:val="21"/>
          <w:highlight w:val="none"/>
        </w:rPr>
        <w:t>：</w:t>
      </w:r>
    </w:p>
    <w:p w14:paraId="4B1427A6">
      <w:pPr>
        <w:pStyle w:val="217"/>
        <w:tabs>
          <w:tab w:val="left" w:pos="903"/>
        </w:tabs>
        <w:ind w:firstLine="420"/>
        <w:rPr>
          <w:rFonts w:cs="Times New Roman" w:asciiTheme="minorEastAsia" w:hAnsiTheme="minorEastAsia" w:eastAsiaTheme="minorEastAsia"/>
          <w:color w:val="auto"/>
          <w:szCs w:val="21"/>
          <w:highlight w:val="none"/>
        </w:rPr>
      </w:pPr>
      <w:bookmarkStart w:id="85" w:name="bookmark2069"/>
      <w:r>
        <w:rPr>
          <w:rFonts w:cs="Times New Roman" w:asciiTheme="minorEastAsia" w:hAnsiTheme="minorEastAsia" w:eastAsiaTheme="minorEastAsia"/>
          <w:color w:val="auto"/>
          <w:szCs w:val="21"/>
          <w:highlight w:val="none"/>
        </w:rPr>
        <w:t>（</w:t>
      </w:r>
      <w:bookmarkEnd w:id="85"/>
      <w:r>
        <w:rPr>
          <w:rFonts w:cs="Times New Roman" w:asciiTheme="minorEastAsia" w:hAnsiTheme="minorEastAsia" w:eastAsiaTheme="minorEastAsia"/>
          <w:color w:val="auto"/>
          <w:szCs w:val="21"/>
          <w:highlight w:val="none"/>
        </w:rPr>
        <w:t>1）我方承诺在收到</w:t>
      </w:r>
      <w:r>
        <w:rPr>
          <w:rFonts w:hint="eastAsia" w:cs="Times New Roman" w:asciiTheme="minorEastAsia" w:hAnsiTheme="minorEastAsia" w:eastAsiaTheme="minorEastAsia"/>
          <w:color w:val="auto"/>
          <w:szCs w:val="21"/>
          <w:highlight w:val="none"/>
        </w:rPr>
        <w:t>成交</w:t>
      </w:r>
      <w:r>
        <w:rPr>
          <w:rFonts w:cs="Times New Roman" w:asciiTheme="minorEastAsia" w:hAnsiTheme="minorEastAsia" w:eastAsiaTheme="minorEastAsia"/>
          <w:color w:val="auto"/>
          <w:szCs w:val="21"/>
          <w:highlight w:val="none"/>
        </w:rPr>
        <w:t>通知书后，在</w:t>
      </w:r>
      <w:r>
        <w:rPr>
          <w:rFonts w:hint="eastAsia" w:cs="Times New Roman" w:asciiTheme="minorEastAsia" w:hAnsiTheme="minorEastAsia" w:eastAsiaTheme="minorEastAsia"/>
          <w:color w:val="auto"/>
          <w:szCs w:val="21"/>
          <w:highlight w:val="none"/>
        </w:rPr>
        <w:t>成交</w:t>
      </w:r>
      <w:r>
        <w:rPr>
          <w:rFonts w:cs="Times New Roman" w:asciiTheme="minorEastAsia" w:hAnsiTheme="minorEastAsia" w:eastAsiaTheme="minorEastAsia"/>
          <w:color w:val="auto"/>
          <w:szCs w:val="21"/>
          <w:highlight w:val="none"/>
        </w:rPr>
        <w:t>通知书规定的期限内与你方签订合同。</w:t>
      </w:r>
    </w:p>
    <w:p w14:paraId="5F41EA89">
      <w:pPr>
        <w:pStyle w:val="217"/>
        <w:tabs>
          <w:tab w:val="left" w:pos="903"/>
        </w:tabs>
        <w:ind w:firstLine="420"/>
        <w:rPr>
          <w:rFonts w:cs="Times New Roman" w:asciiTheme="minorEastAsia" w:hAnsiTheme="minorEastAsia" w:eastAsiaTheme="minorEastAsia"/>
          <w:color w:val="auto"/>
          <w:szCs w:val="21"/>
          <w:highlight w:val="none"/>
        </w:rPr>
      </w:pPr>
      <w:bookmarkStart w:id="86" w:name="bookmark2070"/>
      <w:r>
        <w:rPr>
          <w:rFonts w:cs="Times New Roman" w:asciiTheme="minorEastAsia" w:hAnsiTheme="minorEastAsia" w:eastAsiaTheme="minorEastAsia"/>
          <w:color w:val="auto"/>
          <w:szCs w:val="21"/>
          <w:highlight w:val="none"/>
        </w:rPr>
        <w:t>（</w:t>
      </w:r>
      <w:bookmarkEnd w:id="86"/>
      <w:r>
        <w:rPr>
          <w:rFonts w:cs="Times New Roman" w:asciiTheme="minorEastAsia" w:hAnsiTheme="minorEastAsia" w:eastAsiaTheme="minorEastAsia"/>
          <w:color w:val="auto"/>
          <w:szCs w:val="21"/>
          <w:highlight w:val="none"/>
        </w:rPr>
        <w:t>2）</w:t>
      </w:r>
      <w:r>
        <w:rPr>
          <w:rFonts w:asciiTheme="minorEastAsia" w:hAnsiTheme="minorEastAsia" w:eastAsiaTheme="minorEastAsia"/>
          <w:color w:val="auto"/>
          <w:highlight w:val="none"/>
        </w:rPr>
        <w:t>在签订合同时不向你方提出附加条件</w:t>
      </w:r>
      <w:r>
        <w:rPr>
          <w:rFonts w:cs="Times New Roman" w:asciiTheme="minorEastAsia" w:hAnsiTheme="minorEastAsia" w:eastAsiaTheme="minorEastAsia"/>
          <w:color w:val="auto"/>
          <w:szCs w:val="21"/>
          <w:highlight w:val="none"/>
        </w:rPr>
        <w:t>。</w:t>
      </w:r>
    </w:p>
    <w:p w14:paraId="7ECF84CC">
      <w:pPr>
        <w:pStyle w:val="217"/>
        <w:tabs>
          <w:tab w:val="left" w:pos="903"/>
        </w:tabs>
        <w:ind w:firstLine="420"/>
        <w:rPr>
          <w:rFonts w:cs="Times New Roman" w:asciiTheme="minorEastAsia" w:hAnsiTheme="minorEastAsia" w:eastAsiaTheme="minorEastAsia"/>
          <w:color w:val="auto"/>
          <w:szCs w:val="21"/>
          <w:highlight w:val="none"/>
        </w:rPr>
      </w:pPr>
      <w:bookmarkStart w:id="87" w:name="bookmark2071"/>
      <w:r>
        <w:rPr>
          <w:rFonts w:cs="Times New Roman" w:asciiTheme="minorEastAsia" w:hAnsiTheme="minorEastAsia" w:eastAsiaTheme="minorEastAsia"/>
          <w:color w:val="auto"/>
          <w:szCs w:val="21"/>
          <w:highlight w:val="none"/>
        </w:rPr>
        <w:t>（</w:t>
      </w:r>
      <w:bookmarkEnd w:id="87"/>
      <w:r>
        <w:rPr>
          <w:rFonts w:cs="Times New Roman" w:asciiTheme="minorEastAsia" w:hAnsiTheme="minorEastAsia" w:eastAsiaTheme="minorEastAsia"/>
          <w:color w:val="auto"/>
          <w:szCs w:val="21"/>
          <w:highlight w:val="none"/>
        </w:rPr>
        <w:t>3）我方承诺按照</w:t>
      </w:r>
      <w:r>
        <w:rPr>
          <w:rFonts w:hint="eastAsia" w:cs="Times New Roman" w:asciiTheme="minorEastAsia" w:hAnsiTheme="minorEastAsia" w:eastAsiaTheme="minorEastAsia"/>
          <w:color w:val="auto"/>
          <w:szCs w:val="21"/>
          <w:highlight w:val="none"/>
        </w:rPr>
        <w:t>磋商</w:t>
      </w:r>
      <w:r>
        <w:rPr>
          <w:rFonts w:cs="Times New Roman" w:asciiTheme="minorEastAsia" w:hAnsiTheme="minorEastAsia" w:eastAsiaTheme="minorEastAsia"/>
          <w:color w:val="auto"/>
          <w:szCs w:val="21"/>
          <w:highlight w:val="none"/>
        </w:rPr>
        <w:t>文件规定向你方递交履约担保。</w:t>
      </w:r>
    </w:p>
    <w:p w14:paraId="7A26900D">
      <w:pPr>
        <w:pStyle w:val="217"/>
        <w:tabs>
          <w:tab w:val="left" w:pos="903"/>
        </w:tabs>
        <w:ind w:firstLine="420"/>
        <w:rPr>
          <w:rFonts w:cs="Times New Roman" w:asciiTheme="minorEastAsia" w:hAnsiTheme="minorEastAsia" w:eastAsiaTheme="minorEastAsia"/>
          <w:color w:val="auto"/>
          <w:szCs w:val="21"/>
          <w:highlight w:val="none"/>
        </w:rPr>
      </w:pPr>
      <w:bookmarkStart w:id="88" w:name="bookmark2072"/>
      <w:r>
        <w:rPr>
          <w:rFonts w:cs="Times New Roman" w:asciiTheme="minorEastAsia" w:hAnsiTheme="minorEastAsia" w:eastAsiaTheme="minorEastAsia"/>
          <w:color w:val="auto"/>
          <w:szCs w:val="21"/>
          <w:highlight w:val="none"/>
        </w:rPr>
        <w:t>（</w:t>
      </w:r>
      <w:bookmarkEnd w:id="88"/>
      <w:r>
        <w:rPr>
          <w:rFonts w:cs="Times New Roman" w:asciiTheme="minorEastAsia" w:hAnsiTheme="minorEastAsia" w:eastAsiaTheme="minorEastAsia"/>
          <w:color w:val="auto"/>
          <w:szCs w:val="21"/>
          <w:highlight w:val="none"/>
        </w:rPr>
        <w:t>4）我方承诺在合同约定的期限内完成并移交全部合同工程。</w:t>
      </w:r>
    </w:p>
    <w:p w14:paraId="34712BFF">
      <w:pPr>
        <w:pStyle w:val="217"/>
        <w:numPr>
          <w:ilvl w:val="0"/>
          <w:numId w:val="1"/>
        </w:numPr>
        <w:tabs>
          <w:tab w:val="left" w:pos="762"/>
        </w:tabs>
        <w:ind w:firstLine="440"/>
        <w:rPr>
          <w:rFonts w:cs="Times New Roman" w:asciiTheme="minorEastAsia" w:hAnsiTheme="minorEastAsia" w:eastAsiaTheme="minorEastAsia"/>
          <w:color w:val="auto"/>
          <w:szCs w:val="21"/>
          <w:highlight w:val="none"/>
        </w:rPr>
      </w:pPr>
      <w:bookmarkStart w:id="89" w:name="bookmark2073"/>
      <w:bookmarkEnd w:id="89"/>
      <w:r>
        <w:rPr>
          <w:rFonts w:asciiTheme="minorEastAsia" w:hAnsiTheme="minorEastAsia" w:eastAsiaTheme="minorEastAsia"/>
          <w:color w:val="auto"/>
          <w:highlight w:val="none"/>
        </w:rPr>
        <w:t>在合同协议书正式签署生效之前，本</w:t>
      </w:r>
      <w:r>
        <w:rPr>
          <w:rFonts w:hint="eastAsia" w:cs="Times New Roman" w:asciiTheme="minorEastAsia" w:hAnsiTheme="minorEastAsia" w:eastAsiaTheme="minorEastAsia"/>
          <w:color w:val="auto"/>
          <w:szCs w:val="21"/>
          <w:highlight w:val="none"/>
        </w:rPr>
        <w:t>竞</w:t>
      </w:r>
      <w:r>
        <w:rPr>
          <w:rFonts w:cs="Times New Roman" w:asciiTheme="minorEastAsia" w:hAnsiTheme="minorEastAsia" w:eastAsiaTheme="minorEastAsia"/>
          <w:color w:val="auto"/>
          <w:szCs w:val="21"/>
          <w:highlight w:val="none"/>
        </w:rPr>
        <w:t>标</w:t>
      </w:r>
      <w:r>
        <w:rPr>
          <w:rFonts w:asciiTheme="minorEastAsia" w:hAnsiTheme="minorEastAsia" w:eastAsiaTheme="minorEastAsia"/>
          <w:color w:val="auto"/>
          <w:highlight w:val="none"/>
        </w:rPr>
        <w:t>函连同你方的</w:t>
      </w:r>
      <w:r>
        <w:rPr>
          <w:rFonts w:hint="eastAsia" w:asciiTheme="minorEastAsia" w:hAnsiTheme="minorEastAsia" w:eastAsiaTheme="minorEastAsia"/>
          <w:color w:val="auto"/>
          <w:highlight w:val="none"/>
        </w:rPr>
        <w:t>成交</w:t>
      </w:r>
      <w:r>
        <w:rPr>
          <w:rFonts w:asciiTheme="minorEastAsia" w:hAnsiTheme="minorEastAsia" w:eastAsiaTheme="minorEastAsia"/>
          <w:color w:val="auto"/>
          <w:highlight w:val="none"/>
        </w:rPr>
        <w:t>通知书将构成我们双方之间共同遵守的文件，对双方具有约束力</w:t>
      </w:r>
      <w:r>
        <w:rPr>
          <w:rFonts w:cs="Times New Roman" w:asciiTheme="minorEastAsia" w:hAnsiTheme="minorEastAsia" w:eastAsiaTheme="minorEastAsia"/>
          <w:color w:val="auto"/>
          <w:szCs w:val="21"/>
          <w:highlight w:val="none"/>
        </w:rPr>
        <w:t>。</w:t>
      </w:r>
    </w:p>
    <w:p w14:paraId="74B1B76A">
      <w:pPr>
        <w:spacing w:line="360" w:lineRule="auto"/>
        <w:ind w:firstLine="420" w:firstLineChars="200"/>
        <w:rPr>
          <w:color w:val="auto"/>
          <w:szCs w:val="21"/>
          <w:highlight w:val="none"/>
        </w:rPr>
      </w:pPr>
      <w:bookmarkStart w:id="90" w:name="bookmark2074"/>
      <w:bookmarkEnd w:id="90"/>
      <w:r>
        <w:rPr>
          <w:rFonts w:hint="eastAsia"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（其他补充说明）。</w:t>
      </w:r>
    </w:p>
    <w:p w14:paraId="60D65F48">
      <w:pPr>
        <w:spacing w:line="360" w:lineRule="auto"/>
        <w:jc w:val="center"/>
        <w:rPr>
          <w:rFonts w:ascii="宋体" w:hAnsi="宋体" w:cs="方正小标宋简体"/>
          <w:b/>
          <w:bCs/>
          <w:color w:val="auto"/>
          <w:sz w:val="32"/>
          <w:szCs w:val="32"/>
          <w:highlight w:val="none"/>
        </w:rPr>
      </w:pPr>
    </w:p>
    <w:p w14:paraId="1B123E13">
      <w:pPr>
        <w:spacing w:line="360" w:lineRule="auto"/>
        <w:ind w:right="-816"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r>
        <w:rPr>
          <w:rFonts w:hint="eastAsia" w:ascii="宋体" w:hAnsi="宋体" w:cs="仿宋_GB2312"/>
          <w:color w:val="auto"/>
          <w:sz w:val="24"/>
          <w:highlight w:val="none"/>
        </w:rPr>
        <w:t xml:space="preserve">                </w:t>
      </w:r>
    </w:p>
    <w:p w14:paraId="25E42E7A">
      <w:pPr>
        <w:spacing w:line="360" w:lineRule="auto"/>
        <w:ind w:right="-816"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3DD7D46A">
      <w:pPr>
        <w:spacing w:line="360" w:lineRule="auto"/>
        <w:jc w:val="center"/>
        <w:rPr>
          <w:rFonts w:ascii="宋体" w:hAnsi="宋体" w:cs="方正小标宋简体"/>
          <w:b/>
          <w:bCs/>
          <w:color w:val="auto"/>
          <w:sz w:val="32"/>
          <w:szCs w:val="32"/>
          <w:highlight w:val="none"/>
        </w:rPr>
      </w:pPr>
      <w:r>
        <w:rPr>
          <w:rFonts w:hint="eastAsia" w:ascii="宋体" w:hAnsi="宋体" w:cs="仿宋_GB2312"/>
          <w:color w:val="auto"/>
          <w:sz w:val="24"/>
          <w:highlight w:val="none"/>
        </w:rPr>
        <w:t>日期：   年   月   日</w:t>
      </w:r>
      <w:r>
        <w:rPr>
          <w:rFonts w:ascii="宋体" w:hAnsi="宋体" w:cs="方正小标宋简体"/>
          <w:b/>
          <w:bCs/>
          <w:color w:val="auto"/>
          <w:sz w:val="32"/>
          <w:szCs w:val="32"/>
          <w:highlight w:val="none"/>
        </w:rPr>
        <w:br w:type="page"/>
      </w:r>
      <w:r>
        <w:rPr>
          <w:rFonts w:hint="eastAsia" w:ascii="宋体" w:hAnsi="宋体" w:cs="方正小标宋简体"/>
          <w:b/>
          <w:bCs/>
          <w:color w:val="auto"/>
          <w:sz w:val="32"/>
          <w:szCs w:val="32"/>
          <w:highlight w:val="none"/>
        </w:rPr>
        <w:t>（二）竞标函附录</w:t>
      </w:r>
    </w:p>
    <w:tbl>
      <w:tblPr>
        <w:tblStyle w:val="46"/>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14:paraId="04C7E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1BFCB509">
            <w:pPr>
              <w:keepNext w:val="0"/>
              <w:keepLines w:val="0"/>
              <w:suppressLineNumbers w:val="0"/>
              <w:spacing w:before="0" w:beforeAutospacing="0" w:after="0" w:afterAutospacing="0"/>
              <w:ind w:left="0" w:right="0"/>
              <w:jc w:val="center"/>
              <w:rPr>
                <w:rFonts w:hint="default"/>
                <w:color w:val="auto"/>
                <w:highlight w:val="none"/>
              </w:rPr>
            </w:pPr>
            <w:r>
              <w:rPr>
                <w:rFonts w:hint="eastAsia" w:cs="宋体"/>
                <w:color w:val="auto"/>
                <w:highlight w:val="none"/>
              </w:rPr>
              <w:t>序</w:t>
            </w:r>
            <w:r>
              <w:rPr>
                <w:rFonts w:hint="default"/>
                <w:color w:val="auto"/>
                <w:highlight w:val="none"/>
              </w:rPr>
              <w:t xml:space="preserve"> </w:t>
            </w:r>
            <w:r>
              <w:rPr>
                <w:rFonts w:hint="eastAsia" w:cs="宋体"/>
                <w:color w:val="auto"/>
                <w:highlight w:val="none"/>
              </w:rPr>
              <w:t>号</w:t>
            </w:r>
          </w:p>
        </w:tc>
        <w:tc>
          <w:tcPr>
            <w:tcW w:w="1985" w:type="dxa"/>
            <w:vAlign w:val="center"/>
          </w:tcPr>
          <w:p w14:paraId="48B9DB88">
            <w:pPr>
              <w:keepNext w:val="0"/>
              <w:keepLines w:val="0"/>
              <w:suppressLineNumbers w:val="0"/>
              <w:spacing w:before="0" w:beforeAutospacing="0" w:after="0" w:afterAutospacing="0"/>
              <w:ind w:left="0" w:right="0"/>
              <w:jc w:val="center"/>
              <w:rPr>
                <w:rFonts w:hint="default"/>
                <w:color w:val="auto"/>
                <w:highlight w:val="none"/>
              </w:rPr>
            </w:pPr>
            <w:r>
              <w:rPr>
                <w:rFonts w:hint="eastAsia" w:cs="宋体"/>
                <w:color w:val="auto"/>
                <w:highlight w:val="none"/>
              </w:rPr>
              <w:t>条款内容</w:t>
            </w:r>
          </w:p>
        </w:tc>
        <w:tc>
          <w:tcPr>
            <w:tcW w:w="2126" w:type="dxa"/>
            <w:vAlign w:val="center"/>
          </w:tcPr>
          <w:p w14:paraId="1D27D244">
            <w:pPr>
              <w:keepNext w:val="0"/>
              <w:keepLines w:val="0"/>
              <w:suppressLineNumbers w:val="0"/>
              <w:spacing w:before="0" w:beforeAutospacing="0" w:after="0" w:afterAutospacing="0"/>
              <w:ind w:left="0" w:right="0"/>
              <w:jc w:val="center"/>
              <w:rPr>
                <w:rFonts w:hint="default"/>
                <w:color w:val="auto"/>
                <w:highlight w:val="none"/>
              </w:rPr>
            </w:pPr>
            <w:r>
              <w:rPr>
                <w:rFonts w:hint="eastAsia" w:cs="宋体"/>
                <w:color w:val="auto"/>
                <w:highlight w:val="none"/>
              </w:rPr>
              <w:t>合同条款号</w:t>
            </w:r>
          </w:p>
        </w:tc>
        <w:tc>
          <w:tcPr>
            <w:tcW w:w="1984" w:type="dxa"/>
            <w:vAlign w:val="center"/>
          </w:tcPr>
          <w:p w14:paraId="1BBA36B9">
            <w:pPr>
              <w:keepNext w:val="0"/>
              <w:keepLines w:val="0"/>
              <w:suppressLineNumbers w:val="0"/>
              <w:spacing w:before="0" w:beforeAutospacing="0" w:after="0" w:afterAutospacing="0"/>
              <w:ind w:left="0" w:right="0"/>
              <w:jc w:val="center"/>
              <w:rPr>
                <w:rFonts w:hint="default"/>
                <w:color w:val="auto"/>
                <w:highlight w:val="none"/>
              </w:rPr>
            </w:pPr>
            <w:r>
              <w:rPr>
                <w:rFonts w:hint="eastAsia" w:cs="宋体"/>
                <w:color w:val="auto"/>
                <w:highlight w:val="none"/>
              </w:rPr>
              <w:t>约定内容</w:t>
            </w:r>
          </w:p>
        </w:tc>
        <w:tc>
          <w:tcPr>
            <w:tcW w:w="1843" w:type="dxa"/>
            <w:vAlign w:val="center"/>
          </w:tcPr>
          <w:p w14:paraId="51D21DA4">
            <w:pPr>
              <w:keepNext w:val="0"/>
              <w:keepLines w:val="0"/>
              <w:suppressLineNumbers w:val="0"/>
              <w:spacing w:before="0" w:beforeAutospacing="0" w:after="0" w:afterAutospacing="0"/>
              <w:ind w:left="0" w:right="0"/>
              <w:jc w:val="center"/>
              <w:rPr>
                <w:rFonts w:hint="default"/>
                <w:color w:val="auto"/>
                <w:highlight w:val="none"/>
              </w:rPr>
            </w:pPr>
            <w:r>
              <w:rPr>
                <w:rFonts w:hint="eastAsia" w:cs="宋体"/>
                <w:color w:val="auto"/>
                <w:highlight w:val="none"/>
              </w:rPr>
              <w:t>供应商响应情况</w:t>
            </w:r>
          </w:p>
        </w:tc>
      </w:tr>
      <w:tr w14:paraId="6E74F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4C9C99E">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highlight w:val="none"/>
              </w:rPr>
            </w:pPr>
            <w:r>
              <w:rPr>
                <w:rFonts w:hint="default" w:asciiTheme="majorEastAsia" w:hAnsiTheme="majorEastAsia" w:eastAsiaTheme="majorEastAsia"/>
                <w:color w:val="auto"/>
                <w:highlight w:val="none"/>
              </w:rPr>
              <w:t>1</w:t>
            </w:r>
          </w:p>
        </w:tc>
        <w:tc>
          <w:tcPr>
            <w:tcW w:w="1985" w:type="dxa"/>
            <w:vAlign w:val="center"/>
          </w:tcPr>
          <w:p w14:paraId="4C486C51">
            <w:pPr>
              <w:keepNext w:val="0"/>
              <w:keepLines w:val="0"/>
              <w:suppressLineNumbers w:val="0"/>
              <w:spacing w:before="0" w:beforeAutospacing="0" w:after="0" w:afterAutospacing="0"/>
              <w:ind w:left="0" w:right="0"/>
              <w:rPr>
                <w:rFonts w:hint="default"/>
                <w:color w:val="auto"/>
                <w:highlight w:val="none"/>
              </w:rPr>
            </w:pPr>
            <w:r>
              <w:rPr>
                <w:rFonts w:hint="eastAsia" w:cs="宋体"/>
                <w:color w:val="auto"/>
                <w:highlight w:val="none"/>
              </w:rPr>
              <w:t>项目经理</w:t>
            </w:r>
          </w:p>
        </w:tc>
        <w:tc>
          <w:tcPr>
            <w:tcW w:w="2126" w:type="dxa"/>
            <w:tcMar>
              <w:left w:w="170" w:type="dxa"/>
            </w:tcMar>
            <w:vAlign w:val="center"/>
          </w:tcPr>
          <w:p w14:paraId="117048EE">
            <w:pPr>
              <w:keepNext w:val="0"/>
              <w:keepLines w:val="0"/>
              <w:suppressLineNumbers w:val="0"/>
              <w:spacing w:before="0" w:beforeAutospacing="0" w:after="0" w:afterAutospacing="0"/>
              <w:ind w:left="0" w:right="0"/>
              <w:jc w:val="center"/>
              <w:rPr>
                <w:rFonts w:hint="default"/>
                <w:color w:val="auto"/>
                <w:highlight w:val="none"/>
              </w:rPr>
            </w:pPr>
            <w:r>
              <w:rPr>
                <w:rFonts w:hint="eastAsia" w:cs="宋体"/>
                <w:color w:val="auto"/>
                <w:highlight w:val="none"/>
              </w:rPr>
              <w:t>专用条款</w:t>
            </w:r>
          </w:p>
        </w:tc>
        <w:tc>
          <w:tcPr>
            <w:tcW w:w="1984" w:type="dxa"/>
            <w:vAlign w:val="center"/>
          </w:tcPr>
          <w:p w14:paraId="1BAA7C59">
            <w:pPr>
              <w:keepNext w:val="0"/>
              <w:keepLines w:val="0"/>
              <w:suppressLineNumbers w:val="0"/>
              <w:spacing w:before="0" w:beforeAutospacing="0" w:after="0" w:afterAutospacing="0"/>
              <w:ind w:left="0" w:right="0"/>
              <w:rPr>
                <w:rFonts w:hint="default"/>
                <w:color w:val="auto"/>
                <w:highlight w:val="none"/>
              </w:rPr>
            </w:pPr>
            <w:r>
              <w:rPr>
                <w:rFonts w:hint="eastAsia" w:cs="宋体"/>
                <w:color w:val="auto"/>
                <w:highlight w:val="none"/>
              </w:rPr>
              <w:t>姓名：</w:t>
            </w:r>
            <w:r>
              <w:rPr>
                <w:rFonts w:hint="default"/>
                <w:color w:val="auto"/>
                <w:highlight w:val="none"/>
                <w:u w:val="single"/>
              </w:rPr>
              <w:t xml:space="preserve">          </w:t>
            </w:r>
          </w:p>
        </w:tc>
        <w:tc>
          <w:tcPr>
            <w:tcW w:w="1843" w:type="dxa"/>
            <w:vAlign w:val="center"/>
          </w:tcPr>
          <w:p w14:paraId="76712A69">
            <w:pPr>
              <w:keepNext w:val="0"/>
              <w:keepLines w:val="0"/>
              <w:suppressLineNumbers w:val="0"/>
              <w:spacing w:before="0" w:beforeAutospacing="0" w:after="0" w:afterAutospacing="0"/>
              <w:ind w:left="0" w:right="0"/>
              <w:jc w:val="center"/>
              <w:rPr>
                <w:rFonts w:hint="default"/>
                <w:color w:val="auto"/>
                <w:highlight w:val="none"/>
              </w:rPr>
            </w:pPr>
          </w:p>
        </w:tc>
      </w:tr>
      <w:tr w14:paraId="764FB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17CD3F69">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highlight w:val="none"/>
              </w:rPr>
            </w:pPr>
            <w:r>
              <w:rPr>
                <w:rFonts w:hint="default" w:asciiTheme="majorEastAsia" w:hAnsiTheme="majorEastAsia" w:eastAsiaTheme="majorEastAsia"/>
                <w:color w:val="auto"/>
                <w:highlight w:val="none"/>
              </w:rPr>
              <w:t>2</w:t>
            </w:r>
          </w:p>
        </w:tc>
        <w:tc>
          <w:tcPr>
            <w:tcW w:w="1985" w:type="dxa"/>
            <w:vAlign w:val="center"/>
          </w:tcPr>
          <w:p w14:paraId="3806685A">
            <w:pPr>
              <w:keepNext w:val="0"/>
              <w:keepLines w:val="0"/>
              <w:suppressLineNumbers w:val="0"/>
              <w:spacing w:before="0" w:beforeAutospacing="0" w:after="0" w:afterAutospacing="0"/>
              <w:ind w:left="0" w:right="0"/>
              <w:rPr>
                <w:rFonts w:hint="default"/>
                <w:color w:val="auto"/>
                <w:highlight w:val="none"/>
              </w:rPr>
            </w:pPr>
            <w:r>
              <w:rPr>
                <w:rFonts w:hint="eastAsia" w:cs="宋体"/>
                <w:color w:val="auto"/>
                <w:highlight w:val="none"/>
              </w:rPr>
              <w:t>竞标有效期</w:t>
            </w:r>
          </w:p>
        </w:tc>
        <w:tc>
          <w:tcPr>
            <w:tcW w:w="2126" w:type="dxa"/>
            <w:tcMar>
              <w:left w:w="170" w:type="dxa"/>
            </w:tcMar>
            <w:vAlign w:val="center"/>
          </w:tcPr>
          <w:p w14:paraId="68DE09ED">
            <w:pPr>
              <w:keepNext w:val="0"/>
              <w:keepLines w:val="0"/>
              <w:suppressLineNumbers w:val="0"/>
              <w:spacing w:before="0" w:beforeAutospacing="0" w:after="0" w:afterAutospacing="0"/>
              <w:ind w:left="0" w:right="0"/>
              <w:rPr>
                <w:rFonts w:hint="default"/>
                <w:color w:val="auto"/>
                <w:highlight w:val="none"/>
              </w:rPr>
            </w:pPr>
          </w:p>
        </w:tc>
        <w:tc>
          <w:tcPr>
            <w:tcW w:w="1984" w:type="dxa"/>
            <w:vAlign w:val="center"/>
          </w:tcPr>
          <w:p w14:paraId="292FC302">
            <w:pPr>
              <w:keepNext w:val="0"/>
              <w:keepLines w:val="0"/>
              <w:suppressLineNumbers w:val="0"/>
              <w:spacing w:before="0" w:beforeAutospacing="0" w:after="0" w:afterAutospacing="0"/>
              <w:ind w:left="0" w:right="0"/>
              <w:jc w:val="center"/>
              <w:rPr>
                <w:rFonts w:hint="default"/>
                <w:color w:val="auto"/>
                <w:highlight w:val="none"/>
                <w:u w:val="single"/>
              </w:rPr>
            </w:pPr>
          </w:p>
        </w:tc>
        <w:tc>
          <w:tcPr>
            <w:tcW w:w="1843" w:type="dxa"/>
            <w:vAlign w:val="center"/>
          </w:tcPr>
          <w:p w14:paraId="2858EB82">
            <w:pPr>
              <w:keepNext w:val="0"/>
              <w:keepLines w:val="0"/>
              <w:suppressLineNumbers w:val="0"/>
              <w:spacing w:before="0" w:beforeAutospacing="0" w:after="0" w:afterAutospacing="0"/>
              <w:ind w:left="0" w:right="0"/>
              <w:jc w:val="center"/>
              <w:rPr>
                <w:rFonts w:hint="default"/>
                <w:color w:val="auto"/>
                <w:highlight w:val="none"/>
              </w:rPr>
            </w:pPr>
          </w:p>
        </w:tc>
      </w:tr>
      <w:tr w14:paraId="7A873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ACD0112">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highlight w:val="none"/>
              </w:rPr>
            </w:pPr>
            <w:r>
              <w:rPr>
                <w:rFonts w:hint="default" w:asciiTheme="majorEastAsia" w:hAnsiTheme="majorEastAsia" w:eastAsiaTheme="majorEastAsia"/>
                <w:color w:val="auto"/>
                <w:highlight w:val="none"/>
              </w:rPr>
              <w:t>3</w:t>
            </w:r>
          </w:p>
        </w:tc>
        <w:tc>
          <w:tcPr>
            <w:tcW w:w="1985" w:type="dxa"/>
            <w:vAlign w:val="center"/>
          </w:tcPr>
          <w:p w14:paraId="55AEF691">
            <w:pPr>
              <w:keepNext w:val="0"/>
              <w:keepLines w:val="0"/>
              <w:suppressLineNumbers w:val="0"/>
              <w:spacing w:before="0" w:beforeAutospacing="0" w:after="0" w:afterAutospacing="0"/>
              <w:ind w:left="0" w:right="0"/>
              <w:rPr>
                <w:rFonts w:hint="default"/>
                <w:color w:val="auto"/>
                <w:highlight w:val="none"/>
              </w:rPr>
            </w:pPr>
            <w:r>
              <w:rPr>
                <w:rFonts w:hint="eastAsia" w:cs="宋体"/>
                <w:color w:val="auto"/>
                <w:highlight w:val="none"/>
              </w:rPr>
              <w:t>工期</w:t>
            </w:r>
          </w:p>
        </w:tc>
        <w:tc>
          <w:tcPr>
            <w:tcW w:w="2126" w:type="dxa"/>
            <w:tcMar>
              <w:left w:w="170" w:type="dxa"/>
            </w:tcMar>
            <w:vAlign w:val="center"/>
          </w:tcPr>
          <w:p w14:paraId="3435E93A">
            <w:pPr>
              <w:keepNext w:val="0"/>
              <w:keepLines w:val="0"/>
              <w:suppressLineNumbers w:val="0"/>
              <w:spacing w:before="0" w:beforeAutospacing="0" w:after="0" w:afterAutospacing="0"/>
              <w:ind w:left="0" w:right="0"/>
              <w:jc w:val="center"/>
              <w:rPr>
                <w:rFonts w:hint="default"/>
                <w:color w:val="auto"/>
                <w:highlight w:val="none"/>
              </w:rPr>
            </w:pPr>
            <w:r>
              <w:rPr>
                <w:rFonts w:hint="eastAsia" w:cs="宋体"/>
                <w:color w:val="auto"/>
                <w:highlight w:val="none"/>
              </w:rPr>
              <w:t>专用条款</w:t>
            </w:r>
          </w:p>
        </w:tc>
        <w:tc>
          <w:tcPr>
            <w:tcW w:w="1984" w:type="dxa"/>
            <w:vAlign w:val="center"/>
          </w:tcPr>
          <w:p w14:paraId="134113AA">
            <w:pPr>
              <w:keepNext w:val="0"/>
              <w:keepLines w:val="0"/>
              <w:suppressLineNumbers w:val="0"/>
              <w:spacing w:before="0" w:beforeAutospacing="0" w:after="0" w:afterAutospacing="0"/>
              <w:ind w:left="0" w:right="0"/>
              <w:jc w:val="center"/>
              <w:rPr>
                <w:rFonts w:hint="default"/>
                <w:color w:val="auto"/>
                <w:highlight w:val="none"/>
              </w:rPr>
            </w:pPr>
            <w:r>
              <w:rPr>
                <w:rFonts w:hint="default"/>
                <w:color w:val="auto"/>
                <w:highlight w:val="none"/>
                <w:u w:val="single"/>
              </w:rPr>
              <w:t xml:space="preserve">          </w:t>
            </w:r>
            <w:r>
              <w:rPr>
                <w:rFonts w:hint="eastAsia" w:cs="宋体"/>
                <w:color w:val="auto"/>
                <w:highlight w:val="none"/>
              </w:rPr>
              <w:t>日历天</w:t>
            </w:r>
          </w:p>
        </w:tc>
        <w:tc>
          <w:tcPr>
            <w:tcW w:w="1843" w:type="dxa"/>
            <w:vAlign w:val="center"/>
          </w:tcPr>
          <w:p w14:paraId="429C2013">
            <w:pPr>
              <w:keepNext w:val="0"/>
              <w:keepLines w:val="0"/>
              <w:suppressLineNumbers w:val="0"/>
              <w:spacing w:before="0" w:beforeAutospacing="0" w:after="0" w:afterAutospacing="0"/>
              <w:ind w:left="0" w:right="0"/>
              <w:jc w:val="center"/>
              <w:rPr>
                <w:rFonts w:hint="default"/>
                <w:color w:val="auto"/>
                <w:highlight w:val="none"/>
              </w:rPr>
            </w:pPr>
          </w:p>
        </w:tc>
      </w:tr>
      <w:tr w14:paraId="0F49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18A16B6">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highlight w:val="none"/>
              </w:rPr>
            </w:pPr>
            <w:r>
              <w:rPr>
                <w:rFonts w:hint="default" w:asciiTheme="majorEastAsia" w:hAnsiTheme="majorEastAsia" w:eastAsiaTheme="majorEastAsia"/>
                <w:color w:val="auto"/>
                <w:highlight w:val="none"/>
              </w:rPr>
              <w:t>4</w:t>
            </w:r>
          </w:p>
        </w:tc>
        <w:tc>
          <w:tcPr>
            <w:tcW w:w="1985" w:type="dxa"/>
            <w:vAlign w:val="center"/>
          </w:tcPr>
          <w:p w14:paraId="199600E3">
            <w:pPr>
              <w:keepNext w:val="0"/>
              <w:keepLines w:val="0"/>
              <w:suppressLineNumbers w:val="0"/>
              <w:spacing w:before="0" w:beforeAutospacing="0" w:after="0" w:afterAutospacing="0"/>
              <w:ind w:left="0" w:right="0"/>
              <w:rPr>
                <w:rFonts w:hint="default"/>
                <w:color w:val="auto"/>
                <w:highlight w:val="none"/>
              </w:rPr>
            </w:pPr>
            <w:r>
              <w:rPr>
                <w:rFonts w:hint="eastAsia" w:cs="宋体"/>
                <w:color w:val="auto"/>
                <w:highlight w:val="none"/>
              </w:rPr>
              <w:t>缺陷责任期</w:t>
            </w:r>
          </w:p>
        </w:tc>
        <w:tc>
          <w:tcPr>
            <w:tcW w:w="2126" w:type="dxa"/>
            <w:tcMar>
              <w:left w:w="170" w:type="dxa"/>
            </w:tcMar>
            <w:vAlign w:val="center"/>
          </w:tcPr>
          <w:p w14:paraId="2AACC3DB">
            <w:pPr>
              <w:keepNext w:val="0"/>
              <w:keepLines w:val="0"/>
              <w:suppressLineNumbers w:val="0"/>
              <w:spacing w:before="0" w:beforeAutospacing="0" w:after="0" w:afterAutospacing="0"/>
              <w:ind w:left="0" w:right="0"/>
              <w:jc w:val="center"/>
              <w:rPr>
                <w:rFonts w:hint="default"/>
                <w:color w:val="auto"/>
                <w:highlight w:val="none"/>
              </w:rPr>
            </w:pPr>
            <w:r>
              <w:rPr>
                <w:rFonts w:hint="eastAsia" w:cs="宋体"/>
                <w:color w:val="auto"/>
                <w:highlight w:val="none"/>
              </w:rPr>
              <w:t>专用条款</w:t>
            </w:r>
          </w:p>
        </w:tc>
        <w:tc>
          <w:tcPr>
            <w:tcW w:w="1984" w:type="dxa"/>
            <w:vAlign w:val="center"/>
          </w:tcPr>
          <w:p w14:paraId="40E275A9">
            <w:pPr>
              <w:keepNext w:val="0"/>
              <w:keepLines w:val="0"/>
              <w:suppressLineNumbers w:val="0"/>
              <w:spacing w:before="0" w:beforeAutospacing="0" w:after="0" w:afterAutospacing="0"/>
              <w:ind w:left="0" w:right="0"/>
              <w:jc w:val="center"/>
              <w:rPr>
                <w:rFonts w:hint="default"/>
                <w:color w:val="auto"/>
                <w:highlight w:val="none"/>
              </w:rPr>
            </w:pPr>
          </w:p>
        </w:tc>
        <w:tc>
          <w:tcPr>
            <w:tcW w:w="1843" w:type="dxa"/>
            <w:vAlign w:val="center"/>
          </w:tcPr>
          <w:p w14:paraId="4AC8AAB6">
            <w:pPr>
              <w:keepNext w:val="0"/>
              <w:keepLines w:val="0"/>
              <w:suppressLineNumbers w:val="0"/>
              <w:spacing w:before="0" w:beforeAutospacing="0" w:after="0" w:afterAutospacing="0"/>
              <w:ind w:left="0" w:right="0"/>
              <w:jc w:val="center"/>
              <w:rPr>
                <w:rFonts w:hint="default"/>
                <w:color w:val="auto"/>
                <w:highlight w:val="none"/>
              </w:rPr>
            </w:pPr>
          </w:p>
        </w:tc>
      </w:tr>
      <w:tr w14:paraId="5C4A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21DE3520">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highlight w:val="none"/>
              </w:rPr>
            </w:pPr>
            <w:r>
              <w:rPr>
                <w:rFonts w:hint="default" w:asciiTheme="majorEastAsia" w:hAnsiTheme="majorEastAsia" w:eastAsiaTheme="majorEastAsia"/>
                <w:color w:val="auto"/>
                <w:highlight w:val="none"/>
              </w:rPr>
              <w:t>5</w:t>
            </w:r>
          </w:p>
        </w:tc>
        <w:tc>
          <w:tcPr>
            <w:tcW w:w="1985" w:type="dxa"/>
            <w:vAlign w:val="center"/>
          </w:tcPr>
          <w:p w14:paraId="64A8C93D">
            <w:pPr>
              <w:keepNext w:val="0"/>
              <w:keepLines w:val="0"/>
              <w:suppressLineNumbers w:val="0"/>
              <w:spacing w:before="0" w:beforeAutospacing="0" w:after="0" w:afterAutospacing="0"/>
              <w:ind w:left="0" w:right="0"/>
              <w:rPr>
                <w:rFonts w:hint="default"/>
                <w:color w:val="auto"/>
                <w:highlight w:val="none"/>
              </w:rPr>
            </w:pPr>
            <w:r>
              <w:rPr>
                <w:rFonts w:hint="eastAsia" w:cs="宋体"/>
                <w:color w:val="auto"/>
                <w:highlight w:val="none"/>
              </w:rPr>
              <w:t>发包人支付担保</w:t>
            </w:r>
          </w:p>
        </w:tc>
        <w:tc>
          <w:tcPr>
            <w:tcW w:w="2126" w:type="dxa"/>
            <w:tcMar>
              <w:left w:w="170" w:type="dxa"/>
            </w:tcMar>
            <w:vAlign w:val="center"/>
          </w:tcPr>
          <w:p w14:paraId="3A3D2757">
            <w:pPr>
              <w:keepNext w:val="0"/>
              <w:keepLines w:val="0"/>
              <w:suppressLineNumbers w:val="0"/>
              <w:spacing w:before="0" w:beforeAutospacing="0" w:after="0" w:afterAutospacing="0"/>
              <w:ind w:left="0" w:right="0"/>
              <w:jc w:val="center"/>
              <w:rPr>
                <w:rFonts w:hint="default"/>
                <w:color w:val="auto"/>
                <w:highlight w:val="none"/>
              </w:rPr>
            </w:pPr>
            <w:r>
              <w:rPr>
                <w:rFonts w:hint="eastAsia" w:cs="宋体"/>
                <w:color w:val="auto"/>
                <w:highlight w:val="none"/>
              </w:rPr>
              <w:t>专用条款</w:t>
            </w:r>
          </w:p>
        </w:tc>
        <w:tc>
          <w:tcPr>
            <w:tcW w:w="1984" w:type="dxa"/>
            <w:vAlign w:val="center"/>
          </w:tcPr>
          <w:p w14:paraId="571B09F3">
            <w:pPr>
              <w:keepNext w:val="0"/>
              <w:keepLines w:val="0"/>
              <w:suppressLineNumbers w:val="0"/>
              <w:spacing w:before="0" w:beforeAutospacing="0" w:after="0" w:afterAutospacing="0"/>
              <w:ind w:left="0" w:right="0"/>
              <w:jc w:val="center"/>
              <w:rPr>
                <w:rFonts w:hint="default"/>
                <w:color w:val="auto"/>
                <w:highlight w:val="none"/>
              </w:rPr>
            </w:pPr>
          </w:p>
        </w:tc>
        <w:tc>
          <w:tcPr>
            <w:tcW w:w="1843" w:type="dxa"/>
            <w:vAlign w:val="center"/>
          </w:tcPr>
          <w:p w14:paraId="435984D8">
            <w:pPr>
              <w:keepNext w:val="0"/>
              <w:keepLines w:val="0"/>
              <w:suppressLineNumbers w:val="0"/>
              <w:spacing w:before="0" w:beforeAutospacing="0" w:after="0" w:afterAutospacing="0"/>
              <w:ind w:left="0" w:right="0"/>
              <w:jc w:val="center"/>
              <w:rPr>
                <w:rFonts w:hint="default"/>
                <w:color w:val="auto"/>
                <w:highlight w:val="none"/>
              </w:rPr>
            </w:pPr>
          </w:p>
        </w:tc>
      </w:tr>
      <w:tr w14:paraId="281B2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2710C7AA">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highlight w:val="none"/>
              </w:rPr>
            </w:pPr>
            <w:r>
              <w:rPr>
                <w:rFonts w:hint="default" w:asciiTheme="majorEastAsia" w:hAnsiTheme="majorEastAsia" w:eastAsiaTheme="majorEastAsia"/>
                <w:color w:val="auto"/>
                <w:highlight w:val="none"/>
              </w:rPr>
              <w:t>6</w:t>
            </w:r>
          </w:p>
        </w:tc>
        <w:tc>
          <w:tcPr>
            <w:tcW w:w="1985" w:type="dxa"/>
            <w:vAlign w:val="center"/>
          </w:tcPr>
          <w:p w14:paraId="49C87DA1">
            <w:pPr>
              <w:keepNext w:val="0"/>
              <w:keepLines w:val="0"/>
              <w:suppressLineNumbers w:val="0"/>
              <w:spacing w:before="0" w:beforeAutospacing="0" w:after="0" w:afterAutospacing="0"/>
              <w:ind w:left="0" w:right="0"/>
              <w:rPr>
                <w:rFonts w:hint="default"/>
                <w:color w:val="auto"/>
                <w:highlight w:val="none"/>
              </w:rPr>
            </w:pPr>
            <w:r>
              <w:rPr>
                <w:rFonts w:hint="eastAsia" w:cs="宋体"/>
                <w:color w:val="auto"/>
                <w:highlight w:val="none"/>
              </w:rPr>
              <w:t>承包人履约担保金额</w:t>
            </w:r>
          </w:p>
        </w:tc>
        <w:tc>
          <w:tcPr>
            <w:tcW w:w="2126" w:type="dxa"/>
            <w:tcMar>
              <w:left w:w="170" w:type="dxa"/>
            </w:tcMar>
            <w:vAlign w:val="center"/>
          </w:tcPr>
          <w:p w14:paraId="2B885E29">
            <w:pPr>
              <w:keepNext w:val="0"/>
              <w:keepLines w:val="0"/>
              <w:suppressLineNumbers w:val="0"/>
              <w:spacing w:before="0" w:beforeAutospacing="0" w:after="0" w:afterAutospacing="0"/>
              <w:ind w:left="0" w:right="0"/>
              <w:jc w:val="center"/>
              <w:rPr>
                <w:rFonts w:hint="default"/>
                <w:color w:val="auto"/>
                <w:highlight w:val="none"/>
              </w:rPr>
            </w:pPr>
            <w:r>
              <w:rPr>
                <w:rFonts w:hint="eastAsia" w:cs="宋体"/>
                <w:color w:val="auto"/>
                <w:highlight w:val="none"/>
              </w:rPr>
              <w:t>专用条款</w:t>
            </w:r>
          </w:p>
        </w:tc>
        <w:tc>
          <w:tcPr>
            <w:tcW w:w="1984" w:type="dxa"/>
            <w:vAlign w:val="center"/>
          </w:tcPr>
          <w:p w14:paraId="2991081D">
            <w:pPr>
              <w:keepNext w:val="0"/>
              <w:keepLines w:val="0"/>
              <w:suppressLineNumbers w:val="0"/>
              <w:spacing w:before="0" w:beforeAutospacing="0" w:after="0" w:afterAutospacing="0"/>
              <w:ind w:left="0" w:right="0"/>
              <w:jc w:val="center"/>
              <w:rPr>
                <w:rFonts w:hint="default"/>
                <w:color w:val="auto"/>
                <w:highlight w:val="none"/>
              </w:rPr>
            </w:pPr>
          </w:p>
        </w:tc>
        <w:tc>
          <w:tcPr>
            <w:tcW w:w="1843" w:type="dxa"/>
            <w:vAlign w:val="center"/>
          </w:tcPr>
          <w:p w14:paraId="3BF1035F">
            <w:pPr>
              <w:keepNext w:val="0"/>
              <w:keepLines w:val="0"/>
              <w:suppressLineNumbers w:val="0"/>
              <w:spacing w:before="0" w:beforeAutospacing="0" w:after="0" w:afterAutospacing="0"/>
              <w:ind w:left="0" w:right="0"/>
              <w:jc w:val="center"/>
              <w:rPr>
                <w:rFonts w:hint="default"/>
                <w:color w:val="auto"/>
                <w:highlight w:val="none"/>
              </w:rPr>
            </w:pPr>
          </w:p>
        </w:tc>
      </w:tr>
      <w:tr w14:paraId="380E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5CA25D1">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highlight w:val="none"/>
              </w:rPr>
            </w:pPr>
            <w:r>
              <w:rPr>
                <w:rFonts w:hint="default" w:asciiTheme="majorEastAsia" w:hAnsiTheme="majorEastAsia" w:eastAsiaTheme="majorEastAsia"/>
                <w:color w:val="auto"/>
                <w:highlight w:val="none"/>
              </w:rPr>
              <w:t>7</w:t>
            </w:r>
          </w:p>
        </w:tc>
        <w:tc>
          <w:tcPr>
            <w:tcW w:w="1985" w:type="dxa"/>
            <w:vAlign w:val="center"/>
          </w:tcPr>
          <w:p w14:paraId="2719913A">
            <w:pPr>
              <w:keepNext w:val="0"/>
              <w:keepLines w:val="0"/>
              <w:suppressLineNumbers w:val="0"/>
              <w:spacing w:before="0" w:beforeAutospacing="0" w:after="0" w:afterAutospacing="0"/>
              <w:ind w:left="0" w:right="0"/>
              <w:rPr>
                <w:rFonts w:hint="default"/>
                <w:color w:val="auto"/>
                <w:highlight w:val="none"/>
              </w:rPr>
            </w:pPr>
            <w:r>
              <w:rPr>
                <w:rFonts w:hint="eastAsia" w:cs="宋体"/>
                <w:color w:val="auto"/>
                <w:highlight w:val="none"/>
              </w:rPr>
              <w:t>分包</w:t>
            </w:r>
          </w:p>
        </w:tc>
        <w:tc>
          <w:tcPr>
            <w:tcW w:w="2126" w:type="dxa"/>
            <w:tcMar>
              <w:left w:w="170" w:type="dxa"/>
            </w:tcMar>
            <w:vAlign w:val="center"/>
          </w:tcPr>
          <w:p w14:paraId="1AE530CB">
            <w:pPr>
              <w:keepNext w:val="0"/>
              <w:keepLines w:val="0"/>
              <w:suppressLineNumbers w:val="0"/>
              <w:spacing w:before="0" w:beforeAutospacing="0" w:after="0" w:afterAutospacing="0"/>
              <w:ind w:left="0" w:right="0"/>
              <w:jc w:val="center"/>
              <w:rPr>
                <w:rFonts w:hint="default"/>
                <w:color w:val="auto"/>
                <w:highlight w:val="none"/>
              </w:rPr>
            </w:pPr>
            <w:r>
              <w:rPr>
                <w:rFonts w:hint="eastAsia" w:cs="宋体"/>
                <w:color w:val="auto"/>
                <w:highlight w:val="none"/>
              </w:rPr>
              <w:t>专用条款</w:t>
            </w:r>
          </w:p>
        </w:tc>
        <w:tc>
          <w:tcPr>
            <w:tcW w:w="1984" w:type="dxa"/>
            <w:vAlign w:val="center"/>
          </w:tcPr>
          <w:p w14:paraId="658DA39A">
            <w:pPr>
              <w:keepNext w:val="0"/>
              <w:keepLines w:val="0"/>
              <w:suppressLineNumbers w:val="0"/>
              <w:spacing w:before="0" w:beforeAutospacing="0" w:after="0" w:afterAutospacing="0"/>
              <w:ind w:left="0" w:right="0"/>
              <w:jc w:val="center"/>
              <w:rPr>
                <w:rFonts w:hint="default"/>
                <w:color w:val="auto"/>
                <w:highlight w:val="none"/>
              </w:rPr>
            </w:pPr>
            <w:r>
              <w:rPr>
                <w:rFonts w:hint="eastAsia" w:cs="宋体"/>
                <w:color w:val="auto"/>
                <w:highlight w:val="none"/>
              </w:rPr>
              <w:t>见分包项目情况表</w:t>
            </w:r>
          </w:p>
        </w:tc>
        <w:tc>
          <w:tcPr>
            <w:tcW w:w="1843" w:type="dxa"/>
            <w:vAlign w:val="center"/>
          </w:tcPr>
          <w:p w14:paraId="05CA2C35">
            <w:pPr>
              <w:keepNext w:val="0"/>
              <w:keepLines w:val="0"/>
              <w:suppressLineNumbers w:val="0"/>
              <w:spacing w:before="0" w:beforeAutospacing="0" w:after="0" w:afterAutospacing="0"/>
              <w:ind w:left="0" w:right="0"/>
              <w:jc w:val="center"/>
              <w:rPr>
                <w:rFonts w:hint="default"/>
                <w:color w:val="auto"/>
                <w:highlight w:val="none"/>
              </w:rPr>
            </w:pPr>
          </w:p>
        </w:tc>
      </w:tr>
      <w:tr w14:paraId="516F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22E5C6DE">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highlight w:val="none"/>
              </w:rPr>
            </w:pPr>
            <w:r>
              <w:rPr>
                <w:rFonts w:hint="default" w:asciiTheme="majorEastAsia" w:hAnsiTheme="majorEastAsia" w:eastAsiaTheme="majorEastAsia"/>
                <w:color w:val="auto"/>
                <w:highlight w:val="none"/>
              </w:rPr>
              <w:t>8</w:t>
            </w:r>
          </w:p>
        </w:tc>
        <w:tc>
          <w:tcPr>
            <w:tcW w:w="1985" w:type="dxa"/>
            <w:vAlign w:val="center"/>
          </w:tcPr>
          <w:p w14:paraId="640AFF99">
            <w:pPr>
              <w:keepNext w:val="0"/>
              <w:keepLines w:val="0"/>
              <w:suppressLineNumbers w:val="0"/>
              <w:spacing w:before="0" w:beforeAutospacing="0" w:after="0" w:afterAutospacing="0"/>
              <w:ind w:left="0" w:right="0"/>
              <w:rPr>
                <w:rFonts w:hint="default"/>
                <w:color w:val="auto"/>
                <w:highlight w:val="none"/>
              </w:rPr>
            </w:pPr>
            <w:r>
              <w:rPr>
                <w:rFonts w:hint="eastAsia" w:cs="宋体"/>
                <w:color w:val="auto"/>
                <w:highlight w:val="none"/>
              </w:rPr>
              <w:t>逾期竣工违约金</w:t>
            </w:r>
          </w:p>
        </w:tc>
        <w:tc>
          <w:tcPr>
            <w:tcW w:w="2126" w:type="dxa"/>
            <w:tcMar>
              <w:left w:w="170" w:type="dxa"/>
            </w:tcMar>
            <w:vAlign w:val="center"/>
          </w:tcPr>
          <w:p w14:paraId="14FC7F54">
            <w:pPr>
              <w:keepNext w:val="0"/>
              <w:keepLines w:val="0"/>
              <w:suppressLineNumbers w:val="0"/>
              <w:spacing w:before="0" w:beforeAutospacing="0" w:after="0" w:afterAutospacing="0"/>
              <w:ind w:left="0" w:right="0"/>
              <w:jc w:val="center"/>
              <w:rPr>
                <w:rFonts w:hint="default"/>
                <w:color w:val="auto"/>
                <w:highlight w:val="none"/>
              </w:rPr>
            </w:pPr>
            <w:r>
              <w:rPr>
                <w:rFonts w:hint="eastAsia" w:cs="宋体"/>
                <w:color w:val="auto"/>
                <w:highlight w:val="none"/>
              </w:rPr>
              <w:t>专用条款</w:t>
            </w:r>
          </w:p>
        </w:tc>
        <w:tc>
          <w:tcPr>
            <w:tcW w:w="1984" w:type="dxa"/>
            <w:vAlign w:val="center"/>
          </w:tcPr>
          <w:p w14:paraId="35AD7ED3">
            <w:pPr>
              <w:keepNext w:val="0"/>
              <w:keepLines w:val="0"/>
              <w:suppressLineNumbers w:val="0"/>
              <w:spacing w:before="0" w:beforeAutospacing="0" w:after="0" w:afterAutospacing="0"/>
              <w:ind w:left="0" w:right="0"/>
              <w:rPr>
                <w:rFonts w:hint="default"/>
                <w:color w:val="auto"/>
                <w:highlight w:val="none"/>
              </w:rPr>
            </w:pPr>
          </w:p>
        </w:tc>
        <w:tc>
          <w:tcPr>
            <w:tcW w:w="1843" w:type="dxa"/>
            <w:vAlign w:val="center"/>
          </w:tcPr>
          <w:p w14:paraId="5BE73F2A">
            <w:pPr>
              <w:keepNext w:val="0"/>
              <w:keepLines w:val="0"/>
              <w:suppressLineNumbers w:val="0"/>
              <w:spacing w:before="0" w:beforeAutospacing="0" w:after="0" w:afterAutospacing="0"/>
              <w:ind w:left="0" w:right="0"/>
              <w:jc w:val="center"/>
              <w:rPr>
                <w:rFonts w:hint="default"/>
                <w:color w:val="auto"/>
                <w:highlight w:val="none"/>
              </w:rPr>
            </w:pPr>
          </w:p>
        </w:tc>
      </w:tr>
      <w:tr w14:paraId="50BE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2E035CD2">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highlight w:val="none"/>
              </w:rPr>
            </w:pPr>
            <w:r>
              <w:rPr>
                <w:rFonts w:hint="default" w:asciiTheme="majorEastAsia" w:hAnsiTheme="majorEastAsia" w:eastAsiaTheme="majorEastAsia"/>
                <w:color w:val="auto"/>
                <w:highlight w:val="none"/>
              </w:rPr>
              <w:t>9</w:t>
            </w:r>
          </w:p>
        </w:tc>
        <w:tc>
          <w:tcPr>
            <w:tcW w:w="1985" w:type="dxa"/>
            <w:vAlign w:val="center"/>
          </w:tcPr>
          <w:p w14:paraId="520CB5E3">
            <w:pPr>
              <w:keepNext w:val="0"/>
              <w:keepLines w:val="0"/>
              <w:suppressLineNumbers w:val="0"/>
              <w:spacing w:before="0" w:beforeAutospacing="0" w:after="0" w:afterAutospacing="0"/>
              <w:ind w:left="0" w:right="0"/>
              <w:rPr>
                <w:rFonts w:hint="default"/>
                <w:color w:val="auto"/>
                <w:highlight w:val="none"/>
              </w:rPr>
            </w:pPr>
            <w:r>
              <w:rPr>
                <w:rFonts w:hint="eastAsia" w:cs="宋体"/>
                <w:color w:val="auto"/>
                <w:highlight w:val="none"/>
              </w:rPr>
              <w:t>逾期竣工违约金最高限额</w:t>
            </w:r>
          </w:p>
        </w:tc>
        <w:tc>
          <w:tcPr>
            <w:tcW w:w="2126" w:type="dxa"/>
            <w:tcMar>
              <w:left w:w="170" w:type="dxa"/>
            </w:tcMar>
            <w:vAlign w:val="center"/>
          </w:tcPr>
          <w:p w14:paraId="4CAA97E3">
            <w:pPr>
              <w:keepNext w:val="0"/>
              <w:keepLines w:val="0"/>
              <w:suppressLineNumbers w:val="0"/>
              <w:spacing w:before="0" w:beforeAutospacing="0" w:after="0" w:afterAutospacing="0"/>
              <w:ind w:left="0" w:right="0"/>
              <w:jc w:val="center"/>
              <w:rPr>
                <w:rFonts w:hint="default"/>
                <w:color w:val="auto"/>
                <w:highlight w:val="none"/>
              </w:rPr>
            </w:pPr>
            <w:r>
              <w:rPr>
                <w:rFonts w:hint="eastAsia" w:cs="宋体"/>
                <w:color w:val="auto"/>
                <w:highlight w:val="none"/>
              </w:rPr>
              <w:t>专用条款</w:t>
            </w:r>
          </w:p>
        </w:tc>
        <w:tc>
          <w:tcPr>
            <w:tcW w:w="1984" w:type="dxa"/>
            <w:vAlign w:val="center"/>
          </w:tcPr>
          <w:p w14:paraId="4791B1D0">
            <w:pPr>
              <w:keepNext w:val="0"/>
              <w:keepLines w:val="0"/>
              <w:suppressLineNumbers w:val="0"/>
              <w:spacing w:before="0" w:beforeAutospacing="0" w:after="0" w:afterAutospacing="0"/>
              <w:ind w:left="0" w:right="0"/>
              <w:rPr>
                <w:rFonts w:hint="default"/>
                <w:color w:val="auto"/>
                <w:highlight w:val="none"/>
              </w:rPr>
            </w:pPr>
          </w:p>
        </w:tc>
        <w:tc>
          <w:tcPr>
            <w:tcW w:w="1843" w:type="dxa"/>
            <w:vAlign w:val="center"/>
          </w:tcPr>
          <w:p w14:paraId="3B5F43F1">
            <w:pPr>
              <w:keepNext w:val="0"/>
              <w:keepLines w:val="0"/>
              <w:suppressLineNumbers w:val="0"/>
              <w:spacing w:before="0" w:beforeAutospacing="0" w:after="0" w:afterAutospacing="0"/>
              <w:ind w:left="0" w:right="0"/>
              <w:jc w:val="center"/>
              <w:rPr>
                <w:rFonts w:hint="default"/>
                <w:color w:val="auto"/>
                <w:highlight w:val="none"/>
              </w:rPr>
            </w:pPr>
          </w:p>
        </w:tc>
      </w:tr>
      <w:tr w14:paraId="3EDE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2E4575D9">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highlight w:val="none"/>
              </w:rPr>
            </w:pPr>
            <w:r>
              <w:rPr>
                <w:rFonts w:hint="default" w:asciiTheme="majorEastAsia" w:hAnsiTheme="majorEastAsia" w:eastAsiaTheme="majorEastAsia"/>
                <w:color w:val="auto"/>
                <w:highlight w:val="none"/>
              </w:rPr>
              <w:t>10</w:t>
            </w:r>
          </w:p>
        </w:tc>
        <w:tc>
          <w:tcPr>
            <w:tcW w:w="1985" w:type="dxa"/>
            <w:vAlign w:val="center"/>
          </w:tcPr>
          <w:p w14:paraId="39C6D87B">
            <w:pPr>
              <w:keepNext w:val="0"/>
              <w:keepLines w:val="0"/>
              <w:suppressLineNumbers w:val="0"/>
              <w:spacing w:before="0" w:beforeAutospacing="0" w:after="0" w:afterAutospacing="0"/>
              <w:ind w:left="0" w:right="0"/>
              <w:rPr>
                <w:rFonts w:hint="default"/>
                <w:color w:val="auto"/>
                <w:highlight w:val="none"/>
              </w:rPr>
            </w:pPr>
            <w:r>
              <w:rPr>
                <w:rFonts w:hint="eastAsia" w:cs="宋体"/>
                <w:color w:val="auto"/>
                <w:highlight w:val="none"/>
              </w:rPr>
              <w:t>质量标准</w:t>
            </w:r>
          </w:p>
        </w:tc>
        <w:tc>
          <w:tcPr>
            <w:tcW w:w="2126" w:type="dxa"/>
            <w:tcMar>
              <w:left w:w="170" w:type="dxa"/>
            </w:tcMar>
            <w:vAlign w:val="center"/>
          </w:tcPr>
          <w:p w14:paraId="1C6BA793">
            <w:pPr>
              <w:keepNext w:val="0"/>
              <w:keepLines w:val="0"/>
              <w:suppressLineNumbers w:val="0"/>
              <w:spacing w:before="0" w:beforeAutospacing="0" w:after="0" w:afterAutospacing="0"/>
              <w:ind w:left="0" w:right="0"/>
              <w:jc w:val="center"/>
              <w:rPr>
                <w:rFonts w:hint="default"/>
                <w:color w:val="auto"/>
                <w:highlight w:val="none"/>
              </w:rPr>
            </w:pPr>
            <w:r>
              <w:rPr>
                <w:rFonts w:hint="eastAsia" w:cs="宋体"/>
                <w:color w:val="auto"/>
                <w:highlight w:val="none"/>
              </w:rPr>
              <w:t>专用条款</w:t>
            </w:r>
          </w:p>
        </w:tc>
        <w:tc>
          <w:tcPr>
            <w:tcW w:w="1984" w:type="dxa"/>
            <w:vAlign w:val="center"/>
          </w:tcPr>
          <w:p w14:paraId="6908716A">
            <w:pPr>
              <w:keepNext w:val="0"/>
              <w:keepLines w:val="0"/>
              <w:suppressLineNumbers w:val="0"/>
              <w:spacing w:before="0" w:beforeAutospacing="0" w:after="0" w:afterAutospacing="0"/>
              <w:ind w:left="0" w:right="0"/>
              <w:jc w:val="center"/>
              <w:rPr>
                <w:rFonts w:hint="default"/>
                <w:color w:val="auto"/>
                <w:highlight w:val="none"/>
              </w:rPr>
            </w:pPr>
          </w:p>
        </w:tc>
        <w:tc>
          <w:tcPr>
            <w:tcW w:w="1843" w:type="dxa"/>
            <w:vAlign w:val="center"/>
          </w:tcPr>
          <w:p w14:paraId="03F3E67F">
            <w:pPr>
              <w:keepNext w:val="0"/>
              <w:keepLines w:val="0"/>
              <w:suppressLineNumbers w:val="0"/>
              <w:spacing w:before="0" w:beforeAutospacing="0" w:after="0" w:afterAutospacing="0"/>
              <w:ind w:left="0" w:right="0"/>
              <w:jc w:val="center"/>
              <w:rPr>
                <w:rFonts w:hint="default"/>
                <w:color w:val="auto"/>
                <w:highlight w:val="none"/>
              </w:rPr>
            </w:pPr>
          </w:p>
        </w:tc>
      </w:tr>
      <w:tr w14:paraId="6B22B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734A4038">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highlight w:val="none"/>
              </w:rPr>
            </w:pPr>
            <w:r>
              <w:rPr>
                <w:rFonts w:hint="default" w:asciiTheme="majorEastAsia" w:hAnsiTheme="majorEastAsia" w:eastAsiaTheme="majorEastAsia"/>
                <w:color w:val="auto"/>
                <w:highlight w:val="none"/>
              </w:rPr>
              <w:t>11</w:t>
            </w:r>
          </w:p>
        </w:tc>
        <w:tc>
          <w:tcPr>
            <w:tcW w:w="1985" w:type="dxa"/>
            <w:vAlign w:val="center"/>
          </w:tcPr>
          <w:p w14:paraId="028E9138">
            <w:pPr>
              <w:keepNext w:val="0"/>
              <w:keepLines w:val="0"/>
              <w:suppressLineNumbers w:val="0"/>
              <w:spacing w:before="0" w:beforeAutospacing="0" w:after="0" w:afterAutospacing="0"/>
              <w:ind w:left="0" w:right="0"/>
              <w:rPr>
                <w:rFonts w:hint="default"/>
                <w:color w:val="auto"/>
                <w:highlight w:val="none"/>
              </w:rPr>
            </w:pPr>
            <w:r>
              <w:rPr>
                <w:rFonts w:hint="eastAsia" w:cs="宋体"/>
                <w:color w:val="auto"/>
                <w:highlight w:val="none"/>
              </w:rPr>
              <w:t>预付款额度</w:t>
            </w:r>
          </w:p>
        </w:tc>
        <w:tc>
          <w:tcPr>
            <w:tcW w:w="2126" w:type="dxa"/>
            <w:tcMar>
              <w:left w:w="170" w:type="dxa"/>
            </w:tcMar>
            <w:vAlign w:val="center"/>
          </w:tcPr>
          <w:p w14:paraId="3265C1F9">
            <w:pPr>
              <w:keepNext w:val="0"/>
              <w:keepLines w:val="0"/>
              <w:suppressLineNumbers w:val="0"/>
              <w:spacing w:before="0" w:beforeAutospacing="0" w:after="0" w:afterAutospacing="0"/>
              <w:ind w:left="0" w:right="0"/>
              <w:jc w:val="center"/>
              <w:rPr>
                <w:rFonts w:hint="default"/>
                <w:color w:val="auto"/>
                <w:highlight w:val="none"/>
              </w:rPr>
            </w:pPr>
            <w:r>
              <w:rPr>
                <w:rFonts w:hint="eastAsia" w:cs="宋体"/>
                <w:color w:val="auto"/>
                <w:highlight w:val="none"/>
              </w:rPr>
              <w:t>专用条款</w:t>
            </w:r>
          </w:p>
        </w:tc>
        <w:tc>
          <w:tcPr>
            <w:tcW w:w="1984" w:type="dxa"/>
            <w:vAlign w:val="center"/>
          </w:tcPr>
          <w:p w14:paraId="04CF42E2">
            <w:pPr>
              <w:keepNext w:val="0"/>
              <w:keepLines w:val="0"/>
              <w:suppressLineNumbers w:val="0"/>
              <w:spacing w:before="0" w:beforeAutospacing="0" w:after="0" w:afterAutospacing="0"/>
              <w:ind w:left="0" w:right="0"/>
              <w:jc w:val="center"/>
              <w:rPr>
                <w:rFonts w:hint="default"/>
                <w:color w:val="auto"/>
                <w:highlight w:val="none"/>
              </w:rPr>
            </w:pPr>
          </w:p>
        </w:tc>
        <w:tc>
          <w:tcPr>
            <w:tcW w:w="1843" w:type="dxa"/>
            <w:vAlign w:val="center"/>
          </w:tcPr>
          <w:p w14:paraId="1E457EEB">
            <w:pPr>
              <w:keepNext w:val="0"/>
              <w:keepLines w:val="0"/>
              <w:suppressLineNumbers w:val="0"/>
              <w:spacing w:before="0" w:beforeAutospacing="0" w:after="0" w:afterAutospacing="0"/>
              <w:ind w:left="0" w:right="0"/>
              <w:jc w:val="center"/>
              <w:rPr>
                <w:rFonts w:hint="default"/>
                <w:color w:val="auto"/>
                <w:highlight w:val="none"/>
              </w:rPr>
            </w:pPr>
          </w:p>
        </w:tc>
      </w:tr>
      <w:tr w14:paraId="3C5E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2D6B808E">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highlight w:val="none"/>
              </w:rPr>
            </w:pPr>
            <w:r>
              <w:rPr>
                <w:rFonts w:hint="default" w:asciiTheme="majorEastAsia" w:hAnsiTheme="majorEastAsia" w:eastAsiaTheme="majorEastAsia"/>
                <w:color w:val="auto"/>
                <w:highlight w:val="none"/>
              </w:rPr>
              <w:t>12</w:t>
            </w:r>
          </w:p>
        </w:tc>
        <w:tc>
          <w:tcPr>
            <w:tcW w:w="1985" w:type="dxa"/>
            <w:vAlign w:val="center"/>
          </w:tcPr>
          <w:p w14:paraId="102FA33A">
            <w:pPr>
              <w:keepNext w:val="0"/>
              <w:keepLines w:val="0"/>
              <w:suppressLineNumbers w:val="0"/>
              <w:spacing w:before="0" w:beforeAutospacing="0" w:after="0" w:afterAutospacing="0"/>
              <w:ind w:left="0" w:right="0"/>
              <w:rPr>
                <w:rFonts w:hint="default"/>
                <w:color w:val="auto"/>
                <w:highlight w:val="none"/>
              </w:rPr>
            </w:pPr>
            <w:r>
              <w:rPr>
                <w:rFonts w:hint="eastAsia" w:cs="宋体"/>
                <w:color w:val="auto"/>
                <w:highlight w:val="none"/>
              </w:rPr>
              <w:t>预付款保函金额</w:t>
            </w:r>
          </w:p>
        </w:tc>
        <w:tc>
          <w:tcPr>
            <w:tcW w:w="2126" w:type="dxa"/>
            <w:tcMar>
              <w:left w:w="170" w:type="dxa"/>
            </w:tcMar>
            <w:vAlign w:val="center"/>
          </w:tcPr>
          <w:p w14:paraId="0E95A12B">
            <w:pPr>
              <w:keepNext w:val="0"/>
              <w:keepLines w:val="0"/>
              <w:suppressLineNumbers w:val="0"/>
              <w:spacing w:before="0" w:beforeAutospacing="0" w:after="0" w:afterAutospacing="0"/>
              <w:ind w:left="0" w:right="0"/>
              <w:jc w:val="center"/>
              <w:rPr>
                <w:rFonts w:hint="default"/>
                <w:color w:val="auto"/>
                <w:highlight w:val="none"/>
              </w:rPr>
            </w:pPr>
            <w:r>
              <w:rPr>
                <w:rFonts w:hint="eastAsia" w:cs="宋体"/>
                <w:color w:val="auto"/>
                <w:highlight w:val="none"/>
              </w:rPr>
              <w:t>专用条款</w:t>
            </w:r>
          </w:p>
        </w:tc>
        <w:tc>
          <w:tcPr>
            <w:tcW w:w="1984" w:type="dxa"/>
            <w:vAlign w:val="center"/>
          </w:tcPr>
          <w:p w14:paraId="1D54B1D6">
            <w:pPr>
              <w:keepNext w:val="0"/>
              <w:keepLines w:val="0"/>
              <w:suppressLineNumbers w:val="0"/>
              <w:spacing w:before="0" w:beforeAutospacing="0" w:after="0" w:afterAutospacing="0"/>
              <w:ind w:left="0" w:right="0"/>
              <w:jc w:val="center"/>
              <w:rPr>
                <w:rFonts w:hint="default"/>
                <w:color w:val="auto"/>
                <w:highlight w:val="none"/>
              </w:rPr>
            </w:pPr>
          </w:p>
        </w:tc>
        <w:tc>
          <w:tcPr>
            <w:tcW w:w="1843" w:type="dxa"/>
            <w:vAlign w:val="center"/>
          </w:tcPr>
          <w:p w14:paraId="55370F98">
            <w:pPr>
              <w:keepNext w:val="0"/>
              <w:keepLines w:val="0"/>
              <w:suppressLineNumbers w:val="0"/>
              <w:spacing w:before="0" w:beforeAutospacing="0" w:after="0" w:afterAutospacing="0"/>
              <w:ind w:left="0" w:right="0"/>
              <w:jc w:val="center"/>
              <w:rPr>
                <w:rFonts w:hint="default"/>
                <w:color w:val="auto"/>
                <w:highlight w:val="none"/>
              </w:rPr>
            </w:pPr>
          </w:p>
        </w:tc>
      </w:tr>
      <w:tr w14:paraId="6560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2ACB8AC">
            <w:pPr>
              <w:keepNext w:val="0"/>
              <w:keepLines w:val="0"/>
              <w:suppressLineNumbers w:val="0"/>
              <w:spacing w:before="0" w:beforeAutospacing="0" w:after="0" w:afterAutospacing="0"/>
              <w:ind w:left="0" w:right="0"/>
              <w:jc w:val="center"/>
              <w:rPr>
                <w:rFonts w:hint="default"/>
                <w:color w:val="auto"/>
                <w:highlight w:val="none"/>
              </w:rPr>
            </w:pPr>
            <w:r>
              <w:rPr>
                <w:rFonts w:hint="default"/>
                <w:color w:val="auto"/>
                <w:highlight w:val="none"/>
              </w:rPr>
              <w:t>……</w:t>
            </w:r>
          </w:p>
        </w:tc>
        <w:tc>
          <w:tcPr>
            <w:tcW w:w="1985" w:type="dxa"/>
            <w:vAlign w:val="center"/>
          </w:tcPr>
          <w:p w14:paraId="37355F99">
            <w:pPr>
              <w:keepNext w:val="0"/>
              <w:keepLines w:val="0"/>
              <w:suppressLineNumbers w:val="0"/>
              <w:spacing w:before="0" w:beforeAutospacing="0" w:after="0" w:afterAutospacing="0"/>
              <w:ind w:left="0" w:right="0"/>
              <w:jc w:val="center"/>
              <w:rPr>
                <w:rFonts w:hint="default"/>
                <w:color w:val="auto"/>
                <w:highlight w:val="none"/>
              </w:rPr>
            </w:pPr>
            <w:r>
              <w:rPr>
                <w:rFonts w:hint="default"/>
                <w:color w:val="auto"/>
                <w:highlight w:val="none"/>
              </w:rPr>
              <w:t>……</w:t>
            </w:r>
          </w:p>
        </w:tc>
        <w:tc>
          <w:tcPr>
            <w:tcW w:w="2126" w:type="dxa"/>
            <w:tcMar>
              <w:left w:w="170" w:type="dxa"/>
            </w:tcMar>
            <w:vAlign w:val="center"/>
          </w:tcPr>
          <w:p w14:paraId="15A14482">
            <w:pPr>
              <w:keepNext w:val="0"/>
              <w:keepLines w:val="0"/>
              <w:suppressLineNumbers w:val="0"/>
              <w:spacing w:before="0" w:beforeAutospacing="0" w:after="0" w:afterAutospacing="0"/>
              <w:ind w:left="0" w:right="0"/>
              <w:rPr>
                <w:rFonts w:hint="default"/>
                <w:color w:val="auto"/>
                <w:highlight w:val="none"/>
              </w:rPr>
            </w:pPr>
          </w:p>
        </w:tc>
        <w:tc>
          <w:tcPr>
            <w:tcW w:w="1984" w:type="dxa"/>
            <w:vAlign w:val="center"/>
          </w:tcPr>
          <w:p w14:paraId="66CDE420">
            <w:pPr>
              <w:keepNext w:val="0"/>
              <w:keepLines w:val="0"/>
              <w:suppressLineNumbers w:val="0"/>
              <w:spacing w:before="0" w:beforeAutospacing="0" w:after="0" w:afterAutospacing="0"/>
              <w:ind w:left="0" w:right="0"/>
              <w:jc w:val="center"/>
              <w:rPr>
                <w:rFonts w:hint="default"/>
                <w:color w:val="auto"/>
                <w:highlight w:val="none"/>
              </w:rPr>
            </w:pPr>
          </w:p>
        </w:tc>
        <w:tc>
          <w:tcPr>
            <w:tcW w:w="1843" w:type="dxa"/>
            <w:vAlign w:val="center"/>
          </w:tcPr>
          <w:p w14:paraId="03B5829C">
            <w:pPr>
              <w:keepNext w:val="0"/>
              <w:keepLines w:val="0"/>
              <w:suppressLineNumbers w:val="0"/>
              <w:spacing w:before="0" w:beforeAutospacing="0" w:after="0" w:afterAutospacing="0"/>
              <w:ind w:left="0" w:right="0"/>
              <w:jc w:val="center"/>
              <w:rPr>
                <w:rFonts w:hint="default"/>
                <w:color w:val="auto"/>
                <w:highlight w:val="none"/>
              </w:rPr>
            </w:pPr>
          </w:p>
        </w:tc>
      </w:tr>
      <w:tr w14:paraId="7310C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vAlign w:val="center"/>
          </w:tcPr>
          <w:p w14:paraId="3A553CF8">
            <w:pPr>
              <w:keepNext w:val="0"/>
              <w:keepLines w:val="0"/>
              <w:suppressLineNumbers w:val="0"/>
              <w:spacing w:before="0" w:beforeAutospacing="0" w:after="0" w:afterAutospacing="0" w:line="360" w:lineRule="auto"/>
              <w:ind w:left="0" w:right="0"/>
              <w:rPr>
                <w:rFonts w:hint="default"/>
                <w:color w:val="auto"/>
                <w:highlight w:val="none"/>
              </w:rPr>
            </w:pPr>
            <w:r>
              <w:rPr>
                <w:rFonts w:hint="eastAsia" w:cs="宋体"/>
                <w:color w:val="auto"/>
                <w:highlight w:val="none"/>
              </w:rPr>
              <w:t>说明：供应商在响应磋商文件中规定的实质性要求和条件的基础上，可做出其他有利于采购人的承诺。此类承诺可在本表中予以补充填写。</w:t>
            </w:r>
          </w:p>
        </w:tc>
      </w:tr>
    </w:tbl>
    <w:p w14:paraId="6661FCDE">
      <w:pPr>
        <w:spacing w:line="360" w:lineRule="auto"/>
        <w:ind w:right="-816" w:rightChars="-389" w:firstLine="2640" w:firstLineChars="1100"/>
        <w:contextualSpacing/>
        <w:rPr>
          <w:rFonts w:ascii="宋体" w:hAnsi="宋体" w:cs="仿宋_GB2312"/>
          <w:color w:val="auto"/>
          <w:sz w:val="24"/>
          <w:highlight w:val="none"/>
        </w:rPr>
      </w:pPr>
    </w:p>
    <w:p w14:paraId="582EAED5">
      <w:pPr>
        <w:spacing w:line="360" w:lineRule="auto"/>
        <w:ind w:right="-816"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11F60796">
      <w:pPr>
        <w:spacing w:line="360" w:lineRule="auto"/>
        <w:ind w:right="-816"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268DAFAE">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249963CE">
      <w:pPr>
        <w:spacing w:line="360" w:lineRule="auto"/>
        <w:contextualSpacing/>
        <w:jc w:val="center"/>
        <w:rPr>
          <w:rFonts w:ascii="宋体" w:hAnsi="宋体" w:cs="仿宋_GB2312"/>
          <w:b/>
          <w:color w:val="auto"/>
          <w:sz w:val="32"/>
          <w:szCs w:val="32"/>
          <w:highlight w:val="none"/>
        </w:rPr>
      </w:pPr>
      <w:r>
        <w:rPr>
          <w:rFonts w:ascii="宋体" w:hAnsi="宋体" w:cs="仿宋_GB2312"/>
          <w:color w:val="auto"/>
          <w:sz w:val="24"/>
          <w:highlight w:val="none"/>
        </w:rPr>
        <w:br w:type="page"/>
      </w:r>
      <w:r>
        <w:rPr>
          <w:rFonts w:hint="eastAsia" w:ascii="宋体" w:hAnsi="宋体" w:cs="宋体"/>
          <w:b/>
          <w:color w:val="auto"/>
          <w:sz w:val="32"/>
          <w:szCs w:val="32"/>
          <w:highlight w:val="none"/>
        </w:rPr>
        <w:t>已标价工程量清单</w:t>
      </w:r>
    </w:p>
    <w:p w14:paraId="2B969527">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cs="宋体" w:asciiTheme="minorEastAsia" w:hAnsiTheme="minorEastAsia" w:eastAsiaTheme="minorEastAsia"/>
          <w:color w:val="auto"/>
          <w:highlight w:val="none"/>
        </w:rPr>
        <w:t>已标价工程量清单应按第五章</w:t>
      </w:r>
      <w:r>
        <w:rPr>
          <w:rFonts w:hint="eastAsia" w:asciiTheme="minorEastAsia" w:hAnsiTheme="minorEastAsia" w:eastAsiaTheme="minorEastAsia"/>
          <w:color w:val="auto"/>
          <w:highlight w:val="none"/>
        </w:rPr>
        <w:t>“工程量清单及图纸”</w:t>
      </w:r>
      <w:r>
        <w:rPr>
          <w:rFonts w:hint="eastAsia" w:cs="宋体" w:asciiTheme="minorEastAsia" w:hAnsiTheme="minorEastAsia" w:eastAsiaTheme="minorEastAsia"/>
          <w:color w:val="auto"/>
          <w:highlight w:val="none"/>
        </w:rPr>
        <w:t>中的相关表格及竞标报价说明填写。构成合同文件的已标价工程量清单包括第五章</w:t>
      </w:r>
      <w:r>
        <w:rPr>
          <w:rFonts w:hint="eastAsia" w:asciiTheme="minorEastAsia" w:hAnsiTheme="minorEastAsia" w:eastAsiaTheme="minorEastAsia"/>
          <w:color w:val="auto"/>
          <w:highlight w:val="none"/>
        </w:rPr>
        <w:t>“工程量清单及图纸”</w:t>
      </w:r>
      <w:r>
        <w:rPr>
          <w:rFonts w:hint="eastAsia" w:cs="宋体" w:asciiTheme="minorEastAsia" w:hAnsiTheme="minorEastAsia" w:eastAsiaTheme="minorEastAsia"/>
          <w:color w:val="auto"/>
          <w:highlight w:val="none"/>
        </w:rPr>
        <w:t>有关工程量清单、竞标报价以及其他说明的内容。</w:t>
      </w:r>
    </w:p>
    <w:p w14:paraId="4AE4BF4D">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cs="宋体" w:asciiTheme="minorEastAsia" w:hAnsiTheme="minorEastAsia" w:eastAsiaTheme="minorEastAsia"/>
          <w:color w:val="auto"/>
          <w:highlight w:val="none"/>
        </w:rPr>
        <w:t>一般计税法建设工程已标价工程量清单表格按</w:t>
      </w:r>
      <w:r>
        <w:rPr>
          <w:rFonts w:hint="eastAsia" w:cs="宋体" w:asciiTheme="minorEastAsia" w:hAnsiTheme="minorEastAsia" w:eastAsiaTheme="minorEastAsia"/>
          <w:color w:val="auto"/>
          <w:kern w:val="0"/>
          <w:highlight w:val="none"/>
        </w:rPr>
        <w:t>《自治区住房城乡建设厅关于调整建设工程计价增值税税率的通知》（桂建标〔2019〕12号）</w:t>
      </w:r>
      <w:r>
        <w:rPr>
          <w:rFonts w:hint="eastAsia" w:cs="宋体" w:asciiTheme="minorEastAsia" w:hAnsiTheme="minorEastAsia" w:eastAsiaTheme="minorEastAsia"/>
          <w:color w:val="auto"/>
          <w:highlight w:val="none"/>
        </w:rPr>
        <w:t>附件“增值税一般计税方法工程计价表”要求提供，简易计税法表格按《</w:t>
      </w:r>
      <w:r>
        <w:rPr>
          <w:rFonts w:asciiTheme="minorEastAsia" w:hAnsiTheme="minorEastAsia" w:eastAsiaTheme="minorEastAsia"/>
          <w:color w:val="auto"/>
          <w:highlight w:val="none"/>
        </w:rPr>
        <w:t>&lt;</w:t>
      </w:r>
      <w:r>
        <w:rPr>
          <w:rFonts w:hint="eastAsia" w:cs="宋体" w:asciiTheme="minorEastAsia" w:hAnsiTheme="minorEastAsia" w:eastAsiaTheme="minorEastAsia"/>
          <w:color w:val="auto"/>
          <w:highlight w:val="none"/>
        </w:rPr>
        <w:t>建设工程工程量清单计价规范</w:t>
      </w:r>
      <w:r>
        <w:rPr>
          <w:rFonts w:asciiTheme="minorEastAsia" w:hAnsiTheme="minorEastAsia" w:eastAsiaTheme="minorEastAsia"/>
          <w:color w:val="auto"/>
          <w:highlight w:val="none"/>
        </w:rPr>
        <w:t>&gt;</w:t>
      </w: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GB5050-2013</w:t>
      </w:r>
      <w:r>
        <w:rPr>
          <w:rFonts w:hint="eastAsia" w:cs="宋体" w:asciiTheme="minorEastAsia" w:hAnsiTheme="minorEastAsia" w:eastAsiaTheme="minorEastAsia"/>
          <w:color w:val="auto"/>
          <w:highlight w:val="none"/>
        </w:rPr>
        <w:t>）广西壮族自治区实施细则》要求的表格提供，但规费和税费按照</w:t>
      </w:r>
      <w:r>
        <w:rPr>
          <w:rFonts w:hint="eastAsia" w:cs="宋体" w:asciiTheme="minorEastAsia" w:hAnsiTheme="minorEastAsia" w:eastAsiaTheme="minorEastAsia"/>
          <w:color w:val="auto"/>
          <w:kern w:val="0"/>
          <w:highlight w:val="none"/>
        </w:rPr>
        <w:t>《关于建筑业实施营业税改征增值税后广西壮族自治区建设工程计价依据调整的通知》（桂建标〔</w:t>
      </w:r>
      <w:r>
        <w:rPr>
          <w:rFonts w:asciiTheme="minorEastAsia" w:hAnsiTheme="minorEastAsia" w:eastAsiaTheme="minorEastAsia"/>
          <w:color w:val="auto"/>
          <w:kern w:val="0"/>
          <w:highlight w:val="none"/>
        </w:rPr>
        <w:t>2016</w:t>
      </w:r>
      <w:r>
        <w:rPr>
          <w:rFonts w:hint="eastAsia" w:cs="宋体" w:asciiTheme="minorEastAsia" w:hAnsiTheme="minorEastAsia" w:eastAsiaTheme="minorEastAsia"/>
          <w:color w:val="auto"/>
          <w:kern w:val="0"/>
          <w:highlight w:val="none"/>
        </w:rPr>
        <w:t>〕</w:t>
      </w:r>
      <w:r>
        <w:rPr>
          <w:rFonts w:asciiTheme="minorEastAsia" w:hAnsiTheme="minorEastAsia" w:eastAsiaTheme="minorEastAsia"/>
          <w:color w:val="auto"/>
          <w:kern w:val="0"/>
          <w:highlight w:val="none"/>
        </w:rPr>
        <w:t>17</w:t>
      </w:r>
      <w:r>
        <w:rPr>
          <w:rFonts w:hint="eastAsia" w:cs="宋体" w:asciiTheme="minorEastAsia" w:hAnsiTheme="minorEastAsia" w:eastAsiaTheme="minorEastAsia"/>
          <w:color w:val="auto"/>
          <w:kern w:val="0"/>
          <w:highlight w:val="none"/>
        </w:rPr>
        <w:t>号）、《自治区住房城乡建设厅关于调整建设工程计价增值税税率的通知》（桂建标〔2018〕14号）、《自治区住房城乡建设厅关于调整建设工程计价增值税税率的通知》（桂建标〔2019〕12号）</w:t>
      </w:r>
      <w:r>
        <w:rPr>
          <w:rFonts w:hint="eastAsia" w:cs="宋体" w:asciiTheme="minorEastAsia" w:hAnsiTheme="minorEastAsia" w:eastAsiaTheme="minorEastAsia"/>
          <w:color w:val="auto"/>
          <w:highlight w:val="none"/>
        </w:rPr>
        <w:t>调整，具体内容包括：</w:t>
      </w:r>
    </w:p>
    <w:p w14:paraId="448BC769">
      <w:pPr>
        <w:spacing w:line="360" w:lineRule="auto"/>
        <w:ind w:firstLine="630" w:firstLineChars="300"/>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 </w:t>
      </w:r>
      <w:r>
        <w:rPr>
          <w:rFonts w:hint="eastAsia" w:cs="宋体" w:asciiTheme="minorEastAsia" w:hAnsiTheme="minorEastAsia" w:eastAsiaTheme="minorEastAsia"/>
          <w:color w:val="auto"/>
          <w:highlight w:val="none"/>
        </w:rPr>
        <w:t>投标总价（封</w:t>
      </w:r>
      <w:r>
        <w:rPr>
          <w:rFonts w:asciiTheme="minorEastAsia" w:hAnsiTheme="minorEastAsia" w:eastAsiaTheme="minorEastAsia"/>
          <w:color w:val="auto"/>
          <w:highlight w:val="none"/>
        </w:rPr>
        <w:t>-3</w:t>
      </w:r>
      <w:r>
        <w:rPr>
          <w:rFonts w:hint="eastAsia" w:cs="宋体" w:asciiTheme="minorEastAsia" w:hAnsiTheme="minorEastAsia" w:eastAsiaTheme="minorEastAsia"/>
          <w:color w:val="auto"/>
          <w:highlight w:val="none"/>
        </w:rPr>
        <w:t>）</w:t>
      </w:r>
    </w:p>
    <w:p w14:paraId="416DEA33">
      <w:pPr>
        <w:spacing w:line="360" w:lineRule="auto"/>
        <w:ind w:firstLine="630" w:firstLineChars="300"/>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1.2 </w:t>
      </w:r>
      <w:r>
        <w:rPr>
          <w:rFonts w:hint="eastAsia" w:cs="宋体" w:asciiTheme="minorEastAsia" w:hAnsiTheme="minorEastAsia" w:eastAsiaTheme="minorEastAsia"/>
          <w:color w:val="auto"/>
          <w:highlight w:val="none"/>
        </w:rPr>
        <w:t>投标总价（扉</w:t>
      </w:r>
      <w:r>
        <w:rPr>
          <w:rFonts w:asciiTheme="minorEastAsia" w:hAnsiTheme="minorEastAsia" w:eastAsiaTheme="minorEastAsia"/>
          <w:color w:val="auto"/>
          <w:highlight w:val="none"/>
        </w:rPr>
        <w:t>-3</w:t>
      </w:r>
      <w:r>
        <w:rPr>
          <w:rFonts w:hint="eastAsia" w:cs="宋体" w:asciiTheme="minorEastAsia" w:hAnsiTheme="minorEastAsia" w:eastAsiaTheme="minorEastAsia"/>
          <w:color w:val="auto"/>
          <w:highlight w:val="none"/>
        </w:rPr>
        <w:t>）</w:t>
      </w:r>
    </w:p>
    <w:p w14:paraId="30BE8550">
      <w:pPr>
        <w:spacing w:line="360" w:lineRule="auto"/>
        <w:ind w:firstLine="630" w:firstLineChars="300"/>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1.3 </w:t>
      </w:r>
      <w:r>
        <w:rPr>
          <w:rFonts w:hint="eastAsia" w:cs="宋体" w:asciiTheme="minorEastAsia" w:hAnsiTheme="minorEastAsia" w:eastAsiaTheme="minorEastAsia"/>
          <w:color w:val="auto"/>
          <w:highlight w:val="none"/>
        </w:rPr>
        <w:t>总说明（表</w:t>
      </w:r>
      <w:r>
        <w:rPr>
          <w:rFonts w:asciiTheme="minorEastAsia" w:hAnsiTheme="minorEastAsia" w:eastAsiaTheme="minorEastAsia"/>
          <w:color w:val="auto"/>
          <w:highlight w:val="none"/>
        </w:rPr>
        <w:t>-01</w:t>
      </w:r>
      <w:r>
        <w:rPr>
          <w:rFonts w:hint="eastAsia" w:cs="宋体" w:asciiTheme="minorEastAsia" w:hAnsiTheme="minorEastAsia" w:eastAsiaTheme="minorEastAsia"/>
          <w:color w:val="auto"/>
          <w:highlight w:val="none"/>
        </w:rPr>
        <w:t>）</w:t>
      </w:r>
    </w:p>
    <w:p w14:paraId="180D1F4A">
      <w:pPr>
        <w:spacing w:line="360" w:lineRule="auto"/>
        <w:ind w:firstLine="630" w:firstLineChars="300"/>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1.4 </w:t>
      </w:r>
      <w:r>
        <w:rPr>
          <w:rFonts w:hint="eastAsia" w:cs="宋体" w:asciiTheme="minorEastAsia" w:hAnsiTheme="minorEastAsia" w:eastAsiaTheme="minorEastAsia"/>
          <w:color w:val="auto"/>
          <w:highlight w:val="none"/>
        </w:rPr>
        <w:t>建设项目投标报价汇总表（表</w:t>
      </w:r>
      <w:r>
        <w:rPr>
          <w:rFonts w:asciiTheme="minorEastAsia" w:hAnsiTheme="minorEastAsia" w:eastAsiaTheme="minorEastAsia"/>
          <w:color w:val="auto"/>
          <w:highlight w:val="none"/>
        </w:rPr>
        <w:t>-02</w:t>
      </w:r>
      <w:r>
        <w:rPr>
          <w:rFonts w:hint="eastAsia" w:cs="宋体" w:asciiTheme="minorEastAsia" w:hAnsiTheme="minorEastAsia" w:eastAsiaTheme="minorEastAsia"/>
          <w:color w:val="auto"/>
          <w:highlight w:val="none"/>
        </w:rPr>
        <w:t>）</w:t>
      </w:r>
    </w:p>
    <w:p w14:paraId="4A760976">
      <w:pPr>
        <w:spacing w:line="360" w:lineRule="auto"/>
        <w:ind w:firstLine="630" w:firstLineChars="300"/>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1.5 </w:t>
      </w:r>
      <w:r>
        <w:rPr>
          <w:rFonts w:hint="eastAsia" w:cs="宋体" w:asciiTheme="minorEastAsia" w:hAnsiTheme="minorEastAsia" w:eastAsiaTheme="minorEastAsia"/>
          <w:color w:val="auto"/>
          <w:highlight w:val="none"/>
        </w:rPr>
        <w:t>单项工程投标报价汇总表（表</w:t>
      </w:r>
      <w:r>
        <w:rPr>
          <w:rFonts w:asciiTheme="minorEastAsia" w:hAnsiTheme="minorEastAsia" w:eastAsiaTheme="minorEastAsia"/>
          <w:color w:val="auto"/>
          <w:highlight w:val="none"/>
        </w:rPr>
        <w:t>-03</w:t>
      </w:r>
      <w:r>
        <w:rPr>
          <w:rFonts w:hint="eastAsia" w:cs="宋体" w:asciiTheme="minorEastAsia" w:hAnsiTheme="minorEastAsia" w:eastAsiaTheme="minorEastAsia"/>
          <w:color w:val="auto"/>
          <w:highlight w:val="none"/>
        </w:rPr>
        <w:t>）</w:t>
      </w:r>
    </w:p>
    <w:p w14:paraId="2D55DAD2">
      <w:pPr>
        <w:spacing w:line="360" w:lineRule="auto"/>
        <w:ind w:firstLine="630" w:firstLineChars="300"/>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1.6 </w:t>
      </w:r>
      <w:r>
        <w:rPr>
          <w:rFonts w:hint="eastAsia" w:cs="宋体" w:asciiTheme="minorEastAsia" w:hAnsiTheme="minorEastAsia" w:eastAsiaTheme="minorEastAsia"/>
          <w:color w:val="auto"/>
          <w:highlight w:val="none"/>
        </w:rPr>
        <w:t>单位工程投标报价汇总表（表</w:t>
      </w:r>
      <w:r>
        <w:rPr>
          <w:rFonts w:asciiTheme="minorEastAsia" w:hAnsiTheme="minorEastAsia" w:eastAsiaTheme="minorEastAsia"/>
          <w:color w:val="auto"/>
          <w:highlight w:val="none"/>
        </w:rPr>
        <w:t>-04</w:t>
      </w:r>
      <w:r>
        <w:rPr>
          <w:rFonts w:hint="eastAsia" w:cs="宋体" w:asciiTheme="minorEastAsia" w:hAnsiTheme="minorEastAsia" w:eastAsiaTheme="minorEastAsia"/>
          <w:color w:val="auto"/>
          <w:highlight w:val="none"/>
        </w:rPr>
        <w:t>）</w:t>
      </w:r>
    </w:p>
    <w:p w14:paraId="51B873CB">
      <w:pPr>
        <w:spacing w:line="360" w:lineRule="auto"/>
        <w:ind w:firstLine="630" w:firstLineChars="300"/>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1.7 </w:t>
      </w:r>
      <w:r>
        <w:rPr>
          <w:rFonts w:hint="eastAsia" w:cs="宋体" w:asciiTheme="minorEastAsia" w:hAnsiTheme="minorEastAsia" w:eastAsiaTheme="minorEastAsia"/>
          <w:color w:val="auto"/>
          <w:highlight w:val="none"/>
        </w:rPr>
        <w:t>分部分项工程和单价措施项目清单与计价表（表</w:t>
      </w:r>
      <w:r>
        <w:rPr>
          <w:rFonts w:asciiTheme="minorEastAsia" w:hAnsiTheme="minorEastAsia" w:eastAsiaTheme="minorEastAsia"/>
          <w:color w:val="auto"/>
          <w:highlight w:val="none"/>
        </w:rPr>
        <w:t>-08</w:t>
      </w:r>
      <w:r>
        <w:rPr>
          <w:rFonts w:hint="eastAsia" w:cs="宋体" w:asciiTheme="minorEastAsia" w:hAnsiTheme="minorEastAsia" w:eastAsiaTheme="minorEastAsia"/>
          <w:color w:val="auto"/>
          <w:highlight w:val="none"/>
        </w:rPr>
        <w:t>）</w:t>
      </w:r>
    </w:p>
    <w:p w14:paraId="2C3F13DB">
      <w:pPr>
        <w:spacing w:line="360" w:lineRule="auto"/>
        <w:ind w:firstLine="630" w:firstLineChars="300"/>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1.8 </w:t>
      </w:r>
      <w:r>
        <w:rPr>
          <w:rFonts w:hint="eastAsia" w:cs="宋体" w:asciiTheme="minorEastAsia" w:hAnsiTheme="minorEastAsia" w:eastAsiaTheme="minorEastAsia"/>
          <w:color w:val="auto"/>
          <w:highlight w:val="none"/>
        </w:rPr>
        <w:t>工程量清单综合单价分析表（表</w:t>
      </w:r>
      <w:r>
        <w:rPr>
          <w:rFonts w:asciiTheme="minorEastAsia" w:hAnsiTheme="minorEastAsia" w:eastAsiaTheme="minorEastAsia"/>
          <w:color w:val="auto"/>
          <w:highlight w:val="none"/>
        </w:rPr>
        <w:t>-09</w:t>
      </w:r>
      <w:r>
        <w:rPr>
          <w:rFonts w:hint="eastAsia" w:cs="宋体" w:asciiTheme="minorEastAsia" w:hAnsiTheme="minorEastAsia" w:eastAsiaTheme="minorEastAsia"/>
          <w:color w:val="auto"/>
          <w:highlight w:val="none"/>
        </w:rPr>
        <w:t>）</w:t>
      </w:r>
    </w:p>
    <w:p w14:paraId="0AE97B9F">
      <w:pPr>
        <w:spacing w:line="360" w:lineRule="auto"/>
        <w:ind w:firstLine="630" w:firstLineChars="300"/>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1.9 </w:t>
      </w:r>
      <w:r>
        <w:rPr>
          <w:rFonts w:hint="eastAsia" w:cs="宋体" w:asciiTheme="minorEastAsia" w:hAnsiTheme="minorEastAsia" w:eastAsiaTheme="minorEastAsia"/>
          <w:color w:val="auto"/>
          <w:highlight w:val="none"/>
        </w:rPr>
        <w:t>主要清单项目工料机分析表（表</w:t>
      </w:r>
      <w:r>
        <w:rPr>
          <w:rFonts w:asciiTheme="minorEastAsia" w:hAnsiTheme="minorEastAsia" w:eastAsiaTheme="minorEastAsia"/>
          <w:color w:val="auto"/>
          <w:highlight w:val="none"/>
        </w:rPr>
        <w:t>-10</w:t>
      </w:r>
      <w:r>
        <w:rPr>
          <w:rFonts w:hint="eastAsia" w:cs="宋体" w:asciiTheme="minorEastAsia" w:hAnsiTheme="minorEastAsia" w:eastAsiaTheme="minorEastAsia"/>
          <w:color w:val="auto"/>
          <w:highlight w:val="none"/>
        </w:rPr>
        <w:t>）【备注：可按要求有选择的提供】</w:t>
      </w:r>
    </w:p>
    <w:p w14:paraId="3A384C0B">
      <w:pPr>
        <w:spacing w:line="360" w:lineRule="auto"/>
        <w:ind w:firstLine="630" w:firstLineChars="300"/>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1.10 </w:t>
      </w:r>
      <w:r>
        <w:rPr>
          <w:rFonts w:hint="eastAsia" w:cs="宋体" w:asciiTheme="minorEastAsia" w:hAnsiTheme="minorEastAsia" w:eastAsiaTheme="minorEastAsia"/>
          <w:color w:val="auto"/>
          <w:highlight w:val="none"/>
        </w:rPr>
        <w:t>总价措施项目清单与计价表（表</w:t>
      </w:r>
      <w:r>
        <w:rPr>
          <w:rFonts w:asciiTheme="minorEastAsia" w:hAnsiTheme="minorEastAsia" w:eastAsiaTheme="minorEastAsia"/>
          <w:color w:val="auto"/>
          <w:highlight w:val="none"/>
        </w:rPr>
        <w:t>-11</w:t>
      </w:r>
      <w:r>
        <w:rPr>
          <w:rFonts w:hint="eastAsia" w:cs="宋体" w:asciiTheme="minorEastAsia" w:hAnsiTheme="minorEastAsia" w:eastAsiaTheme="minorEastAsia"/>
          <w:color w:val="auto"/>
          <w:highlight w:val="none"/>
        </w:rPr>
        <w:t>）</w:t>
      </w:r>
    </w:p>
    <w:p w14:paraId="1CCA0E33">
      <w:pPr>
        <w:spacing w:line="360" w:lineRule="auto"/>
        <w:ind w:firstLine="630" w:firstLineChars="300"/>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1.11 </w:t>
      </w:r>
      <w:r>
        <w:rPr>
          <w:rFonts w:hint="eastAsia" w:cs="宋体" w:asciiTheme="minorEastAsia" w:hAnsiTheme="minorEastAsia" w:eastAsiaTheme="minorEastAsia"/>
          <w:color w:val="auto"/>
          <w:highlight w:val="none"/>
        </w:rPr>
        <w:t>其他项目清单与计价汇总表（表</w:t>
      </w:r>
      <w:r>
        <w:rPr>
          <w:rFonts w:asciiTheme="minorEastAsia" w:hAnsiTheme="minorEastAsia" w:eastAsiaTheme="minorEastAsia"/>
          <w:color w:val="auto"/>
          <w:highlight w:val="none"/>
        </w:rPr>
        <w:t>-12</w:t>
      </w:r>
      <w:r>
        <w:rPr>
          <w:rFonts w:hint="eastAsia" w:cs="宋体" w:asciiTheme="minorEastAsia" w:hAnsiTheme="minorEastAsia" w:eastAsiaTheme="minorEastAsia"/>
          <w:color w:val="auto"/>
          <w:highlight w:val="none"/>
        </w:rPr>
        <w:t>）</w:t>
      </w:r>
    </w:p>
    <w:p w14:paraId="0E8F89F4">
      <w:pPr>
        <w:spacing w:line="360" w:lineRule="auto"/>
        <w:ind w:firstLine="630" w:firstLineChars="300"/>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1.12 </w:t>
      </w:r>
      <w:r>
        <w:rPr>
          <w:rFonts w:hint="eastAsia" w:cs="宋体" w:asciiTheme="minorEastAsia" w:hAnsiTheme="minorEastAsia" w:eastAsiaTheme="minorEastAsia"/>
          <w:color w:val="auto"/>
          <w:highlight w:val="none"/>
        </w:rPr>
        <w:t>暂列金额明细表（表</w:t>
      </w:r>
      <w:r>
        <w:rPr>
          <w:rFonts w:asciiTheme="minorEastAsia" w:hAnsiTheme="minorEastAsia" w:eastAsiaTheme="minorEastAsia"/>
          <w:color w:val="auto"/>
          <w:highlight w:val="none"/>
        </w:rPr>
        <w:t>12-1</w:t>
      </w:r>
      <w:r>
        <w:rPr>
          <w:rFonts w:hint="eastAsia" w:cs="宋体" w:asciiTheme="minorEastAsia" w:hAnsiTheme="minorEastAsia" w:eastAsiaTheme="minorEastAsia"/>
          <w:color w:val="auto"/>
          <w:highlight w:val="none"/>
        </w:rPr>
        <w:t>）</w:t>
      </w:r>
    </w:p>
    <w:p w14:paraId="33AC1DCC">
      <w:pPr>
        <w:spacing w:line="360" w:lineRule="auto"/>
        <w:ind w:firstLine="630" w:firstLineChars="300"/>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1.13 </w:t>
      </w:r>
      <w:r>
        <w:rPr>
          <w:rFonts w:hint="eastAsia" w:cs="宋体" w:asciiTheme="minorEastAsia" w:hAnsiTheme="minorEastAsia" w:eastAsiaTheme="minorEastAsia"/>
          <w:color w:val="auto"/>
          <w:highlight w:val="none"/>
        </w:rPr>
        <w:t>材料（工程设备）暂估单价及调整表（表</w:t>
      </w:r>
      <w:r>
        <w:rPr>
          <w:rFonts w:asciiTheme="minorEastAsia" w:hAnsiTheme="minorEastAsia" w:eastAsiaTheme="minorEastAsia"/>
          <w:color w:val="auto"/>
          <w:highlight w:val="none"/>
        </w:rPr>
        <w:t>12-2</w:t>
      </w:r>
      <w:r>
        <w:rPr>
          <w:rFonts w:hint="eastAsia" w:cs="宋体" w:asciiTheme="minorEastAsia" w:hAnsiTheme="minorEastAsia" w:eastAsiaTheme="minorEastAsia"/>
          <w:color w:val="auto"/>
          <w:highlight w:val="none"/>
        </w:rPr>
        <w:t>）</w:t>
      </w:r>
    </w:p>
    <w:p w14:paraId="6CFFF1E0">
      <w:pPr>
        <w:spacing w:line="360" w:lineRule="auto"/>
        <w:ind w:firstLine="630" w:firstLineChars="300"/>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1.14 </w:t>
      </w:r>
      <w:r>
        <w:rPr>
          <w:rFonts w:hint="eastAsia" w:cs="宋体" w:asciiTheme="minorEastAsia" w:hAnsiTheme="minorEastAsia" w:eastAsiaTheme="minorEastAsia"/>
          <w:color w:val="auto"/>
          <w:highlight w:val="none"/>
        </w:rPr>
        <w:t>专业工程暂估价及结算价表（表</w:t>
      </w:r>
      <w:r>
        <w:rPr>
          <w:rFonts w:asciiTheme="minorEastAsia" w:hAnsiTheme="minorEastAsia" w:eastAsiaTheme="minorEastAsia"/>
          <w:color w:val="auto"/>
          <w:highlight w:val="none"/>
        </w:rPr>
        <w:t>12-3</w:t>
      </w:r>
      <w:r>
        <w:rPr>
          <w:rFonts w:hint="eastAsia" w:cs="宋体" w:asciiTheme="minorEastAsia" w:hAnsiTheme="minorEastAsia" w:eastAsiaTheme="minorEastAsia"/>
          <w:color w:val="auto"/>
          <w:highlight w:val="none"/>
        </w:rPr>
        <w:t>）</w:t>
      </w:r>
    </w:p>
    <w:p w14:paraId="31EF0541">
      <w:pPr>
        <w:spacing w:line="360" w:lineRule="auto"/>
        <w:ind w:firstLine="630" w:firstLineChars="300"/>
        <w:rPr>
          <w:rFonts w:asciiTheme="minorEastAsia" w:hAnsiTheme="minorEastAsia" w:eastAsiaTheme="minorEastAsia"/>
          <w:color w:val="auto"/>
          <w:highlight w:val="none"/>
        </w:rPr>
      </w:pPr>
      <w:r>
        <w:rPr>
          <w:rFonts w:asciiTheme="minorEastAsia" w:hAnsiTheme="minorEastAsia" w:eastAsiaTheme="minorEastAsia"/>
          <w:color w:val="auto"/>
          <w:highlight w:val="none"/>
        </w:rPr>
        <w:t>1.15</w:t>
      </w:r>
      <w:r>
        <w:rPr>
          <w:rFonts w:hint="eastAsia" w:cs="宋体" w:asciiTheme="minorEastAsia" w:hAnsiTheme="minorEastAsia" w:eastAsiaTheme="minorEastAsia"/>
          <w:color w:val="auto"/>
          <w:highlight w:val="none"/>
        </w:rPr>
        <w:t>计日工表（表</w:t>
      </w:r>
      <w:r>
        <w:rPr>
          <w:rFonts w:asciiTheme="minorEastAsia" w:hAnsiTheme="minorEastAsia" w:eastAsiaTheme="minorEastAsia"/>
          <w:color w:val="auto"/>
          <w:highlight w:val="none"/>
        </w:rPr>
        <w:t>12-4</w:t>
      </w:r>
      <w:r>
        <w:rPr>
          <w:rFonts w:hint="eastAsia" w:cs="宋体" w:asciiTheme="minorEastAsia" w:hAnsiTheme="minorEastAsia" w:eastAsiaTheme="minorEastAsia"/>
          <w:color w:val="auto"/>
          <w:highlight w:val="none"/>
        </w:rPr>
        <w:t>）</w:t>
      </w:r>
    </w:p>
    <w:p w14:paraId="39A9513A">
      <w:pPr>
        <w:spacing w:line="360" w:lineRule="auto"/>
        <w:ind w:firstLine="630" w:firstLineChars="300"/>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1.16 </w:t>
      </w:r>
      <w:r>
        <w:rPr>
          <w:rFonts w:hint="eastAsia" w:cs="宋体" w:asciiTheme="minorEastAsia" w:hAnsiTheme="minorEastAsia" w:eastAsiaTheme="minorEastAsia"/>
          <w:color w:val="auto"/>
          <w:highlight w:val="none"/>
        </w:rPr>
        <w:t>总承包服务费计价表（表</w:t>
      </w:r>
      <w:r>
        <w:rPr>
          <w:rFonts w:asciiTheme="minorEastAsia" w:hAnsiTheme="minorEastAsia" w:eastAsiaTheme="minorEastAsia"/>
          <w:color w:val="auto"/>
          <w:highlight w:val="none"/>
        </w:rPr>
        <w:t>12-5</w:t>
      </w:r>
      <w:r>
        <w:rPr>
          <w:rFonts w:hint="eastAsia" w:cs="宋体" w:asciiTheme="minorEastAsia" w:hAnsiTheme="minorEastAsia" w:eastAsiaTheme="minorEastAsia"/>
          <w:color w:val="auto"/>
          <w:highlight w:val="none"/>
        </w:rPr>
        <w:t>）</w:t>
      </w:r>
    </w:p>
    <w:p w14:paraId="2F9DE3E8">
      <w:pPr>
        <w:spacing w:line="360" w:lineRule="auto"/>
        <w:ind w:firstLine="630" w:firstLineChars="300"/>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1.17 </w:t>
      </w:r>
      <w:r>
        <w:rPr>
          <w:rFonts w:hint="eastAsia" w:cs="宋体" w:asciiTheme="minorEastAsia" w:hAnsiTheme="minorEastAsia" w:eastAsiaTheme="minorEastAsia"/>
          <w:color w:val="auto"/>
          <w:highlight w:val="none"/>
        </w:rPr>
        <w:t>税前项目清单与计价表（表</w:t>
      </w:r>
      <w:r>
        <w:rPr>
          <w:rFonts w:asciiTheme="minorEastAsia" w:hAnsiTheme="minorEastAsia" w:eastAsiaTheme="minorEastAsia"/>
          <w:color w:val="auto"/>
          <w:highlight w:val="none"/>
        </w:rPr>
        <w:t>-14</w:t>
      </w:r>
      <w:r>
        <w:rPr>
          <w:rFonts w:hint="eastAsia" w:cs="宋体" w:asciiTheme="minorEastAsia" w:hAnsiTheme="minorEastAsia" w:eastAsiaTheme="minorEastAsia"/>
          <w:color w:val="auto"/>
          <w:highlight w:val="none"/>
        </w:rPr>
        <w:t>）</w:t>
      </w:r>
    </w:p>
    <w:p w14:paraId="573CF9D8">
      <w:pPr>
        <w:spacing w:line="360" w:lineRule="auto"/>
        <w:ind w:firstLine="630" w:firstLineChars="300"/>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1.18 </w:t>
      </w:r>
      <w:r>
        <w:rPr>
          <w:rFonts w:hint="eastAsia" w:cs="宋体" w:asciiTheme="minorEastAsia" w:hAnsiTheme="minorEastAsia" w:eastAsiaTheme="minorEastAsia"/>
          <w:color w:val="auto"/>
          <w:highlight w:val="none"/>
        </w:rPr>
        <w:t>规费、增值税计价表（表</w:t>
      </w:r>
      <w:r>
        <w:rPr>
          <w:rFonts w:asciiTheme="minorEastAsia" w:hAnsiTheme="minorEastAsia" w:eastAsiaTheme="minorEastAsia"/>
          <w:color w:val="auto"/>
          <w:highlight w:val="none"/>
        </w:rPr>
        <w:t>-15</w:t>
      </w:r>
      <w:r>
        <w:rPr>
          <w:rFonts w:hint="eastAsia" w:cs="宋体" w:asciiTheme="minorEastAsia" w:hAnsiTheme="minorEastAsia" w:eastAsiaTheme="minorEastAsia"/>
          <w:color w:val="auto"/>
          <w:highlight w:val="none"/>
        </w:rPr>
        <w:t>）</w:t>
      </w:r>
    </w:p>
    <w:p w14:paraId="5949C702">
      <w:pPr>
        <w:spacing w:line="360" w:lineRule="auto"/>
        <w:ind w:firstLine="630" w:firstLineChars="300"/>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1.19 </w:t>
      </w:r>
      <w:r>
        <w:rPr>
          <w:rFonts w:hint="eastAsia" w:cs="宋体" w:asciiTheme="minorEastAsia" w:hAnsiTheme="minorEastAsia" w:eastAsiaTheme="minorEastAsia"/>
          <w:color w:val="auto"/>
          <w:highlight w:val="none"/>
        </w:rPr>
        <w:t>发包人提供主要材料和工程设备一览表（表</w:t>
      </w:r>
      <w:r>
        <w:rPr>
          <w:rFonts w:asciiTheme="minorEastAsia" w:hAnsiTheme="minorEastAsia" w:eastAsiaTheme="minorEastAsia"/>
          <w:color w:val="auto"/>
          <w:highlight w:val="none"/>
        </w:rPr>
        <w:t>-21</w:t>
      </w:r>
      <w:r>
        <w:rPr>
          <w:rFonts w:hint="eastAsia" w:cs="宋体" w:asciiTheme="minorEastAsia" w:hAnsiTheme="minorEastAsia" w:eastAsiaTheme="minorEastAsia"/>
          <w:color w:val="auto"/>
          <w:highlight w:val="none"/>
        </w:rPr>
        <w:t>）</w:t>
      </w:r>
    </w:p>
    <w:p w14:paraId="7E647502">
      <w:pPr>
        <w:spacing w:line="360" w:lineRule="auto"/>
        <w:ind w:firstLine="630" w:firstLineChars="300"/>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1.20 </w:t>
      </w:r>
      <w:r>
        <w:rPr>
          <w:rFonts w:hint="eastAsia" w:cs="宋体" w:asciiTheme="minorEastAsia" w:hAnsiTheme="minorEastAsia" w:eastAsiaTheme="minorEastAsia"/>
          <w:color w:val="auto"/>
          <w:highlight w:val="none"/>
        </w:rPr>
        <w:t>允许调整主要材料和工程设备一览表（适用于造价信息差额调整法）（表</w:t>
      </w:r>
      <w:r>
        <w:rPr>
          <w:rFonts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w:t>
      </w:r>
    </w:p>
    <w:p w14:paraId="6EE9D365">
      <w:pPr>
        <w:spacing w:line="360" w:lineRule="auto"/>
        <w:ind w:firstLine="630" w:firstLineChars="300"/>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1.21 </w:t>
      </w:r>
      <w:r>
        <w:rPr>
          <w:rFonts w:hint="eastAsia" w:cs="宋体" w:asciiTheme="minorEastAsia" w:hAnsiTheme="minorEastAsia" w:eastAsiaTheme="minorEastAsia"/>
          <w:color w:val="auto"/>
          <w:highlight w:val="none"/>
        </w:rPr>
        <w:t>允许调整主要材料和工程设备一览表（适用于价格指数差额调整法）（表</w:t>
      </w:r>
      <w:r>
        <w:rPr>
          <w:rFonts w:asciiTheme="minorEastAsia" w:hAnsiTheme="minorEastAsia" w:eastAsiaTheme="minorEastAsia"/>
          <w:color w:val="auto"/>
          <w:highlight w:val="none"/>
        </w:rPr>
        <w:t>-23</w:t>
      </w:r>
      <w:r>
        <w:rPr>
          <w:rFonts w:hint="eastAsia" w:cs="宋体" w:asciiTheme="minorEastAsia" w:hAnsiTheme="minorEastAsia" w:eastAsiaTheme="minorEastAsia"/>
          <w:color w:val="auto"/>
          <w:highlight w:val="none"/>
        </w:rPr>
        <w:t>）</w:t>
      </w:r>
    </w:p>
    <w:p w14:paraId="1B5FCBB2">
      <w:pPr>
        <w:spacing w:line="360" w:lineRule="auto"/>
        <w:ind w:firstLine="630" w:firstLineChars="3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1.22</w:t>
      </w:r>
      <w:r>
        <w:rPr>
          <w:rFonts w:hint="eastAsia" w:cs="宋体" w:asciiTheme="minorEastAsia" w:hAnsiTheme="minorEastAsia" w:eastAsiaTheme="minorEastAsia"/>
          <w:color w:val="auto"/>
          <w:highlight w:val="none"/>
        </w:rPr>
        <w:t>本工程</w:t>
      </w:r>
      <w:r>
        <w:rPr>
          <w:rFonts w:cs="宋体" w:asciiTheme="minorEastAsia" w:hAnsiTheme="minorEastAsia" w:eastAsiaTheme="minorEastAsia"/>
          <w:color w:val="auto"/>
          <w:highlight w:val="none"/>
        </w:rPr>
        <w:t>材料和工程设备</w:t>
      </w:r>
      <w:r>
        <w:rPr>
          <w:rFonts w:hint="eastAsia" w:cs="宋体" w:asciiTheme="minorEastAsia" w:hAnsiTheme="minorEastAsia" w:eastAsiaTheme="minorEastAsia"/>
          <w:color w:val="auto"/>
          <w:highlight w:val="none"/>
        </w:rPr>
        <w:t>一览表（表-24）</w:t>
      </w:r>
    </w:p>
    <w:p w14:paraId="451624D6">
      <w:pPr>
        <w:spacing w:line="360" w:lineRule="auto"/>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备注：</w:t>
      </w:r>
    </w:p>
    <w:p w14:paraId="7D8FEFEB">
      <w:pPr>
        <w:spacing w:line="360" w:lineRule="auto"/>
        <w:ind w:firstLine="420" w:firstLineChars="20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1</w:t>
      </w:r>
      <w:r>
        <w:rPr>
          <w:rFonts w:hint="eastAsia" w:cs="宋体" w:asciiTheme="minorEastAsia" w:hAnsiTheme="minorEastAsia" w:eastAsiaTheme="minorEastAsia"/>
          <w:color w:val="auto"/>
          <w:highlight w:val="none"/>
        </w:rPr>
        <w:t>）供应商在上传电子响应文件时应上传纸质投标总价封面的原件扫描件。投标总价封面必须经供应商盖章，并由法定代表人（或其授权人）签字（或盖章），同时由编制人签字盖专用章。</w:t>
      </w:r>
    </w:p>
    <w:p w14:paraId="15F403D5">
      <w:pPr>
        <w:spacing w:line="360" w:lineRule="auto"/>
        <w:ind w:firstLine="420" w:firstLineChars="20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2</w:t>
      </w: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1.8</w:t>
      </w:r>
      <w:r>
        <w:rPr>
          <w:rFonts w:hint="eastAsia" w:cs="宋体" w:asciiTheme="minorEastAsia" w:hAnsiTheme="minorEastAsia" w:eastAsiaTheme="minorEastAsia"/>
          <w:color w:val="auto"/>
          <w:highlight w:val="none"/>
        </w:rPr>
        <w:t>工程量清单综合单价分析表和</w:t>
      </w:r>
      <w:r>
        <w:rPr>
          <w:rFonts w:asciiTheme="minorEastAsia" w:hAnsiTheme="minorEastAsia" w:eastAsiaTheme="minorEastAsia"/>
          <w:color w:val="auto"/>
          <w:highlight w:val="none"/>
        </w:rPr>
        <w:t>1.9</w:t>
      </w:r>
      <w:r>
        <w:rPr>
          <w:rFonts w:hint="eastAsia" w:cs="宋体" w:asciiTheme="minorEastAsia" w:hAnsiTheme="minorEastAsia" w:eastAsiaTheme="minorEastAsia"/>
          <w:color w:val="auto"/>
          <w:highlight w:val="none"/>
        </w:rPr>
        <w:t>主要清单项目工料机分析表要求附上。</w:t>
      </w:r>
    </w:p>
    <w:p w14:paraId="4D43C6CA">
      <w:pPr>
        <w:spacing w:line="360" w:lineRule="auto"/>
        <w:ind w:firstLine="420" w:firstLineChars="20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3</w:t>
      </w:r>
      <w:r>
        <w:rPr>
          <w:rFonts w:hint="eastAsia" w:cs="宋体" w:asciiTheme="minorEastAsia" w:hAnsiTheme="minorEastAsia" w:eastAsiaTheme="minorEastAsia"/>
          <w:color w:val="auto"/>
          <w:highlight w:val="none"/>
        </w:rPr>
        <w:t>）已标价工程量清单表格要严格按照招标工程量清单给出的表格要求和内容填报。如本工程在合同中约定采用造价信息价差调整法，1.</w:t>
      </w:r>
      <w:r>
        <w:rPr>
          <w:rFonts w:asciiTheme="minorEastAsia" w:hAnsiTheme="minorEastAsia" w:eastAsiaTheme="minorEastAsia"/>
          <w:color w:val="auto"/>
          <w:highlight w:val="none"/>
        </w:rPr>
        <w:t xml:space="preserve">18 </w:t>
      </w:r>
      <w:r>
        <w:rPr>
          <w:rFonts w:hint="eastAsia" w:cs="宋体" w:asciiTheme="minorEastAsia" w:hAnsiTheme="minorEastAsia" w:eastAsiaTheme="minorEastAsia"/>
          <w:color w:val="auto"/>
          <w:highlight w:val="none"/>
        </w:rPr>
        <w:t>允许调整主要材料和工程设备一览表（适用于造价信息差额调整法）（表</w:t>
      </w:r>
      <w:r>
        <w:rPr>
          <w:rFonts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载明的主要材料和工程设备为本工程允许调整的材料和工程设备，招标工程量清单必须提供该表格，且不能提供空白表。以下表格视工程实际需要选用，如该工程不发生如下表格相关项目和费用，招标工程量清单不应列入该部分表格，已标价工程量清单亦不包括这部分表格。</w:t>
      </w:r>
    </w:p>
    <w:p w14:paraId="3C2E0701">
      <w:pPr>
        <w:spacing w:line="360" w:lineRule="auto"/>
        <w:ind w:firstLine="420" w:firstLineChars="20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①建设项目投标报价汇总表（表</w:t>
      </w:r>
      <w:r>
        <w:rPr>
          <w:rFonts w:asciiTheme="minorEastAsia" w:hAnsiTheme="minorEastAsia" w:eastAsiaTheme="minorEastAsia"/>
          <w:color w:val="auto"/>
          <w:highlight w:val="none"/>
        </w:rPr>
        <w:t>-02</w:t>
      </w:r>
      <w:r>
        <w:rPr>
          <w:rFonts w:hint="eastAsia" w:cs="宋体" w:asciiTheme="minorEastAsia" w:hAnsiTheme="minorEastAsia" w:eastAsiaTheme="minorEastAsia"/>
          <w:color w:val="auto"/>
          <w:highlight w:val="none"/>
        </w:rPr>
        <w:t>）</w:t>
      </w:r>
    </w:p>
    <w:p w14:paraId="4CCF801D">
      <w:pPr>
        <w:spacing w:line="360" w:lineRule="auto"/>
        <w:ind w:firstLine="420" w:firstLineChars="20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②暂列金额明细表（表</w:t>
      </w:r>
      <w:r>
        <w:rPr>
          <w:rFonts w:asciiTheme="minorEastAsia" w:hAnsiTheme="minorEastAsia" w:eastAsiaTheme="minorEastAsia"/>
          <w:color w:val="auto"/>
          <w:highlight w:val="none"/>
        </w:rPr>
        <w:t>12-1</w:t>
      </w:r>
      <w:r>
        <w:rPr>
          <w:rFonts w:hint="eastAsia" w:cs="宋体" w:asciiTheme="minorEastAsia" w:hAnsiTheme="minorEastAsia" w:eastAsiaTheme="minorEastAsia"/>
          <w:color w:val="auto"/>
          <w:highlight w:val="none"/>
        </w:rPr>
        <w:t>）</w:t>
      </w:r>
    </w:p>
    <w:p w14:paraId="4F72AEB4">
      <w:pPr>
        <w:spacing w:line="360" w:lineRule="auto"/>
        <w:ind w:firstLine="420" w:firstLineChars="20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③材料（工程设备）暂估单位及调整表（表</w:t>
      </w:r>
      <w:r>
        <w:rPr>
          <w:rFonts w:asciiTheme="minorEastAsia" w:hAnsiTheme="minorEastAsia" w:eastAsiaTheme="minorEastAsia"/>
          <w:color w:val="auto"/>
          <w:highlight w:val="none"/>
        </w:rPr>
        <w:t>12-2</w:t>
      </w:r>
      <w:r>
        <w:rPr>
          <w:rFonts w:hint="eastAsia" w:cs="宋体" w:asciiTheme="minorEastAsia" w:hAnsiTheme="minorEastAsia" w:eastAsiaTheme="minorEastAsia"/>
          <w:color w:val="auto"/>
          <w:highlight w:val="none"/>
        </w:rPr>
        <w:t>）</w:t>
      </w:r>
    </w:p>
    <w:p w14:paraId="7DA504E1">
      <w:pPr>
        <w:spacing w:line="360" w:lineRule="auto"/>
        <w:ind w:firstLine="420" w:firstLineChars="20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④专业工程暂估价及结算价表（表</w:t>
      </w:r>
      <w:r>
        <w:rPr>
          <w:rFonts w:asciiTheme="minorEastAsia" w:hAnsiTheme="minorEastAsia" w:eastAsiaTheme="minorEastAsia"/>
          <w:color w:val="auto"/>
          <w:highlight w:val="none"/>
        </w:rPr>
        <w:t>12-3</w:t>
      </w:r>
      <w:r>
        <w:rPr>
          <w:rFonts w:hint="eastAsia" w:cs="宋体" w:asciiTheme="minorEastAsia" w:hAnsiTheme="minorEastAsia" w:eastAsiaTheme="minorEastAsia"/>
          <w:color w:val="auto"/>
          <w:highlight w:val="none"/>
        </w:rPr>
        <w:t>）</w:t>
      </w:r>
    </w:p>
    <w:p w14:paraId="3EB9359B">
      <w:pPr>
        <w:spacing w:line="360" w:lineRule="auto"/>
        <w:ind w:firstLine="420" w:firstLineChars="20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⑤计日工表</w:t>
      </w:r>
      <w:r>
        <w:rPr>
          <w:rFonts w:hint="eastAsia" w:cs="宋体" w:asciiTheme="minorEastAsia" w:hAnsiTheme="minorEastAsia" w:eastAsiaTheme="minorEastAsia"/>
          <w:color w:val="auto"/>
          <w:highlight w:val="none"/>
          <w:lang w:eastAsia="zh-CN"/>
        </w:rPr>
        <w:t>（</w:t>
      </w:r>
      <w:r>
        <w:rPr>
          <w:rFonts w:hint="eastAsia" w:cs="宋体" w:asciiTheme="minorEastAsia" w:hAnsiTheme="minorEastAsia" w:eastAsiaTheme="minorEastAsia"/>
          <w:color w:val="auto"/>
          <w:highlight w:val="none"/>
        </w:rPr>
        <w:t>表</w:t>
      </w:r>
      <w:r>
        <w:rPr>
          <w:rFonts w:asciiTheme="minorEastAsia" w:hAnsiTheme="minorEastAsia" w:eastAsiaTheme="minorEastAsia"/>
          <w:color w:val="auto"/>
          <w:highlight w:val="none"/>
        </w:rPr>
        <w:t>12-4</w:t>
      </w:r>
      <w:r>
        <w:rPr>
          <w:rFonts w:hint="eastAsia" w:cs="宋体" w:asciiTheme="minorEastAsia" w:hAnsiTheme="minorEastAsia" w:eastAsiaTheme="minorEastAsia"/>
          <w:color w:val="auto"/>
          <w:highlight w:val="none"/>
        </w:rPr>
        <w:t>）</w:t>
      </w:r>
    </w:p>
    <w:p w14:paraId="624A5D8A">
      <w:pPr>
        <w:spacing w:line="360" w:lineRule="auto"/>
        <w:ind w:firstLine="420" w:firstLineChars="20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⑥总承包服务费计价表（表</w:t>
      </w:r>
      <w:r>
        <w:rPr>
          <w:rFonts w:asciiTheme="minorEastAsia" w:hAnsiTheme="minorEastAsia" w:eastAsiaTheme="minorEastAsia"/>
          <w:color w:val="auto"/>
          <w:highlight w:val="none"/>
        </w:rPr>
        <w:t>12-5</w:t>
      </w:r>
      <w:r>
        <w:rPr>
          <w:rFonts w:hint="eastAsia" w:cs="宋体" w:asciiTheme="minorEastAsia" w:hAnsiTheme="minorEastAsia" w:eastAsiaTheme="minorEastAsia"/>
          <w:color w:val="auto"/>
          <w:highlight w:val="none"/>
        </w:rPr>
        <w:t>）</w:t>
      </w:r>
    </w:p>
    <w:p w14:paraId="59F355FE">
      <w:pPr>
        <w:spacing w:line="360" w:lineRule="auto"/>
        <w:ind w:firstLine="420" w:firstLineChars="20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⑦税前项目清单与计价表（表</w:t>
      </w:r>
      <w:r>
        <w:rPr>
          <w:rFonts w:asciiTheme="minorEastAsia" w:hAnsiTheme="minorEastAsia" w:eastAsiaTheme="minorEastAsia"/>
          <w:color w:val="auto"/>
          <w:highlight w:val="none"/>
        </w:rPr>
        <w:t>-14</w:t>
      </w:r>
      <w:r>
        <w:rPr>
          <w:rFonts w:hint="eastAsia" w:cs="宋体" w:asciiTheme="minorEastAsia" w:hAnsiTheme="minorEastAsia" w:eastAsiaTheme="minorEastAsia"/>
          <w:color w:val="auto"/>
          <w:highlight w:val="none"/>
        </w:rPr>
        <w:t>）</w:t>
      </w:r>
    </w:p>
    <w:p w14:paraId="6736C976">
      <w:pPr>
        <w:spacing w:line="360" w:lineRule="auto"/>
        <w:ind w:firstLine="420" w:firstLineChars="200"/>
        <w:rPr>
          <w:rFonts w:cs="宋体" w:asciiTheme="minorEastAsia" w:hAnsiTheme="minorEastAsia" w:eastAsiaTheme="minorEastAsia"/>
          <w:color w:val="auto"/>
          <w:highlight w:val="none"/>
        </w:rPr>
      </w:pPr>
      <w:r>
        <w:rPr>
          <w:rFonts w:hint="eastAsia"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 8 \* GB3 </w:instrText>
      </w:r>
      <w:r>
        <w:rPr>
          <w:rFonts w:hint="eastAsia" w:asciiTheme="minorEastAsia" w:hAnsiTheme="minorEastAsia" w:eastAsiaTheme="minorEastAsia"/>
          <w:color w:val="auto"/>
          <w:highlight w:val="none"/>
        </w:rPr>
        <w:fldChar w:fldCharType="separate"/>
      </w:r>
      <w:r>
        <w:rPr>
          <w:rFonts w:hint="eastAsia" w:asciiTheme="minorEastAsia" w:hAnsiTheme="minorEastAsia" w:eastAsiaTheme="minorEastAsia"/>
          <w:color w:val="auto"/>
          <w:highlight w:val="none"/>
        </w:rPr>
        <w:t>⑧</w:t>
      </w:r>
      <w:r>
        <w:rPr>
          <w:rFonts w:hint="eastAsia"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允许调整主要材料和工程设备一览表（适用于价格指数差额调整法）（表</w:t>
      </w:r>
      <w:r>
        <w:rPr>
          <w:rFonts w:asciiTheme="minorEastAsia" w:hAnsiTheme="minorEastAsia" w:eastAsiaTheme="minorEastAsia"/>
          <w:color w:val="auto"/>
          <w:highlight w:val="none"/>
        </w:rPr>
        <w:t>-23</w:t>
      </w:r>
      <w:r>
        <w:rPr>
          <w:rFonts w:hint="eastAsia" w:cs="宋体" w:asciiTheme="minorEastAsia" w:hAnsiTheme="minorEastAsia" w:eastAsiaTheme="minorEastAsia"/>
          <w:color w:val="auto"/>
          <w:highlight w:val="none"/>
        </w:rPr>
        <w:t>）</w:t>
      </w:r>
    </w:p>
    <w:p w14:paraId="3BDBAC0E">
      <w:pPr>
        <w:spacing w:line="360" w:lineRule="auto"/>
        <w:ind w:firstLine="420" w:firstLineChars="200"/>
        <w:contextualSpacing/>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highlight w:val="none"/>
        </w:rPr>
        <w:t>注：</w:t>
      </w:r>
      <w:r>
        <w:rPr>
          <w:rFonts w:hint="eastAsia" w:cs="宋体" w:asciiTheme="minorEastAsia" w:hAnsiTheme="minorEastAsia" w:eastAsiaTheme="minorEastAsia"/>
          <w:color w:val="auto"/>
          <w:kern w:val="0"/>
          <w:highlight w:val="none"/>
        </w:rPr>
        <w:t>因2021年《广西壮族自治区园林绿化及仿古建筑工程费用定额》采用全费用综合单价形式，故园林绿化及仿古建筑工程的已标价工程量清单</w:t>
      </w:r>
      <w:r>
        <w:rPr>
          <w:rFonts w:hint="eastAsia" w:cs="黑体" w:asciiTheme="minorEastAsia" w:hAnsiTheme="minorEastAsia" w:eastAsiaTheme="minorEastAsia"/>
          <w:color w:val="auto"/>
          <w:highlight w:val="none"/>
        </w:rPr>
        <w:t>采用</w:t>
      </w:r>
      <w:r>
        <w:rPr>
          <w:rFonts w:hint="eastAsia" w:cs="宋体" w:asciiTheme="minorEastAsia" w:hAnsiTheme="minorEastAsia" w:eastAsiaTheme="minorEastAsia"/>
          <w:color w:val="auto"/>
          <w:kern w:val="0"/>
          <w:highlight w:val="none"/>
        </w:rPr>
        <w:t>《自治区住房和城乡建设厅关于建设工程造价改革试点项目招投标及计价规定调整的通知》（桂建标〔2021〕6号）中附件1《建设工程工程量清单计价规范（GB50500-2013）广西壮族自治区实施细则》（适用于工程造价改革试点项目）相关表格，具体以采购人另附的工程量清单及相关说明为准。</w:t>
      </w:r>
    </w:p>
    <w:p w14:paraId="7564560C">
      <w:pPr>
        <w:spacing w:line="360" w:lineRule="auto"/>
        <w:ind w:right="420"/>
        <w:contextualSpacing/>
        <w:jc w:val="center"/>
        <w:rPr>
          <w:rFonts w:ascii="宋体" w:hAnsi="宋体"/>
          <w:b/>
          <w:color w:val="auto"/>
          <w:sz w:val="32"/>
          <w:szCs w:val="32"/>
          <w:highlight w:val="none"/>
        </w:rPr>
      </w:pPr>
      <w:r>
        <w:rPr>
          <w:rFonts w:asciiTheme="minorEastAsia" w:hAnsiTheme="minorEastAsia" w:eastAsiaTheme="minorEastAsia"/>
          <w:b/>
          <w:bCs/>
          <w:color w:val="auto"/>
          <w:sz w:val="32"/>
          <w:szCs w:val="32"/>
          <w:highlight w:val="none"/>
        </w:rPr>
        <w:br w:type="page"/>
      </w:r>
      <w:r>
        <w:rPr>
          <w:rFonts w:hint="eastAsia" w:ascii="宋体" w:hAnsi="宋体"/>
          <w:b/>
          <w:bCs/>
          <w:color w:val="auto"/>
          <w:sz w:val="32"/>
          <w:szCs w:val="32"/>
          <w:highlight w:val="none"/>
        </w:rPr>
        <w:t>三、</w:t>
      </w:r>
      <w:r>
        <w:rPr>
          <w:rFonts w:hint="eastAsia" w:ascii="宋体" w:hAnsi="宋体"/>
          <w:b/>
          <w:color w:val="auto"/>
          <w:sz w:val="32"/>
          <w:szCs w:val="32"/>
          <w:highlight w:val="none"/>
        </w:rPr>
        <w:t>商务技术文件格式</w:t>
      </w:r>
    </w:p>
    <w:p w14:paraId="2545F6B5">
      <w:pPr>
        <w:snapToGrid w:val="0"/>
        <w:spacing w:before="156"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1.商务技术文件封面格式</w:t>
      </w:r>
    </w:p>
    <w:p w14:paraId="08164A69">
      <w:pPr>
        <w:snapToGrid w:val="0"/>
        <w:spacing w:before="156"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5A314AA7">
      <w:pPr>
        <w:snapToGrid w:val="0"/>
        <w:spacing w:before="156"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3009BE76">
      <w:pPr>
        <w:snapToGrid w:val="0"/>
        <w:spacing w:before="156" w:beforeLines="50" w:after="50"/>
        <w:rPr>
          <w:rFonts w:ascii="宋体" w:hAnsi="宋体"/>
          <w:color w:val="auto"/>
          <w:sz w:val="24"/>
          <w:szCs w:val="20"/>
          <w:highlight w:val="none"/>
        </w:rPr>
      </w:pPr>
    </w:p>
    <w:p w14:paraId="00DC8DE3">
      <w:pPr>
        <w:snapToGrid w:val="0"/>
        <w:spacing w:before="156" w:beforeLines="50" w:after="50"/>
        <w:rPr>
          <w:rFonts w:ascii="宋体" w:hAnsi="宋体"/>
          <w:color w:val="auto"/>
          <w:sz w:val="24"/>
          <w:szCs w:val="20"/>
          <w:highlight w:val="none"/>
        </w:rPr>
      </w:pPr>
    </w:p>
    <w:p w14:paraId="283BE8DA">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1D60AD32">
      <w:pPr>
        <w:snapToGrid w:val="0"/>
        <w:spacing w:before="156" w:beforeLines="50" w:after="50"/>
        <w:rPr>
          <w:rFonts w:ascii="宋体" w:hAnsi="宋体"/>
          <w:bCs/>
          <w:color w:val="auto"/>
          <w:sz w:val="24"/>
          <w:szCs w:val="20"/>
          <w:highlight w:val="none"/>
        </w:rPr>
      </w:pPr>
    </w:p>
    <w:p w14:paraId="20E10669">
      <w:pPr>
        <w:snapToGrid w:val="0"/>
        <w:spacing w:before="156" w:beforeLines="50" w:after="50"/>
        <w:rPr>
          <w:rFonts w:ascii="宋体" w:hAnsi="宋体"/>
          <w:bCs/>
          <w:color w:val="auto"/>
          <w:sz w:val="24"/>
          <w:szCs w:val="20"/>
          <w:highlight w:val="none"/>
        </w:rPr>
      </w:pPr>
    </w:p>
    <w:p w14:paraId="73BF9E8E">
      <w:pPr>
        <w:snapToGrid w:val="0"/>
        <w:spacing w:before="156" w:beforeLines="50" w:after="50"/>
        <w:rPr>
          <w:rFonts w:ascii="宋体" w:hAnsi="宋体"/>
          <w:bCs/>
          <w:color w:val="auto"/>
          <w:sz w:val="24"/>
          <w:szCs w:val="20"/>
          <w:highlight w:val="none"/>
        </w:rPr>
      </w:pPr>
    </w:p>
    <w:p w14:paraId="19329CD2">
      <w:pPr>
        <w:snapToGrid w:val="0"/>
        <w:spacing w:before="156" w:beforeLines="50" w:after="50"/>
        <w:rPr>
          <w:rFonts w:ascii="宋体" w:hAnsi="宋体"/>
          <w:bCs/>
          <w:color w:val="auto"/>
          <w:sz w:val="24"/>
          <w:szCs w:val="20"/>
          <w:highlight w:val="none"/>
        </w:rPr>
      </w:pPr>
    </w:p>
    <w:p w14:paraId="45B6DD76">
      <w:pPr>
        <w:snapToGrid w:val="0"/>
        <w:spacing w:before="156" w:beforeLines="50" w:after="50"/>
        <w:rPr>
          <w:rFonts w:ascii="宋体" w:hAnsi="宋体"/>
          <w:bCs/>
          <w:color w:val="auto"/>
          <w:sz w:val="24"/>
          <w:szCs w:val="20"/>
          <w:highlight w:val="none"/>
        </w:rPr>
      </w:pPr>
    </w:p>
    <w:p w14:paraId="135AC20D">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1BD31975">
      <w:pPr>
        <w:snapToGrid w:val="0"/>
        <w:spacing w:before="156" w:beforeLines="50" w:after="50"/>
        <w:ind w:firstLine="720" w:firstLineChars="225"/>
        <w:rPr>
          <w:rFonts w:ascii="宋体" w:hAnsi="宋体" w:cs="仿宋_GB2312"/>
          <w:bCs/>
          <w:color w:val="auto"/>
          <w:sz w:val="32"/>
          <w:szCs w:val="32"/>
          <w:highlight w:val="none"/>
        </w:rPr>
      </w:pPr>
    </w:p>
    <w:p w14:paraId="0C8461D8">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4DAA41C2">
      <w:pPr>
        <w:snapToGrid w:val="0"/>
        <w:spacing w:before="156"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17A9825A">
      <w:pPr>
        <w:snapToGrid w:val="0"/>
        <w:spacing w:before="156" w:beforeLines="50" w:after="50"/>
        <w:ind w:firstLine="720" w:firstLineChars="225"/>
        <w:rPr>
          <w:rFonts w:ascii="宋体" w:hAnsi="宋体" w:cs="仿宋_GB2312"/>
          <w:bCs/>
          <w:color w:val="auto"/>
          <w:sz w:val="32"/>
          <w:szCs w:val="32"/>
          <w:highlight w:val="none"/>
        </w:rPr>
      </w:pPr>
    </w:p>
    <w:p w14:paraId="5CFA6620">
      <w:pPr>
        <w:pStyle w:val="7"/>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0D2CB2A5">
      <w:pPr>
        <w:pStyle w:val="7"/>
        <w:snapToGrid w:val="0"/>
        <w:spacing w:before="50" w:after="50"/>
        <w:ind w:firstLine="640" w:firstLineChars="200"/>
        <w:rPr>
          <w:rFonts w:ascii="宋体" w:hAnsi="宋体" w:cs="仿宋_GB2312"/>
          <w:bCs/>
          <w:color w:val="auto"/>
          <w:sz w:val="32"/>
          <w:szCs w:val="32"/>
          <w:highlight w:val="none"/>
        </w:rPr>
      </w:pPr>
    </w:p>
    <w:p w14:paraId="06CE0F54">
      <w:pPr>
        <w:pStyle w:val="7"/>
        <w:snapToGrid w:val="0"/>
        <w:spacing w:before="50" w:after="50"/>
        <w:ind w:firstLine="720" w:firstLineChars="225"/>
        <w:rPr>
          <w:rFonts w:ascii="宋体" w:hAnsi="宋体" w:cs="仿宋_GB2312"/>
          <w:bCs/>
          <w:color w:val="auto"/>
          <w:sz w:val="32"/>
          <w:szCs w:val="32"/>
          <w:highlight w:val="none"/>
        </w:rPr>
      </w:pPr>
    </w:p>
    <w:p w14:paraId="2A2EC383">
      <w:pPr>
        <w:pStyle w:val="7"/>
        <w:snapToGrid w:val="0"/>
        <w:spacing w:before="50" w:after="50"/>
        <w:ind w:firstLine="0"/>
        <w:rPr>
          <w:rFonts w:ascii="宋体" w:hAnsi="宋体" w:cs="仿宋_GB2312"/>
          <w:bCs/>
          <w:color w:val="auto"/>
          <w:sz w:val="32"/>
          <w:szCs w:val="32"/>
          <w:highlight w:val="none"/>
        </w:rPr>
      </w:pPr>
    </w:p>
    <w:p w14:paraId="5F0F42B1">
      <w:pPr>
        <w:pStyle w:val="7"/>
        <w:snapToGrid w:val="0"/>
        <w:spacing w:before="50" w:after="50"/>
        <w:ind w:firstLine="1280" w:firstLineChars="400"/>
        <w:rPr>
          <w:rFonts w:ascii="宋体" w:hAnsi="宋体" w:cs="仿宋_GB2312"/>
          <w:bCs/>
          <w:color w:val="auto"/>
          <w:sz w:val="32"/>
          <w:szCs w:val="32"/>
          <w:highlight w:val="none"/>
        </w:rPr>
      </w:pPr>
    </w:p>
    <w:p w14:paraId="677E72CA">
      <w:pPr>
        <w:snapToGrid w:val="0"/>
        <w:spacing w:before="156"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79069E33">
      <w:pPr>
        <w:snapToGrid w:val="0"/>
        <w:spacing w:before="156" w:beforeLines="50" w:after="50" w:line="360" w:lineRule="auto"/>
        <w:ind w:right="480" w:firstLine="240" w:firstLineChars="100"/>
        <w:jc w:val="left"/>
        <w:rPr>
          <w:rFonts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0DEFFD2C">
      <w:pPr>
        <w:snapToGrid w:val="0"/>
        <w:spacing w:before="156"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4AD0312A">
      <w:pPr>
        <w:spacing w:line="400" w:lineRule="exact"/>
        <w:rPr>
          <w:rFonts w:ascii="仿宋_GB2312" w:hAnsi="仿宋_GB2312" w:eastAsia="仿宋_GB2312" w:cs="仿宋_GB2312"/>
          <w:color w:val="auto"/>
          <w:sz w:val="32"/>
          <w:szCs w:val="32"/>
          <w:highlight w:val="none"/>
        </w:rPr>
      </w:pPr>
    </w:p>
    <w:p w14:paraId="2FFAEA3B">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47F8A855">
      <w:pPr>
        <w:spacing w:line="360" w:lineRule="auto"/>
        <w:ind w:firstLine="640" w:firstLineChars="200"/>
        <w:contextualSpacing/>
        <w:rPr>
          <w:rFonts w:ascii="仿宋_GB2312" w:hAnsi="仿宋_GB2312" w:eastAsia="仿宋_GB2312" w:cs="仿宋_GB2312"/>
          <w:color w:val="auto"/>
          <w:sz w:val="32"/>
          <w:szCs w:val="32"/>
          <w:highlight w:val="none"/>
        </w:rPr>
      </w:pPr>
    </w:p>
    <w:p w14:paraId="295EA8FC">
      <w:pPr>
        <w:spacing w:line="360" w:lineRule="auto"/>
        <w:ind w:firstLine="480"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2F8598C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3343AE5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468500F9">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77832C77">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7E4DD387">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0AB8DD74">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711464E8">
      <w:pPr>
        <w:spacing w:line="360" w:lineRule="auto"/>
        <w:ind w:firstLine="480"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36701A3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05AA3BE6">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6EC8957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201A9E7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383E29E6">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43DA4142">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27065F9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3A8ECD52">
      <w:pPr>
        <w:spacing w:line="360" w:lineRule="auto"/>
        <w:ind w:firstLine="480" w:firstLineChars="200"/>
        <w:contextualSpacing/>
        <w:rPr>
          <w:rFonts w:ascii="宋体" w:hAnsi="宋体" w:cs="仿宋_GB2312"/>
          <w:color w:val="auto"/>
          <w:sz w:val="24"/>
          <w:highlight w:val="none"/>
        </w:rPr>
      </w:pPr>
    </w:p>
    <w:p w14:paraId="1367A0FA">
      <w:pPr>
        <w:spacing w:line="360" w:lineRule="auto"/>
        <w:ind w:firstLine="480"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099756AA">
      <w:pPr>
        <w:spacing w:line="360" w:lineRule="auto"/>
        <w:contextualSpacing/>
        <w:rPr>
          <w:rFonts w:ascii="宋体" w:hAnsi="宋体" w:cs="仿宋_GB2312"/>
          <w:color w:val="auto"/>
          <w:sz w:val="24"/>
          <w:highlight w:val="none"/>
        </w:rPr>
      </w:pPr>
    </w:p>
    <w:p w14:paraId="0DE461F2">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0D8E3E82">
      <w:pPr>
        <w:spacing w:line="360" w:lineRule="auto"/>
        <w:ind w:firstLine="480" w:firstLineChars="200"/>
        <w:contextualSpacing/>
        <w:jc w:val="center"/>
        <w:rPr>
          <w:rFonts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2500C08B">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28E75AA1">
      <w:pPr>
        <w:spacing w:line="360" w:lineRule="auto"/>
        <w:ind w:left="540"/>
        <w:contextualSpacing/>
        <w:rPr>
          <w:rFonts w:ascii="仿宋_GB2312" w:hAnsi="仿宋_GB2312" w:eastAsia="仿宋_GB2312" w:cs="仿宋_GB2312"/>
          <w:color w:val="auto"/>
          <w:sz w:val="32"/>
          <w:szCs w:val="32"/>
          <w:highlight w:val="none"/>
        </w:rPr>
      </w:pPr>
    </w:p>
    <w:p w14:paraId="4E8CACED">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05D2E328">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06612DF5">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592CBADD">
      <w:pPr>
        <w:spacing w:line="360" w:lineRule="auto"/>
        <w:ind w:left="540"/>
        <w:contextualSpacing/>
        <w:rPr>
          <w:rFonts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2409863B">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1C6F4606">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73DE1DAE">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特此证明。</w:t>
      </w:r>
    </w:p>
    <w:p w14:paraId="2B25A3AF">
      <w:pPr>
        <w:spacing w:line="360" w:lineRule="auto"/>
        <w:ind w:left="540"/>
        <w:contextualSpacing/>
        <w:rPr>
          <w:rFonts w:ascii="宋体" w:hAnsi="宋体" w:cs="仿宋_GB2312"/>
          <w:color w:val="auto"/>
          <w:sz w:val="24"/>
          <w:highlight w:val="none"/>
        </w:rPr>
      </w:pPr>
    </w:p>
    <w:p w14:paraId="5E0533A2">
      <w:pPr>
        <w:spacing w:line="360" w:lineRule="auto"/>
        <w:ind w:left="540"/>
        <w:contextualSpacing/>
        <w:rPr>
          <w:rFonts w:ascii="宋体" w:hAnsi="宋体" w:cs="仿宋_GB2312"/>
          <w:color w:val="auto"/>
          <w:sz w:val="24"/>
          <w:highlight w:val="none"/>
        </w:rPr>
      </w:pPr>
    </w:p>
    <w:p w14:paraId="089ABD80">
      <w:pPr>
        <w:spacing w:line="360" w:lineRule="auto"/>
        <w:ind w:left="540"/>
        <w:contextualSpacing/>
        <w:rPr>
          <w:rFonts w:ascii="宋体" w:hAnsi="宋体" w:cs="仿宋_GB2312"/>
          <w:color w:val="auto"/>
          <w:sz w:val="24"/>
          <w:highlight w:val="none"/>
        </w:rPr>
      </w:pPr>
    </w:p>
    <w:p w14:paraId="33647D57">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31294208">
      <w:pPr>
        <w:spacing w:line="360" w:lineRule="auto"/>
        <w:ind w:left="540"/>
        <w:contextualSpacing/>
        <w:rPr>
          <w:rFonts w:ascii="宋体" w:hAnsi="宋体" w:cs="仿宋_GB2312"/>
          <w:color w:val="auto"/>
          <w:sz w:val="24"/>
          <w:highlight w:val="none"/>
        </w:rPr>
      </w:pPr>
    </w:p>
    <w:p w14:paraId="16D6F511">
      <w:pPr>
        <w:spacing w:line="360" w:lineRule="auto"/>
        <w:ind w:left="540" w:firstLine="3000" w:firstLineChars="1250"/>
        <w:contextualSpacing/>
        <w:jc w:val="left"/>
        <w:rPr>
          <w:rFonts w:ascii="宋体" w:hAnsi="宋体" w:cs="仿宋_GB2312"/>
          <w:color w:val="auto"/>
          <w:sz w:val="24"/>
          <w:highlight w:val="none"/>
        </w:rPr>
      </w:pPr>
      <w:r>
        <w:rPr>
          <w:rFonts w:hint="eastAsia" w:ascii="宋体" w:hAnsi="宋体" w:cs="仿宋_GB2312"/>
          <w:color w:val="auto"/>
          <w:sz w:val="24"/>
          <w:highlight w:val="none"/>
        </w:rPr>
        <w:t>供应商（电子签章）：</w:t>
      </w:r>
      <w:r>
        <w:rPr>
          <w:rFonts w:hint="eastAsia" w:ascii="宋体" w:hAnsi="宋体" w:cs="仿宋_GB2312"/>
          <w:color w:val="auto"/>
          <w:sz w:val="24"/>
          <w:highlight w:val="none"/>
          <w:u w:val="single"/>
        </w:rPr>
        <w:t xml:space="preserve">               </w:t>
      </w:r>
    </w:p>
    <w:p w14:paraId="4F843D94">
      <w:pPr>
        <w:spacing w:line="360" w:lineRule="auto"/>
        <w:ind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1F3B3DA5">
      <w:pPr>
        <w:spacing w:line="360" w:lineRule="auto"/>
        <w:contextualSpacing/>
        <w:jc w:val="center"/>
        <w:rPr>
          <w:rFonts w:ascii="宋体" w:hAnsi="宋体" w:cs="仿宋_GB2312"/>
          <w:b/>
          <w:color w:val="auto"/>
          <w:sz w:val="24"/>
          <w:highlight w:val="none"/>
        </w:rPr>
      </w:pPr>
    </w:p>
    <w:p w14:paraId="3EB8A57A">
      <w:pPr>
        <w:spacing w:line="360" w:lineRule="auto"/>
        <w:contextualSpacing/>
        <w:jc w:val="left"/>
        <w:rPr>
          <w:rFonts w:ascii="宋体" w:hAnsi="宋体" w:cs="仿宋_GB2312"/>
          <w:color w:val="auto"/>
          <w:sz w:val="24"/>
          <w:highlight w:val="none"/>
        </w:rPr>
      </w:pPr>
    </w:p>
    <w:p w14:paraId="4CB11E8C">
      <w:pPr>
        <w:spacing w:line="360" w:lineRule="auto"/>
        <w:contextualSpacing/>
        <w:jc w:val="left"/>
        <w:rPr>
          <w:rFonts w:ascii="宋体" w:hAnsi="宋体" w:cs="仿宋_GB2312"/>
          <w:color w:val="auto"/>
          <w:sz w:val="24"/>
          <w:highlight w:val="none"/>
        </w:rPr>
      </w:pPr>
    </w:p>
    <w:p w14:paraId="41EDC9E9">
      <w:pPr>
        <w:adjustRightInd w:val="0"/>
        <w:snapToGrid w:val="0"/>
        <w:spacing w:line="300" w:lineRule="auto"/>
        <w:jc w:val="left"/>
        <w:rPr>
          <w:rFonts w:ascii="宋体" w:hAnsi="宋体"/>
          <w:b/>
          <w:color w:val="auto"/>
          <w:szCs w:val="21"/>
          <w:highlight w:val="none"/>
        </w:rPr>
      </w:pPr>
    </w:p>
    <w:p w14:paraId="5A67BC72">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ascii="方正小标宋简体" w:hAnsi="方正小标宋简体" w:eastAsia="方正小标宋简体" w:cs="方正小标宋简体"/>
          <w:color w:val="auto"/>
          <w:sz w:val="44"/>
          <w:szCs w:val="44"/>
          <w:highlight w:val="none"/>
        </w:rPr>
        <w:t xml:space="preserve"> </w:t>
      </w:r>
      <w:bookmarkStart w:id="91" w:name="_Hlk65853643"/>
      <w:r>
        <w:rPr>
          <w:rFonts w:hint="eastAsia" w:ascii="方正小标宋简体" w:hAnsi="方正小标宋简体" w:eastAsia="方正小标宋简体" w:cs="方正小标宋简体"/>
          <w:color w:val="auto"/>
          <w:sz w:val="44"/>
          <w:szCs w:val="44"/>
          <w:highlight w:val="none"/>
        </w:rPr>
        <w:t>授权委托书</w:t>
      </w:r>
    </w:p>
    <w:p w14:paraId="58B54238">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3CBA5242">
      <w:pPr>
        <w:spacing w:line="520" w:lineRule="exact"/>
        <w:rPr>
          <w:rFonts w:ascii="仿宋_GB2312" w:hAnsi="仿宋_GB2312" w:eastAsia="仿宋_GB2312" w:cs="仿宋_GB2312"/>
          <w:color w:val="auto"/>
          <w:sz w:val="32"/>
          <w:szCs w:val="32"/>
          <w:highlight w:val="none"/>
        </w:rPr>
      </w:pPr>
    </w:p>
    <w:p w14:paraId="52F287BD">
      <w:pPr>
        <w:spacing w:line="360" w:lineRule="auto"/>
        <w:rPr>
          <w:rFonts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3D4E4EBA">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002F1316">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28FBDA7B">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60F96FF5">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5C48F8F9">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768442AB">
      <w:pPr>
        <w:spacing w:line="360" w:lineRule="auto"/>
        <w:rPr>
          <w:rFonts w:ascii="宋体" w:hAnsi="宋体" w:cs="仿宋_GB2312"/>
          <w:color w:val="auto"/>
          <w:sz w:val="24"/>
          <w:highlight w:val="none"/>
        </w:rPr>
      </w:pPr>
    </w:p>
    <w:p w14:paraId="4AFE8EA2">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14:paraId="22B2C813">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3FB257F8">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w:t>
      </w:r>
    </w:p>
    <w:p w14:paraId="37E5A17B">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供应商（电子签章）：                      </w:t>
      </w:r>
    </w:p>
    <w:p w14:paraId="7F70C418">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14:paraId="241FD9D0">
      <w:pPr>
        <w:spacing w:line="360" w:lineRule="auto"/>
        <w:rPr>
          <w:rFonts w:ascii="宋体" w:hAnsi="宋体" w:cs="仿宋_GB2312"/>
          <w:color w:val="auto"/>
          <w:sz w:val="24"/>
          <w:highlight w:val="none"/>
        </w:rPr>
      </w:pPr>
    </w:p>
    <w:p w14:paraId="74F3B53C">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否则其响应文件按无效处理。</w:t>
      </w:r>
    </w:p>
    <w:p w14:paraId="447CB33C">
      <w:pPr>
        <w:spacing w:line="360" w:lineRule="auto"/>
        <w:ind w:firstLine="420" w:firstLineChars="200"/>
        <w:jc w:val="left"/>
        <w:rPr>
          <w:rFonts w:ascii="仿宋_GB2312" w:hAnsi="仿宋_GB2312" w:eastAsia="仿宋_GB2312" w:cs="仿宋_GB2312"/>
          <w:color w:val="auto"/>
          <w:szCs w:val="21"/>
          <w:highlight w:val="none"/>
        </w:rPr>
      </w:pPr>
    </w:p>
    <w:p w14:paraId="7EF4E91F">
      <w:pPr>
        <w:spacing w:line="500" w:lineRule="exact"/>
        <w:jc w:val="center"/>
        <w:rPr>
          <w:rFonts w:ascii="方正小标宋简体" w:hAnsi="方正小标宋简体" w:eastAsia="方正小标宋简体" w:cs="方正小标宋简体"/>
          <w:color w:val="auto"/>
          <w:sz w:val="44"/>
          <w:szCs w:val="44"/>
          <w:highlight w:val="none"/>
        </w:rPr>
      </w:pPr>
      <w:r>
        <w:rPr>
          <w:rFonts w:ascii="仿宋_GB2312" w:hAnsi="仿宋_GB2312" w:eastAsia="仿宋_GB2312" w:cs="仿宋_GB2312"/>
          <w:color w:val="auto"/>
          <w:szCs w:val="21"/>
          <w:highlight w:val="none"/>
        </w:rPr>
        <w:br w:type="page"/>
      </w:r>
      <w:bookmarkEnd w:id="91"/>
      <w:r>
        <w:rPr>
          <w:rFonts w:hint="eastAsia" w:ascii="方正小标宋简体" w:hAnsi="方正小标宋简体" w:eastAsia="方正小标宋简体" w:cs="方正小标宋简体"/>
          <w:color w:val="auto"/>
          <w:sz w:val="44"/>
          <w:szCs w:val="44"/>
          <w:highlight w:val="none"/>
        </w:rPr>
        <w:t>技术及其他要求、商务要求响应承诺表格式</w:t>
      </w:r>
    </w:p>
    <w:p w14:paraId="14A052C9">
      <w:pPr>
        <w:pStyle w:val="7"/>
        <w:rPr>
          <w:color w:val="auto"/>
          <w:highlight w:val="none"/>
        </w:rPr>
      </w:pPr>
    </w:p>
    <w:tbl>
      <w:tblPr>
        <w:tblStyle w:val="46"/>
        <w:tblpPr w:leftFromText="180" w:rightFromText="180" w:vertAnchor="text" w:horzAnchor="margin" w:tblpY="221"/>
        <w:tblOverlap w:val="never"/>
        <w:tblW w:w="89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05"/>
        <w:gridCol w:w="6454"/>
      </w:tblGrid>
      <w:tr w14:paraId="36344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2505" w:type="dxa"/>
            <w:tcBorders>
              <w:top w:val="single" w:color="auto" w:sz="4" w:space="0"/>
              <w:left w:val="single" w:color="auto" w:sz="4" w:space="0"/>
              <w:bottom w:val="single" w:color="auto" w:sz="4" w:space="0"/>
              <w:right w:val="single" w:color="auto" w:sz="4" w:space="0"/>
            </w:tcBorders>
            <w:vAlign w:val="center"/>
          </w:tcPr>
          <w:p w14:paraId="65949AB2">
            <w:pPr>
              <w:keepNext w:val="0"/>
              <w:keepLines w:val="0"/>
              <w:suppressLineNumbers w:val="0"/>
              <w:snapToGrid w:val="0"/>
              <w:spacing w:before="156" w:beforeLines="50" w:beforeAutospacing="0" w:after="0" w:afterAutospacing="0" w:line="360" w:lineRule="auto"/>
              <w:ind w:left="0" w:right="0"/>
              <w:jc w:val="center"/>
              <w:rPr>
                <w:rFonts w:hint="default"/>
                <w:color w:val="auto"/>
                <w:sz w:val="24"/>
                <w:highlight w:val="none"/>
              </w:rPr>
            </w:pPr>
            <w:r>
              <w:rPr>
                <w:rFonts w:hint="eastAsia"/>
                <w:color w:val="auto"/>
                <w:sz w:val="24"/>
                <w:highlight w:val="none"/>
              </w:rPr>
              <w:t>项目</w:t>
            </w:r>
          </w:p>
        </w:tc>
        <w:tc>
          <w:tcPr>
            <w:tcW w:w="6454" w:type="dxa"/>
            <w:tcBorders>
              <w:top w:val="single" w:color="auto" w:sz="4" w:space="0"/>
              <w:left w:val="single" w:color="auto" w:sz="4" w:space="0"/>
              <w:bottom w:val="single" w:color="auto" w:sz="4" w:space="0"/>
              <w:right w:val="single" w:color="auto" w:sz="4" w:space="0"/>
            </w:tcBorders>
            <w:vAlign w:val="center"/>
          </w:tcPr>
          <w:p w14:paraId="10FF88EA">
            <w:pPr>
              <w:keepNext w:val="0"/>
              <w:keepLines w:val="0"/>
              <w:suppressLineNumbers w:val="0"/>
              <w:snapToGrid w:val="0"/>
              <w:spacing w:before="156" w:beforeLines="50" w:beforeAutospacing="0" w:after="0" w:afterAutospacing="0" w:line="320" w:lineRule="exact"/>
              <w:ind w:left="0" w:right="0"/>
              <w:jc w:val="center"/>
              <w:rPr>
                <w:rFonts w:hint="default"/>
                <w:color w:val="auto"/>
                <w:sz w:val="24"/>
                <w:highlight w:val="none"/>
              </w:rPr>
            </w:pPr>
            <w:r>
              <w:rPr>
                <w:rFonts w:hint="eastAsia"/>
                <w:color w:val="auto"/>
                <w:sz w:val="24"/>
                <w:highlight w:val="none"/>
              </w:rPr>
              <w:t>对应第三章</w:t>
            </w:r>
            <w:r>
              <w:rPr>
                <w:rFonts w:hint="default"/>
                <w:color w:val="auto"/>
                <w:sz w:val="24"/>
                <w:highlight w:val="none"/>
              </w:rPr>
              <w:t xml:space="preserve"> </w:t>
            </w:r>
            <w:r>
              <w:rPr>
                <w:rFonts w:hint="eastAsia"/>
                <w:color w:val="auto"/>
                <w:sz w:val="24"/>
                <w:highlight w:val="none"/>
              </w:rPr>
              <w:t>采购需求“技术及其他要求”及</w:t>
            </w:r>
            <w:r>
              <w:rPr>
                <w:rFonts w:hint="default"/>
                <w:color w:val="auto"/>
                <w:sz w:val="24"/>
                <w:highlight w:val="none"/>
              </w:rPr>
              <w:t>“</w:t>
            </w:r>
            <w:r>
              <w:rPr>
                <w:rFonts w:hint="eastAsia"/>
                <w:color w:val="auto"/>
                <w:sz w:val="24"/>
                <w:highlight w:val="none"/>
              </w:rPr>
              <w:t>商务要求</w:t>
            </w:r>
            <w:r>
              <w:rPr>
                <w:rFonts w:hint="default"/>
                <w:color w:val="auto"/>
                <w:sz w:val="24"/>
                <w:highlight w:val="none"/>
              </w:rPr>
              <w:t>”</w:t>
            </w:r>
            <w:r>
              <w:rPr>
                <w:rFonts w:hint="eastAsia"/>
                <w:color w:val="auto"/>
                <w:sz w:val="24"/>
                <w:highlight w:val="none"/>
              </w:rPr>
              <w:t>，</w:t>
            </w:r>
            <w:r>
              <w:rPr>
                <w:rFonts w:hint="default"/>
                <w:color w:val="auto"/>
                <w:sz w:val="24"/>
                <w:highlight w:val="none"/>
              </w:rPr>
              <w:t xml:space="preserve"> </w:t>
            </w:r>
            <w:r>
              <w:rPr>
                <w:rFonts w:hint="eastAsia"/>
                <w:color w:val="auto"/>
                <w:sz w:val="24"/>
                <w:highlight w:val="none"/>
              </w:rPr>
              <w:t>供应商的响应承诺情况</w:t>
            </w:r>
          </w:p>
        </w:tc>
      </w:tr>
      <w:tr w14:paraId="71EAF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59" w:type="dxa"/>
            <w:gridSpan w:val="2"/>
            <w:tcBorders>
              <w:top w:val="single" w:color="auto" w:sz="4" w:space="0"/>
              <w:left w:val="single" w:color="auto" w:sz="4" w:space="0"/>
              <w:bottom w:val="single" w:color="auto" w:sz="4" w:space="0"/>
              <w:right w:val="single" w:color="auto" w:sz="4" w:space="0"/>
            </w:tcBorders>
            <w:vAlign w:val="center"/>
          </w:tcPr>
          <w:p w14:paraId="0DDCFD38">
            <w:pPr>
              <w:keepNext w:val="0"/>
              <w:keepLines w:val="0"/>
              <w:suppressLineNumbers w:val="0"/>
              <w:snapToGrid w:val="0"/>
              <w:spacing w:before="156" w:beforeLines="50" w:beforeAutospacing="0" w:after="0" w:afterAutospacing="0" w:line="360" w:lineRule="auto"/>
              <w:ind w:left="0" w:right="0"/>
              <w:jc w:val="left"/>
              <w:rPr>
                <w:rFonts w:hint="default"/>
                <w:b/>
                <w:color w:val="auto"/>
                <w:sz w:val="24"/>
                <w:highlight w:val="none"/>
              </w:rPr>
            </w:pPr>
            <w:r>
              <w:rPr>
                <w:rFonts w:hint="eastAsia"/>
                <w:b/>
                <w:color w:val="auto"/>
                <w:sz w:val="24"/>
                <w:highlight w:val="none"/>
              </w:rPr>
              <w:t>一、</w:t>
            </w:r>
            <w:r>
              <w:rPr>
                <w:rFonts w:hint="eastAsia"/>
                <w:b/>
                <w:color w:val="auto"/>
                <w:highlight w:val="none"/>
              </w:rPr>
              <w:t>技术及其他要求</w:t>
            </w:r>
          </w:p>
        </w:tc>
      </w:tr>
      <w:tr w14:paraId="1879B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5E99D4D3">
            <w:pPr>
              <w:pStyle w:val="114"/>
              <w:keepNext w:val="0"/>
              <w:keepLines w:val="0"/>
              <w:suppressLineNumbers w:val="0"/>
              <w:spacing w:before="0" w:beforeAutospacing="0" w:after="0" w:afterAutospacing="0" w:line="400" w:lineRule="exact"/>
              <w:ind w:left="0" w:right="0" w:firstLine="0" w:firstLineChars="0"/>
              <w:jc w:val="center"/>
              <w:rPr>
                <w:rFonts w:hint="default"/>
                <w:b/>
                <w:color w:val="auto"/>
                <w:szCs w:val="21"/>
                <w:highlight w:val="none"/>
              </w:rPr>
            </w:pPr>
            <w:r>
              <w:rPr>
                <w:rFonts w:hint="eastAsia" w:ascii="宋体" w:hAnsi="宋体"/>
                <w:color w:val="auto"/>
                <w:highlight w:val="none"/>
              </w:rPr>
              <w:t>（一）工程概况</w:t>
            </w:r>
          </w:p>
        </w:tc>
        <w:tc>
          <w:tcPr>
            <w:tcW w:w="6454" w:type="dxa"/>
            <w:tcBorders>
              <w:top w:val="single" w:color="auto" w:sz="4" w:space="0"/>
              <w:left w:val="single" w:color="auto" w:sz="4" w:space="0"/>
              <w:bottom w:val="single" w:color="auto" w:sz="4" w:space="0"/>
              <w:right w:val="single" w:color="auto" w:sz="4" w:space="0"/>
            </w:tcBorders>
          </w:tcPr>
          <w:p w14:paraId="4E867D17">
            <w:pPr>
              <w:keepNext w:val="0"/>
              <w:keepLines w:val="0"/>
              <w:suppressLineNumbers w:val="0"/>
              <w:spacing w:before="0" w:beforeAutospacing="0" w:after="0" w:afterAutospacing="0" w:line="320" w:lineRule="exact"/>
              <w:ind w:left="0" w:right="0"/>
              <w:jc w:val="left"/>
              <w:rPr>
                <w:rFonts w:hint="default"/>
                <w:b/>
                <w:color w:val="auto"/>
                <w:szCs w:val="21"/>
                <w:highlight w:val="none"/>
              </w:rPr>
            </w:pPr>
          </w:p>
        </w:tc>
      </w:tr>
      <w:tr w14:paraId="2BFD5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118AA0EF">
            <w:pPr>
              <w:keepNext w:val="0"/>
              <w:keepLines w:val="0"/>
              <w:suppressLineNumbers w:val="0"/>
              <w:spacing w:before="0" w:beforeAutospacing="0" w:after="0" w:afterAutospacing="0" w:line="320" w:lineRule="exact"/>
              <w:ind w:left="0" w:right="0"/>
              <w:jc w:val="center"/>
              <w:rPr>
                <w:rFonts w:hint="default"/>
                <w:b/>
                <w:color w:val="auto"/>
                <w:szCs w:val="21"/>
                <w:highlight w:val="none"/>
              </w:rPr>
            </w:pPr>
            <w:r>
              <w:rPr>
                <w:rFonts w:hint="eastAsia" w:ascii="宋体" w:hAnsi="宋体"/>
                <w:color w:val="auto"/>
                <w:highlight w:val="none"/>
              </w:rPr>
              <w:t>（二）质量要求</w:t>
            </w:r>
          </w:p>
        </w:tc>
        <w:tc>
          <w:tcPr>
            <w:tcW w:w="6454" w:type="dxa"/>
            <w:tcBorders>
              <w:top w:val="single" w:color="auto" w:sz="4" w:space="0"/>
              <w:left w:val="single" w:color="auto" w:sz="4" w:space="0"/>
              <w:bottom w:val="single" w:color="auto" w:sz="4" w:space="0"/>
              <w:right w:val="single" w:color="auto" w:sz="4" w:space="0"/>
            </w:tcBorders>
          </w:tcPr>
          <w:p w14:paraId="0E4C9BB0">
            <w:pPr>
              <w:keepNext w:val="0"/>
              <w:keepLines w:val="0"/>
              <w:suppressLineNumbers w:val="0"/>
              <w:spacing w:before="0" w:beforeAutospacing="0" w:after="0" w:afterAutospacing="0" w:line="320" w:lineRule="exact"/>
              <w:ind w:left="0" w:right="0"/>
              <w:jc w:val="left"/>
              <w:rPr>
                <w:rFonts w:hint="default"/>
                <w:b/>
                <w:color w:val="auto"/>
                <w:szCs w:val="21"/>
                <w:highlight w:val="none"/>
              </w:rPr>
            </w:pPr>
          </w:p>
        </w:tc>
      </w:tr>
      <w:tr w14:paraId="10E0A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321FD4E8">
            <w:pPr>
              <w:keepNext w:val="0"/>
              <w:keepLines w:val="0"/>
              <w:suppressLineNumbers w:val="0"/>
              <w:spacing w:before="0" w:beforeAutospacing="0" w:after="0" w:afterAutospacing="0" w:line="320" w:lineRule="exact"/>
              <w:ind w:left="0" w:right="0"/>
              <w:jc w:val="center"/>
              <w:rPr>
                <w:rFonts w:hint="default"/>
                <w:b/>
                <w:color w:val="auto"/>
                <w:szCs w:val="21"/>
                <w:highlight w:val="none"/>
              </w:rPr>
            </w:pPr>
            <w:r>
              <w:rPr>
                <w:rFonts w:hint="eastAsia" w:ascii="宋体" w:hAnsi="宋体"/>
                <w:color w:val="auto"/>
                <w:highlight w:val="none"/>
              </w:rPr>
              <w:t>（三）安全要求</w:t>
            </w:r>
          </w:p>
        </w:tc>
        <w:tc>
          <w:tcPr>
            <w:tcW w:w="6454" w:type="dxa"/>
            <w:tcBorders>
              <w:top w:val="single" w:color="auto" w:sz="4" w:space="0"/>
              <w:left w:val="single" w:color="auto" w:sz="4" w:space="0"/>
              <w:bottom w:val="single" w:color="auto" w:sz="4" w:space="0"/>
              <w:right w:val="single" w:color="auto" w:sz="4" w:space="0"/>
            </w:tcBorders>
          </w:tcPr>
          <w:p w14:paraId="0A3791CA">
            <w:pPr>
              <w:keepNext w:val="0"/>
              <w:keepLines w:val="0"/>
              <w:suppressLineNumbers w:val="0"/>
              <w:spacing w:before="0" w:beforeAutospacing="0" w:after="0" w:afterAutospacing="0" w:line="320" w:lineRule="exact"/>
              <w:ind w:left="0" w:right="0"/>
              <w:jc w:val="left"/>
              <w:rPr>
                <w:rFonts w:hint="default"/>
                <w:b/>
                <w:color w:val="auto"/>
                <w:szCs w:val="21"/>
                <w:highlight w:val="none"/>
              </w:rPr>
            </w:pPr>
          </w:p>
        </w:tc>
      </w:tr>
      <w:tr w14:paraId="7062B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165E8E0D">
            <w:pPr>
              <w:keepNext w:val="0"/>
              <w:keepLines w:val="0"/>
              <w:suppressLineNumbers w:val="0"/>
              <w:spacing w:before="0" w:beforeAutospacing="0" w:after="0" w:afterAutospacing="0" w:line="320" w:lineRule="exact"/>
              <w:ind w:left="0" w:right="0"/>
              <w:jc w:val="center"/>
              <w:rPr>
                <w:rFonts w:hint="default"/>
                <w:b/>
                <w:color w:val="auto"/>
                <w:szCs w:val="21"/>
                <w:highlight w:val="none"/>
              </w:rPr>
            </w:pPr>
            <w:r>
              <w:rPr>
                <w:rFonts w:hint="eastAsia" w:ascii="宋体" w:hAnsi="宋体"/>
                <w:color w:val="auto"/>
                <w:highlight w:val="none"/>
              </w:rPr>
              <w:t>（四）技术要求</w:t>
            </w:r>
          </w:p>
        </w:tc>
        <w:tc>
          <w:tcPr>
            <w:tcW w:w="6454" w:type="dxa"/>
            <w:tcBorders>
              <w:top w:val="single" w:color="auto" w:sz="4" w:space="0"/>
              <w:left w:val="single" w:color="auto" w:sz="4" w:space="0"/>
              <w:bottom w:val="single" w:color="auto" w:sz="4" w:space="0"/>
              <w:right w:val="single" w:color="auto" w:sz="4" w:space="0"/>
            </w:tcBorders>
            <w:vAlign w:val="center"/>
          </w:tcPr>
          <w:p w14:paraId="447C5201">
            <w:pPr>
              <w:keepNext w:val="0"/>
              <w:keepLines w:val="0"/>
              <w:suppressLineNumbers w:val="0"/>
              <w:spacing w:before="0" w:beforeAutospacing="0" w:after="0" w:afterAutospacing="0" w:line="320" w:lineRule="exact"/>
              <w:ind w:left="0" w:right="0"/>
              <w:rPr>
                <w:rFonts w:hint="default"/>
                <w:b/>
                <w:color w:val="auto"/>
                <w:szCs w:val="21"/>
                <w:highlight w:val="none"/>
              </w:rPr>
            </w:pPr>
          </w:p>
        </w:tc>
      </w:tr>
      <w:tr w14:paraId="76AEC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16E8D61A">
            <w:pPr>
              <w:keepNext w:val="0"/>
              <w:keepLines w:val="0"/>
              <w:suppressLineNumbers w:val="0"/>
              <w:spacing w:before="0" w:beforeAutospacing="0" w:after="0" w:afterAutospacing="0" w:line="320" w:lineRule="exact"/>
              <w:ind w:left="0" w:right="0"/>
              <w:jc w:val="center"/>
              <w:rPr>
                <w:rFonts w:hint="default"/>
                <w:b/>
                <w:color w:val="auto"/>
                <w:szCs w:val="21"/>
                <w:highlight w:val="none"/>
              </w:rPr>
            </w:pPr>
            <w:r>
              <w:rPr>
                <w:rFonts w:hint="eastAsia" w:ascii="宋体" w:hAnsi="宋体"/>
                <w:color w:val="auto"/>
                <w:highlight w:val="none"/>
              </w:rPr>
              <w:t>（五）报价形式</w:t>
            </w:r>
          </w:p>
        </w:tc>
        <w:tc>
          <w:tcPr>
            <w:tcW w:w="6454" w:type="dxa"/>
            <w:tcBorders>
              <w:top w:val="single" w:color="auto" w:sz="4" w:space="0"/>
              <w:left w:val="single" w:color="auto" w:sz="4" w:space="0"/>
              <w:bottom w:val="single" w:color="auto" w:sz="4" w:space="0"/>
              <w:right w:val="single" w:color="auto" w:sz="4" w:space="0"/>
            </w:tcBorders>
          </w:tcPr>
          <w:p w14:paraId="7D6A6B99">
            <w:pPr>
              <w:keepNext w:val="0"/>
              <w:keepLines w:val="0"/>
              <w:suppressLineNumbers w:val="0"/>
              <w:spacing w:before="0" w:beforeAutospacing="0" w:after="0" w:afterAutospacing="0" w:line="320" w:lineRule="exact"/>
              <w:ind w:left="0" w:right="0"/>
              <w:rPr>
                <w:rFonts w:hint="default"/>
                <w:b/>
                <w:color w:val="auto"/>
                <w:szCs w:val="21"/>
                <w:highlight w:val="none"/>
              </w:rPr>
            </w:pPr>
          </w:p>
        </w:tc>
      </w:tr>
      <w:tr w14:paraId="42961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2A7D3225">
            <w:pPr>
              <w:keepNext w:val="0"/>
              <w:keepLines w:val="0"/>
              <w:suppressLineNumbers w:val="0"/>
              <w:spacing w:before="0" w:beforeAutospacing="0" w:after="0" w:afterAutospacing="0" w:line="320" w:lineRule="exact"/>
              <w:ind w:left="0" w:right="0"/>
              <w:jc w:val="center"/>
              <w:rPr>
                <w:rFonts w:hint="default"/>
                <w:b/>
                <w:color w:val="auto"/>
                <w:szCs w:val="21"/>
                <w:highlight w:val="none"/>
              </w:rPr>
            </w:pPr>
            <w:r>
              <w:rPr>
                <w:rFonts w:hint="eastAsia" w:ascii="宋体" w:hAnsi="宋体" w:cs="宋体"/>
                <w:color w:val="auto"/>
                <w:szCs w:val="21"/>
                <w:highlight w:val="none"/>
              </w:rPr>
              <w:t>（六）项目管理机构人员</w:t>
            </w:r>
          </w:p>
        </w:tc>
        <w:tc>
          <w:tcPr>
            <w:tcW w:w="6454" w:type="dxa"/>
            <w:tcBorders>
              <w:top w:val="single" w:color="auto" w:sz="4" w:space="0"/>
              <w:left w:val="single" w:color="auto" w:sz="4" w:space="0"/>
              <w:bottom w:val="single" w:color="auto" w:sz="4" w:space="0"/>
              <w:right w:val="single" w:color="auto" w:sz="4" w:space="0"/>
            </w:tcBorders>
          </w:tcPr>
          <w:p w14:paraId="1FF985FE">
            <w:pPr>
              <w:pStyle w:val="31"/>
              <w:keepNext w:val="0"/>
              <w:keepLines w:val="0"/>
              <w:suppressLineNumbers w:val="0"/>
              <w:spacing w:before="0" w:beforeAutospacing="0" w:after="0" w:afterAutospacing="0" w:line="320" w:lineRule="exact"/>
              <w:ind w:left="0" w:right="0"/>
              <w:rPr>
                <w:rFonts w:hint="default"/>
                <w:b/>
                <w:color w:val="auto"/>
                <w:kern w:val="2"/>
                <w:sz w:val="21"/>
                <w:highlight w:val="none"/>
              </w:rPr>
            </w:pPr>
          </w:p>
        </w:tc>
      </w:tr>
      <w:tr w14:paraId="4D5E6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59" w:type="dxa"/>
            <w:gridSpan w:val="2"/>
            <w:tcBorders>
              <w:top w:val="single" w:color="auto" w:sz="4" w:space="0"/>
              <w:left w:val="single" w:color="auto" w:sz="4" w:space="0"/>
              <w:bottom w:val="single" w:color="auto" w:sz="4" w:space="0"/>
              <w:right w:val="single" w:color="auto" w:sz="4" w:space="0"/>
            </w:tcBorders>
            <w:vAlign w:val="center"/>
          </w:tcPr>
          <w:p w14:paraId="142AE9F7">
            <w:pPr>
              <w:keepNext w:val="0"/>
              <w:keepLines w:val="0"/>
              <w:suppressLineNumbers w:val="0"/>
              <w:spacing w:before="0" w:beforeAutospacing="0" w:after="0" w:afterAutospacing="0" w:line="320" w:lineRule="exact"/>
              <w:ind w:left="0" w:right="0"/>
              <w:jc w:val="left"/>
              <w:rPr>
                <w:rFonts w:hint="default"/>
                <w:b/>
                <w:color w:val="auto"/>
                <w:szCs w:val="21"/>
                <w:highlight w:val="none"/>
              </w:rPr>
            </w:pPr>
            <w:r>
              <w:rPr>
                <w:rFonts w:hint="eastAsia"/>
                <w:b/>
                <w:color w:val="auto"/>
                <w:szCs w:val="21"/>
                <w:highlight w:val="none"/>
              </w:rPr>
              <w:t>二、</w:t>
            </w:r>
            <w:r>
              <w:rPr>
                <w:rFonts w:hint="eastAsia" w:ascii="宋体" w:hAnsi="宋体"/>
                <w:b/>
                <w:color w:val="auto"/>
                <w:szCs w:val="21"/>
                <w:highlight w:val="none"/>
              </w:rPr>
              <w:t>商务要求</w:t>
            </w:r>
          </w:p>
        </w:tc>
      </w:tr>
      <w:tr w14:paraId="41F77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3ACFEEB9">
            <w:pPr>
              <w:keepNext w:val="0"/>
              <w:keepLines w:val="0"/>
              <w:suppressLineNumbers w:val="0"/>
              <w:spacing w:before="0" w:beforeAutospacing="0" w:after="0" w:afterAutospacing="0" w:line="32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（一）计划工期</w:t>
            </w:r>
          </w:p>
        </w:tc>
        <w:tc>
          <w:tcPr>
            <w:tcW w:w="6454" w:type="dxa"/>
            <w:tcBorders>
              <w:top w:val="single" w:color="auto" w:sz="4" w:space="0"/>
              <w:left w:val="single" w:color="auto" w:sz="4" w:space="0"/>
              <w:bottom w:val="single" w:color="auto" w:sz="4" w:space="0"/>
              <w:right w:val="single" w:color="auto" w:sz="4" w:space="0"/>
            </w:tcBorders>
          </w:tcPr>
          <w:p w14:paraId="56061243">
            <w:pPr>
              <w:keepNext w:val="0"/>
              <w:keepLines w:val="0"/>
              <w:suppressLineNumbers w:val="0"/>
              <w:spacing w:before="0" w:beforeAutospacing="0" w:after="0" w:afterAutospacing="0" w:line="320" w:lineRule="exact"/>
              <w:ind w:left="0" w:right="0"/>
              <w:jc w:val="left"/>
              <w:rPr>
                <w:rFonts w:hint="default"/>
                <w:b/>
                <w:color w:val="auto"/>
                <w:szCs w:val="21"/>
                <w:highlight w:val="none"/>
              </w:rPr>
            </w:pPr>
          </w:p>
        </w:tc>
      </w:tr>
      <w:tr w14:paraId="3FACF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4D0863D9">
            <w:pPr>
              <w:keepNext w:val="0"/>
              <w:keepLines w:val="0"/>
              <w:suppressLineNumbers w:val="0"/>
              <w:spacing w:before="0" w:beforeAutospacing="0" w:after="0" w:afterAutospacing="0" w:line="320" w:lineRule="exact"/>
              <w:ind w:left="0" w:right="0"/>
              <w:jc w:val="center"/>
              <w:rPr>
                <w:rFonts w:hint="default" w:ascii="宋体" w:hAnsi="宋体" w:cs="宋体"/>
                <w:color w:val="auto"/>
                <w:szCs w:val="21"/>
                <w:highlight w:val="none"/>
              </w:rPr>
            </w:pPr>
            <w:r>
              <w:rPr>
                <w:rFonts w:hint="eastAsia" w:ascii="宋体" w:hAnsi="宋体"/>
                <w:color w:val="auto"/>
                <w:szCs w:val="21"/>
                <w:highlight w:val="none"/>
              </w:rPr>
              <w:t>（二）建设地点</w:t>
            </w:r>
          </w:p>
        </w:tc>
        <w:tc>
          <w:tcPr>
            <w:tcW w:w="6454" w:type="dxa"/>
            <w:tcBorders>
              <w:top w:val="single" w:color="auto" w:sz="4" w:space="0"/>
              <w:left w:val="single" w:color="auto" w:sz="4" w:space="0"/>
              <w:bottom w:val="single" w:color="auto" w:sz="4" w:space="0"/>
              <w:right w:val="single" w:color="auto" w:sz="4" w:space="0"/>
            </w:tcBorders>
          </w:tcPr>
          <w:p w14:paraId="55EB51C6">
            <w:pPr>
              <w:keepNext w:val="0"/>
              <w:keepLines w:val="0"/>
              <w:suppressLineNumbers w:val="0"/>
              <w:spacing w:before="0" w:beforeAutospacing="0" w:after="0" w:afterAutospacing="0" w:line="320" w:lineRule="exact"/>
              <w:ind w:left="0" w:right="0"/>
              <w:jc w:val="left"/>
              <w:rPr>
                <w:rFonts w:hint="default"/>
                <w:b/>
                <w:color w:val="auto"/>
                <w:szCs w:val="21"/>
                <w:highlight w:val="none"/>
              </w:rPr>
            </w:pPr>
          </w:p>
        </w:tc>
      </w:tr>
      <w:tr w14:paraId="47C1B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6AE14A9B">
            <w:pPr>
              <w:keepNext w:val="0"/>
              <w:keepLines w:val="0"/>
              <w:suppressLineNumbers w:val="0"/>
              <w:spacing w:before="0" w:beforeAutospacing="0" w:after="0" w:afterAutospacing="0" w:line="320" w:lineRule="exact"/>
              <w:ind w:left="0" w:right="0"/>
              <w:jc w:val="center"/>
              <w:rPr>
                <w:rFonts w:hint="default" w:ascii="宋体" w:hAnsi="宋体" w:cs="宋体"/>
                <w:color w:val="auto"/>
                <w:szCs w:val="21"/>
                <w:highlight w:val="none"/>
              </w:rPr>
            </w:pPr>
            <w:r>
              <w:rPr>
                <w:rFonts w:hint="eastAsia" w:ascii="宋体" w:hAnsi="宋体"/>
                <w:color w:val="auto"/>
                <w:szCs w:val="21"/>
                <w:highlight w:val="none"/>
              </w:rPr>
              <w:t>（三）合同签订时间</w:t>
            </w:r>
          </w:p>
        </w:tc>
        <w:tc>
          <w:tcPr>
            <w:tcW w:w="6454" w:type="dxa"/>
            <w:tcBorders>
              <w:top w:val="single" w:color="auto" w:sz="4" w:space="0"/>
              <w:left w:val="single" w:color="auto" w:sz="4" w:space="0"/>
              <w:bottom w:val="single" w:color="auto" w:sz="4" w:space="0"/>
              <w:right w:val="single" w:color="auto" w:sz="4" w:space="0"/>
            </w:tcBorders>
          </w:tcPr>
          <w:p w14:paraId="5FF7FD6A">
            <w:pPr>
              <w:keepNext w:val="0"/>
              <w:keepLines w:val="0"/>
              <w:suppressLineNumbers w:val="0"/>
              <w:spacing w:before="0" w:beforeAutospacing="0" w:after="0" w:afterAutospacing="0" w:line="320" w:lineRule="exact"/>
              <w:ind w:left="0" w:right="0"/>
              <w:jc w:val="left"/>
              <w:rPr>
                <w:rFonts w:hint="default"/>
                <w:b/>
                <w:color w:val="auto"/>
                <w:szCs w:val="21"/>
                <w:highlight w:val="none"/>
              </w:rPr>
            </w:pPr>
          </w:p>
        </w:tc>
      </w:tr>
      <w:tr w14:paraId="287F2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6D46FE1A">
            <w:pPr>
              <w:keepNext w:val="0"/>
              <w:keepLines w:val="0"/>
              <w:suppressLineNumbers w:val="0"/>
              <w:spacing w:before="0" w:beforeAutospacing="0" w:after="0" w:afterAutospacing="0" w:line="320" w:lineRule="exact"/>
              <w:ind w:left="0" w:right="0"/>
              <w:jc w:val="center"/>
              <w:rPr>
                <w:rFonts w:hint="default" w:ascii="宋体" w:hAnsi="宋体" w:cs="宋体"/>
                <w:color w:val="auto"/>
                <w:szCs w:val="21"/>
                <w:highlight w:val="none"/>
              </w:rPr>
            </w:pPr>
            <w:r>
              <w:rPr>
                <w:rFonts w:hint="eastAsia" w:ascii="宋体" w:hAnsi="宋体"/>
                <w:color w:val="auto"/>
                <w:szCs w:val="21"/>
                <w:highlight w:val="none"/>
              </w:rPr>
              <w:t>（四）付款条件（进度和方式）</w:t>
            </w:r>
          </w:p>
        </w:tc>
        <w:tc>
          <w:tcPr>
            <w:tcW w:w="6454" w:type="dxa"/>
            <w:tcBorders>
              <w:top w:val="single" w:color="auto" w:sz="4" w:space="0"/>
              <w:left w:val="single" w:color="auto" w:sz="4" w:space="0"/>
              <w:bottom w:val="single" w:color="auto" w:sz="4" w:space="0"/>
              <w:right w:val="single" w:color="auto" w:sz="4" w:space="0"/>
            </w:tcBorders>
          </w:tcPr>
          <w:p w14:paraId="578F1E02">
            <w:pPr>
              <w:keepNext w:val="0"/>
              <w:keepLines w:val="0"/>
              <w:suppressLineNumbers w:val="0"/>
              <w:spacing w:before="0" w:beforeAutospacing="0" w:after="0" w:afterAutospacing="0" w:line="320" w:lineRule="exact"/>
              <w:ind w:left="0" w:right="0"/>
              <w:jc w:val="left"/>
              <w:rPr>
                <w:rFonts w:hint="default"/>
                <w:b/>
                <w:color w:val="auto"/>
                <w:szCs w:val="21"/>
                <w:highlight w:val="none"/>
              </w:rPr>
            </w:pPr>
          </w:p>
        </w:tc>
      </w:tr>
      <w:tr w14:paraId="5B79E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3144F7FB">
            <w:pPr>
              <w:keepNext w:val="0"/>
              <w:keepLines w:val="0"/>
              <w:suppressLineNumbers w:val="0"/>
              <w:spacing w:before="0" w:beforeAutospacing="0" w:after="0" w:afterAutospacing="0" w:line="320" w:lineRule="exact"/>
              <w:ind w:left="0" w:right="0"/>
              <w:jc w:val="center"/>
              <w:rPr>
                <w:rFonts w:hint="default" w:ascii="宋体" w:hAnsi="宋体" w:cs="宋体"/>
                <w:color w:val="auto"/>
                <w:szCs w:val="21"/>
                <w:highlight w:val="none"/>
              </w:rPr>
            </w:pPr>
            <w:r>
              <w:rPr>
                <w:rFonts w:hint="eastAsia" w:ascii="宋体" w:hAnsi="宋体"/>
                <w:color w:val="auto"/>
                <w:szCs w:val="21"/>
                <w:highlight w:val="none"/>
              </w:rPr>
              <w:t>（五）工程保修期</w:t>
            </w:r>
          </w:p>
        </w:tc>
        <w:tc>
          <w:tcPr>
            <w:tcW w:w="6454" w:type="dxa"/>
            <w:tcBorders>
              <w:top w:val="single" w:color="auto" w:sz="4" w:space="0"/>
              <w:left w:val="single" w:color="auto" w:sz="4" w:space="0"/>
              <w:bottom w:val="single" w:color="auto" w:sz="4" w:space="0"/>
              <w:right w:val="single" w:color="auto" w:sz="4" w:space="0"/>
            </w:tcBorders>
          </w:tcPr>
          <w:p w14:paraId="3DEA2AD4">
            <w:pPr>
              <w:keepNext w:val="0"/>
              <w:keepLines w:val="0"/>
              <w:suppressLineNumbers w:val="0"/>
              <w:spacing w:before="0" w:beforeAutospacing="0" w:after="0" w:afterAutospacing="0" w:line="320" w:lineRule="exact"/>
              <w:ind w:left="0" w:right="0"/>
              <w:jc w:val="left"/>
              <w:rPr>
                <w:rFonts w:hint="default"/>
                <w:b/>
                <w:color w:val="auto"/>
                <w:szCs w:val="21"/>
                <w:highlight w:val="none"/>
              </w:rPr>
            </w:pPr>
          </w:p>
        </w:tc>
      </w:tr>
      <w:tr w14:paraId="3E16C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6FB68C14">
            <w:pPr>
              <w:keepNext w:val="0"/>
              <w:keepLines w:val="0"/>
              <w:suppressLineNumbers w:val="0"/>
              <w:spacing w:before="0" w:beforeAutospacing="0" w:after="0" w:afterAutospacing="0" w:line="320" w:lineRule="exact"/>
              <w:ind w:left="0" w:right="0"/>
              <w:jc w:val="center"/>
              <w:rPr>
                <w:rFonts w:hint="default" w:ascii="宋体" w:hAnsi="宋体" w:cs="宋体"/>
                <w:color w:val="auto"/>
                <w:szCs w:val="21"/>
                <w:highlight w:val="none"/>
              </w:rPr>
            </w:pPr>
            <w:r>
              <w:rPr>
                <w:rFonts w:hint="eastAsia" w:ascii="宋体" w:hAnsi="宋体"/>
                <w:color w:val="auto"/>
                <w:szCs w:val="21"/>
                <w:highlight w:val="none"/>
              </w:rPr>
              <w:t>（六）工程隐蔽部位覆盖前的检查</w:t>
            </w:r>
          </w:p>
        </w:tc>
        <w:tc>
          <w:tcPr>
            <w:tcW w:w="6454" w:type="dxa"/>
            <w:tcBorders>
              <w:top w:val="single" w:color="auto" w:sz="4" w:space="0"/>
              <w:left w:val="single" w:color="auto" w:sz="4" w:space="0"/>
              <w:bottom w:val="single" w:color="auto" w:sz="4" w:space="0"/>
              <w:right w:val="single" w:color="auto" w:sz="4" w:space="0"/>
            </w:tcBorders>
          </w:tcPr>
          <w:p w14:paraId="4928D240">
            <w:pPr>
              <w:keepNext w:val="0"/>
              <w:keepLines w:val="0"/>
              <w:suppressLineNumbers w:val="0"/>
              <w:spacing w:before="0" w:beforeAutospacing="0" w:after="0" w:afterAutospacing="0" w:line="320" w:lineRule="exact"/>
              <w:ind w:left="0" w:right="0"/>
              <w:jc w:val="left"/>
              <w:rPr>
                <w:rFonts w:hint="default"/>
                <w:b/>
                <w:color w:val="auto"/>
                <w:szCs w:val="21"/>
                <w:highlight w:val="none"/>
              </w:rPr>
            </w:pPr>
          </w:p>
        </w:tc>
      </w:tr>
      <w:tr w14:paraId="06B54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0BA3958B">
            <w:pPr>
              <w:keepNext w:val="0"/>
              <w:keepLines w:val="0"/>
              <w:suppressLineNumbers w:val="0"/>
              <w:spacing w:before="0" w:beforeAutospacing="0" w:after="0" w:afterAutospacing="0" w:line="320" w:lineRule="exact"/>
              <w:ind w:left="0" w:right="0"/>
              <w:jc w:val="center"/>
              <w:rPr>
                <w:rFonts w:hint="default" w:ascii="宋体" w:hAnsi="宋体" w:cs="宋体"/>
                <w:color w:val="auto"/>
                <w:szCs w:val="21"/>
                <w:highlight w:val="none"/>
              </w:rPr>
            </w:pPr>
            <w:r>
              <w:rPr>
                <w:rFonts w:hint="eastAsia" w:ascii="宋体" w:hAnsi="宋体"/>
                <w:color w:val="auto"/>
                <w:szCs w:val="21"/>
                <w:highlight w:val="none"/>
              </w:rPr>
              <w:t>（七）验收标准</w:t>
            </w:r>
          </w:p>
        </w:tc>
        <w:tc>
          <w:tcPr>
            <w:tcW w:w="6454" w:type="dxa"/>
            <w:tcBorders>
              <w:top w:val="single" w:color="auto" w:sz="4" w:space="0"/>
              <w:left w:val="single" w:color="auto" w:sz="4" w:space="0"/>
              <w:bottom w:val="single" w:color="auto" w:sz="4" w:space="0"/>
              <w:right w:val="single" w:color="auto" w:sz="4" w:space="0"/>
            </w:tcBorders>
          </w:tcPr>
          <w:p w14:paraId="1DACBC02">
            <w:pPr>
              <w:keepNext w:val="0"/>
              <w:keepLines w:val="0"/>
              <w:suppressLineNumbers w:val="0"/>
              <w:spacing w:before="0" w:beforeAutospacing="0" w:after="0" w:afterAutospacing="0" w:line="320" w:lineRule="exact"/>
              <w:ind w:left="0" w:right="0"/>
              <w:jc w:val="left"/>
              <w:rPr>
                <w:rFonts w:hint="default"/>
                <w:b/>
                <w:color w:val="auto"/>
                <w:szCs w:val="21"/>
                <w:highlight w:val="none"/>
              </w:rPr>
            </w:pPr>
          </w:p>
        </w:tc>
      </w:tr>
    </w:tbl>
    <w:p w14:paraId="73C91D9A">
      <w:pPr>
        <w:pStyle w:val="18"/>
        <w:spacing w:after="0" w:line="340" w:lineRule="exact"/>
        <w:contextualSpacing/>
        <w:rPr>
          <w:color w:val="auto"/>
          <w:kern w:val="0"/>
          <w:sz w:val="24"/>
          <w:szCs w:val="24"/>
          <w:highlight w:val="none"/>
        </w:rPr>
      </w:pPr>
      <w:r>
        <w:rPr>
          <w:rFonts w:hint="eastAsia"/>
          <w:color w:val="auto"/>
          <w:kern w:val="0"/>
          <w:sz w:val="24"/>
          <w:szCs w:val="24"/>
          <w:highlight w:val="none"/>
        </w:rPr>
        <w:t>注：</w:t>
      </w:r>
    </w:p>
    <w:p w14:paraId="0581A3F8">
      <w:pPr>
        <w:pStyle w:val="18"/>
        <w:spacing w:after="0" w:line="340" w:lineRule="exact"/>
        <w:contextualSpacing/>
        <w:rPr>
          <w:color w:val="auto"/>
          <w:kern w:val="0"/>
          <w:sz w:val="24"/>
          <w:szCs w:val="24"/>
          <w:highlight w:val="none"/>
        </w:rPr>
      </w:pPr>
      <w:r>
        <w:rPr>
          <w:color w:val="auto"/>
          <w:kern w:val="0"/>
          <w:sz w:val="24"/>
          <w:szCs w:val="24"/>
          <w:highlight w:val="none"/>
        </w:rPr>
        <w:t xml:space="preserve">  </w:t>
      </w:r>
      <w:r>
        <w:rPr>
          <w:rFonts w:hint="eastAsia"/>
          <w:color w:val="auto"/>
          <w:kern w:val="0"/>
          <w:sz w:val="24"/>
          <w:szCs w:val="24"/>
          <w:highlight w:val="none"/>
        </w:rPr>
        <w:t>说明：应对照磋商文件</w:t>
      </w:r>
      <w:r>
        <w:rPr>
          <w:color w:val="auto"/>
          <w:kern w:val="0"/>
          <w:sz w:val="24"/>
          <w:szCs w:val="24"/>
          <w:highlight w:val="none"/>
        </w:rPr>
        <w:t>“</w:t>
      </w:r>
      <w:r>
        <w:rPr>
          <w:rFonts w:hint="eastAsia"/>
          <w:color w:val="auto"/>
          <w:kern w:val="0"/>
          <w:sz w:val="24"/>
          <w:szCs w:val="24"/>
          <w:highlight w:val="none"/>
        </w:rPr>
        <w:t>第三章</w:t>
      </w:r>
      <w:r>
        <w:rPr>
          <w:color w:val="auto"/>
          <w:kern w:val="0"/>
          <w:sz w:val="24"/>
          <w:szCs w:val="24"/>
          <w:highlight w:val="none"/>
        </w:rPr>
        <w:t xml:space="preserve"> </w:t>
      </w:r>
      <w:r>
        <w:rPr>
          <w:rFonts w:hint="eastAsia"/>
          <w:color w:val="auto"/>
          <w:kern w:val="0"/>
          <w:sz w:val="24"/>
          <w:szCs w:val="24"/>
          <w:highlight w:val="none"/>
        </w:rPr>
        <w:t>采购需求</w:t>
      </w:r>
      <w:r>
        <w:rPr>
          <w:color w:val="auto"/>
          <w:kern w:val="0"/>
          <w:sz w:val="24"/>
          <w:szCs w:val="24"/>
          <w:highlight w:val="none"/>
        </w:rPr>
        <w:t>”</w:t>
      </w:r>
      <w:r>
        <w:rPr>
          <w:rFonts w:hint="eastAsia"/>
          <w:color w:val="auto"/>
          <w:kern w:val="0"/>
          <w:sz w:val="24"/>
          <w:szCs w:val="24"/>
          <w:highlight w:val="none"/>
        </w:rPr>
        <w:t>中的“技术及其他要求”及“商务要求”逐条明确响应承诺。</w:t>
      </w:r>
    </w:p>
    <w:p w14:paraId="597C20DB">
      <w:pPr>
        <w:spacing w:line="340" w:lineRule="exact"/>
        <w:ind w:right="-816" w:rightChars="-389"/>
        <w:contextualSpacing/>
        <w:jc w:val="center"/>
        <w:rPr>
          <w:color w:val="auto"/>
          <w:sz w:val="24"/>
          <w:highlight w:val="none"/>
        </w:rPr>
      </w:pPr>
    </w:p>
    <w:p w14:paraId="0A056181">
      <w:pPr>
        <w:spacing w:line="340" w:lineRule="exact"/>
        <w:ind w:right="-816" w:rightChars="-389"/>
        <w:contextualSpacing/>
        <w:jc w:val="center"/>
        <w:rPr>
          <w:color w:val="auto"/>
          <w:sz w:val="24"/>
          <w:highlight w:val="none"/>
        </w:rPr>
      </w:pPr>
      <w:r>
        <w:rPr>
          <w:rFonts w:hint="eastAsia"/>
          <w:color w:val="auto"/>
          <w:sz w:val="24"/>
          <w:highlight w:val="none"/>
        </w:rPr>
        <w:t>法定代表人或者委托代理人（签字或者电子签名）：</w:t>
      </w:r>
    </w:p>
    <w:p w14:paraId="0B7A5394">
      <w:pPr>
        <w:spacing w:line="340" w:lineRule="exact"/>
        <w:ind w:right="-816" w:rightChars="-389" w:firstLine="2880" w:firstLineChars="1200"/>
        <w:contextualSpacing/>
        <w:rPr>
          <w:color w:val="auto"/>
          <w:sz w:val="24"/>
          <w:highlight w:val="none"/>
        </w:rPr>
      </w:pPr>
      <w:r>
        <w:rPr>
          <w:rFonts w:hint="eastAsia"/>
          <w:color w:val="auto"/>
          <w:sz w:val="24"/>
          <w:highlight w:val="none"/>
        </w:rPr>
        <w:t>供应商（电子签章）：</w:t>
      </w:r>
      <w:r>
        <w:rPr>
          <w:color w:val="auto"/>
          <w:sz w:val="24"/>
          <w:highlight w:val="none"/>
        </w:rPr>
        <w:t xml:space="preserve">      </w:t>
      </w:r>
    </w:p>
    <w:p w14:paraId="6EE513B4">
      <w:pPr>
        <w:spacing w:line="340" w:lineRule="exact"/>
        <w:ind w:right="-816" w:rightChars="-389" w:firstLine="2880" w:firstLineChars="1200"/>
        <w:contextualSpacing/>
        <w:rPr>
          <w:color w:val="auto"/>
          <w:sz w:val="24"/>
          <w:highlight w:val="none"/>
        </w:rPr>
      </w:pPr>
      <w:r>
        <w:rPr>
          <w:rFonts w:hint="eastAsia"/>
          <w:color w:val="auto"/>
          <w:sz w:val="24"/>
          <w:highlight w:val="none"/>
        </w:rPr>
        <w:t>日期：</w:t>
      </w:r>
      <w:r>
        <w:rPr>
          <w:color w:val="auto"/>
          <w:sz w:val="24"/>
          <w:highlight w:val="none"/>
        </w:rPr>
        <w:t xml:space="preserve">   </w:t>
      </w:r>
      <w:r>
        <w:rPr>
          <w:rFonts w:hint="eastAsia"/>
          <w:color w:val="auto"/>
          <w:sz w:val="24"/>
          <w:highlight w:val="none"/>
        </w:rPr>
        <w:t>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14:paraId="6531D068">
      <w:pPr>
        <w:snapToGrid w:val="0"/>
        <w:spacing w:before="156" w:beforeLines="50" w:after="50"/>
        <w:jc w:val="center"/>
        <w:rPr>
          <w:rFonts w:ascii="宋体" w:hAnsi="宋体"/>
          <w:b/>
          <w:color w:val="auto"/>
          <w:sz w:val="32"/>
          <w:szCs w:val="32"/>
          <w:highlight w:val="none"/>
        </w:rPr>
      </w:pPr>
    </w:p>
    <w:p w14:paraId="431514E6">
      <w:pPr>
        <w:spacing w:line="500" w:lineRule="exact"/>
        <w:jc w:val="center"/>
        <w:rPr>
          <w:rFonts w:ascii="方正小标宋简体" w:hAnsi="方正小标宋简体" w:eastAsia="方正小标宋简体" w:cs="方正小标宋简体"/>
          <w:bCs/>
          <w:color w:val="auto"/>
          <w:sz w:val="44"/>
          <w:szCs w:val="44"/>
          <w:highlight w:val="none"/>
        </w:rPr>
      </w:pPr>
    </w:p>
    <w:p w14:paraId="1ACFA3B5">
      <w:pPr>
        <w:spacing w:line="50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项目管理机构配备情况表</w:t>
      </w:r>
    </w:p>
    <w:tbl>
      <w:tblPr>
        <w:tblStyle w:val="46"/>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7C439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tcBorders>
              <w:top w:val="single" w:color="auto" w:sz="4" w:space="0"/>
              <w:left w:val="single" w:color="auto" w:sz="4" w:space="0"/>
              <w:bottom w:val="single" w:color="auto" w:sz="4" w:space="0"/>
              <w:right w:val="single" w:color="auto" w:sz="4" w:space="0"/>
            </w:tcBorders>
            <w:vAlign w:val="center"/>
          </w:tcPr>
          <w:p w14:paraId="2AC81CAA">
            <w:pPr>
              <w:keepNext w:val="0"/>
              <w:keepLines w:val="0"/>
              <w:suppressLineNumbers w:val="0"/>
              <w:spacing w:before="0" w:beforeAutospacing="0" w:after="0" w:afterAutospacing="0"/>
              <w:ind w:left="223" w:right="0" w:hanging="222" w:hangingChars="106"/>
              <w:jc w:val="center"/>
              <w:rPr>
                <w:rFonts w:hint="default"/>
                <w:color w:val="auto"/>
                <w:highlight w:val="none"/>
              </w:rPr>
            </w:pPr>
            <w:r>
              <w:rPr>
                <w:rFonts w:hint="eastAsia"/>
                <w:color w:val="auto"/>
                <w:highlight w:val="none"/>
              </w:rPr>
              <w:t>岗位</w:t>
            </w:r>
          </w:p>
        </w:tc>
        <w:tc>
          <w:tcPr>
            <w:tcW w:w="670" w:type="dxa"/>
            <w:vMerge w:val="restart"/>
            <w:tcBorders>
              <w:top w:val="single" w:color="auto" w:sz="4" w:space="0"/>
              <w:left w:val="single" w:color="auto" w:sz="4" w:space="0"/>
              <w:bottom w:val="single" w:color="auto" w:sz="4" w:space="0"/>
              <w:right w:val="single" w:color="auto" w:sz="4" w:space="0"/>
            </w:tcBorders>
            <w:vAlign w:val="center"/>
          </w:tcPr>
          <w:p w14:paraId="5A006B4A">
            <w:pPr>
              <w:keepNext w:val="0"/>
              <w:keepLines w:val="0"/>
              <w:suppressLineNumbers w:val="0"/>
              <w:spacing w:before="0" w:beforeAutospacing="0" w:after="0" w:afterAutospacing="0"/>
              <w:ind w:left="223" w:right="0" w:hanging="222" w:hangingChars="106"/>
              <w:jc w:val="center"/>
              <w:rPr>
                <w:rFonts w:hint="default"/>
                <w:color w:val="auto"/>
                <w:highlight w:val="none"/>
              </w:rPr>
            </w:pPr>
            <w:r>
              <w:rPr>
                <w:rFonts w:hint="eastAsia"/>
                <w:color w:val="auto"/>
                <w:highlight w:val="none"/>
              </w:rPr>
              <w:t>姓名</w:t>
            </w:r>
          </w:p>
        </w:tc>
        <w:tc>
          <w:tcPr>
            <w:tcW w:w="829" w:type="dxa"/>
            <w:vMerge w:val="restart"/>
            <w:tcBorders>
              <w:top w:val="single" w:color="auto" w:sz="4" w:space="0"/>
              <w:left w:val="single" w:color="auto" w:sz="4" w:space="0"/>
              <w:bottom w:val="single" w:color="auto" w:sz="4" w:space="0"/>
              <w:right w:val="single" w:color="auto" w:sz="4" w:space="0"/>
            </w:tcBorders>
            <w:vAlign w:val="center"/>
          </w:tcPr>
          <w:p w14:paraId="5D20E54D">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身份证号</w:t>
            </w:r>
          </w:p>
        </w:tc>
        <w:tc>
          <w:tcPr>
            <w:tcW w:w="816" w:type="dxa"/>
            <w:vMerge w:val="restart"/>
            <w:tcBorders>
              <w:top w:val="single" w:color="auto" w:sz="4" w:space="0"/>
              <w:left w:val="single" w:color="auto" w:sz="4" w:space="0"/>
              <w:bottom w:val="single" w:color="auto" w:sz="4" w:space="0"/>
              <w:right w:val="single" w:color="auto" w:sz="4" w:space="0"/>
            </w:tcBorders>
            <w:vAlign w:val="center"/>
          </w:tcPr>
          <w:p w14:paraId="520998A2">
            <w:pPr>
              <w:keepNext w:val="0"/>
              <w:keepLines w:val="0"/>
              <w:suppressLineNumbers w:val="0"/>
              <w:spacing w:before="0" w:beforeAutospacing="0" w:after="0" w:afterAutospacing="0"/>
              <w:ind w:left="223" w:right="0" w:hanging="222" w:hangingChars="106"/>
              <w:jc w:val="center"/>
              <w:rPr>
                <w:rFonts w:hint="default"/>
                <w:color w:val="auto"/>
                <w:highlight w:val="none"/>
              </w:rPr>
            </w:pPr>
            <w:r>
              <w:rPr>
                <w:rFonts w:hint="eastAsia"/>
                <w:color w:val="auto"/>
                <w:highlight w:val="none"/>
              </w:rPr>
              <w:t>职称</w:t>
            </w:r>
          </w:p>
        </w:tc>
        <w:tc>
          <w:tcPr>
            <w:tcW w:w="4188" w:type="dxa"/>
            <w:gridSpan w:val="4"/>
            <w:tcBorders>
              <w:top w:val="single" w:color="auto" w:sz="4" w:space="0"/>
              <w:left w:val="single" w:color="auto" w:sz="4" w:space="0"/>
              <w:bottom w:val="single" w:color="auto" w:sz="4" w:space="0"/>
              <w:right w:val="single" w:color="auto" w:sz="4" w:space="0"/>
            </w:tcBorders>
            <w:vAlign w:val="center"/>
          </w:tcPr>
          <w:p w14:paraId="55315AA3">
            <w:pPr>
              <w:keepNext w:val="0"/>
              <w:keepLines w:val="0"/>
              <w:suppressLineNumbers w:val="0"/>
              <w:spacing w:before="0" w:beforeAutospacing="0" w:after="0" w:afterAutospacing="0"/>
              <w:ind w:left="223" w:right="0" w:hanging="222" w:hangingChars="106"/>
              <w:jc w:val="center"/>
              <w:rPr>
                <w:rFonts w:hint="default"/>
                <w:color w:val="auto"/>
                <w:highlight w:val="none"/>
              </w:rPr>
            </w:pPr>
            <w:r>
              <w:rPr>
                <w:rFonts w:hint="eastAsia"/>
                <w:color w:val="auto"/>
                <w:highlight w:val="none"/>
              </w:rPr>
              <w:t>执业或职业资格</w:t>
            </w:r>
          </w:p>
        </w:tc>
        <w:tc>
          <w:tcPr>
            <w:tcW w:w="2443" w:type="dxa"/>
            <w:gridSpan w:val="2"/>
            <w:tcBorders>
              <w:top w:val="single" w:color="auto" w:sz="4" w:space="0"/>
              <w:left w:val="single" w:color="auto" w:sz="4" w:space="0"/>
              <w:bottom w:val="single" w:color="auto" w:sz="4" w:space="0"/>
              <w:right w:val="single" w:color="auto" w:sz="4" w:space="0"/>
            </w:tcBorders>
            <w:vAlign w:val="center"/>
          </w:tcPr>
          <w:p w14:paraId="616F0C9C">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承担完工、在建工程情况</w:t>
            </w:r>
          </w:p>
        </w:tc>
      </w:tr>
      <w:tr w14:paraId="555E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tcBorders>
              <w:top w:val="single" w:color="auto" w:sz="4" w:space="0"/>
              <w:left w:val="single" w:color="auto" w:sz="4" w:space="0"/>
              <w:bottom w:val="single" w:color="auto" w:sz="4" w:space="0"/>
              <w:right w:val="single" w:color="auto" w:sz="4" w:space="0"/>
            </w:tcBorders>
            <w:vAlign w:val="center"/>
          </w:tcPr>
          <w:p w14:paraId="49116454">
            <w:pPr>
              <w:keepNext w:val="0"/>
              <w:keepLines w:val="0"/>
              <w:widowControl/>
              <w:suppressLineNumbers w:val="0"/>
              <w:spacing w:before="0" w:beforeAutospacing="0" w:after="0" w:afterAutospacing="0"/>
              <w:ind w:left="0" w:right="0"/>
              <w:jc w:val="left"/>
              <w:rPr>
                <w:rFonts w:hint="default"/>
                <w:color w:val="auto"/>
                <w:highlight w:val="none"/>
              </w:rPr>
            </w:pPr>
          </w:p>
        </w:tc>
        <w:tc>
          <w:tcPr>
            <w:tcW w:w="670" w:type="dxa"/>
            <w:vMerge w:val="continue"/>
            <w:tcBorders>
              <w:top w:val="single" w:color="auto" w:sz="4" w:space="0"/>
              <w:left w:val="single" w:color="auto" w:sz="4" w:space="0"/>
              <w:bottom w:val="single" w:color="auto" w:sz="4" w:space="0"/>
              <w:right w:val="single" w:color="auto" w:sz="4" w:space="0"/>
            </w:tcBorders>
            <w:vAlign w:val="center"/>
          </w:tcPr>
          <w:p w14:paraId="3B42CDF2">
            <w:pPr>
              <w:keepNext w:val="0"/>
              <w:keepLines w:val="0"/>
              <w:widowControl/>
              <w:suppressLineNumbers w:val="0"/>
              <w:spacing w:before="0" w:beforeAutospacing="0" w:after="0" w:afterAutospacing="0"/>
              <w:ind w:left="0" w:right="0"/>
              <w:jc w:val="left"/>
              <w:rPr>
                <w:rFonts w:hint="default"/>
                <w:color w:val="auto"/>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14:paraId="0CE3982E">
            <w:pPr>
              <w:keepNext w:val="0"/>
              <w:keepLines w:val="0"/>
              <w:widowControl/>
              <w:suppressLineNumbers w:val="0"/>
              <w:spacing w:before="0" w:beforeAutospacing="0" w:after="0" w:afterAutospacing="0"/>
              <w:ind w:left="0" w:right="0"/>
              <w:jc w:val="left"/>
              <w:rPr>
                <w:rFonts w:hint="default"/>
                <w:color w:val="auto"/>
                <w:highlight w:val="none"/>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1251D955">
            <w:pPr>
              <w:keepNext w:val="0"/>
              <w:keepLines w:val="0"/>
              <w:widowControl/>
              <w:suppressLineNumbers w:val="0"/>
              <w:spacing w:before="0" w:beforeAutospacing="0" w:after="0" w:afterAutospacing="0"/>
              <w:ind w:left="0" w:right="0"/>
              <w:jc w:val="left"/>
              <w:rPr>
                <w:rFonts w:hint="default"/>
                <w:color w:val="auto"/>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690B4354">
            <w:pPr>
              <w:keepNext w:val="0"/>
              <w:keepLines w:val="0"/>
              <w:suppressLineNumbers w:val="0"/>
              <w:spacing w:before="0" w:beforeAutospacing="0" w:after="0" w:afterAutospacing="0"/>
              <w:ind w:left="223" w:right="0" w:hanging="222" w:hangingChars="106"/>
              <w:jc w:val="center"/>
              <w:rPr>
                <w:rFonts w:hint="default"/>
                <w:color w:val="auto"/>
                <w:highlight w:val="none"/>
              </w:rPr>
            </w:pPr>
            <w:r>
              <w:rPr>
                <w:rFonts w:hint="eastAsia"/>
                <w:color w:val="auto"/>
                <w:highlight w:val="none"/>
              </w:rPr>
              <w:t>证书名称</w:t>
            </w:r>
          </w:p>
        </w:tc>
        <w:tc>
          <w:tcPr>
            <w:tcW w:w="1148" w:type="dxa"/>
            <w:tcBorders>
              <w:top w:val="single" w:color="auto" w:sz="4" w:space="0"/>
              <w:left w:val="single" w:color="auto" w:sz="4" w:space="0"/>
              <w:bottom w:val="single" w:color="auto" w:sz="4" w:space="0"/>
              <w:right w:val="single" w:color="auto" w:sz="4" w:space="0"/>
            </w:tcBorders>
            <w:vAlign w:val="center"/>
          </w:tcPr>
          <w:p w14:paraId="7022E938">
            <w:pPr>
              <w:keepNext w:val="0"/>
              <w:keepLines w:val="0"/>
              <w:suppressLineNumbers w:val="0"/>
              <w:spacing w:before="0" w:beforeAutospacing="0" w:after="0" w:afterAutospacing="0"/>
              <w:ind w:left="223" w:right="0" w:hanging="222" w:hangingChars="106"/>
              <w:jc w:val="center"/>
              <w:rPr>
                <w:rFonts w:hint="default"/>
                <w:color w:val="auto"/>
                <w:highlight w:val="none"/>
              </w:rPr>
            </w:pPr>
            <w:r>
              <w:rPr>
                <w:rFonts w:hint="eastAsia"/>
                <w:color w:val="auto"/>
                <w:highlight w:val="none"/>
              </w:rPr>
              <w:t>级别</w:t>
            </w:r>
          </w:p>
        </w:tc>
        <w:tc>
          <w:tcPr>
            <w:tcW w:w="1148" w:type="dxa"/>
            <w:tcBorders>
              <w:top w:val="single" w:color="auto" w:sz="4" w:space="0"/>
              <w:left w:val="single" w:color="auto" w:sz="4" w:space="0"/>
              <w:bottom w:val="single" w:color="auto" w:sz="4" w:space="0"/>
              <w:right w:val="single" w:color="auto" w:sz="4" w:space="0"/>
            </w:tcBorders>
            <w:vAlign w:val="center"/>
          </w:tcPr>
          <w:p w14:paraId="065A0547">
            <w:pPr>
              <w:keepNext w:val="0"/>
              <w:keepLines w:val="0"/>
              <w:suppressLineNumbers w:val="0"/>
              <w:spacing w:before="0" w:beforeAutospacing="0" w:after="0" w:afterAutospacing="0"/>
              <w:ind w:left="223" w:right="0" w:hanging="222" w:hangingChars="106"/>
              <w:jc w:val="center"/>
              <w:rPr>
                <w:rFonts w:hint="default"/>
                <w:color w:val="auto"/>
                <w:highlight w:val="none"/>
              </w:rPr>
            </w:pPr>
            <w:r>
              <w:rPr>
                <w:rFonts w:hint="eastAsia"/>
                <w:color w:val="auto"/>
                <w:highlight w:val="none"/>
              </w:rPr>
              <w:t>证号</w:t>
            </w:r>
          </w:p>
        </w:tc>
        <w:tc>
          <w:tcPr>
            <w:tcW w:w="744" w:type="dxa"/>
            <w:tcBorders>
              <w:top w:val="single" w:color="auto" w:sz="4" w:space="0"/>
              <w:left w:val="single" w:color="auto" w:sz="4" w:space="0"/>
              <w:bottom w:val="single" w:color="auto" w:sz="4" w:space="0"/>
              <w:right w:val="single" w:color="auto" w:sz="4" w:space="0"/>
            </w:tcBorders>
            <w:vAlign w:val="center"/>
          </w:tcPr>
          <w:p w14:paraId="4689390D">
            <w:pPr>
              <w:keepNext w:val="0"/>
              <w:keepLines w:val="0"/>
              <w:suppressLineNumbers w:val="0"/>
              <w:spacing w:before="0" w:beforeAutospacing="0" w:after="0" w:afterAutospacing="0"/>
              <w:ind w:left="223" w:right="0" w:hanging="222" w:hangingChars="106"/>
              <w:jc w:val="center"/>
              <w:rPr>
                <w:rFonts w:hint="default"/>
                <w:color w:val="auto"/>
                <w:highlight w:val="none"/>
              </w:rPr>
            </w:pPr>
            <w:r>
              <w:rPr>
                <w:rFonts w:hint="eastAsia"/>
                <w:color w:val="auto"/>
                <w:highlight w:val="none"/>
              </w:rPr>
              <w:t>专业</w:t>
            </w:r>
          </w:p>
        </w:tc>
        <w:tc>
          <w:tcPr>
            <w:tcW w:w="1167" w:type="dxa"/>
            <w:tcBorders>
              <w:top w:val="single" w:color="auto" w:sz="4" w:space="0"/>
              <w:left w:val="single" w:color="auto" w:sz="4" w:space="0"/>
              <w:bottom w:val="single" w:color="auto" w:sz="4" w:space="0"/>
              <w:right w:val="single" w:color="auto" w:sz="4" w:space="0"/>
            </w:tcBorders>
            <w:vAlign w:val="center"/>
          </w:tcPr>
          <w:p w14:paraId="195E93C6">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完工</w:t>
            </w:r>
            <w:r>
              <w:rPr>
                <w:rFonts w:hint="default"/>
                <w:color w:val="auto"/>
                <w:highlight w:val="none"/>
              </w:rPr>
              <w:t>/</w:t>
            </w:r>
            <w:r>
              <w:rPr>
                <w:rFonts w:hint="eastAsia"/>
                <w:color w:val="auto"/>
                <w:highlight w:val="none"/>
              </w:rPr>
              <w:t>在建</w:t>
            </w:r>
          </w:p>
        </w:tc>
        <w:tc>
          <w:tcPr>
            <w:tcW w:w="1276" w:type="dxa"/>
            <w:tcBorders>
              <w:top w:val="single" w:color="auto" w:sz="4" w:space="0"/>
              <w:left w:val="single" w:color="auto" w:sz="4" w:space="0"/>
              <w:bottom w:val="single" w:color="auto" w:sz="4" w:space="0"/>
              <w:right w:val="single" w:color="auto" w:sz="4" w:space="0"/>
            </w:tcBorders>
            <w:vAlign w:val="center"/>
          </w:tcPr>
          <w:p w14:paraId="5C57C38F">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主要项目</w:t>
            </w:r>
          </w:p>
          <w:p w14:paraId="2DF61A5E">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名称</w:t>
            </w:r>
          </w:p>
        </w:tc>
      </w:tr>
      <w:tr w14:paraId="7057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214973EE">
            <w:pPr>
              <w:pStyle w:val="140"/>
              <w:keepNext w:val="0"/>
              <w:keepLines w:val="0"/>
              <w:suppressLineNumbers w:val="0"/>
              <w:spacing w:before="0" w:beforeAutospacing="0" w:after="0" w:afterAutospacing="0" w:line="240" w:lineRule="auto"/>
              <w:ind w:left="0" w:right="0" w:firstLine="0"/>
              <w:rPr>
                <w:rFonts w:hint="default" w:asciiTheme="minorEastAsia" w:hAnsiTheme="minorEastAsia" w:eastAsiaTheme="minorEastAsia"/>
                <w:color w:val="auto"/>
                <w:kern w:val="2"/>
                <w:sz w:val="21"/>
                <w:szCs w:val="21"/>
                <w:highlight w:val="none"/>
              </w:rPr>
            </w:pPr>
            <w:r>
              <w:rPr>
                <w:rFonts w:hint="default" w:cs="Times New Roman" w:asciiTheme="minorEastAsia" w:hAnsiTheme="minorEastAsia" w:eastAsiaTheme="minorEastAsia"/>
                <w:color w:val="auto"/>
                <w:kern w:val="2"/>
                <w:sz w:val="21"/>
                <w:szCs w:val="21"/>
                <w:highlight w:val="none"/>
                <w:lang w:val="en-US" w:eastAsia="en-US" w:bidi="en-US"/>
              </w:rPr>
              <w:t>1.</w:t>
            </w:r>
            <w:r>
              <w:rPr>
                <w:rFonts w:hint="eastAsia" w:asciiTheme="minorEastAsia" w:hAnsiTheme="minorEastAsia" w:eastAsiaTheme="minorEastAsia"/>
                <w:color w:val="auto"/>
                <w:kern w:val="2"/>
                <w:sz w:val="21"/>
                <w:szCs w:val="21"/>
                <w:highlight w:val="none"/>
              </w:rPr>
              <w:t>项目经理</w:t>
            </w:r>
          </w:p>
        </w:tc>
        <w:tc>
          <w:tcPr>
            <w:tcW w:w="670" w:type="dxa"/>
            <w:tcBorders>
              <w:top w:val="single" w:color="auto" w:sz="4" w:space="0"/>
              <w:left w:val="single" w:color="auto" w:sz="4" w:space="0"/>
              <w:bottom w:val="single" w:color="auto" w:sz="4" w:space="0"/>
              <w:right w:val="single" w:color="auto" w:sz="4" w:space="0"/>
            </w:tcBorders>
            <w:vAlign w:val="center"/>
          </w:tcPr>
          <w:p w14:paraId="19F12996">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53D514D7">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308D6289">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3B09E0DC">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05042F84">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0C9F9B65">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62192D42">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7AEA2653">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3CD26D5">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r>
      <w:tr w14:paraId="7F9C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638DAF86">
            <w:pPr>
              <w:pStyle w:val="140"/>
              <w:keepNext w:val="0"/>
              <w:keepLines w:val="0"/>
              <w:suppressLineNumbers w:val="0"/>
              <w:spacing w:before="0" w:beforeAutospacing="0" w:after="0" w:afterAutospacing="0" w:line="240" w:lineRule="auto"/>
              <w:ind w:left="0" w:right="0" w:firstLine="0"/>
              <w:rPr>
                <w:rFonts w:hint="default" w:asciiTheme="minorEastAsia" w:hAnsiTheme="minorEastAsia" w:eastAsiaTheme="minorEastAsia"/>
                <w:color w:val="auto"/>
                <w:kern w:val="2"/>
                <w:sz w:val="21"/>
                <w:szCs w:val="21"/>
                <w:highlight w:val="none"/>
              </w:rPr>
            </w:pPr>
            <w:r>
              <w:rPr>
                <w:rFonts w:hint="default" w:cs="Times New Roman" w:asciiTheme="minorEastAsia" w:hAnsiTheme="minorEastAsia" w:eastAsiaTheme="minorEastAsia"/>
                <w:color w:val="auto"/>
                <w:kern w:val="2"/>
                <w:sz w:val="21"/>
                <w:szCs w:val="21"/>
                <w:highlight w:val="none"/>
                <w:lang w:val="en-US" w:bidi="en-US"/>
              </w:rPr>
              <w:t>2.</w:t>
            </w:r>
            <w:r>
              <w:rPr>
                <w:rFonts w:hint="eastAsia" w:asciiTheme="minorEastAsia" w:hAnsiTheme="minorEastAsia" w:eastAsiaTheme="minorEastAsia"/>
                <w:color w:val="auto"/>
                <w:kern w:val="2"/>
                <w:sz w:val="21"/>
                <w:szCs w:val="21"/>
                <w:highlight w:val="none"/>
              </w:rPr>
              <w:t>技术负责人</w:t>
            </w:r>
          </w:p>
        </w:tc>
        <w:tc>
          <w:tcPr>
            <w:tcW w:w="670" w:type="dxa"/>
            <w:tcBorders>
              <w:top w:val="single" w:color="auto" w:sz="4" w:space="0"/>
              <w:left w:val="single" w:color="auto" w:sz="4" w:space="0"/>
              <w:bottom w:val="single" w:color="auto" w:sz="4" w:space="0"/>
              <w:right w:val="single" w:color="auto" w:sz="4" w:space="0"/>
            </w:tcBorders>
            <w:vAlign w:val="center"/>
          </w:tcPr>
          <w:p w14:paraId="4D939599">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1DEFA55">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523649FF">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07C1A18B">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2A5F062C">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1A7C9410">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3848E7A1">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5FEADFB5">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09502E3">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r>
      <w:tr w14:paraId="3CE5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35CDD709">
            <w:pPr>
              <w:pStyle w:val="140"/>
              <w:keepNext w:val="0"/>
              <w:keepLines w:val="0"/>
              <w:suppressLineNumbers w:val="0"/>
              <w:spacing w:before="0" w:beforeAutospacing="0" w:after="0" w:afterAutospacing="0" w:line="240" w:lineRule="auto"/>
              <w:ind w:left="0" w:right="0" w:firstLine="0"/>
              <w:rPr>
                <w:rFonts w:hint="default" w:cs="Times New Roman" w:asciiTheme="minorEastAsia" w:hAnsiTheme="minorEastAsia" w:eastAsiaTheme="minorEastAsia"/>
                <w:color w:val="auto"/>
                <w:kern w:val="2"/>
                <w:sz w:val="21"/>
                <w:szCs w:val="21"/>
                <w:highlight w:val="none"/>
                <w:lang w:val="en-US" w:bidi="en-US"/>
              </w:rPr>
            </w:pPr>
            <w:r>
              <w:rPr>
                <w:rFonts w:hint="default" w:cs="Times New Roman" w:asciiTheme="minorEastAsia" w:hAnsiTheme="minorEastAsia" w:eastAsiaTheme="minorEastAsia"/>
                <w:color w:val="auto"/>
                <w:kern w:val="2"/>
                <w:sz w:val="21"/>
                <w:szCs w:val="21"/>
                <w:highlight w:val="none"/>
                <w:lang w:val="en-US" w:bidi="en-US"/>
              </w:rPr>
              <w:t>4.</w:t>
            </w:r>
            <w:r>
              <w:rPr>
                <w:rFonts w:hint="eastAsia" w:asciiTheme="minorEastAsia" w:hAnsiTheme="minorEastAsia" w:eastAsiaTheme="minorEastAsia"/>
                <w:color w:val="auto"/>
                <w:kern w:val="2"/>
                <w:sz w:val="21"/>
                <w:szCs w:val="21"/>
                <w:highlight w:val="none"/>
              </w:rPr>
              <w:t>专职安全生产管理人员</w:t>
            </w:r>
          </w:p>
        </w:tc>
        <w:tc>
          <w:tcPr>
            <w:tcW w:w="670" w:type="dxa"/>
            <w:tcBorders>
              <w:top w:val="single" w:color="auto" w:sz="4" w:space="0"/>
              <w:left w:val="single" w:color="auto" w:sz="4" w:space="0"/>
              <w:bottom w:val="single" w:color="auto" w:sz="4" w:space="0"/>
              <w:right w:val="single" w:color="auto" w:sz="4" w:space="0"/>
            </w:tcBorders>
            <w:vAlign w:val="center"/>
          </w:tcPr>
          <w:p w14:paraId="34BF3BAD">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76139A9">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57EDCBC1">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58AE9044">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3BE162C9">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509789F1">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6093C2FB">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1FAC0E9F">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6B9B1C5">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r>
      <w:tr w14:paraId="482C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4F8760CF">
            <w:pPr>
              <w:pStyle w:val="140"/>
              <w:keepNext w:val="0"/>
              <w:keepLines w:val="0"/>
              <w:suppressLineNumbers w:val="0"/>
              <w:spacing w:before="0" w:beforeAutospacing="0" w:after="0" w:afterAutospacing="0" w:line="240" w:lineRule="auto"/>
              <w:ind w:left="0" w:right="0" w:firstLine="0"/>
              <w:rPr>
                <w:rFonts w:hint="default" w:asciiTheme="minorEastAsia" w:hAnsiTheme="minorEastAsia" w:eastAsiaTheme="minorEastAsia"/>
                <w:color w:val="auto"/>
                <w:kern w:val="2"/>
                <w:sz w:val="21"/>
                <w:szCs w:val="21"/>
                <w:highlight w:val="none"/>
              </w:rPr>
            </w:pPr>
            <w:r>
              <w:rPr>
                <w:rFonts w:hint="default" w:cs="Times New Roman" w:asciiTheme="minorEastAsia" w:hAnsiTheme="minorEastAsia" w:eastAsiaTheme="minorEastAsia"/>
                <w:color w:val="auto"/>
                <w:kern w:val="2"/>
                <w:sz w:val="21"/>
                <w:szCs w:val="21"/>
                <w:highlight w:val="none"/>
                <w:lang w:val="en-US" w:eastAsia="en-US" w:bidi="en-US"/>
              </w:rPr>
              <w:t>3.</w:t>
            </w:r>
            <w:r>
              <w:rPr>
                <w:rFonts w:hint="eastAsia" w:asciiTheme="minorEastAsia" w:hAnsiTheme="minorEastAsia" w:eastAsiaTheme="minorEastAsia"/>
                <w:color w:val="auto"/>
                <w:kern w:val="2"/>
                <w:sz w:val="21"/>
                <w:szCs w:val="21"/>
                <w:highlight w:val="none"/>
              </w:rPr>
              <w:t>施工员</w:t>
            </w:r>
          </w:p>
        </w:tc>
        <w:tc>
          <w:tcPr>
            <w:tcW w:w="670" w:type="dxa"/>
            <w:tcBorders>
              <w:top w:val="single" w:color="auto" w:sz="4" w:space="0"/>
              <w:left w:val="single" w:color="auto" w:sz="4" w:space="0"/>
              <w:bottom w:val="single" w:color="auto" w:sz="4" w:space="0"/>
              <w:right w:val="single" w:color="auto" w:sz="4" w:space="0"/>
            </w:tcBorders>
            <w:vAlign w:val="center"/>
          </w:tcPr>
          <w:p w14:paraId="1799CD5A">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0267BB9C">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6094EED7">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4C9B9D87">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08F71259">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09878CB1">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302D2A29">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4FB721CA">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F981361">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r>
      <w:tr w14:paraId="154F8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682AFB87">
            <w:pPr>
              <w:keepNext w:val="0"/>
              <w:keepLines w:val="0"/>
              <w:suppressLineNumbers w:val="0"/>
              <w:spacing w:before="0" w:beforeAutospacing="0" w:after="0" w:afterAutospacing="0"/>
              <w:ind w:left="0" w:right="0"/>
              <w:jc w:val="left"/>
              <w:rPr>
                <w:rFonts w:hint="default" w:asciiTheme="minorEastAsia" w:hAnsiTheme="minorEastAsia" w:eastAsiaTheme="minorEastAsia"/>
                <w:color w:val="auto"/>
                <w:szCs w:val="21"/>
                <w:highlight w:val="none"/>
              </w:rPr>
            </w:pPr>
            <w:r>
              <w:rPr>
                <w:rFonts w:hint="default"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质量员</w:t>
            </w:r>
          </w:p>
        </w:tc>
        <w:tc>
          <w:tcPr>
            <w:tcW w:w="670" w:type="dxa"/>
            <w:tcBorders>
              <w:top w:val="single" w:color="auto" w:sz="4" w:space="0"/>
              <w:left w:val="single" w:color="auto" w:sz="4" w:space="0"/>
              <w:bottom w:val="single" w:color="auto" w:sz="4" w:space="0"/>
              <w:right w:val="single" w:color="auto" w:sz="4" w:space="0"/>
            </w:tcBorders>
            <w:vAlign w:val="center"/>
          </w:tcPr>
          <w:p w14:paraId="540058C9">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C5B02B1">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3A831AD1">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52A88796">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26666028">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4083B021">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1708B46A">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43FDF27E">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04C9728">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r>
      <w:tr w14:paraId="02B8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2654A940">
            <w:pPr>
              <w:keepNext w:val="0"/>
              <w:keepLines w:val="0"/>
              <w:suppressLineNumbers w:val="0"/>
              <w:spacing w:before="0" w:beforeAutospacing="0" w:after="0" w:afterAutospacing="0"/>
              <w:ind w:left="0" w:right="0"/>
              <w:jc w:val="left"/>
              <w:rPr>
                <w:rFonts w:hint="default" w:asciiTheme="minorEastAsia" w:hAnsiTheme="minorEastAsia" w:eastAsiaTheme="minorEastAsia"/>
                <w:color w:val="auto"/>
                <w:szCs w:val="21"/>
                <w:highlight w:val="none"/>
              </w:rPr>
            </w:pPr>
            <w:r>
              <w:rPr>
                <w:rFonts w:hint="default"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材料员</w:t>
            </w:r>
          </w:p>
        </w:tc>
        <w:tc>
          <w:tcPr>
            <w:tcW w:w="670" w:type="dxa"/>
            <w:tcBorders>
              <w:top w:val="single" w:color="auto" w:sz="4" w:space="0"/>
              <w:left w:val="single" w:color="auto" w:sz="4" w:space="0"/>
              <w:bottom w:val="single" w:color="auto" w:sz="4" w:space="0"/>
              <w:right w:val="single" w:color="auto" w:sz="4" w:space="0"/>
            </w:tcBorders>
            <w:vAlign w:val="center"/>
          </w:tcPr>
          <w:p w14:paraId="18EDB6E7">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28E7FE0">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5FCCAAE9">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49C59445">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3BD5FCEC">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1B54CC1E">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1F276155">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44CDC9D4">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5C49C97">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r>
      <w:tr w14:paraId="61A68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68E8C36D">
            <w:pPr>
              <w:keepNext w:val="0"/>
              <w:keepLines w:val="0"/>
              <w:suppressLineNumbers w:val="0"/>
              <w:spacing w:before="0" w:beforeAutospacing="0" w:after="0" w:afterAutospacing="0"/>
              <w:ind w:left="0" w:right="0"/>
              <w:jc w:val="left"/>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670" w:type="dxa"/>
            <w:tcBorders>
              <w:top w:val="single" w:color="auto" w:sz="4" w:space="0"/>
              <w:left w:val="single" w:color="auto" w:sz="4" w:space="0"/>
              <w:bottom w:val="single" w:color="auto" w:sz="4" w:space="0"/>
              <w:right w:val="single" w:color="auto" w:sz="4" w:space="0"/>
            </w:tcBorders>
            <w:vAlign w:val="center"/>
          </w:tcPr>
          <w:p w14:paraId="449E2336">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01B9ADB5">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4B49991F">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61842616">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25B5F315">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503B4558">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0CE01D35">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0CCD44BC">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9D2A8E7">
            <w:pPr>
              <w:keepNext w:val="0"/>
              <w:keepLines w:val="0"/>
              <w:suppressLineNumbers w:val="0"/>
              <w:spacing w:before="0" w:beforeAutospacing="0" w:after="0" w:afterAutospacing="0"/>
              <w:ind w:left="223" w:right="0" w:hanging="222" w:hangingChars="106"/>
              <w:jc w:val="center"/>
              <w:rPr>
                <w:rFonts w:hint="default"/>
                <w:color w:val="auto"/>
                <w:szCs w:val="21"/>
                <w:highlight w:val="none"/>
              </w:rPr>
            </w:pPr>
          </w:p>
        </w:tc>
      </w:tr>
      <w:tr w14:paraId="30FF2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66" w:type="dxa"/>
            <w:gridSpan w:val="10"/>
            <w:tcBorders>
              <w:top w:val="single" w:color="auto" w:sz="4" w:space="0"/>
              <w:left w:val="single" w:color="auto" w:sz="4" w:space="0"/>
              <w:bottom w:val="single" w:color="auto" w:sz="4" w:space="0"/>
              <w:right w:val="single" w:color="auto" w:sz="4" w:space="0"/>
            </w:tcBorders>
            <w:vAlign w:val="center"/>
          </w:tcPr>
          <w:p w14:paraId="4B8E6680">
            <w:pPr>
              <w:keepNext w:val="0"/>
              <w:keepLines w:val="0"/>
              <w:suppressLineNumbers w:val="0"/>
              <w:spacing w:before="0" w:beforeAutospacing="0" w:after="0" w:afterAutospacing="0"/>
              <w:ind w:left="223" w:right="0" w:hanging="222" w:hangingChars="106"/>
              <w:jc w:val="left"/>
              <w:rPr>
                <w:rFonts w:hint="default"/>
                <w:color w:val="auto"/>
                <w:highlight w:val="none"/>
              </w:rPr>
            </w:pPr>
            <w:r>
              <w:rPr>
                <w:rFonts w:hint="eastAsia"/>
                <w:color w:val="auto"/>
                <w:highlight w:val="none"/>
              </w:rPr>
              <w:t>一旦我单位成交，将实行项目经理负责制，我方保证并配备上述项目管理机构。上述填报内容真实，若不真实，愿按有关规定接受处理。项目管理班子机构设置、职责分工等情况另附资料说明。</w:t>
            </w:r>
          </w:p>
        </w:tc>
      </w:tr>
    </w:tbl>
    <w:p w14:paraId="47A0DB67">
      <w:pPr>
        <w:spacing w:line="300" w:lineRule="exact"/>
        <w:jc w:val="left"/>
        <w:rPr>
          <w:rFonts w:ascii="宋体" w:hAnsi="宋体"/>
          <w:b/>
          <w:color w:val="auto"/>
          <w:szCs w:val="21"/>
          <w:highlight w:val="none"/>
        </w:rPr>
      </w:pPr>
      <w:r>
        <w:rPr>
          <w:rFonts w:hint="eastAsia" w:ascii="宋体" w:hAnsi="宋体"/>
          <w:b/>
          <w:color w:val="auto"/>
          <w:szCs w:val="21"/>
          <w:highlight w:val="none"/>
        </w:rPr>
        <w:t>备注：</w:t>
      </w:r>
    </w:p>
    <w:p w14:paraId="010DDEEE">
      <w:pPr>
        <w:spacing w:line="300" w:lineRule="exact"/>
        <w:ind w:firstLine="420" w:firstLineChars="200"/>
        <w:jc w:val="left"/>
        <w:rPr>
          <w:rFonts w:ascii="宋体" w:hAnsi="宋体"/>
          <w:b/>
          <w:color w:val="auto"/>
          <w:szCs w:val="21"/>
          <w:highlight w:val="none"/>
        </w:rPr>
      </w:pPr>
      <w:r>
        <w:rPr>
          <w:rFonts w:hint="eastAsia" w:ascii="宋体" w:hAnsi="宋体"/>
          <w:b/>
          <w:color w:val="auto"/>
          <w:szCs w:val="21"/>
          <w:highlight w:val="none"/>
        </w:rPr>
        <w:t>1.本表所列岗位的所有管理人员的情况均应如实填写。可按以上格式扩展为多页填写。</w:t>
      </w:r>
    </w:p>
    <w:p w14:paraId="0C2E0224">
      <w:pPr>
        <w:spacing w:line="300" w:lineRule="exact"/>
        <w:ind w:firstLine="420" w:firstLineChars="200"/>
        <w:jc w:val="left"/>
        <w:rPr>
          <w:rFonts w:ascii="宋体" w:hAnsi="宋体"/>
          <w:b/>
          <w:color w:val="auto"/>
          <w:szCs w:val="21"/>
          <w:highlight w:val="none"/>
        </w:rPr>
      </w:pPr>
      <w:r>
        <w:rPr>
          <w:rFonts w:hint="eastAsia" w:ascii="宋体" w:hAnsi="宋体"/>
          <w:b/>
          <w:color w:val="auto"/>
          <w:szCs w:val="21"/>
          <w:highlight w:val="none"/>
        </w:rPr>
        <w:t>2.</w:t>
      </w:r>
      <w:r>
        <w:rPr>
          <w:rFonts w:hint="eastAsia" w:ascii="宋体" w:hAnsi="宋体" w:cs="宋体"/>
          <w:b/>
          <w:color w:val="auto"/>
          <w:szCs w:val="21"/>
          <w:highlight w:val="none"/>
        </w:rPr>
        <w:t>附以下证明材料：①项目经理具有建筑工程专业二级以上（含二级）注册建造师执业资格证书复印件及有效的安全生产考核合格证书复印件（B类），加盖供应商电子签章；②技术负责人的与本项目相关的建筑工程专业中级及以上职称证书复印件，加盖供应商电子签章；③专职安全生产管理人员须具有安全生产考核合格证书复印件（C类），加盖供应商电子签章；④施工员、质量员、材料员须具有施工现场专业人员职业培训合格证书复印件，加盖供应商电子签章；⑤以上项目管理机构人员的身份证复印件及2025年1月以来任意一个月供应商为以上项目管理机构人员交纳的社保证明材料复印件</w:t>
      </w:r>
      <w:r>
        <w:rPr>
          <w:rFonts w:hint="eastAsia" w:ascii="宋体" w:hAnsi="宋体" w:cs="宋体"/>
          <w:b/>
          <w:color w:val="auto"/>
          <w:szCs w:val="21"/>
          <w:highlight w:val="none"/>
          <w:lang w:eastAsia="zh-CN"/>
        </w:rPr>
        <w:t>或劳动合同</w:t>
      </w:r>
      <w:r>
        <w:rPr>
          <w:rFonts w:hint="eastAsia" w:ascii="宋体" w:hAnsi="宋体" w:cs="宋体"/>
          <w:b/>
          <w:color w:val="auto"/>
          <w:szCs w:val="21"/>
          <w:highlight w:val="none"/>
        </w:rPr>
        <w:t>，加盖供应商电子签章</w:t>
      </w:r>
      <w:r>
        <w:rPr>
          <w:rFonts w:hint="eastAsia" w:ascii="宋体" w:hAnsi="宋体"/>
          <w:b/>
          <w:color w:val="auto"/>
          <w:szCs w:val="21"/>
          <w:highlight w:val="none"/>
        </w:rPr>
        <w:t>。</w:t>
      </w:r>
    </w:p>
    <w:p w14:paraId="5C14E2F7">
      <w:pPr>
        <w:pStyle w:val="64"/>
        <w:spacing w:line="300" w:lineRule="exact"/>
        <w:rPr>
          <w:color w:val="auto"/>
          <w:highlight w:val="none"/>
        </w:rPr>
      </w:pPr>
    </w:p>
    <w:p w14:paraId="2853F270">
      <w:pPr>
        <w:pStyle w:val="64"/>
        <w:spacing w:line="300" w:lineRule="exact"/>
        <w:rPr>
          <w:color w:val="auto"/>
          <w:highlight w:val="none"/>
        </w:rPr>
      </w:pPr>
    </w:p>
    <w:p w14:paraId="3788869C">
      <w:pPr>
        <w:spacing w:line="300" w:lineRule="exact"/>
        <w:ind w:firstLine="480" w:firstLineChars="200"/>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0BA0D2EF">
      <w:pPr>
        <w:spacing w:line="300" w:lineRule="exact"/>
        <w:ind w:firstLine="560" w:firstLineChars="200"/>
        <w:jc w:val="left"/>
        <w:rPr>
          <w:rFonts w:ascii="宋体" w:hAnsi="宋体"/>
          <w:color w:val="auto"/>
          <w:spacing w:val="20"/>
          <w:sz w:val="24"/>
          <w:highlight w:val="none"/>
        </w:rPr>
      </w:pPr>
      <w:r>
        <w:rPr>
          <w:rFonts w:hint="eastAsia" w:ascii="宋体" w:hAnsi="宋体"/>
          <w:color w:val="auto"/>
          <w:spacing w:val="20"/>
          <w:sz w:val="24"/>
          <w:highlight w:val="none"/>
        </w:rPr>
        <w:t>供应商（电子签章）：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33C8E082">
      <w:pPr>
        <w:spacing w:line="300" w:lineRule="exact"/>
        <w:ind w:firstLine="560" w:firstLineChars="200"/>
        <w:jc w:val="left"/>
        <w:rPr>
          <w:rFonts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3C59B238">
      <w:pPr>
        <w:spacing w:line="500" w:lineRule="exact"/>
        <w:jc w:val="center"/>
        <w:rPr>
          <w:rFonts w:cs="宋体"/>
          <w:b/>
          <w:bCs/>
          <w:color w:val="auto"/>
          <w:sz w:val="28"/>
          <w:szCs w:val="28"/>
          <w:highlight w:val="none"/>
        </w:rPr>
      </w:pPr>
    </w:p>
    <w:p w14:paraId="39322078">
      <w:pPr>
        <w:spacing w:line="500" w:lineRule="exact"/>
        <w:jc w:val="center"/>
        <w:rPr>
          <w:rFonts w:cs="宋体"/>
          <w:b/>
          <w:bCs/>
          <w:color w:val="auto"/>
          <w:sz w:val="28"/>
          <w:szCs w:val="28"/>
          <w:highlight w:val="none"/>
        </w:rPr>
      </w:pPr>
    </w:p>
    <w:p w14:paraId="5816E3C3">
      <w:pPr>
        <w:spacing w:line="500" w:lineRule="exact"/>
        <w:jc w:val="center"/>
        <w:rPr>
          <w:rFonts w:cs="宋体"/>
          <w:b/>
          <w:bCs/>
          <w:color w:val="auto"/>
          <w:sz w:val="28"/>
          <w:szCs w:val="28"/>
          <w:highlight w:val="none"/>
        </w:rPr>
      </w:pPr>
    </w:p>
    <w:p w14:paraId="012C8C61">
      <w:pPr>
        <w:spacing w:line="50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供应商关于拟派项目经理的承诺书</w:t>
      </w:r>
    </w:p>
    <w:p w14:paraId="2512253B">
      <w:pPr>
        <w:spacing w:line="520" w:lineRule="exact"/>
        <w:ind w:left="-10" w:firstLine="520" w:firstLineChars="217"/>
        <w:jc w:val="left"/>
        <w:rPr>
          <w:rFonts w:cs="宋体"/>
          <w:bCs/>
          <w:color w:val="auto"/>
          <w:sz w:val="24"/>
          <w:highlight w:val="none"/>
        </w:rPr>
      </w:pPr>
    </w:p>
    <w:p w14:paraId="442B008E">
      <w:pPr>
        <w:wordWrap w:val="0"/>
        <w:spacing w:line="520" w:lineRule="exact"/>
        <w:ind w:left="-11" w:firstLine="520" w:firstLineChars="217"/>
        <w:jc w:val="left"/>
        <w:rPr>
          <w:rFonts w:cs="宋体" w:asciiTheme="minorEastAsia" w:hAnsiTheme="minorEastAsia" w:eastAsiaTheme="minorEastAsia"/>
          <w:bCs/>
          <w:color w:val="auto"/>
          <w:sz w:val="24"/>
          <w:highlight w:val="none"/>
        </w:rPr>
      </w:pPr>
      <w:r>
        <w:rPr>
          <w:rFonts w:hint="eastAsia" w:cs="宋体"/>
          <w:bCs/>
          <w:color w:val="auto"/>
          <w:sz w:val="24"/>
          <w:highlight w:val="none"/>
        </w:rPr>
        <w:t>我公司郑重承诺：在参加本次</w:t>
      </w:r>
      <w:r>
        <w:rPr>
          <w:rFonts w:cs="宋体"/>
          <w:bCs/>
          <w:color w:val="auto"/>
          <w:sz w:val="24"/>
          <w:highlight w:val="none"/>
          <w:u w:val="single"/>
        </w:rPr>
        <w:t xml:space="preserve">            </w:t>
      </w:r>
      <w:r>
        <w:rPr>
          <w:rFonts w:hint="eastAsia" w:cs="宋体"/>
          <w:bCs/>
          <w:color w:val="auto"/>
          <w:sz w:val="24"/>
          <w:highlight w:val="none"/>
        </w:rPr>
        <w:t>工程（项目编号：</w:t>
      </w:r>
      <w:r>
        <w:rPr>
          <w:rFonts w:cs="宋体"/>
          <w:bCs/>
          <w:color w:val="auto"/>
          <w:sz w:val="24"/>
          <w:highlight w:val="none"/>
          <w:u w:val="single"/>
        </w:rPr>
        <w:t xml:space="preserve">           </w:t>
      </w:r>
      <w:r>
        <w:rPr>
          <w:rFonts w:hint="eastAsia" w:cs="宋体"/>
          <w:bCs/>
          <w:color w:val="auto"/>
          <w:sz w:val="24"/>
          <w:highlight w:val="none"/>
        </w:rPr>
        <w:t>）竞争性磋商项目中，拟投入本项目项目经理</w:t>
      </w:r>
      <w:r>
        <w:rPr>
          <w:rFonts w:hint="eastAsia" w:cs="宋体"/>
          <w:bCs/>
          <w:color w:val="auto"/>
          <w:sz w:val="24"/>
          <w:highlight w:val="none"/>
          <w:u w:val="single"/>
        </w:rPr>
        <w:t xml:space="preserve">      （姓名），（身份证号码：           ）</w:t>
      </w:r>
      <w:r>
        <w:rPr>
          <w:rFonts w:hint="eastAsia" w:cs="宋体"/>
          <w:bCs/>
          <w:color w:val="auto"/>
          <w:sz w:val="24"/>
          <w:highlight w:val="none"/>
        </w:rPr>
        <w:t>不存在其他在建、已中标（或成交）未开工或已列为其他项目中标（或成交）候选人第一名的建造师【（符合《广西壮族自治区建筑市场诚信卡管理暂行办法》第十六条第一款及桂建管﹝2016﹞70号、桂建管〔2020〕11号文除外）】</w:t>
      </w:r>
      <w:r>
        <w:rPr>
          <w:rFonts w:hint="eastAsia" w:cs="宋体" w:asciiTheme="minorEastAsia" w:hAnsiTheme="minorEastAsia" w:eastAsiaTheme="minorEastAsia"/>
          <w:bCs/>
          <w:color w:val="auto"/>
          <w:sz w:val="24"/>
          <w:highlight w:val="none"/>
        </w:rPr>
        <w:t>。</w:t>
      </w:r>
    </w:p>
    <w:p w14:paraId="40C12ECD">
      <w:pPr>
        <w:spacing w:line="520" w:lineRule="exact"/>
        <w:ind w:left="-10" w:firstLine="520" w:firstLineChars="217"/>
        <w:jc w:val="left"/>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本单位对上述承诺的真实性负责。如有虚假，将依法承担相应责任。</w:t>
      </w:r>
    </w:p>
    <w:p w14:paraId="4E2D3D26">
      <w:pPr>
        <w:spacing w:line="520" w:lineRule="exact"/>
        <w:ind w:left="-10" w:firstLine="455" w:firstLineChars="217"/>
        <w:jc w:val="left"/>
        <w:rPr>
          <w:color w:val="auto"/>
          <w:szCs w:val="21"/>
          <w:highlight w:val="none"/>
        </w:rPr>
      </w:pPr>
    </w:p>
    <w:p w14:paraId="388FAA01">
      <w:pPr>
        <w:spacing w:line="520" w:lineRule="exact"/>
        <w:jc w:val="left"/>
        <w:rPr>
          <w:color w:val="auto"/>
          <w:highlight w:val="none"/>
        </w:rPr>
      </w:pPr>
    </w:p>
    <w:p w14:paraId="7A79C1F9">
      <w:pPr>
        <w:spacing w:line="480" w:lineRule="auto"/>
        <w:ind w:left="2699"/>
        <w:rPr>
          <w:color w:val="auto"/>
          <w:sz w:val="24"/>
          <w:highlight w:val="none"/>
        </w:rPr>
      </w:pPr>
      <w:r>
        <w:rPr>
          <w:rFonts w:hint="eastAsia" w:cs="宋体"/>
          <w:color w:val="auto"/>
          <w:sz w:val="24"/>
          <w:highlight w:val="none"/>
        </w:rPr>
        <w:t>供应商：</w:t>
      </w:r>
      <w:r>
        <w:rPr>
          <w:color w:val="auto"/>
          <w:sz w:val="24"/>
          <w:highlight w:val="none"/>
          <w:u w:val="single"/>
        </w:rPr>
        <w:t xml:space="preserve">                </w:t>
      </w:r>
      <w:r>
        <w:rPr>
          <w:rFonts w:hint="eastAsia" w:cs="宋体"/>
          <w:color w:val="auto"/>
          <w:sz w:val="24"/>
          <w:highlight w:val="none"/>
          <w:u w:val="single"/>
        </w:rPr>
        <w:t>（盖供应商电子签章）</w:t>
      </w:r>
    </w:p>
    <w:p w14:paraId="2C1376F4">
      <w:pPr>
        <w:spacing w:line="480" w:lineRule="auto"/>
        <w:ind w:left="2699"/>
        <w:rPr>
          <w:color w:val="auto"/>
          <w:sz w:val="24"/>
          <w:highlight w:val="none"/>
        </w:rPr>
      </w:pPr>
      <w:r>
        <w:rPr>
          <w:rFonts w:hint="eastAsia" w:cs="宋体"/>
          <w:color w:val="auto"/>
          <w:sz w:val="24"/>
          <w:highlight w:val="none"/>
        </w:rPr>
        <w:t>法定代表人（或委托代理人）</w:t>
      </w:r>
      <w:r>
        <w:rPr>
          <w:rFonts w:hint="eastAsia"/>
          <w:color w:val="auto"/>
          <w:sz w:val="24"/>
          <w:highlight w:val="none"/>
          <w:u w:val="single"/>
        </w:rPr>
        <w:t>（签字或者电子签名）</w:t>
      </w:r>
    </w:p>
    <w:p w14:paraId="01C72E1C">
      <w:pPr>
        <w:spacing w:line="360" w:lineRule="auto"/>
        <w:ind w:firstLine="3120" w:firstLineChars="1300"/>
        <w:rPr>
          <w:color w:val="auto"/>
          <w:sz w:val="24"/>
          <w:highlight w:val="none"/>
        </w:rPr>
      </w:pPr>
      <w:r>
        <w:rPr>
          <w:rFonts w:hint="eastAsia" w:cs="宋体"/>
          <w:color w:val="auto"/>
          <w:sz w:val="24"/>
          <w:highlight w:val="none"/>
        </w:rPr>
        <w:t>日期：</w:t>
      </w:r>
      <w:r>
        <w:rPr>
          <w:color w:val="auto"/>
          <w:sz w:val="24"/>
          <w:highlight w:val="none"/>
          <w:u w:val="single"/>
        </w:rPr>
        <w:t xml:space="preserve">       </w:t>
      </w:r>
      <w:r>
        <w:rPr>
          <w:rFonts w:hint="eastAsia" w:cs="宋体"/>
          <w:color w:val="auto"/>
          <w:sz w:val="24"/>
          <w:highlight w:val="none"/>
        </w:rPr>
        <w:t>年</w:t>
      </w:r>
      <w:r>
        <w:rPr>
          <w:color w:val="auto"/>
          <w:sz w:val="24"/>
          <w:highlight w:val="none"/>
          <w:u w:val="single"/>
        </w:rPr>
        <w:t xml:space="preserve">     </w:t>
      </w:r>
      <w:r>
        <w:rPr>
          <w:rFonts w:hint="eastAsia" w:cs="宋体"/>
          <w:color w:val="auto"/>
          <w:sz w:val="24"/>
          <w:highlight w:val="none"/>
        </w:rPr>
        <w:t>月</w:t>
      </w:r>
      <w:r>
        <w:rPr>
          <w:color w:val="auto"/>
          <w:sz w:val="24"/>
          <w:highlight w:val="none"/>
          <w:u w:val="single"/>
        </w:rPr>
        <w:t xml:space="preserve">     </w:t>
      </w:r>
      <w:r>
        <w:rPr>
          <w:rFonts w:hint="eastAsia" w:cs="宋体"/>
          <w:color w:val="auto"/>
          <w:sz w:val="24"/>
          <w:highlight w:val="none"/>
        </w:rPr>
        <w:t>日</w:t>
      </w:r>
    </w:p>
    <w:p w14:paraId="514095E1">
      <w:pPr>
        <w:widowControl/>
        <w:jc w:val="left"/>
        <w:rPr>
          <w:rFonts w:ascii="宋体" w:hAnsi="宋体"/>
          <w:b/>
          <w:color w:val="auto"/>
          <w:sz w:val="32"/>
          <w:szCs w:val="32"/>
          <w:highlight w:val="none"/>
        </w:rPr>
      </w:pPr>
      <w:r>
        <w:rPr>
          <w:rFonts w:ascii="宋体" w:hAnsi="宋体"/>
          <w:b/>
          <w:color w:val="auto"/>
          <w:sz w:val="32"/>
          <w:szCs w:val="32"/>
          <w:highlight w:val="none"/>
        </w:rPr>
        <w:br w:type="page"/>
      </w:r>
    </w:p>
    <w:p w14:paraId="35C2AAF0">
      <w:pPr>
        <w:spacing w:line="50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农民工工资保证金交纳与使用</w:t>
      </w:r>
    </w:p>
    <w:p w14:paraId="08248DA3">
      <w:pPr>
        <w:spacing w:line="50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承诺书（格式）</w:t>
      </w:r>
    </w:p>
    <w:p w14:paraId="7D5A4E86">
      <w:pPr>
        <w:autoSpaceDE w:val="0"/>
        <w:autoSpaceDN w:val="0"/>
        <w:jc w:val="left"/>
        <w:rPr>
          <w:rFonts w:ascii="宋体" w:hAnsi="宋体" w:cs="宋体"/>
          <w:b/>
          <w:color w:val="auto"/>
          <w:kern w:val="0"/>
          <w:sz w:val="24"/>
          <w:szCs w:val="21"/>
          <w:highlight w:val="none"/>
        </w:rPr>
      </w:pPr>
    </w:p>
    <w:p w14:paraId="0C83603F">
      <w:pPr>
        <w:autoSpaceDE w:val="0"/>
        <w:autoSpaceDN w:val="0"/>
        <w:spacing w:before="11"/>
        <w:jc w:val="left"/>
        <w:rPr>
          <w:rFonts w:ascii="宋体" w:hAnsi="宋体" w:cs="宋体"/>
          <w:b/>
          <w:color w:val="auto"/>
          <w:kern w:val="0"/>
          <w:sz w:val="24"/>
          <w:highlight w:val="none"/>
        </w:rPr>
      </w:pPr>
    </w:p>
    <w:p w14:paraId="27100437">
      <w:pPr>
        <w:autoSpaceDE w:val="0"/>
        <w:autoSpaceDN w:val="0"/>
        <w:spacing w:before="1"/>
        <w:ind w:left="280"/>
        <w:jc w:val="left"/>
        <w:rPr>
          <w:rFonts w:ascii="宋体" w:hAnsi="宋体" w:cs="宋体"/>
          <w:color w:val="auto"/>
          <w:kern w:val="0"/>
          <w:sz w:val="24"/>
          <w:highlight w:val="none"/>
        </w:rPr>
      </w:pPr>
      <w:r>
        <w:rPr>
          <w:rFonts w:hint="eastAsia" w:ascii="宋体" w:hAnsi="宋体" w:cs="宋体"/>
          <w:color w:val="auto"/>
          <w:kern w:val="0"/>
          <w:sz w:val="24"/>
          <w:highlight w:val="none"/>
        </w:rPr>
        <w:t>致：</w:t>
      </w:r>
      <w:r>
        <w:rPr>
          <w:rFonts w:hint="eastAsia" w:ascii="宋体" w:hAnsi="宋体" w:cs="宋体"/>
          <w:color w:val="auto"/>
          <w:kern w:val="0"/>
          <w:sz w:val="24"/>
          <w:highlight w:val="none"/>
          <w:u w:val="single"/>
        </w:rPr>
        <w:t xml:space="preserve">（采购人名称） </w:t>
      </w:r>
    </w:p>
    <w:p w14:paraId="2C7E75B8">
      <w:pPr>
        <w:wordWrap w:val="0"/>
        <w:autoSpaceDE w:val="0"/>
        <w:autoSpaceDN w:val="0"/>
        <w:spacing w:line="360" w:lineRule="auto"/>
        <w:ind w:firstLine="480" w:firstLineChars="200"/>
        <w:jc w:val="left"/>
        <w:rPr>
          <w:rFonts w:ascii="宋体" w:hAnsi="宋体" w:cs="宋体"/>
          <w:color w:val="auto"/>
          <w:kern w:val="0"/>
          <w:sz w:val="24"/>
          <w:highlight w:val="none"/>
        </w:rPr>
      </w:pPr>
    </w:p>
    <w:p w14:paraId="0A76CF1E">
      <w:pPr>
        <w:wordWrap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我公司在此承诺：</w:t>
      </w:r>
    </w:p>
    <w:p w14:paraId="0AF45904">
      <w:pPr>
        <w:tabs>
          <w:tab w:val="left" w:pos="965"/>
          <w:tab w:val="left" w:pos="3774"/>
        </w:tabs>
        <w:wordWrap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ascii="宋体" w:hAnsi="宋体" w:cs="宋体"/>
          <w:color w:val="auto"/>
          <w:kern w:val="0"/>
          <w:sz w:val="24"/>
          <w:highlight w:val="none"/>
        </w:rPr>
        <w:t>.</w:t>
      </w:r>
      <w:r>
        <w:rPr>
          <w:rFonts w:hint="eastAsia" w:ascii="宋体" w:hAnsi="宋体" w:cs="宋体"/>
          <w:color w:val="auto"/>
          <w:kern w:val="0"/>
          <w:sz w:val="24"/>
          <w:highlight w:val="none"/>
        </w:rPr>
        <w:t>我公司在本项目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ab/>
      </w:r>
      <w:r>
        <w:rPr>
          <w:rFonts w:hint="eastAsia" w:ascii="宋体" w:hAnsi="宋体" w:cs="宋体"/>
          <w:color w:val="auto"/>
          <w:w w:val="95"/>
          <w:kern w:val="0"/>
          <w:sz w:val="24"/>
          <w:highlight w:val="none"/>
        </w:rPr>
        <w:t>（项目名称及编号</w:t>
      </w:r>
      <w:r>
        <w:rPr>
          <w:rFonts w:hint="eastAsia" w:ascii="宋体" w:hAnsi="宋体" w:cs="宋体"/>
          <w:color w:val="auto"/>
          <w:spacing w:val="-22"/>
          <w:w w:val="95"/>
          <w:kern w:val="0"/>
          <w:sz w:val="24"/>
          <w:highlight w:val="none"/>
        </w:rPr>
        <w:t>）</w:t>
      </w:r>
      <w:r>
        <w:rPr>
          <w:rFonts w:hint="eastAsia" w:ascii="宋体" w:hAnsi="宋体" w:cs="宋体"/>
          <w:color w:val="auto"/>
          <w:w w:val="95"/>
          <w:kern w:val="0"/>
          <w:sz w:val="24"/>
          <w:highlight w:val="none"/>
        </w:rPr>
        <w:t>响应文件递交截止之日前所承建工程中</w:t>
      </w:r>
      <w:r>
        <w:rPr>
          <w:rFonts w:hint="eastAsia" w:ascii="宋体" w:hAnsi="宋体" w:cs="宋体"/>
          <w:color w:val="auto"/>
          <w:spacing w:val="-22"/>
          <w:w w:val="95"/>
          <w:kern w:val="0"/>
          <w:sz w:val="24"/>
          <w:highlight w:val="none"/>
        </w:rPr>
        <w:t>，</w:t>
      </w:r>
      <w:r>
        <w:rPr>
          <w:rFonts w:hint="eastAsia" w:ascii="宋体" w:hAnsi="宋体" w:cs="宋体"/>
          <w:color w:val="auto"/>
          <w:w w:val="95"/>
          <w:kern w:val="0"/>
          <w:sz w:val="24"/>
          <w:highlight w:val="none"/>
        </w:rPr>
        <w:t>无拖欠</w:t>
      </w:r>
      <w:r>
        <w:rPr>
          <w:rFonts w:hint="eastAsia" w:ascii="宋体" w:hAnsi="宋体" w:cs="宋体"/>
          <w:color w:val="auto"/>
          <w:kern w:val="0"/>
          <w:sz w:val="24"/>
          <w:highlight w:val="none"/>
        </w:rPr>
        <w:t>或克扣农民工工资的行为。</w:t>
      </w:r>
    </w:p>
    <w:p w14:paraId="5B079AE2">
      <w:pPr>
        <w:tabs>
          <w:tab w:val="left" w:pos="1036"/>
          <w:tab w:val="left" w:pos="4607"/>
        </w:tabs>
        <w:wordWrap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w:t>
      </w:r>
      <w:r>
        <w:rPr>
          <w:rFonts w:ascii="宋体" w:hAnsi="宋体" w:cs="宋体"/>
          <w:color w:val="auto"/>
          <w:kern w:val="0"/>
          <w:sz w:val="24"/>
          <w:highlight w:val="none"/>
        </w:rPr>
        <w:t>.</w:t>
      </w:r>
      <w:r>
        <w:rPr>
          <w:rFonts w:hint="eastAsia" w:ascii="宋体" w:hAnsi="宋体" w:cs="宋体"/>
          <w:color w:val="auto"/>
          <w:kern w:val="0"/>
          <w:sz w:val="24"/>
          <w:highlight w:val="none"/>
        </w:rPr>
        <w:t>我公司参与磋商的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ab/>
      </w:r>
      <w:r>
        <w:rPr>
          <w:rFonts w:hint="eastAsia" w:ascii="宋体" w:hAnsi="宋体" w:cs="宋体"/>
          <w:color w:val="auto"/>
          <w:w w:val="95"/>
          <w:kern w:val="0"/>
          <w:sz w:val="24"/>
          <w:highlight w:val="none"/>
        </w:rPr>
        <w:t>项目</w:t>
      </w:r>
      <w:r>
        <w:rPr>
          <w:rFonts w:hint="eastAsia" w:ascii="宋体" w:hAnsi="宋体" w:cs="宋体"/>
          <w:color w:val="auto"/>
          <w:spacing w:val="-13"/>
          <w:w w:val="95"/>
          <w:kern w:val="0"/>
          <w:sz w:val="24"/>
          <w:highlight w:val="none"/>
        </w:rPr>
        <w:t>，</w:t>
      </w:r>
      <w:r>
        <w:rPr>
          <w:rFonts w:hint="eastAsia" w:ascii="宋体" w:hAnsi="宋体" w:cs="宋体"/>
          <w:color w:val="auto"/>
          <w:w w:val="95"/>
          <w:kern w:val="0"/>
          <w:sz w:val="24"/>
          <w:highlight w:val="none"/>
        </w:rPr>
        <w:t>一旦成交</w:t>
      </w:r>
      <w:r>
        <w:rPr>
          <w:rFonts w:hint="eastAsia" w:ascii="宋体" w:hAnsi="宋体" w:cs="宋体"/>
          <w:color w:val="auto"/>
          <w:spacing w:val="-13"/>
          <w:w w:val="95"/>
          <w:kern w:val="0"/>
          <w:sz w:val="24"/>
          <w:highlight w:val="none"/>
        </w:rPr>
        <w:t>，</w:t>
      </w:r>
      <w:r>
        <w:rPr>
          <w:rFonts w:hint="eastAsia" w:ascii="宋体" w:hAnsi="宋体" w:cs="宋体"/>
          <w:color w:val="auto"/>
          <w:w w:val="95"/>
          <w:kern w:val="0"/>
          <w:sz w:val="24"/>
          <w:highlight w:val="none"/>
        </w:rPr>
        <w:t>我方保证在签订施工合同后</w:t>
      </w:r>
      <w:r>
        <w:rPr>
          <w:rFonts w:hint="eastAsia" w:ascii="宋体" w:hAnsi="宋体" w:cs="宋体"/>
          <w:color w:val="auto"/>
          <w:spacing w:val="-10"/>
          <w:w w:val="95"/>
          <w:kern w:val="0"/>
          <w:sz w:val="24"/>
          <w:highlight w:val="none"/>
        </w:rPr>
        <w:t>，</w:t>
      </w:r>
      <w:r>
        <w:rPr>
          <w:rFonts w:hint="eastAsia" w:ascii="宋体" w:hAnsi="宋体" w:cs="宋体"/>
          <w:color w:val="auto"/>
          <w:w w:val="95"/>
          <w:kern w:val="0"/>
          <w:sz w:val="24"/>
          <w:highlight w:val="none"/>
        </w:rPr>
        <w:t>及时并足额</w:t>
      </w:r>
      <w:r>
        <w:rPr>
          <w:rFonts w:hint="eastAsia" w:ascii="宋体" w:hAnsi="宋体" w:cs="宋体"/>
          <w:color w:val="auto"/>
          <w:kern w:val="0"/>
          <w:sz w:val="24"/>
          <w:highlight w:val="none"/>
        </w:rPr>
        <w:t>将农民工工资保证金足额存入指定的账户，作为本项目农民工工资保证金。</w:t>
      </w:r>
    </w:p>
    <w:p w14:paraId="4DCDC54A">
      <w:pPr>
        <w:tabs>
          <w:tab w:val="left" w:pos="1036"/>
          <w:tab w:val="left" w:pos="4607"/>
        </w:tabs>
        <w:wordWrap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w:t>
      </w:r>
      <w:r>
        <w:rPr>
          <w:rFonts w:ascii="宋体" w:hAnsi="宋体" w:cs="宋体"/>
          <w:color w:val="auto"/>
          <w:kern w:val="0"/>
          <w:sz w:val="24"/>
          <w:highlight w:val="none"/>
        </w:rPr>
        <w:t>.</w:t>
      </w:r>
      <w:r>
        <w:rPr>
          <w:rFonts w:hint="eastAsia" w:ascii="宋体" w:hAnsi="宋体" w:cs="宋体"/>
          <w:color w:val="auto"/>
          <w:kern w:val="0"/>
          <w:sz w:val="24"/>
          <w:highlight w:val="none"/>
        </w:rPr>
        <w:t>如我公司在承包的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rPr>
        <w:t>项目中出现拖欠农民工和工人工资情况的</w:t>
      </w:r>
      <w:r>
        <w:rPr>
          <w:rFonts w:hint="eastAsia" w:ascii="宋体" w:hAnsi="宋体" w:cs="宋体"/>
          <w:color w:val="auto"/>
          <w:spacing w:val="-37"/>
          <w:kern w:val="0"/>
          <w:sz w:val="24"/>
          <w:highlight w:val="none"/>
        </w:rPr>
        <w:t>，</w:t>
      </w:r>
      <w:r>
        <w:rPr>
          <w:rFonts w:hint="eastAsia" w:ascii="宋体" w:hAnsi="宋体" w:cs="宋体"/>
          <w:color w:val="auto"/>
          <w:kern w:val="0"/>
          <w:sz w:val="24"/>
          <w:highlight w:val="none"/>
        </w:rPr>
        <w:t>由相关部门从其农民工工资保证金中先予划支。</w:t>
      </w:r>
    </w:p>
    <w:p w14:paraId="6A168504">
      <w:pPr>
        <w:tabs>
          <w:tab w:val="left" w:pos="962"/>
        </w:tabs>
        <w:wordWrap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w:t>
      </w:r>
      <w:r>
        <w:rPr>
          <w:rFonts w:ascii="宋体" w:hAnsi="宋体" w:cs="宋体"/>
          <w:color w:val="auto"/>
          <w:kern w:val="0"/>
          <w:sz w:val="24"/>
          <w:highlight w:val="none"/>
        </w:rPr>
        <w:t>.</w:t>
      </w:r>
      <w:r>
        <w:rPr>
          <w:rFonts w:hint="eastAsia" w:ascii="宋体" w:hAnsi="宋体" w:cs="宋体"/>
          <w:color w:val="auto"/>
          <w:kern w:val="0"/>
          <w:sz w:val="24"/>
          <w:highlight w:val="none"/>
        </w:rPr>
        <w:t>如我公司不按时、足额存入农民工工资保证金，采购人有权取消我方承包资格。</w:t>
      </w:r>
    </w:p>
    <w:p w14:paraId="7CF9E22F">
      <w:pPr>
        <w:spacing w:line="480" w:lineRule="auto"/>
        <w:ind w:left="2699"/>
        <w:rPr>
          <w:rFonts w:cs="宋体"/>
          <w:color w:val="auto"/>
          <w:highlight w:val="none"/>
        </w:rPr>
      </w:pPr>
    </w:p>
    <w:p w14:paraId="19672F52">
      <w:pPr>
        <w:spacing w:line="480" w:lineRule="auto"/>
        <w:ind w:left="2699"/>
        <w:rPr>
          <w:color w:val="auto"/>
          <w:sz w:val="24"/>
          <w:highlight w:val="none"/>
        </w:rPr>
      </w:pPr>
      <w:r>
        <w:rPr>
          <w:rFonts w:hint="eastAsia" w:cs="宋体"/>
          <w:color w:val="auto"/>
          <w:sz w:val="24"/>
          <w:highlight w:val="none"/>
        </w:rPr>
        <w:t>供应商：</w:t>
      </w:r>
      <w:r>
        <w:rPr>
          <w:color w:val="auto"/>
          <w:sz w:val="24"/>
          <w:highlight w:val="none"/>
          <w:u w:val="single"/>
        </w:rPr>
        <w:t xml:space="preserve">                      </w:t>
      </w:r>
      <w:r>
        <w:rPr>
          <w:rFonts w:hint="eastAsia" w:cs="宋体"/>
          <w:color w:val="auto"/>
          <w:sz w:val="24"/>
          <w:highlight w:val="none"/>
          <w:u w:val="single"/>
        </w:rPr>
        <w:t>（盖供应商电子签章）</w:t>
      </w:r>
    </w:p>
    <w:p w14:paraId="268F1536">
      <w:pPr>
        <w:spacing w:line="480" w:lineRule="auto"/>
        <w:ind w:left="2699"/>
        <w:rPr>
          <w:color w:val="auto"/>
          <w:sz w:val="24"/>
          <w:highlight w:val="none"/>
        </w:rPr>
      </w:pPr>
      <w:r>
        <w:rPr>
          <w:rFonts w:hint="eastAsia" w:cs="宋体"/>
          <w:color w:val="auto"/>
          <w:sz w:val="24"/>
          <w:highlight w:val="none"/>
        </w:rPr>
        <w:t>法定代表人（或委托代理人）：</w:t>
      </w:r>
      <w:r>
        <w:rPr>
          <w:color w:val="auto"/>
          <w:sz w:val="24"/>
          <w:highlight w:val="none"/>
          <w:u w:val="single"/>
        </w:rPr>
        <w:t xml:space="preserve"> </w:t>
      </w:r>
      <w:r>
        <w:rPr>
          <w:rFonts w:hint="eastAsia"/>
          <w:color w:val="auto"/>
          <w:sz w:val="24"/>
          <w:highlight w:val="none"/>
          <w:u w:val="single"/>
        </w:rPr>
        <w:t>（签字或者电子签名）</w:t>
      </w:r>
    </w:p>
    <w:p w14:paraId="5A2D89D7">
      <w:pPr>
        <w:spacing w:line="500" w:lineRule="exact"/>
        <w:jc w:val="center"/>
        <w:rPr>
          <w:rFonts w:ascii="宋体" w:hAnsi="宋体"/>
          <w:b/>
          <w:color w:val="auto"/>
          <w:sz w:val="24"/>
          <w:highlight w:val="none"/>
        </w:rPr>
      </w:pPr>
      <w:r>
        <w:rPr>
          <w:rFonts w:hint="eastAsia" w:cs="宋体"/>
          <w:color w:val="auto"/>
          <w:sz w:val="24"/>
          <w:highlight w:val="none"/>
        </w:rPr>
        <w:t>日期：</w:t>
      </w:r>
      <w:r>
        <w:rPr>
          <w:color w:val="auto"/>
          <w:sz w:val="24"/>
          <w:highlight w:val="none"/>
          <w:u w:val="single"/>
        </w:rPr>
        <w:t xml:space="preserve">       </w:t>
      </w:r>
      <w:r>
        <w:rPr>
          <w:rFonts w:hint="eastAsia" w:cs="宋体"/>
          <w:color w:val="auto"/>
          <w:sz w:val="24"/>
          <w:highlight w:val="none"/>
        </w:rPr>
        <w:t>年</w:t>
      </w:r>
      <w:r>
        <w:rPr>
          <w:color w:val="auto"/>
          <w:sz w:val="24"/>
          <w:highlight w:val="none"/>
          <w:u w:val="single"/>
        </w:rPr>
        <w:t xml:space="preserve">     </w:t>
      </w:r>
      <w:r>
        <w:rPr>
          <w:rFonts w:hint="eastAsia" w:cs="宋体"/>
          <w:color w:val="auto"/>
          <w:sz w:val="24"/>
          <w:highlight w:val="none"/>
        </w:rPr>
        <w:t>月</w:t>
      </w:r>
      <w:r>
        <w:rPr>
          <w:color w:val="auto"/>
          <w:sz w:val="24"/>
          <w:highlight w:val="none"/>
          <w:u w:val="single"/>
        </w:rPr>
        <w:t xml:space="preserve">     </w:t>
      </w:r>
      <w:r>
        <w:rPr>
          <w:rFonts w:hint="eastAsia" w:cs="宋体"/>
          <w:color w:val="auto"/>
          <w:sz w:val="24"/>
          <w:highlight w:val="none"/>
        </w:rPr>
        <w:t>日</w:t>
      </w:r>
    </w:p>
    <w:p w14:paraId="200DD30D">
      <w:pPr>
        <w:widowControl/>
        <w:jc w:val="left"/>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p>
    <w:p w14:paraId="4D665A4F">
      <w:pPr>
        <w:spacing w:line="50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施工组织设计</w:t>
      </w:r>
    </w:p>
    <w:p w14:paraId="6AA37891">
      <w:pPr>
        <w:spacing w:line="360" w:lineRule="auto"/>
        <w:ind w:firstLine="420" w:firstLineChars="200"/>
        <w:rPr>
          <w:color w:val="auto"/>
          <w:highlight w:val="none"/>
        </w:rPr>
      </w:pPr>
    </w:p>
    <w:p w14:paraId="1C5533C9">
      <w:pPr>
        <w:spacing w:line="360" w:lineRule="auto"/>
        <w:ind w:firstLine="420" w:firstLineChars="200"/>
        <w:rPr>
          <w:rFonts w:cs="宋体"/>
          <w:color w:val="auto"/>
          <w:highlight w:val="none"/>
        </w:rPr>
      </w:pPr>
      <w:r>
        <w:rPr>
          <w:rFonts w:hint="eastAsia"/>
          <w:color w:val="auto"/>
          <w:highlight w:val="none"/>
        </w:rPr>
        <w:t>1.</w:t>
      </w:r>
      <w:r>
        <w:rPr>
          <w:color w:val="auto"/>
          <w:highlight w:val="none"/>
        </w:rPr>
        <w:t xml:space="preserve"> 施工组织</w:t>
      </w:r>
      <w:r>
        <w:rPr>
          <w:rFonts w:hint="eastAsia"/>
          <w:color w:val="auto"/>
          <w:highlight w:val="none"/>
        </w:rPr>
        <w:t>设计按以下内容顺序编制，可</w:t>
      </w:r>
      <w:r>
        <w:rPr>
          <w:rFonts w:hint="eastAsia" w:ascii="宋体" w:hAnsi="宋体"/>
          <w:color w:val="auto"/>
          <w:highlight w:val="none"/>
        </w:rPr>
        <w:t>采用文字并结合图表形式说明施工方法，</w:t>
      </w:r>
      <w:r>
        <w:rPr>
          <w:color w:val="auto"/>
          <w:highlight w:val="none"/>
        </w:rPr>
        <w:t>施工组织</w:t>
      </w:r>
      <w:r>
        <w:rPr>
          <w:rFonts w:hint="eastAsia"/>
          <w:color w:val="auto"/>
          <w:highlight w:val="none"/>
        </w:rPr>
        <w:t>设计具体</w:t>
      </w:r>
      <w:r>
        <w:rPr>
          <w:color w:val="auto"/>
          <w:highlight w:val="none"/>
        </w:rPr>
        <w:t>内容</w:t>
      </w:r>
      <w:r>
        <w:rPr>
          <w:rFonts w:hint="eastAsia" w:cs="宋体"/>
          <w:color w:val="auto"/>
          <w:highlight w:val="none"/>
        </w:rPr>
        <w:t>如下：</w:t>
      </w:r>
    </w:p>
    <w:p w14:paraId="0BB06915">
      <w:pPr>
        <w:spacing w:line="360" w:lineRule="auto"/>
        <w:ind w:firstLine="420" w:firstLineChars="200"/>
        <w:rPr>
          <w:color w:val="auto"/>
          <w:highlight w:val="none"/>
        </w:rPr>
      </w:pPr>
      <w:r>
        <w:rPr>
          <w:rFonts w:hint="eastAsia"/>
          <w:color w:val="auto"/>
          <w:highlight w:val="none"/>
        </w:rPr>
        <w:t>①</w:t>
      </w:r>
      <w:r>
        <w:rPr>
          <w:rFonts w:hint="eastAsia" w:cs="宋体" w:asciiTheme="majorEastAsia" w:hAnsiTheme="majorEastAsia" w:eastAsiaTheme="majorEastAsia"/>
          <w:color w:val="auto"/>
          <w:spacing w:val="-2"/>
          <w:highlight w:val="none"/>
        </w:rPr>
        <w:t>主要</w:t>
      </w:r>
      <w:r>
        <w:rPr>
          <w:rFonts w:hint="eastAsia" w:cs="宋体" w:asciiTheme="majorEastAsia" w:hAnsiTheme="majorEastAsia" w:eastAsiaTheme="majorEastAsia"/>
          <w:color w:val="auto"/>
          <w:spacing w:val="-1"/>
          <w:highlight w:val="none"/>
        </w:rPr>
        <w:t>施工方</w:t>
      </w:r>
      <w:r>
        <w:rPr>
          <w:rFonts w:hint="eastAsia" w:cs="宋体" w:asciiTheme="majorEastAsia" w:hAnsiTheme="majorEastAsia" w:eastAsiaTheme="majorEastAsia"/>
          <w:color w:val="auto"/>
          <w:spacing w:val="7"/>
          <w:highlight w:val="none"/>
        </w:rPr>
        <w:t>法</w:t>
      </w:r>
      <w:r>
        <w:rPr>
          <w:rFonts w:hint="eastAsia"/>
          <w:color w:val="auto"/>
          <w:highlight w:val="none"/>
        </w:rPr>
        <w:t>；</w:t>
      </w:r>
    </w:p>
    <w:p w14:paraId="09BC13EA">
      <w:pPr>
        <w:spacing w:line="360" w:lineRule="auto"/>
        <w:ind w:firstLine="420" w:firstLineChars="200"/>
        <w:rPr>
          <w:color w:val="auto"/>
          <w:highlight w:val="none"/>
        </w:rPr>
      </w:pPr>
      <w:r>
        <w:rPr>
          <w:rFonts w:hint="eastAsia"/>
          <w:color w:val="auto"/>
          <w:highlight w:val="none"/>
        </w:rPr>
        <w:t>②</w:t>
      </w:r>
      <w:r>
        <w:rPr>
          <w:rFonts w:hint="eastAsia" w:ascii="宋体" w:hAnsi="宋体" w:cs="宋体"/>
          <w:color w:val="auto"/>
          <w:kern w:val="0"/>
          <w:highlight w:val="none"/>
        </w:rPr>
        <w:t>拟投入的主要物资计划</w:t>
      </w:r>
      <w:r>
        <w:rPr>
          <w:rFonts w:hint="eastAsia"/>
          <w:color w:val="auto"/>
          <w:highlight w:val="none"/>
        </w:rPr>
        <w:t>；</w:t>
      </w:r>
    </w:p>
    <w:p w14:paraId="0F549DDA">
      <w:pPr>
        <w:spacing w:line="360" w:lineRule="auto"/>
        <w:ind w:firstLine="420" w:firstLineChars="200"/>
        <w:rPr>
          <w:color w:val="auto"/>
          <w:highlight w:val="none"/>
        </w:rPr>
      </w:pPr>
      <w:r>
        <w:rPr>
          <w:rFonts w:hint="eastAsia"/>
          <w:color w:val="auto"/>
          <w:highlight w:val="none"/>
        </w:rPr>
        <w:t>③</w:t>
      </w:r>
      <w:r>
        <w:rPr>
          <w:rFonts w:hint="eastAsia" w:cs="宋体" w:asciiTheme="majorEastAsia" w:hAnsiTheme="majorEastAsia" w:eastAsiaTheme="majorEastAsia"/>
          <w:color w:val="auto"/>
          <w:spacing w:val="-2"/>
          <w:highlight w:val="none"/>
        </w:rPr>
        <w:t>劳动力安排</w:t>
      </w:r>
      <w:r>
        <w:rPr>
          <w:rFonts w:hint="eastAsia" w:cs="宋体" w:asciiTheme="majorEastAsia" w:hAnsiTheme="majorEastAsia" w:eastAsiaTheme="majorEastAsia"/>
          <w:color w:val="auto"/>
          <w:spacing w:val="5"/>
          <w:highlight w:val="none"/>
        </w:rPr>
        <w:t>计划</w:t>
      </w:r>
      <w:r>
        <w:rPr>
          <w:rFonts w:hint="eastAsia"/>
          <w:color w:val="auto"/>
          <w:highlight w:val="none"/>
        </w:rPr>
        <w:t>；</w:t>
      </w:r>
    </w:p>
    <w:p w14:paraId="3C385D42">
      <w:pPr>
        <w:spacing w:line="360" w:lineRule="auto"/>
        <w:ind w:firstLine="420" w:firstLineChars="200"/>
        <w:rPr>
          <w:color w:val="auto"/>
          <w:highlight w:val="none"/>
        </w:rPr>
      </w:pPr>
      <w:r>
        <w:rPr>
          <w:rFonts w:hint="eastAsia"/>
          <w:color w:val="auto"/>
          <w:highlight w:val="none"/>
        </w:rPr>
        <w:t>④</w:t>
      </w:r>
      <w:r>
        <w:rPr>
          <w:rFonts w:hint="eastAsia" w:cs="宋体" w:asciiTheme="majorEastAsia" w:hAnsiTheme="majorEastAsia" w:eastAsiaTheme="majorEastAsia"/>
          <w:color w:val="auto"/>
          <w:spacing w:val="-1"/>
          <w:highlight w:val="none"/>
        </w:rPr>
        <w:t>确保工程质量的技术组</w:t>
      </w:r>
      <w:r>
        <w:rPr>
          <w:rFonts w:hint="eastAsia" w:cs="宋体" w:asciiTheme="majorEastAsia" w:hAnsiTheme="majorEastAsia" w:eastAsiaTheme="majorEastAsia"/>
          <w:color w:val="auto"/>
          <w:spacing w:val="15"/>
          <w:highlight w:val="none"/>
        </w:rPr>
        <w:t>织</w:t>
      </w:r>
      <w:r>
        <w:rPr>
          <w:rFonts w:hint="eastAsia" w:cs="宋体" w:asciiTheme="majorEastAsia" w:hAnsiTheme="majorEastAsia" w:eastAsiaTheme="majorEastAsia"/>
          <w:color w:val="auto"/>
          <w:spacing w:val="14"/>
          <w:highlight w:val="none"/>
        </w:rPr>
        <w:t>措施</w:t>
      </w:r>
      <w:r>
        <w:rPr>
          <w:rFonts w:hint="eastAsia"/>
          <w:color w:val="auto"/>
          <w:highlight w:val="none"/>
        </w:rPr>
        <w:t>；</w:t>
      </w:r>
    </w:p>
    <w:p w14:paraId="595E7522">
      <w:pPr>
        <w:spacing w:line="360" w:lineRule="auto"/>
        <w:ind w:firstLine="420" w:firstLineChars="200"/>
        <w:rPr>
          <w:color w:val="auto"/>
          <w:highlight w:val="none"/>
        </w:rPr>
      </w:pPr>
      <w:r>
        <w:rPr>
          <w:rFonts w:hint="eastAsia"/>
          <w:color w:val="auto"/>
          <w:highlight w:val="none"/>
        </w:rPr>
        <w:t>⑤</w:t>
      </w:r>
      <w:r>
        <w:rPr>
          <w:rFonts w:hint="eastAsia" w:cs="宋体" w:asciiTheme="majorEastAsia" w:hAnsiTheme="majorEastAsia" w:eastAsiaTheme="majorEastAsia"/>
          <w:color w:val="auto"/>
          <w:spacing w:val="-1"/>
          <w:highlight w:val="none"/>
        </w:rPr>
        <w:t>确保安全生产的技术组</w:t>
      </w:r>
      <w:r>
        <w:rPr>
          <w:rFonts w:hint="eastAsia" w:cs="宋体" w:asciiTheme="majorEastAsia" w:hAnsiTheme="majorEastAsia" w:eastAsiaTheme="majorEastAsia"/>
          <w:color w:val="auto"/>
          <w:spacing w:val="15"/>
          <w:highlight w:val="none"/>
        </w:rPr>
        <w:t>织</w:t>
      </w:r>
      <w:r>
        <w:rPr>
          <w:rFonts w:hint="eastAsia" w:cs="宋体" w:asciiTheme="majorEastAsia" w:hAnsiTheme="majorEastAsia" w:eastAsiaTheme="majorEastAsia"/>
          <w:color w:val="auto"/>
          <w:spacing w:val="14"/>
          <w:highlight w:val="none"/>
        </w:rPr>
        <w:t>措施</w:t>
      </w:r>
      <w:r>
        <w:rPr>
          <w:rFonts w:hint="eastAsia"/>
          <w:color w:val="auto"/>
          <w:highlight w:val="none"/>
        </w:rPr>
        <w:t>；</w:t>
      </w:r>
    </w:p>
    <w:p w14:paraId="17C0701F">
      <w:pPr>
        <w:spacing w:line="360" w:lineRule="auto"/>
        <w:ind w:firstLine="420" w:firstLineChars="200"/>
        <w:rPr>
          <w:color w:val="auto"/>
          <w:highlight w:val="none"/>
        </w:rPr>
      </w:pPr>
      <w:r>
        <w:rPr>
          <w:rFonts w:hint="eastAsia"/>
          <w:color w:val="auto"/>
          <w:highlight w:val="none"/>
        </w:rPr>
        <w:t>⑥</w:t>
      </w:r>
      <w:r>
        <w:rPr>
          <w:rFonts w:hint="eastAsia" w:cs="宋体" w:asciiTheme="majorEastAsia" w:hAnsiTheme="majorEastAsia" w:eastAsiaTheme="majorEastAsia"/>
          <w:color w:val="auto"/>
          <w:spacing w:val="-1"/>
          <w:highlight w:val="none"/>
        </w:rPr>
        <w:t>确保工期的技术组织</w:t>
      </w:r>
      <w:r>
        <w:rPr>
          <w:rFonts w:hint="eastAsia" w:cs="宋体" w:asciiTheme="majorEastAsia" w:hAnsiTheme="majorEastAsia" w:eastAsiaTheme="majorEastAsia"/>
          <w:color w:val="auto"/>
          <w:highlight w:val="none"/>
        </w:rPr>
        <w:t>措</w:t>
      </w:r>
      <w:r>
        <w:rPr>
          <w:rFonts w:hint="eastAsia" w:cs="宋体" w:asciiTheme="majorEastAsia" w:hAnsiTheme="majorEastAsia" w:eastAsiaTheme="majorEastAsia"/>
          <w:color w:val="auto"/>
          <w:spacing w:val="7"/>
          <w:highlight w:val="none"/>
        </w:rPr>
        <w:t>施</w:t>
      </w:r>
      <w:r>
        <w:rPr>
          <w:rFonts w:hint="eastAsia"/>
          <w:color w:val="auto"/>
          <w:highlight w:val="none"/>
        </w:rPr>
        <w:t>；</w:t>
      </w:r>
    </w:p>
    <w:p w14:paraId="4C9A15C6">
      <w:pPr>
        <w:spacing w:line="360" w:lineRule="auto"/>
        <w:ind w:firstLine="420" w:firstLineChars="200"/>
        <w:rPr>
          <w:color w:val="auto"/>
          <w:highlight w:val="none"/>
        </w:rPr>
      </w:pPr>
      <w:r>
        <w:rPr>
          <w:rFonts w:hint="eastAsia"/>
          <w:color w:val="auto"/>
          <w:highlight w:val="none"/>
        </w:rPr>
        <w:t>⑦</w:t>
      </w:r>
      <w:r>
        <w:rPr>
          <w:rFonts w:hint="eastAsia" w:cs="宋体" w:asciiTheme="minorEastAsia" w:hAnsiTheme="minorEastAsia" w:eastAsiaTheme="minorEastAsia"/>
          <w:bCs/>
          <w:color w:val="auto"/>
          <w:szCs w:val="21"/>
          <w:highlight w:val="none"/>
        </w:rPr>
        <w:t>关键施工技术、工艺及工程实施的重点、难点和解决方案</w:t>
      </w:r>
      <w:r>
        <w:rPr>
          <w:rFonts w:hint="eastAsia"/>
          <w:color w:val="auto"/>
          <w:highlight w:val="none"/>
        </w:rPr>
        <w:t>。</w:t>
      </w:r>
    </w:p>
    <w:p w14:paraId="4E4235D4">
      <w:pPr>
        <w:spacing w:line="360" w:lineRule="auto"/>
        <w:ind w:firstLine="420" w:firstLineChars="200"/>
        <w:rPr>
          <w:color w:val="auto"/>
          <w:highlight w:val="none"/>
        </w:rPr>
      </w:pPr>
    </w:p>
    <w:p w14:paraId="5D17EB3E">
      <w:pPr>
        <w:spacing w:line="360" w:lineRule="auto"/>
        <w:ind w:firstLine="420" w:firstLineChars="200"/>
        <w:rPr>
          <w:color w:val="auto"/>
          <w:highlight w:val="none"/>
        </w:rPr>
      </w:pPr>
    </w:p>
    <w:p w14:paraId="79A89292">
      <w:pPr>
        <w:spacing w:line="360" w:lineRule="auto"/>
        <w:ind w:firstLine="420" w:firstLineChars="200"/>
        <w:rPr>
          <w:color w:val="auto"/>
          <w:highlight w:val="none"/>
        </w:rPr>
      </w:pPr>
      <w:r>
        <w:rPr>
          <w:rFonts w:hint="eastAsia"/>
          <w:color w:val="auto"/>
          <w:highlight w:val="none"/>
        </w:rPr>
        <w:t>2. 技术标</w:t>
      </w:r>
      <w:r>
        <w:rPr>
          <w:color w:val="auto"/>
          <w:highlight w:val="none"/>
        </w:rPr>
        <w:t>施工组织</w:t>
      </w:r>
      <w:r>
        <w:rPr>
          <w:rFonts w:hint="eastAsia"/>
          <w:color w:val="auto"/>
          <w:highlight w:val="none"/>
        </w:rPr>
        <w:t>设计除采用文字表述外可附下列图表，图表及格式要求附后。</w:t>
      </w:r>
    </w:p>
    <w:p w14:paraId="530BDE34">
      <w:pPr>
        <w:spacing w:line="360" w:lineRule="auto"/>
        <w:ind w:firstLine="420" w:firstLineChars="200"/>
        <w:rPr>
          <w:color w:val="auto"/>
          <w:highlight w:val="none"/>
        </w:rPr>
      </w:pPr>
      <w:r>
        <w:rPr>
          <w:rFonts w:hint="eastAsia"/>
          <w:color w:val="auto"/>
          <w:highlight w:val="none"/>
        </w:rPr>
        <w:t>附表一</w:t>
      </w:r>
      <w:r>
        <w:rPr>
          <w:color w:val="auto"/>
          <w:highlight w:val="none"/>
        </w:rPr>
        <w:t xml:space="preserve">  </w:t>
      </w:r>
      <w:r>
        <w:rPr>
          <w:rFonts w:hint="eastAsia"/>
          <w:color w:val="auto"/>
          <w:highlight w:val="none"/>
        </w:rPr>
        <w:t>劳动力计划表</w:t>
      </w:r>
    </w:p>
    <w:p w14:paraId="095851C7">
      <w:pPr>
        <w:spacing w:line="360" w:lineRule="auto"/>
        <w:ind w:firstLine="420" w:firstLineChars="200"/>
        <w:rPr>
          <w:color w:val="auto"/>
          <w:highlight w:val="none"/>
        </w:rPr>
      </w:pPr>
      <w:r>
        <w:rPr>
          <w:rFonts w:hint="eastAsia"/>
          <w:color w:val="auto"/>
          <w:highlight w:val="none"/>
        </w:rPr>
        <w:t>附表二</w:t>
      </w:r>
      <w:r>
        <w:rPr>
          <w:color w:val="auto"/>
          <w:highlight w:val="none"/>
        </w:rPr>
        <w:t xml:space="preserve">  </w:t>
      </w:r>
      <w:r>
        <w:rPr>
          <w:rFonts w:hint="eastAsia"/>
          <w:color w:val="auto"/>
          <w:highlight w:val="none"/>
        </w:rPr>
        <w:t>计划开、竣工日期和施工进度计划（网络图或横道图）</w:t>
      </w:r>
    </w:p>
    <w:p w14:paraId="1C45ED74">
      <w:pPr>
        <w:spacing w:line="360" w:lineRule="auto"/>
        <w:ind w:firstLine="420" w:firstLineChars="200"/>
        <w:rPr>
          <w:color w:val="auto"/>
          <w:highlight w:val="none"/>
        </w:rPr>
      </w:pPr>
      <w:r>
        <w:rPr>
          <w:rFonts w:hint="eastAsia"/>
          <w:color w:val="auto"/>
          <w:highlight w:val="none"/>
        </w:rPr>
        <w:t>附表三</w:t>
      </w:r>
      <w:r>
        <w:rPr>
          <w:color w:val="auto"/>
          <w:highlight w:val="none"/>
        </w:rPr>
        <w:t xml:space="preserve">  </w:t>
      </w:r>
      <w:r>
        <w:rPr>
          <w:rFonts w:hint="eastAsia"/>
          <w:color w:val="auto"/>
          <w:highlight w:val="none"/>
        </w:rPr>
        <w:t>施工总平面图</w:t>
      </w:r>
    </w:p>
    <w:p w14:paraId="41B32A6C">
      <w:pPr>
        <w:spacing w:line="360" w:lineRule="auto"/>
        <w:ind w:firstLine="420" w:firstLineChars="200"/>
        <w:rPr>
          <w:color w:val="auto"/>
          <w:highlight w:val="none"/>
        </w:rPr>
      </w:pPr>
      <w:r>
        <w:rPr>
          <w:rFonts w:hint="eastAsia"/>
          <w:color w:val="auto"/>
          <w:highlight w:val="none"/>
        </w:rPr>
        <w:t>附表四</w:t>
      </w:r>
      <w:r>
        <w:rPr>
          <w:color w:val="auto"/>
          <w:highlight w:val="none"/>
        </w:rPr>
        <w:t xml:space="preserve">  </w:t>
      </w:r>
      <w:r>
        <w:rPr>
          <w:rFonts w:hint="eastAsia"/>
          <w:color w:val="auto"/>
          <w:highlight w:val="none"/>
        </w:rPr>
        <w:t>临时用地表</w:t>
      </w:r>
    </w:p>
    <w:p w14:paraId="116F3C51">
      <w:pPr>
        <w:spacing w:line="360" w:lineRule="auto"/>
        <w:ind w:firstLine="420" w:firstLineChars="200"/>
        <w:rPr>
          <w:color w:val="auto"/>
          <w:highlight w:val="none"/>
        </w:rPr>
      </w:pPr>
    </w:p>
    <w:p w14:paraId="7369A30C">
      <w:pPr>
        <w:rPr>
          <w:color w:val="auto"/>
          <w:highlight w:val="none"/>
        </w:rPr>
      </w:pPr>
      <w:r>
        <w:rPr>
          <w:rFonts w:hint="eastAsia" w:cs="宋体"/>
          <w:color w:val="auto"/>
          <w:highlight w:val="none"/>
        </w:rPr>
        <w:t>附表一：劳动力计划表</w:t>
      </w:r>
    </w:p>
    <w:p w14:paraId="36A10955">
      <w:pPr>
        <w:ind w:firstLine="7245" w:firstLineChars="3450"/>
        <w:rPr>
          <w:color w:val="auto"/>
          <w:highlight w:val="none"/>
        </w:rPr>
      </w:pPr>
      <w:r>
        <w:rPr>
          <w:color w:val="auto"/>
          <w:highlight w:val="none"/>
        </w:rPr>
        <w:t xml:space="preserve">    </w:t>
      </w:r>
      <w:r>
        <w:rPr>
          <w:rFonts w:hint="eastAsia" w:cs="宋体"/>
          <w:color w:val="auto"/>
          <w:highlight w:val="none"/>
        </w:rPr>
        <w:t>单位：人</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961"/>
        <w:gridCol w:w="1257"/>
        <w:gridCol w:w="1257"/>
        <w:gridCol w:w="1258"/>
        <w:gridCol w:w="1257"/>
        <w:gridCol w:w="1258"/>
      </w:tblGrid>
      <w:tr w14:paraId="5FBE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5AEFD306">
            <w:pPr>
              <w:keepNext w:val="0"/>
              <w:keepLines w:val="0"/>
              <w:suppressLineNumbers w:val="0"/>
              <w:spacing w:before="0" w:beforeAutospacing="0" w:after="0" w:afterAutospacing="0" w:line="360" w:lineRule="auto"/>
              <w:ind w:left="0" w:right="0"/>
              <w:jc w:val="center"/>
              <w:rPr>
                <w:rFonts w:hint="default"/>
                <w:color w:val="auto"/>
                <w:highlight w:val="none"/>
              </w:rPr>
            </w:pPr>
            <w:r>
              <w:rPr>
                <w:rFonts w:hint="eastAsia" w:cs="宋体"/>
                <w:color w:val="auto"/>
                <w:highlight w:val="none"/>
              </w:rPr>
              <w:t>工种</w:t>
            </w:r>
          </w:p>
        </w:tc>
        <w:tc>
          <w:tcPr>
            <w:tcW w:w="7248" w:type="dxa"/>
            <w:gridSpan w:val="6"/>
            <w:vAlign w:val="center"/>
          </w:tcPr>
          <w:p w14:paraId="3D7F8285">
            <w:pPr>
              <w:keepNext w:val="0"/>
              <w:keepLines w:val="0"/>
              <w:suppressLineNumbers w:val="0"/>
              <w:spacing w:before="0" w:beforeAutospacing="0" w:after="0" w:afterAutospacing="0" w:line="360" w:lineRule="auto"/>
              <w:ind w:left="0" w:right="0"/>
              <w:jc w:val="center"/>
              <w:rPr>
                <w:rFonts w:hint="default"/>
                <w:color w:val="auto"/>
                <w:highlight w:val="none"/>
              </w:rPr>
            </w:pPr>
            <w:r>
              <w:rPr>
                <w:rFonts w:hint="eastAsia" w:cs="宋体"/>
                <w:color w:val="auto"/>
                <w:highlight w:val="none"/>
              </w:rPr>
              <w:t>按工程施工阶段投入劳动力情况</w:t>
            </w:r>
          </w:p>
        </w:tc>
      </w:tr>
      <w:tr w14:paraId="0F642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3A97EEAC">
            <w:pPr>
              <w:keepNext w:val="0"/>
              <w:keepLines w:val="0"/>
              <w:suppressLineNumbers w:val="0"/>
              <w:spacing w:before="0" w:beforeAutospacing="0" w:after="0" w:afterAutospacing="0" w:line="360" w:lineRule="auto"/>
              <w:ind w:left="0" w:right="0"/>
              <w:jc w:val="center"/>
              <w:rPr>
                <w:rFonts w:hint="default"/>
                <w:color w:val="auto"/>
                <w:highlight w:val="none"/>
              </w:rPr>
            </w:pPr>
          </w:p>
        </w:tc>
        <w:tc>
          <w:tcPr>
            <w:tcW w:w="961" w:type="dxa"/>
            <w:vAlign w:val="center"/>
          </w:tcPr>
          <w:p w14:paraId="71AC211C">
            <w:pPr>
              <w:keepNext w:val="0"/>
              <w:keepLines w:val="0"/>
              <w:suppressLineNumbers w:val="0"/>
              <w:spacing w:before="0" w:beforeAutospacing="0" w:after="0" w:afterAutospacing="0" w:line="360" w:lineRule="auto"/>
              <w:ind w:left="0" w:right="0"/>
              <w:jc w:val="center"/>
              <w:rPr>
                <w:rFonts w:hint="default"/>
                <w:color w:val="auto"/>
                <w:highlight w:val="none"/>
              </w:rPr>
            </w:pPr>
          </w:p>
        </w:tc>
        <w:tc>
          <w:tcPr>
            <w:tcW w:w="1257" w:type="dxa"/>
            <w:vAlign w:val="center"/>
          </w:tcPr>
          <w:p w14:paraId="737F2D33">
            <w:pPr>
              <w:keepNext w:val="0"/>
              <w:keepLines w:val="0"/>
              <w:suppressLineNumbers w:val="0"/>
              <w:spacing w:before="0" w:beforeAutospacing="0" w:after="0" w:afterAutospacing="0" w:line="360" w:lineRule="auto"/>
              <w:ind w:left="0" w:right="0"/>
              <w:jc w:val="center"/>
              <w:rPr>
                <w:rFonts w:hint="default"/>
                <w:color w:val="auto"/>
                <w:highlight w:val="none"/>
              </w:rPr>
            </w:pPr>
          </w:p>
        </w:tc>
        <w:tc>
          <w:tcPr>
            <w:tcW w:w="1257" w:type="dxa"/>
            <w:vAlign w:val="center"/>
          </w:tcPr>
          <w:p w14:paraId="70F5EB72">
            <w:pPr>
              <w:keepNext w:val="0"/>
              <w:keepLines w:val="0"/>
              <w:suppressLineNumbers w:val="0"/>
              <w:spacing w:before="0" w:beforeAutospacing="0" w:after="0" w:afterAutospacing="0" w:line="360" w:lineRule="auto"/>
              <w:ind w:left="0" w:right="0"/>
              <w:jc w:val="center"/>
              <w:rPr>
                <w:rFonts w:hint="default"/>
                <w:color w:val="auto"/>
                <w:highlight w:val="none"/>
              </w:rPr>
            </w:pPr>
          </w:p>
        </w:tc>
        <w:tc>
          <w:tcPr>
            <w:tcW w:w="1258" w:type="dxa"/>
            <w:vAlign w:val="center"/>
          </w:tcPr>
          <w:p w14:paraId="2556603D">
            <w:pPr>
              <w:keepNext w:val="0"/>
              <w:keepLines w:val="0"/>
              <w:suppressLineNumbers w:val="0"/>
              <w:spacing w:before="0" w:beforeAutospacing="0" w:after="0" w:afterAutospacing="0" w:line="360" w:lineRule="auto"/>
              <w:ind w:left="0" w:right="0"/>
              <w:jc w:val="center"/>
              <w:rPr>
                <w:rFonts w:hint="default"/>
                <w:color w:val="auto"/>
                <w:highlight w:val="none"/>
              </w:rPr>
            </w:pPr>
          </w:p>
        </w:tc>
        <w:tc>
          <w:tcPr>
            <w:tcW w:w="1257" w:type="dxa"/>
            <w:vAlign w:val="center"/>
          </w:tcPr>
          <w:p w14:paraId="7DB6C652">
            <w:pPr>
              <w:keepNext w:val="0"/>
              <w:keepLines w:val="0"/>
              <w:suppressLineNumbers w:val="0"/>
              <w:spacing w:before="0" w:beforeAutospacing="0" w:after="0" w:afterAutospacing="0" w:line="360" w:lineRule="auto"/>
              <w:ind w:left="0" w:right="0"/>
              <w:jc w:val="center"/>
              <w:rPr>
                <w:rFonts w:hint="default"/>
                <w:color w:val="auto"/>
                <w:highlight w:val="none"/>
              </w:rPr>
            </w:pPr>
          </w:p>
        </w:tc>
        <w:tc>
          <w:tcPr>
            <w:tcW w:w="1258" w:type="dxa"/>
            <w:vAlign w:val="center"/>
          </w:tcPr>
          <w:p w14:paraId="67E32089">
            <w:pPr>
              <w:keepNext w:val="0"/>
              <w:keepLines w:val="0"/>
              <w:suppressLineNumbers w:val="0"/>
              <w:spacing w:before="0" w:beforeAutospacing="0" w:after="0" w:afterAutospacing="0" w:line="360" w:lineRule="auto"/>
              <w:ind w:left="0" w:right="0"/>
              <w:jc w:val="center"/>
              <w:rPr>
                <w:rFonts w:hint="default"/>
                <w:color w:val="auto"/>
                <w:highlight w:val="none"/>
              </w:rPr>
            </w:pPr>
          </w:p>
        </w:tc>
      </w:tr>
      <w:tr w14:paraId="7B43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10025145">
            <w:pPr>
              <w:keepNext w:val="0"/>
              <w:keepLines w:val="0"/>
              <w:suppressLineNumbers w:val="0"/>
              <w:spacing w:before="0" w:beforeAutospacing="0" w:after="0" w:afterAutospacing="0" w:line="360" w:lineRule="auto"/>
              <w:ind w:left="0" w:right="0"/>
              <w:jc w:val="center"/>
              <w:rPr>
                <w:rFonts w:hint="default"/>
                <w:color w:val="auto"/>
                <w:highlight w:val="none"/>
              </w:rPr>
            </w:pPr>
          </w:p>
        </w:tc>
        <w:tc>
          <w:tcPr>
            <w:tcW w:w="961" w:type="dxa"/>
            <w:vAlign w:val="center"/>
          </w:tcPr>
          <w:p w14:paraId="43F487E0">
            <w:pPr>
              <w:keepNext w:val="0"/>
              <w:keepLines w:val="0"/>
              <w:suppressLineNumbers w:val="0"/>
              <w:spacing w:before="0" w:beforeAutospacing="0" w:after="0" w:afterAutospacing="0" w:line="360" w:lineRule="auto"/>
              <w:ind w:left="0" w:right="0"/>
              <w:jc w:val="center"/>
              <w:rPr>
                <w:rFonts w:hint="default"/>
                <w:color w:val="auto"/>
                <w:highlight w:val="none"/>
              </w:rPr>
            </w:pPr>
          </w:p>
        </w:tc>
        <w:tc>
          <w:tcPr>
            <w:tcW w:w="1257" w:type="dxa"/>
            <w:vAlign w:val="center"/>
          </w:tcPr>
          <w:p w14:paraId="170D84FA">
            <w:pPr>
              <w:keepNext w:val="0"/>
              <w:keepLines w:val="0"/>
              <w:suppressLineNumbers w:val="0"/>
              <w:spacing w:before="0" w:beforeAutospacing="0" w:after="0" w:afterAutospacing="0" w:line="360" w:lineRule="auto"/>
              <w:ind w:left="0" w:right="0"/>
              <w:jc w:val="center"/>
              <w:rPr>
                <w:rFonts w:hint="default"/>
                <w:color w:val="auto"/>
                <w:highlight w:val="none"/>
              </w:rPr>
            </w:pPr>
          </w:p>
        </w:tc>
        <w:tc>
          <w:tcPr>
            <w:tcW w:w="1257" w:type="dxa"/>
            <w:vAlign w:val="center"/>
          </w:tcPr>
          <w:p w14:paraId="7CB3342C">
            <w:pPr>
              <w:keepNext w:val="0"/>
              <w:keepLines w:val="0"/>
              <w:suppressLineNumbers w:val="0"/>
              <w:spacing w:before="0" w:beforeAutospacing="0" w:after="0" w:afterAutospacing="0" w:line="360" w:lineRule="auto"/>
              <w:ind w:left="0" w:right="0"/>
              <w:jc w:val="center"/>
              <w:rPr>
                <w:rFonts w:hint="default"/>
                <w:color w:val="auto"/>
                <w:highlight w:val="none"/>
              </w:rPr>
            </w:pPr>
          </w:p>
        </w:tc>
        <w:tc>
          <w:tcPr>
            <w:tcW w:w="1258" w:type="dxa"/>
            <w:vAlign w:val="center"/>
          </w:tcPr>
          <w:p w14:paraId="01E57586">
            <w:pPr>
              <w:keepNext w:val="0"/>
              <w:keepLines w:val="0"/>
              <w:suppressLineNumbers w:val="0"/>
              <w:spacing w:before="0" w:beforeAutospacing="0" w:after="0" w:afterAutospacing="0" w:line="360" w:lineRule="auto"/>
              <w:ind w:left="0" w:right="0"/>
              <w:jc w:val="center"/>
              <w:rPr>
                <w:rFonts w:hint="default"/>
                <w:color w:val="auto"/>
                <w:highlight w:val="none"/>
              </w:rPr>
            </w:pPr>
          </w:p>
        </w:tc>
        <w:tc>
          <w:tcPr>
            <w:tcW w:w="1257" w:type="dxa"/>
            <w:vAlign w:val="center"/>
          </w:tcPr>
          <w:p w14:paraId="5ADA3AC5">
            <w:pPr>
              <w:keepNext w:val="0"/>
              <w:keepLines w:val="0"/>
              <w:suppressLineNumbers w:val="0"/>
              <w:spacing w:before="0" w:beforeAutospacing="0" w:after="0" w:afterAutospacing="0" w:line="360" w:lineRule="auto"/>
              <w:ind w:left="0" w:right="0"/>
              <w:jc w:val="center"/>
              <w:rPr>
                <w:rFonts w:hint="default"/>
                <w:color w:val="auto"/>
                <w:highlight w:val="none"/>
              </w:rPr>
            </w:pPr>
          </w:p>
        </w:tc>
        <w:tc>
          <w:tcPr>
            <w:tcW w:w="1258" w:type="dxa"/>
            <w:vAlign w:val="center"/>
          </w:tcPr>
          <w:p w14:paraId="010D6E0A">
            <w:pPr>
              <w:keepNext w:val="0"/>
              <w:keepLines w:val="0"/>
              <w:suppressLineNumbers w:val="0"/>
              <w:spacing w:before="0" w:beforeAutospacing="0" w:after="0" w:afterAutospacing="0" w:line="360" w:lineRule="auto"/>
              <w:ind w:left="0" w:right="0"/>
              <w:jc w:val="center"/>
              <w:rPr>
                <w:rFonts w:hint="default"/>
                <w:color w:val="auto"/>
                <w:highlight w:val="none"/>
              </w:rPr>
            </w:pPr>
          </w:p>
        </w:tc>
      </w:tr>
      <w:tr w14:paraId="31D16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5BC63ABF">
            <w:pPr>
              <w:keepNext w:val="0"/>
              <w:keepLines w:val="0"/>
              <w:suppressLineNumbers w:val="0"/>
              <w:spacing w:before="0" w:beforeAutospacing="0" w:after="0" w:afterAutospacing="0" w:line="360" w:lineRule="auto"/>
              <w:ind w:left="0" w:right="0"/>
              <w:jc w:val="center"/>
              <w:rPr>
                <w:rFonts w:hint="default"/>
                <w:color w:val="auto"/>
                <w:highlight w:val="none"/>
              </w:rPr>
            </w:pPr>
          </w:p>
        </w:tc>
        <w:tc>
          <w:tcPr>
            <w:tcW w:w="961" w:type="dxa"/>
            <w:vAlign w:val="center"/>
          </w:tcPr>
          <w:p w14:paraId="5EC8A18E">
            <w:pPr>
              <w:keepNext w:val="0"/>
              <w:keepLines w:val="0"/>
              <w:suppressLineNumbers w:val="0"/>
              <w:spacing w:before="0" w:beforeAutospacing="0" w:after="0" w:afterAutospacing="0" w:line="360" w:lineRule="auto"/>
              <w:ind w:left="0" w:right="0"/>
              <w:jc w:val="center"/>
              <w:rPr>
                <w:rFonts w:hint="default"/>
                <w:color w:val="auto"/>
                <w:highlight w:val="none"/>
              </w:rPr>
            </w:pPr>
          </w:p>
        </w:tc>
        <w:tc>
          <w:tcPr>
            <w:tcW w:w="1257" w:type="dxa"/>
            <w:vAlign w:val="center"/>
          </w:tcPr>
          <w:p w14:paraId="51EA9B34">
            <w:pPr>
              <w:keepNext w:val="0"/>
              <w:keepLines w:val="0"/>
              <w:suppressLineNumbers w:val="0"/>
              <w:spacing w:before="0" w:beforeAutospacing="0" w:after="0" w:afterAutospacing="0" w:line="360" w:lineRule="auto"/>
              <w:ind w:left="0" w:right="0"/>
              <w:jc w:val="center"/>
              <w:rPr>
                <w:rFonts w:hint="default"/>
                <w:color w:val="auto"/>
                <w:highlight w:val="none"/>
              </w:rPr>
            </w:pPr>
          </w:p>
        </w:tc>
        <w:tc>
          <w:tcPr>
            <w:tcW w:w="1257" w:type="dxa"/>
            <w:vAlign w:val="center"/>
          </w:tcPr>
          <w:p w14:paraId="3050F2D5">
            <w:pPr>
              <w:keepNext w:val="0"/>
              <w:keepLines w:val="0"/>
              <w:suppressLineNumbers w:val="0"/>
              <w:spacing w:before="0" w:beforeAutospacing="0" w:after="0" w:afterAutospacing="0" w:line="360" w:lineRule="auto"/>
              <w:ind w:left="0" w:right="0"/>
              <w:jc w:val="center"/>
              <w:rPr>
                <w:rFonts w:hint="default"/>
                <w:color w:val="auto"/>
                <w:highlight w:val="none"/>
              </w:rPr>
            </w:pPr>
          </w:p>
        </w:tc>
        <w:tc>
          <w:tcPr>
            <w:tcW w:w="1258" w:type="dxa"/>
            <w:vAlign w:val="center"/>
          </w:tcPr>
          <w:p w14:paraId="2C80A029">
            <w:pPr>
              <w:keepNext w:val="0"/>
              <w:keepLines w:val="0"/>
              <w:suppressLineNumbers w:val="0"/>
              <w:spacing w:before="0" w:beforeAutospacing="0" w:after="0" w:afterAutospacing="0" w:line="360" w:lineRule="auto"/>
              <w:ind w:left="0" w:right="0"/>
              <w:jc w:val="center"/>
              <w:rPr>
                <w:rFonts w:hint="default"/>
                <w:color w:val="auto"/>
                <w:highlight w:val="none"/>
              </w:rPr>
            </w:pPr>
          </w:p>
        </w:tc>
        <w:tc>
          <w:tcPr>
            <w:tcW w:w="1257" w:type="dxa"/>
            <w:vAlign w:val="center"/>
          </w:tcPr>
          <w:p w14:paraId="5D8D0302">
            <w:pPr>
              <w:keepNext w:val="0"/>
              <w:keepLines w:val="0"/>
              <w:suppressLineNumbers w:val="0"/>
              <w:spacing w:before="0" w:beforeAutospacing="0" w:after="0" w:afterAutospacing="0" w:line="360" w:lineRule="auto"/>
              <w:ind w:left="0" w:right="0"/>
              <w:jc w:val="center"/>
              <w:rPr>
                <w:rFonts w:hint="default"/>
                <w:color w:val="auto"/>
                <w:highlight w:val="none"/>
              </w:rPr>
            </w:pPr>
          </w:p>
        </w:tc>
        <w:tc>
          <w:tcPr>
            <w:tcW w:w="1258" w:type="dxa"/>
            <w:vAlign w:val="center"/>
          </w:tcPr>
          <w:p w14:paraId="05B953D3">
            <w:pPr>
              <w:keepNext w:val="0"/>
              <w:keepLines w:val="0"/>
              <w:suppressLineNumbers w:val="0"/>
              <w:spacing w:before="0" w:beforeAutospacing="0" w:after="0" w:afterAutospacing="0" w:line="360" w:lineRule="auto"/>
              <w:ind w:left="0" w:right="0"/>
              <w:jc w:val="center"/>
              <w:rPr>
                <w:rFonts w:hint="default"/>
                <w:color w:val="auto"/>
                <w:highlight w:val="none"/>
              </w:rPr>
            </w:pPr>
          </w:p>
        </w:tc>
      </w:tr>
      <w:tr w14:paraId="2B1AB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4A99CA40">
            <w:pPr>
              <w:keepNext w:val="0"/>
              <w:keepLines w:val="0"/>
              <w:suppressLineNumbers w:val="0"/>
              <w:spacing w:before="0" w:beforeAutospacing="0" w:after="0" w:afterAutospacing="0" w:line="360" w:lineRule="auto"/>
              <w:ind w:left="0" w:right="0"/>
              <w:jc w:val="center"/>
              <w:rPr>
                <w:rFonts w:hint="default"/>
                <w:color w:val="auto"/>
                <w:highlight w:val="none"/>
              </w:rPr>
            </w:pPr>
          </w:p>
        </w:tc>
        <w:tc>
          <w:tcPr>
            <w:tcW w:w="961" w:type="dxa"/>
            <w:vAlign w:val="center"/>
          </w:tcPr>
          <w:p w14:paraId="08F0C3A8">
            <w:pPr>
              <w:keepNext w:val="0"/>
              <w:keepLines w:val="0"/>
              <w:suppressLineNumbers w:val="0"/>
              <w:spacing w:before="0" w:beforeAutospacing="0" w:after="0" w:afterAutospacing="0" w:line="360" w:lineRule="auto"/>
              <w:ind w:left="0" w:right="0"/>
              <w:jc w:val="center"/>
              <w:rPr>
                <w:rFonts w:hint="default"/>
                <w:color w:val="auto"/>
                <w:highlight w:val="none"/>
              </w:rPr>
            </w:pPr>
          </w:p>
        </w:tc>
        <w:tc>
          <w:tcPr>
            <w:tcW w:w="1257" w:type="dxa"/>
            <w:vAlign w:val="center"/>
          </w:tcPr>
          <w:p w14:paraId="178EC5AC">
            <w:pPr>
              <w:keepNext w:val="0"/>
              <w:keepLines w:val="0"/>
              <w:suppressLineNumbers w:val="0"/>
              <w:spacing w:before="0" w:beforeAutospacing="0" w:after="0" w:afterAutospacing="0" w:line="360" w:lineRule="auto"/>
              <w:ind w:left="0" w:right="0"/>
              <w:jc w:val="center"/>
              <w:rPr>
                <w:rFonts w:hint="default"/>
                <w:color w:val="auto"/>
                <w:highlight w:val="none"/>
              </w:rPr>
            </w:pPr>
          </w:p>
        </w:tc>
        <w:tc>
          <w:tcPr>
            <w:tcW w:w="1257" w:type="dxa"/>
            <w:vAlign w:val="center"/>
          </w:tcPr>
          <w:p w14:paraId="5B420F74">
            <w:pPr>
              <w:keepNext w:val="0"/>
              <w:keepLines w:val="0"/>
              <w:suppressLineNumbers w:val="0"/>
              <w:spacing w:before="0" w:beforeAutospacing="0" w:after="0" w:afterAutospacing="0" w:line="360" w:lineRule="auto"/>
              <w:ind w:left="0" w:right="0"/>
              <w:jc w:val="center"/>
              <w:rPr>
                <w:rFonts w:hint="default"/>
                <w:color w:val="auto"/>
                <w:highlight w:val="none"/>
              </w:rPr>
            </w:pPr>
          </w:p>
        </w:tc>
        <w:tc>
          <w:tcPr>
            <w:tcW w:w="1258" w:type="dxa"/>
            <w:vAlign w:val="center"/>
          </w:tcPr>
          <w:p w14:paraId="1057C948">
            <w:pPr>
              <w:keepNext w:val="0"/>
              <w:keepLines w:val="0"/>
              <w:suppressLineNumbers w:val="0"/>
              <w:spacing w:before="0" w:beforeAutospacing="0" w:after="0" w:afterAutospacing="0" w:line="360" w:lineRule="auto"/>
              <w:ind w:left="0" w:right="0"/>
              <w:jc w:val="center"/>
              <w:rPr>
                <w:rFonts w:hint="default"/>
                <w:color w:val="auto"/>
                <w:highlight w:val="none"/>
              </w:rPr>
            </w:pPr>
          </w:p>
        </w:tc>
        <w:tc>
          <w:tcPr>
            <w:tcW w:w="1257" w:type="dxa"/>
            <w:vAlign w:val="center"/>
          </w:tcPr>
          <w:p w14:paraId="12D19777">
            <w:pPr>
              <w:keepNext w:val="0"/>
              <w:keepLines w:val="0"/>
              <w:suppressLineNumbers w:val="0"/>
              <w:spacing w:before="0" w:beforeAutospacing="0" w:after="0" w:afterAutospacing="0" w:line="360" w:lineRule="auto"/>
              <w:ind w:left="0" w:right="0"/>
              <w:jc w:val="center"/>
              <w:rPr>
                <w:rFonts w:hint="default"/>
                <w:color w:val="auto"/>
                <w:highlight w:val="none"/>
              </w:rPr>
            </w:pPr>
          </w:p>
        </w:tc>
        <w:tc>
          <w:tcPr>
            <w:tcW w:w="1258" w:type="dxa"/>
            <w:vAlign w:val="center"/>
          </w:tcPr>
          <w:p w14:paraId="0DAC6E93">
            <w:pPr>
              <w:keepNext w:val="0"/>
              <w:keepLines w:val="0"/>
              <w:suppressLineNumbers w:val="0"/>
              <w:spacing w:before="0" w:beforeAutospacing="0" w:after="0" w:afterAutospacing="0" w:line="360" w:lineRule="auto"/>
              <w:ind w:left="0" w:right="0"/>
              <w:jc w:val="center"/>
              <w:rPr>
                <w:rFonts w:hint="default"/>
                <w:color w:val="auto"/>
                <w:highlight w:val="none"/>
              </w:rPr>
            </w:pPr>
          </w:p>
        </w:tc>
      </w:tr>
      <w:tr w14:paraId="6384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3AB87122">
            <w:pPr>
              <w:keepNext w:val="0"/>
              <w:keepLines w:val="0"/>
              <w:suppressLineNumbers w:val="0"/>
              <w:spacing w:before="0" w:beforeAutospacing="0" w:after="0" w:afterAutospacing="0" w:line="360" w:lineRule="auto"/>
              <w:ind w:left="0" w:right="0"/>
              <w:jc w:val="center"/>
              <w:rPr>
                <w:rFonts w:hint="default"/>
                <w:color w:val="auto"/>
                <w:highlight w:val="none"/>
              </w:rPr>
            </w:pPr>
          </w:p>
        </w:tc>
        <w:tc>
          <w:tcPr>
            <w:tcW w:w="961" w:type="dxa"/>
            <w:vAlign w:val="center"/>
          </w:tcPr>
          <w:p w14:paraId="50D90389">
            <w:pPr>
              <w:keepNext w:val="0"/>
              <w:keepLines w:val="0"/>
              <w:suppressLineNumbers w:val="0"/>
              <w:spacing w:before="0" w:beforeAutospacing="0" w:after="0" w:afterAutospacing="0" w:line="360" w:lineRule="auto"/>
              <w:ind w:left="0" w:right="0"/>
              <w:jc w:val="center"/>
              <w:rPr>
                <w:rFonts w:hint="default"/>
                <w:color w:val="auto"/>
                <w:highlight w:val="none"/>
              </w:rPr>
            </w:pPr>
          </w:p>
        </w:tc>
        <w:tc>
          <w:tcPr>
            <w:tcW w:w="1257" w:type="dxa"/>
            <w:vAlign w:val="center"/>
          </w:tcPr>
          <w:p w14:paraId="306984F9">
            <w:pPr>
              <w:keepNext w:val="0"/>
              <w:keepLines w:val="0"/>
              <w:suppressLineNumbers w:val="0"/>
              <w:spacing w:before="0" w:beforeAutospacing="0" w:after="0" w:afterAutospacing="0" w:line="360" w:lineRule="auto"/>
              <w:ind w:left="0" w:right="0"/>
              <w:jc w:val="center"/>
              <w:rPr>
                <w:rFonts w:hint="default"/>
                <w:color w:val="auto"/>
                <w:highlight w:val="none"/>
              </w:rPr>
            </w:pPr>
          </w:p>
        </w:tc>
        <w:tc>
          <w:tcPr>
            <w:tcW w:w="1257" w:type="dxa"/>
            <w:vAlign w:val="center"/>
          </w:tcPr>
          <w:p w14:paraId="5B1F1501">
            <w:pPr>
              <w:keepNext w:val="0"/>
              <w:keepLines w:val="0"/>
              <w:suppressLineNumbers w:val="0"/>
              <w:spacing w:before="0" w:beforeAutospacing="0" w:after="0" w:afterAutospacing="0" w:line="360" w:lineRule="auto"/>
              <w:ind w:left="0" w:right="0"/>
              <w:jc w:val="center"/>
              <w:rPr>
                <w:rFonts w:hint="default"/>
                <w:color w:val="auto"/>
                <w:highlight w:val="none"/>
              </w:rPr>
            </w:pPr>
          </w:p>
        </w:tc>
        <w:tc>
          <w:tcPr>
            <w:tcW w:w="1258" w:type="dxa"/>
            <w:vAlign w:val="center"/>
          </w:tcPr>
          <w:p w14:paraId="5275AB51">
            <w:pPr>
              <w:keepNext w:val="0"/>
              <w:keepLines w:val="0"/>
              <w:suppressLineNumbers w:val="0"/>
              <w:spacing w:before="0" w:beforeAutospacing="0" w:after="0" w:afterAutospacing="0" w:line="360" w:lineRule="auto"/>
              <w:ind w:left="0" w:right="0"/>
              <w:jc w:val="center"/>
              <w:rPr>
                <w:rFonts w:hint="default"/>
                <w:color w:val="auto"/>
                <w:highlight w:val="none"/>
              </w:rPr>
            </w:pPr>
          </w:p>
        </w:tc>
        <w:tc>
          <w:tcPr>
            <w:tcW w:w="1257" w:type="dxa"/>
            <w:vAlign w:val="center"/>
          </w:tcPr>
          <w:p w14:paraId="073A281B">
            <w:pPr>
              <w:keepNext w:val="0"/>
              <w:keepLines w:val="0"/>
              <w:suppressLineNumbers w:val="0"/>
              <w:spacing w:before="0" w:beforeAutospacing="0" w:after="0" w:afterAutospacing="0" w:line="360" w:lineRule="auto"/>
              <w:ind w:left="0" w:right="0"/>
              <w:jc w:val="center"/>
              <w:rPr>
                <w:rFonts w:hint="default"/>
                <w:color w:val="auto"/>
                <w:highlight w:val="none"/>
              </w:rPr>
            </w:pPr>
          </w:p>
        </w:tc>
        <w:tc>
          <w:tcPr>
            <w:tcW w:w="1258" w:type="dxa"/>
            <w:vAlign w:val="center"/>
          </w:tcPr>
          <w:p w14:paraId="5D2159F1">
            <w:pPr>
              <w:keepNext w:val="0"/>
              <w:keepLines w:val="0"/>
              <w:suppressLineNumbers w:val="0"/>
              <w:spacing w:before="0" w:beforeAutospacing="0" w:after="0" w:afterAutospacing="0" w:line="360" w:lineRule="auto"/>
              <w:ind w:left="0" w:right="0"/>
              <w:jc w:val="center"/>
              <w:rPr>
                <w:rFonts w:hint="default"/>
                <w:color w:val="auto"/>
                <w:highlight w:val="none"/>
              </w:rPr>
            </w:pPr>
          </w:p>
        </w:tc>
      </w:tr>
      <w:tr w14:paraId="6EEB3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658A68F7">
            <w:pPr>
              <w:keepNext w:val="0"/>
              <w:keepLines w:val="0"/>
              <w:suppressLineNumbers w:val="0"/>
              <w:spacing w:before="0" w:beforeAutospacing="0" w:after="0" w:afterAutospacing="0" w:line="360" w:lineRule="auto"/>
              <w:ind w:left="0" w:right="0"/>
              <w:jc w:val="center"/>
              <w:rPr>
                <w:rFonts w:hint="default"/>
                <w:color w:val="auto"/>
                <w:highlight w:val="none"/>
              </w:rPr>
            </w:pPr>
          </w:p>
        </w:tc>
        <w:tc>
          <w:tcPr>
            <w:tcW w:w="961" w:type="dxa"/>
            <w:vAlign w:val="center"/>
          </w:tcPr>
          <w:p w14:paraId="09E9AA85">
            <w:pPr>
              <w:keepNext w:val="0"/>
              <w:keepLines w:val="0"/>
              <w:suppressLineNumbers w:val="0"/>
              <w:spacing w:before="0" w:beforeAutospacing="0" w:after="0" w:afterAutospacing="0" w:line="360" w:lineRule="auto"/>
              <w:ind w:left="0" w:right="0"/>
              <w:jc w:val="center"/>
              <w:rPr>
                <w:rFonts w:hint="default"/>
                <w:color w:val="auto"/>
                <w:highlight w:val="none"/>
              </w:rPr>
            </w:pPr>
          </w:p>
        </w:tc>
        <w:tc>
          <w:tcPr>
            <w:tcW w:w="1257" w:type="dxa"/>
            <w:vAlign w:val="center"/>
          </w:tcPr>
          <w:p w14:paraId="643F5B2C">
            <w:pPr>
              <w:keepNext w:val="0"/>
              <w:keepLines w:val="0"/>
              <w:suppressLineNumbers w:val="0"/>
              <w:spacing w:before="0" w:beforeAutospacing="0" w:after="0" w:afterAutospacing="0" w:line="360" w:lineRule="auto"/>
              <w:ind w:left="0" w:right="0"/>
              <w:jc w:val="center"/>
              <w:rPr>
                <w:rFonts w:hint="default"/>
                <w:color w:val="auto"/>
                <w:highlight w:val="none"/>
              </w:rPr>
            </w:pPr>
          </w:p>
        </w:tc>
        <w:tc>
          <w:tcPr>
            <w:tcW w:w="1257" w:type="dxa"/>
            <w:vAlign w:val="center"/>
          </w:tcPr>
          <w:p w14:paraId="6D99A34A">
            <w:pPr>
              <w:keepNext w:val="0"/>
              <w:keepLines w:val="0"/>
              <w:suppressLineNumbers w:val="0"/>
              <w:spacing w:before="0" w:beforeAutospacing="0" w:after="0" w:afterAutospacing="0" w:line="360" w:lineRule="auto"/>
              <w:ind w:left="0" w:right="0"/>
              <w:jc w:val="center"/>
              <w:rPr>
                <w:rFonts w:hint="default"/>
                <w:color w:val="auto"/>
                <w:highlight w:val="none"/>
              </w:rPr>
            </w:pPr>
          </w:p>
        </w:tc>
        <w:tc>
          <w:tcPr>
            <w:tcW w:w="1258" w:type="dxa"/>
            <w:vAlign w:val="center"/>
          </w:tcPr>
          <w:p w14:paraId="3A1A34D6">
            <w:pPr>
              <w:keepNext w:val="0"/>
              <w:keepLines w:val="0"/>
              <w:suppressLineNumbers w:val="0"/>
              <w:spacing w:before="0" w:beforeAutospacing="0" w:after="0" w:afterAutospacing="0" w:line="360" w:lineRule="auto"/>
              <w:ind w:left="0" w:right="0"/>
              <w:jc w:val="center"/>
              <w:rPr>
                <w:rFonts w:hint="default"/>
                <w:color w:val="auto"/>
                <w:highlight w:val="none"/>
              </w:rPr>
            </w:pPr>
          </w:p>
        </w:tc>
        <w:tc>
          <w:tcPr>
            <w:tcW w:w="1257" w:type="dxa"/>
            <w:vAlign w:val="center"/>
          </w:tcPr>
          <w:p w14:paraId="1A69BF66">
            <w:pPr>
              <w:keepNext w:val="0"/>
              <w:keepLines w:val="0"/>
              <w:suppressLineNumbers w:val="0"/>
              <w:spacing w:before="0" w:beforeAutospacing="0" w:after="0" w:afterAutospacing="0" w:line="360" w:lineRule="auto"/>
              <w:ind w:left="0" w:right="0"/>
              <w:jc w:val="center"/>
              <w:rPr>
                <w:rFonts w:hint="default"/>
                <w:color w:val="auto"/>
                <w:highlight w:val="none"/>
              </w:rPr>
            </w:pPr>
          </w:p>
        </w:tc>
        <w:tc>
          <w:tcPr>
            <w:tcW w:w="1258" w:type="dxa"/>
            <w:vAlign w:val="center"/>
          </w:tcPr>
          <w:p w14:paraId="65E074BC">
            <w:pPr>
              <w:keepNext w:val="0"/>
              <w:keepLines w:val="0"/>
              <w:suppressLineNumbers w:val="0"/>
              <w:spacing w:before="0" w:beforeAutospacing="0" w:after="0" w:afterAutospacing="0" w:line="360" w:lineRule="auto"/>
              <w:ind w:left="0" w:right="0"/>
              <w:jc w:val="center"/>
              <w:rPr>
                <w:rFonts w:hint="default"/>
                <w:color w:val="auto"/>
                <w:highlight w:val="none"/>
              </w:rPr>
            </w:pPr>
          </w:p>
        </w:tc>
      </w:tr>
    </w:tbl>
    <w:p w14:paraId="4FD605B6">
      <w:pPr>
        <w:rPr>
          <w:color w:val="auto"/>
          <w:highlight w:val="none"/>
        </w:rPr>
      </w:pPr>
    </w:p>
    <w:p w14:paraId="60A602A3">
      <w:pPr>
        <w:rPr>
          <w:rFonts w:cs="宋体"/>
          <w:color w:val="auto"/>
          <w:highlight w:val="none"/>
        </w:rPr>
      </w:pPr>
    </w:p>
    <w:p w14:paraId="5BC01A27">
      <w:pPr>
        <w:rPr>
          <w:rFonts w:cs="宋体"/>
          <w:color w:val="auto"/>
          <w:highlight w:val="none"/>
        </w:rPr>
      </w:pPr>
    </w:p>
    <w:p w14:paraId="73B83C6E">
      <w:pPr>
        <w:rPr>
          <w:rFonts w:cs="宋体"/>
          <w:color w:val="auto"/>
          <w:highlight w:val="none"/>
        </w:rPr>
      </w:pPr>
    </w:p>
    <w:p w14:paraId="7DF3483C">
      <w:pPr>
        <w:rPr>
          <w:color w:val="auto"/>
          <w:highlight w:val="none"/>
        </w:rPr>
      </w:pPr>
      <w:r>
        <w:rPr>
          <w:rFonts w:hint="eastAsia" w:cs="宋体"/>
          <w:color w:val="auto"/>
          <w:highlight w:val="none"/>
        </w:rPr>
        <w:t>附表二：计划开、竣工日期和施工进度计划（网络图或横道图）</w:t>
      </w:r>
    </w:p>
    <w:p w14:paraId="792724CC">
      <w:pPr>
        <w:spacing w:line="460" w:lineRule="exact"/>
        <w:ind w:left="-6" w:firstLine="420"/>
        <w:rPr>
          <w:color w:val="auto"/>
          <w:highlight w:val="none"/>
        </w:rPr>
      </w:pPr>
      <w:r>
        <w:rPr>
          <w:color w:val="auto"/>
          <w:highlight w:val="none"/>
        </w:rPr>
        <w:t xml:space="preserve">1. </w:t>
      </w:r>
      <w:r>
        <w:rPr>
          <w:rFonts w:hint="eastAsia" w:cs="宋体"/>
          <w:color w:val="auto"/>
          <w:highlight w:val="none"/>
        </w:rPr>
        <w:t>供应商应提交施工进度计划，说明按磋商文件要求的工期进行施工的各个关键日期。成交的供应商还应按合同条件有关条款的要求提交详细的施工进度计划。</w:t>
      </w:r>
    </w:p>
    <w:p w14:paraId="6DBBA1D0">
      <w:pPr>
        <w:spacing w:line="460" w:lineRule="exact"/>
        <w:ind w:left="-6" w:firstLine="420"/>
        <w:rPr>
          <w:color w:val="auto"/>
          <w:highlight w:val="none"/>
        </w:rPr>
      </w:pPr>
      <w:r>
        <w:rPr>
          <w:color w:val="auto"/>
          <w:highlight w:val="none"/>
        </w:rPr>
        <w:t xml:space="preserve">2. </w:t>
      </w:r>
      <w:r>
        <w:rPr>
          <w:rFonts w:hint="eastAsia" w:cs="宋体"/>
          <w:color w:val="auto"/>
          <w:highlight w:val="none"/>
        </w:rPr>
        <w:t>施工进度计划可采用网络图（或横道图）表示，说明计划开工日期和各分项工程各阶段的完工日期和分包合同签订的日期。</w:t>
      </w:r>
    </w:p>
    <w:p w14:paraId="523BA491">
      <w:pPr>
        <w:spacing w:line="460" w:lineRule="exact"/>
        <w:ind w:left="-6" w:firstLine="420"/>
        <w:rPr>
          <w:color w:val="auto"/>
          <w:highlight w:val="none"/>
        </w:rPr>
      </w:pPr>
      <w:r>
        <w:rPr>
          <w:color w:val="auto"/>
          <w:highlight w:val="none"/>
        </w:rPr>
        <w:t xml:space="preserve">3. </w:t>
      </w:r>
      <w:r>
        <w:rPr>
          <w:rFonts w:hint="eastAsia" w:cs="宋体"/>
          <w:color w:val="auto"/>
          <w:highlight w:val="none"/>
        </w:rPr>
        <w:t>施工进度计划应与施工组织设计相适应。</w:t>
      </w:r>
    </w:p>
    <w:p w14:paraId="55254031">
      <w:pPr>
        <w:spacing w:line="360" w:lineRule="auto"/>
        <w:ind w:left="-6" w:firstLine="420"/>
        <w:rPr>
          <w:color w:val="auto"/>
          <w:highlight w:val="none"/>
        </w:rPr>
      </w:pPr>
    </w:p>
    <w:p w14:paraId="111C78C3">
      <w:pPr>
        <w:rPr>
          <w:color w:val="auto"/>
          <w:highlight w:val="none"/>
        </w:rPr>
      </w:pPr>
    </w:p>
    <w:p w14:paraId="0C5185F8">
      <w:pPr>
        <w:rPr>
          <w:color w:val="auto"/>
          <w:highlight w:val="none"/>
        </w:rPr>
      </w:pPr>
      <w:r>
        <w:rPr>
          <w:rFonts w:hint="eastAsia" w:cs="宋体"/>
          <w:color w:val="auto"/>
          <w:highlight w:val="none"/>
        </w:rPr>
        <w:t>附表三：施工总平面图</w:t>
      </w:r>
    </w:p>
    <w:p w14:paraId="2E8D2641">
      <w:pPr>
        <w:spacing w:line="460" w:lineRule="exact"/>
        <w:ind w:firstLine="420" w:firstLineChars="200"/>
        <w:rPr>
          <w:color w:val="auto"/>
          <w:highlight w:val="none"/>
        </w:rPr>
      </w:pPr>
      <w:r>
        <w:rPr>
          <w:rFonts w:hint="eastAsia" w:cs="宋体"/>
          <w:color w:val="auto"/>
          <w:highlight w:val="none"/>
        </w:rPr>
        <w:t>供应商应递交一份施工总平面图，绘出现场临时设施布置图表并附文字说明，说明临时设施、加工车间、现场办公、设备及仓储、供电、供水、卫生、生活、道路、消防等设施的情况和布置。</w:t>
      </w:r>
    </w:p>
    <w:p w14:paraId="78015710">
      <w:pPr>
        <w:rPr>
          <w:color w:val="auto"/>
          <w:highlight w:val="none"/>
        </w:rPr>
      </w:pPr>
    </w:p>
    <w:p w14:paraId="6675FDA4">
      <w:pPr>
        <w:rPr>
          <w:color w:val="auto"/>
          <w:highlight w:val="none"/>
        </w:rPr>
      </w:pPr>
    </w:p>
    <w:p w14:paraId="57906E18">
      <w:pPr>
        <w:rPr>
          <w:color w:val="auto"/>
          <w:highlight w:val="none"/>
        </w:rPr>
      </w:pPr>
      <w:r>
        <w:rPr>
          <w:rFonts w:hint="eastAsia" w:cs="宋体"/>
          <w:color w:val="auto"/>
          <w:highlight w:val="none"/>
        </w:rPr>
        <w:t>附表四：临时用地表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136"/>
      </w:tblGrid>
      <w:tr w14:paraId="3367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5ADC6FAD">
            <w:pPr>
              <w:keepNext w:val="0"/>
              <w:keepLines w:val="0"/>
              <w:suppressLineNumbers w:val="0"/>
              <w:spacing w:before="0" w:beforeAutospacing="0" w:after="0" w:afterAutospacing="0"/>
              <w:ind w:left="0" w:right="0"/>
              <w:jc w:val="center"/>
              <w:rPr>
                <w:rFonts w:hint="default"/>
                <w:color w:val="auto"/>
                <w:highlight w:val="none"/>
              </w:rPr>
            </w:pPr>
            <w:r>
              <w:rPr>
                <w:rFonts w:hint="eastAsia" w:cs="宋体"/>
                <w:color w:val="auto"/>
                <w:highlight w:val="none"/>
              </w:rPr>
              <w:t>用途</w:t>
            </w:r>
          </w:p>
        </w:tc>
        <w:tc>
          <w:tcPr>
            <w:tcW w:w="2357" w:type="dxa"/>
            <w:vAlign w:val="center"/>
          </w:tcPr>
          <w:p w14:paraId="55B51B56">
            <w:pPr>
              <w:keepNext w:val="0"/>
              <w:keepLines w:val="0"/>
              <w:suppressLineNumbers w:val="0"/>
              <w:spacing w:before="0" w:beforeAutospacing="0" w:after="0" w:afterAutospacing="0"/>
              <w:ind w:left="0" w:right="0"/>
              <w:jc w:val="center"/>
              <w:rPr>
                <w:rFonts w:hint="default"/>
                <w:color w:val="auto"/>
                <w:highlight w:val="none"/>
              </w:rPr>
            </w:pPr>
            <w:r>
              <w:rPr>
                <w:rFonts w:hint="eastAsia" w:cs="宋体"/>
                <w:color w:val="auto"/>
                <w:highlight w:val="none"/>
              </w:rPr>
              <w:t>面积（平方米）</w:t>
            </w:r>
          </w:p>
        </w:tc>
        <w:tc>
          <w:tcPr>
            <w:tcW w:w="2356" w:type="dxa"/>
            <w:vAlign w:val="center"/>
          </w:tcPr>
          <w:p w14:paraId="1FE683C4">
            <w:pPr>
              <w:keepNext w:val="0"/>
              <w:keepLines w:val="0"/>
              <w:suppressLineNumbers w:val="0"/>
              <w:spacing w:before="0" w:beforeAutospacing="0" w:after="0" w:afterAutospacing="0"/>
              <w:ind w:left="0" w:right="0"/>
              <w:jc w:val="center"/>
              <w:rPr>
                <w:rFonts w:hint="default"/>
                <w:color w:val="auto"/>
                <w:highlight w:val="none"/>
              </w:rPr>
            </w:pPr>
            <w:r>
              <w:rPr>
                <w:rFonts w:hint="eastAsia" w:cs="宋体"/>
                <w:color w:val="auto"/>
                <w:highlight w:val="none"/>
              </w:rPr>
              <w:t>位置</w:t>
            </w:r>
          </w:p>
        </w:tc>
        <w:tc>
          <w:tcPr>
            <w:tcW w:w="2136" w:type="dxa"/>
            <w:vAlign w:val="center"/>
          </w:tcPr>
          <w:p w14:paraId="6959C1A7">
            <w:pPr>
              <w:keepNext w:val="0"/>
              <w:keepLines w:val="0"/>
              <w:suppressLineNumbers w:val="0"/>
              <w:spacing w:before="0" w:beforeAutospacing="0" w:after="0" w:afterAutospacing="0"/>
              <w:ind w:left="0" w:right="0"/>
              <w:jc w:val="center"/>
              <w:rPr>
                <w:rFonts w:hint="default"/>
                <w:color w:val="auto"/>
                <w:highlight w:val="none"/>
              </w:rPr>
            </w:pPr>
            <w:r>
              <w:rPr>
                <w:rFonts w:hint="eastAsia" w:cs="宋体"/>
                <w:color w:val="auto"/>
                <w:highlight w:val="none"/>
              </w:rPr>
              <w:t>需用时间</w:t>
            </w:r>
          </w:p>
        </w:tc>
      </w:tr>
      <w:tr w14:paraId="78C82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16569982">
            <w:pPr>
              <w:keepNext w:val="0"/>
              <w:keepLines w:val="0"/>
              <w:suppressLineNumbers w:val="0"/>
              <w:spacing w:before="0" w:beforeAutospacing="0" w:after="0" w:afterAutospacing="0"/>
              <w:ind w:left="0" w:right="0"/>
              <w:rPr>
                <w:rFonts w:hint="default"/>
                <w:color w:val="auto"/>
                <w:highlight w:val="none"/>
              </w:rPr>
            </w:pPr>
          </w:p>
        </w:tc>
        <w:tc>
          <w:tcPr>
            <w:tcW w:w="2357" w:type="dxa"/>
          </w:tcPr>
          <w:p w14:paraId="134BBCE3">
            <w:pPr>
              <w:keepNext w:val="0"/>
              <w:keepLines w:val="0"/>
              <w:suppressLineNumbers w:val="0"/>
              <w:spacing w:before="0" w:beforeAutospacing="0" w:after="0" w:afterAutospacing="0"/>
              <w:ind w:left="0" w:right="0"/>
              <w:rPr>
                <w:rFonts w:hint="default"/>
                <w:color w:val="auto"/>
                <w:highlight w:val="none"/>
              </w:rPr>
            </w:pPr>
          </w:p>
        </w:tc>
        <w:tc>
          <w:tcPr>
            <w:tcW w:w="2356" w:type="dxa"/>
          </w:tcPr>
          <w:p w14:paraId="5B9A0DD4">
            <w:pPr>
              <w:keepNext w:val="0"/>
              <w:keepLines w:val="0"/>
              <w:suppressLineNumbers w:val="0"/>
              <w:spacing w:before="0" w:beforeAutospacing="0" w:after="0" w:afterAutospacing="0"/>
              <w:ind w:left="0" w:right="0"/>
              <w:rPr>
                <w:rFonts w:hint="default"/>
                <w:color w:val="auto"/>
                <w:highlight w:val="none"/>
              </w:rPr>
            </w:pPr>
          </w:p>
        </w:tc>
        <w:tc>
          <w:tcPr>
            <w:tcW w:w="2136" w:type="dxa"/>
          </w:tcPr>
          <w:p w14:paraId="40117527">
            <w:pPr>
              <w:keepNext w:val="0"/>
              <w:keepLines w:val="0"/>
              <w:suppressLineNumbers w:val="0"/>
              <w:spacing w:before="0" w:beforeAutospacing="0" w:after="0" w:afterAutospacing="0"/>
              <w:ind w:left="0" w:right="0"/>
              <w:rPr>
                <w:rFonts w:hint="default"/>
                <w:color w:val="auto"/>
                <w:highlight w:val="none"/>
              </w:rPr>
            </w:pPr>
          </w:p>
        </w:tc>
      </w:tr>
      <w:tr w14:paraId="2A5F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323FF213">
            <w:pPr>
              <w:keepNext w:val="0"/>
              <w:keepLines w:val="0"/>
              <w:suppressLineNumbers w:val="0"/>
              <w:spacing w:before="0" w:beforeAutospacing="0" w:after="0" w:afterAutospacing="0"/>
              <w:ind w:left="0" w:right="0"/>
              <w:rPr>
                <w:rFonts w:hint="default"/>
                <w:color w:val="auto"/>
                <w:highlight w:val="none"/>
              </w:rPr>
            </w:pPr>
          </w:p>
        </w:tc>
        <w:tc>
          <w:tcPr>
            <w:tcW w:w="2357" w:type="dxa"/>
          </w:tcPr>
          <w:p w14:paraId="5A368A28">
            <w:pPr>
              <w:keepNext w:val="0"/>
              <w:keepLines w:val="0"/>
              <w:suppressLineNumbers w:val="0"/>
              <w:spacing w:before="0" w:beforeAutospacing="0" w:after="0" w:afterAutospacing="0"/>
              <w:ind w:left="0" w:right="0"/>
              <w:rPr>
                <w:rFonts w:hint="default"/>
                <w:color w:val="auto"/>
                <w:highlight w:val="none"/>
              </w:rPr>
            </w:pPr>
          </w:p>
        </w:tc>
        <w:tc>
          <w:tcPr>
            <w:tcW w:w="2356" w:type="dxa"/>
          </w:tcPr>
          <w:p w14:paraId="795F16C4">
            <w:pPr>
              <w:keepNext w:val="0"/>
              <w:keepLines w:val="0"/>
              <w:suppressLineNumbers w:val="0"/>
              <w:spacing w:before="0" w:beforeAutospacing="0" w:after="0" w:afterAutospacing="0"/>
              <w:ind w:left="0" w:right="0"/>
              <w:rPr>
                <w:rFonts w:hint="default"/>
                <w:color w:val="auto"/>
                <w:highlight w:val="none"/>
              </w:rPr>
            </w:pPr>
          </w:p>
        </w:tc>
        <w:tc>
          <w:tcPr>
            <w:tcW w:w="2136" w:type="dxa"/>
          </w:tcPr>
          <w:p w14:paraId="4FF94F2B">
            <w:pPr>
              <w:keepNext w:val="0"/>
              <w:keepLines w:val="0"/>
              <w:suppressLineNumbers w:val="0"/>
              <w:spacing w:before="0" w:beforeAutospacing="0" w:after="0" w:afterAutospacing="0"/>
              <w:ind w:left="0" w:right="0"/>
              <w:rPr>
                <w:rFonts w:hint="default"/>
                <w:color w:val="auto"/>
                <w:highlight w:val="none"/>
              </w:rPr>
            </w:pPr>
          </w:p>
        </w:tc>
      </w:tr>
      <w:tr w14:paraId="6D194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1AECF42D">
            <w:pPr>
              <w:keepNext w:val="0"/>
              <w:keepLines w:val="0"/>
              <w:suppressLineNumbers w:val="0"/>
              <w:spacing w:before="0" w:beforeAutospacing="0" w:after="0" w:afterAutospacing="0"/>
              <w:ind w:left="0" w:right="0"/>
              <w:rPr>
                <w:rFonts w:hint="default"/>
                <w:color w:val="auto"/>
                <w:highlight w:val="none"/>
              </w:rPr>
            </w:pPr>
          </w:p>
        </w:tc>
        <w:tc>
          <w:tcPr>
            <w:tcW w:w="2357" w:type="dxa"/>
          </w:tcPr>
          <w:p w14:paraId="0F603200">
            <w:pPr>
              <w:keepNext w:val="0"/>
              <w:keepLines w:val="0"/>
              <w:suppressLineNumbers w:val="0"/>
              <w:spacing w:before="0" w:beforeAutospacing="0" w:after="0" w:afterAutospacing="0"/>
              <w:ind w:left="0" w:right="0"/>
              <w:rPr>
                <w:rFonts w:hint="default"/>
                <w:color w:val="auto"/>
                <w:highlight w:val="none"/>
              </w:rPr>
            </w:pPr>
          </w:p>
        </w:tc>
        <w:tc>
          <w:tcPr>
            <w:tcW w:w="2356" w:type="dxa"/>
          </w:tcPr>
          <w:p w14:paraId="786AE0B2">
            <w:pPr>
              <w:keepNext w:val="0"/>
              <w:keepLines w:val="0"/>
              <w:suppressLineNumbers w:val="0"/>
              <w:spacing w:before="0" w:beforeAutospacing="0" w:after="0" w:afterAutospacing="0"/>
              <w:ind w:left="0" w:right="0"/>
              <w:rPr>
                <w:rFonts w:hint="default"/>
                <w:color w:val="auto"/>
                <w:highlight w:val="none"/>
              </w:rPr>
            </w:pPr>
          </w:p>
        </w:tc>
        <w:tc>
          <w:tcPr>
            <w:tcW w:w="2136" w:type="dxa"/>
          </w:tcPr>
          <w:p w14:paraId="373AFD6F">
            <w:pPr>
              <w:keepNext w:val="0"/>
              <w:keepLines w:val="0"/>
              <w:suppressLineNumbers w:val="0"/>
              <w:spacing w:before="0" w:beforeAutospacing="0" w:after="0" w:afterAutospacing="0"/>
              <w:ind w:left="0" w:right="0"/>
              <w:rPr>
                <w:rFonts w:hint="default"/>
                <w:color w:val="auto"/>
                <w:highlight w:val="none"/>
              </w:rPr>
            </w:pPr>
          </w:p>
        </w:tc>
      </w:tr>
      <w:tr w14:paraId="4E5B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7EAD3792">
            <w:pPr>
              <w:keepNext w:val="0"/>
              <w:keepLines w:val="0"/>
              <w:suppressLineNumbers w:val="0"/>
              <w:spacing w:before="0" w:beforeAutospacing="0" w:after="0" w:afterAutospacing="0"/>
              <w:ind w:left="0" w:right="0"/>
              <w:rPr>
                <w:rFonts w:hint="default"/>
                <w:color w:val="auto"/>
                <w:highlight w:val="none"/>
              </w:rPr>
            </w:pPr>
          </w:p>
        </w:tc>
        <w:tc>
          <w:tcPr>
            <w:tcW w:w="2357" w:type="dxa"/>
          </w:tcPr>
          <w:p w14:paraId="5639CC0E">
            <w:pPr>
              <w:keepNext w:val="0"/>
              <w:keepLines w:val="0"/>
              <w:suppressLineNumbers w:val="0"/>
              <w:spacing w:before="0" w:beforeAutospacing="0" w:after="0" w:afterAutospacing="0"/>
              <w:ind w:left="0" w:right="0"/>
              <w:rPr>
                <w:rFonts w:hint="default"/>
                <w:color w:val="auto"/>
                <w:highlight w:val="none"/>
              </w:rPr>
            </w:pPr>
          </w:p>
        </w:tc>
        <w:tc>
          <w:tcPr>
            <w:tcW w:w="2356" w:type="dxa"/>
          </w:tcPr>
          <w:p w14:paraId="02562435">
            <w:pPr>
              <w:keepNext w:val="0"/>
              <w:keepLines w:val="0"/>
              <w:suppressLineNumbers w:val="0"/>
              <w:spacing w:before="0" w:beforeAutospacing="0" w:after="0" w:afterAutospacing="0"/>
              <w:ind w:left="0" w:right="0"/>
              <w:rPr>
                <w:rFonts w:hint="default"/>
                <w:color w:val="auto"/>
                <w:highlight w:val="none"/>
              </w:rPr>
            </w:pPr>
          </w:p>
        </w:tc>
        <w:tc>
          <w:tcPr>
            <w:tcW w:w="2136" w:type="dxa"/>
          </w:tcPr>
          <w:p w14:paraId="3DB7C70B">
            <w:pPr>
              <w:keepNext w:val="0"/>
              <w:keepLines w:val="0"/>
              <w:suppressLineNumbers w:val="0"/>
              <w:spacing w:before="0" w:beforeAutospacing="0" w:after="0" w:afterAutospacing="0"/>
              <w:ind w:left="0" w:right="0"/>
              <w:rPr>
                <w:rFonts w:hint="default"/>
                <w:color w:val="auto"/>
                <w:highlight w:val="none"/>
              </w:rPr>
            </w:pPr>
          </w:p>
        </w:tc>
      </w:tr>
    </w:tbl>
    <w:p w14:paraId="2F84BED2">
      <w:pPr>
        <w:spacing w:line="360" w:lineRule="auto"/>
        <w:ind w:firstLine="880" w:firstLineChars="200"/>
        <w:rPr>
          <w:rFonts w:ascii="方正小标宋简体" w:hAnsi="方正小标宋简体" w:eastAsia="方正小标宋简体" w:cs="方正小标宋简体"/>
          <w:bCs/>
          <w:color w:val="auto"/>
          <w:sz w:val="44"/>
          <w:szCs w:val="44"/>
          <w:highlight w:val="none"/>
        </w:rPr>
      </w:pPr>
    </w:p>
    <w:p w14:paraId="12993E48">
      <w:pPr>
        <w:spacing w:line="360" w:lineRule="auto"/>
        <w:jc w:val="center"/>
        <w:rPr>
          <w:rFonts w:ascii="方正小标宋简体" w:hAnsi="方正小标宋简体" w:eastAsia="方正小标宋简体" w:cs="方正小标宋简体"/>
          <w:bCs/>
          <w:color w:val="auto"/>
          <w:sz w:val="44"/>
          <w:szCs w:val="44"/>
          <w:highlight w:val="none"/>
        </w:rPr>
      </w:pPr>
    </w:p>
    <w:p w14:paraId="1BF70848">
      <w:pPr>
        <w:spacing w:line="360" w:lineRule="auto"/>
        <w:jc w:val="center"/>
        <w:rPr>
          <w:rFonts w:ascii="方正小标宋简体" w:hAnsi="方正小标宋简体" w:eastAsia="方正小标宋简体" w:cs="方正小标宋简体"/>
          <w:bCs/>
          <w:color w:val="auto"/>
          <w:sz w:val="44"/>
          <w:szCs w:val="44"/>
          <w:highlight w:val="none"/>
        </w:rPr>
      </w:pPr>
    </w:p>
    <w:p w14:paraId="6F056781">
      <w:pPr>
        <w:spacing w:line="360" w:lineRule="auto"/>
        <w:jc w:val="center"/>
        <w:rPr>
          <w:rFonts w:ascii="方正小标宋简体" w:hAnsi="方正小标宋简体" w:eastAsia="方正小标宋简体" w:cs="方正小标宋简体"/>
          <w:bCs/>
          <w:color w:val="auto"/>
          <w:sz w:val="44"/>
          <w:szCs w:val="44"/>
          <w:highlight w:val="none"/>
        </w:rPr>
      </w:pPr>
    </w:p>
    <w:p w14:paraId="3D60A64A">
      <w:pPr>
        <w:spacing w:line="360" w:lineRule="auto"/>
        <w:jc w:val="center"/>
        <w:rPr>
          <w:rFonts w:ascii="方正小标宋简体" w:hAnsi="方正小标宋简体" w:eastAsia="方正小标宋简体" w:cs="方正小标宋简体"/>
          <w:bCs/>
          <w:color w:val="auto"/>
          <w:sz w:val="44"/>
          <w:szCs w:val="44"/>
          <w:highlight w:val="none"/>
        </w:rPr>
      </w:pPr>
    </w:p>
    <w:p w14:paraId="3FD84A69">
      <w:pPr>
        <w:spacing w:line="360" w:lineRule="auto"/>
        <w:ind w:firstLine="640" w:firstLineChars="200"/>
        <w:jc w:val="center"/>
        <w:rPr>
          <w:rFonts w:cs="宋体"/>
          <w:b/>
          <w:bCs/>
          <w:color w:val="auto"/>
          <w:sz w:val="32"/>
          <w:szCs w:val="32"/>
          <w:highlight w:val="none"/>
        </w:rPr>
      </w:pPr>
    </w:p>
    <w:p w14:paraId="67AB7CB4">
      <w:pPr>
        <w:spacing w:line="360" w:lineRule="auto"/>
        <w:ind w:firstLine="640" w:firstLineChars="200"/>
        <w:jc w:val="center"/>
        <w:rPr>
          <w:rFonts w:cs="宋体"/>
          <w:b/>
          <w:bCs/>
          <w:color w:val="auto"/>
          <w:sz w:val="32"/>
          <w:szCs w:val="32"/>
          <w:highlight w:val="none"/>
        </w:rPr>
      </w:pPr>
    </w:p>
    <w:p w14:paraId="38DBE812">
      <w:pPr>
        <w:spacing w:line="360" w:lineRule="auto"/>
        <w:ind w:firstLine="640" w:firstLineChars="200"/>
        <w:jc w:val="center"/>
        <w:rPr>
          <w:rFonts w:cs="宋体"/>
          <w:b/>
          <w:bCs/>
          <w:color w:val="auto"/>
          <w:sz w:val="32"/>
          <w:szCs w:val="32"/>
          <w:highlight w:val="none"/>
        </w:rPr>
      </w:pPr>
      <w:r>
        <w:rPr>
          <w:rFonts w:hint="eastAsia" w:cs="宋体"/>
          <w:b/>
          <w:bCs/>
          <w:color w:val="auto"/>
          <w:sz w:val="32"/>
          <w:szCs w:val="32"/>
          <w:highlight w:val="none"/>
        </w:rPr>
        <w:t>工程保修服务保障承诺函</w:t>
      </w:r>
    </w:p>
    <w:p w14:paraId="6762DCD8">
      <w:pPr>
        <w:spacing w:line="520" w:lineRule="exact"/>
        <w:ind w:left="-10" w:firstLine="10"/>
        <w:jc w:val="left"/>
        <w:rPr>
          <w:rFonts w:cs="宋体"/>
          <w:bCs/>
          <w:color w:val="auto"/>
          <w:sz w:val="24"/>
          <w:highlight w:val="none"/>
        </w:rPr>
      </w:pPr>
      <w:r>
        <w:rPr>
          <w:rFonts w:hint="eastAsia" w:cs="宋体"/>
          <w:bCs/>
          <w:color w:val="auto"/>
          <w:sz w:val="24"/>
          <w:highlight w:val="none"/>
        </w:rPr>
        <w:t>兴安县人民医院：</w:t>
      </w:r>
    </w:p>
    <w:p w14:paraId="56BF304C">
      <w:pPr>
        <w:spacing w:line="520" w:lineRule="exact"/>
        <w:ind w:left="-10" w:firstLine="520" w:firstLineChars="217"/>
        <w:jc w:val="left"/>
        <w:rPr>
          <w:color w:val="auto"/>
          <w:sz w:val="24"/>
          <w:highlight w:val="none"/>
        </w:rPr>
      </w:pPr>
      <w:r>
        <w:rPr>
          <w:rFonts w:hint="eastAsia" w:cs="宋体"/>
          <w:bCs/>
          <w:color w:val="auto"/>
          <w:sz w:val="24"/>
          <w:highlight w:val="none"/>
        </w:rPr>
        <w:t>我方若成为</w:t>
      </w:r>
      <w:r>
        <w:rPr>
          <w:rFonts w:hint="eastAsia" w:cs="宋体"/>
          <w:bCs/>
          <w:color w:val="auto"/>
          <w:sz w:val="24"/>
          <w:highlight w:val="none"/>
          <w:u w:val="single"/>
        </w:rPr>
        <w:t>（项目名称）</w:t>
      </w:r>
      <w:r>
        <w:rPr>
          <w:rFonts w:hint="eastAsia" w:cs="宋体"/>
          <w:bCs/>
          <w:color w:val="auto"/>
          <w:sz w:val="24"/>
          <w:highlight w:val="none"/>
        </w:rPr>
        <w:t>（项目编号</w:t>
      </w:r>
      <w:r>
        <w:rPr>
          <w:rFonts w:hint="eastAsia" w:cs="宋体"/>
          <w:bCs/>
          <w:color w:val="auto"/>
          <w:sz w:val="24"/>
          <w:highlight w:val="none"/>
          <w:u w:val="single"/>
        </w:rPr>
        <w:t xml:space="preserve">            </w:t>
      </w:r>
      <w:r>
        <w:rPr>
          <w:rFonts w:hint="eastAsia" w:cs="宋体"/>
          <w:bCs/>
          <w:color w:val="auto"/>
          <w:sz w:val="24"/>
          <w:highlight w:val="none"/>
        </w:rPr>
        <w:t>）项目的成交供应商，承诺在工程保修期内，在接到贵单位通知之时起到达工程现场并修复缺陷或损坏工程的时间为</w:t>
      </w:r>
      <w:r>
        <w:rPr>
          <w:rFonts w:hint="eastAsia" w:cs="宋体"/>
          <w:bCs/>
          <w:color w:val="auto"/>
          <w:sz w:val="24"/>
          <w:highlight w:val="none"/>
          <w:u w:val="single"/>
        </w:rPr>
        <w:t xml:space="preserve">    </w:t>
      </w:r>
      <w:r>
        <w:rPr>
          <w:rFonts w:hint="eastAsia" w:cs="宋体"/>
          <w:bCs/>
          <w:color w:val="auto"/>
          <w:sz w:val="24"/>
          <w:highlight w:val="none"/>
        </w:rPr>
        <w:t>小时。如</w:t>
      </w:r>
      <w:r>
        <w:rPr>
          <w:rFonts w:hint="eastAsia" w:ascii="宋体" w:hAnsi="宋体" w:cs="仿宋_GB2312"/>
          <w:color w:val="auto"/>
          <w:sz w:val="24"/>
          <w:highlight w:val="none"/>
        </w:rPr>
        <w:t>未按承诺时间实施的，将依法承担相应责任。</w:t>
      </w:r>
    </w:p>
    <w:p w14:paraId="7FACA7AD">
      <w:pPr>
        <w:spacing w:line="520" w:lineRule="exact"/>
        <w:ind w:left="-10" w:firstLine="455" w:firstLineChars="217"/>
        <w:jc w:val="left"/>
        <w:rPr>
          <w:color w:val="auto"/>
          <w:szCs w:val="21"/>
          <w:highlight w:val="none"/>
        </w:rPr>
      </w:pPr>
    </w:p>
    <w:p w14:paraId="1DA99069">
      <w:pPr>
        <w:spacing w:line="520" w:lineRule="exact"/>
        <w:jc w:val="left"/>
        <w:rPr>
          <w:color w:val="auto"/>
          <w:highlight w:val="none"/>
        </w:rPr>
      </w:pPr>
    </w:p>
    <w:p w14:paraId="0D15C9AA">
      <w:pPr>
        <w:spacing w:line="360" w:lineRule="auto"/>
        <w:ind w:firstLine="4410" w:firstLineChars="2100"/>
        <w:jc w:val="left"/>
        <w:rPr>
          <w:rFonts w:cs="宋体"/>
          <w:color w:val="auto"/>
          <w:highlight w:val="none"/>
        </w:rPr>
      </w:pPr>
    </w:p>
    <w:p w14:paraId="17E6371B">
      <w:pPr>
        <w:wordWrap w:val="0"/>
        <w:spacing w:line="480" w:lineRule="auto"/>
        <w:ind w:left="2699"/>
        <w:rPr>
          <w:color w:val="auto"/>
          <w:sz w:val="24"/>
          <w:highlight w:val="none"/>
        </w:rPr>
      </w:pPr>
      <w:r>
        <w:rPr>
          <w:rFonts w:hint="eastAsia" w:cs="宋体"/>
          <w:color w:val="auto"/>
          <w:sz w:val="24"/>
          <w:highlight w:val="none"/>
        </w:rPr>
        <w:t>供应商：</w:t>
      </w:r>
      <w:r>
        <w:rPr>
          <w:color w:val="auto"/>
          <w:sz w:val="24"/>
          <w:highlight w:val="none"/>
          <w:u w:val="single"/>
        </w:rPr>
        <w:t xml:space="preserve">                    </w:t>
      </w:r>
      <w:r>
        <w:rPr>
          <w:rFonts w:hint="eastAsia" w:cs="宋体"/>
          <w:color w:val="auto"/>
          <w:sz w:val="24"/>
          <w:highlight w:val="none"/>
          <w:u w:val="single"/>
        </w:rPr>
        <w:t>（盖供应商电子签章）</w:t>
      </w:r>
    </w:p>
    <w:p w14:paraId="75DCD10F">
      <w:pPr>
        <w:wordWrap w:val="0"/>
        <w:spacing w:line="480" w:lineRule="auto"/>
        <w:ind w:left="2699"/>
        <w:rPr>
          <w:color w:val="auto"/>
          <w:sz w:val="24"/>
          <w:highlight w:val="none"/>
        </w:rPr>
      </w:pPr>
      <w:r>
        <w:rPr>
          <w:rFonts w:hint="eastAsia" w:cs="宋体"/>
          <w:color w:val="auto"/>
          <w:sz w:val="24"/>
          <w:highlight w:val="none"/>
        </w:rPr>
        <w:t>法定代表人（或委托代理人）：</w:t>
      </w:r>
      <w:r>
        <w:rPr>
          <w:color w:val="auto"/>
          <w:sz w:val="24"/>
          <w:highlight w:val="none"/>
          <w:u w:val="single"/>
        </w:rPr>
        <w:t xml:space="preserve"> </w:t>
      </w:r>
      <w:r>
        <w:rPr>
          <w:rFonts w:hint="eastAsia"/>
          <w:color w:val="auto"/>
          <w:sz w:val="24"/>
          <w:highlight w:val="none"/>
          <w:u w:val="single"/>
        </w:rPr>
        <w:t>（签字或者电子签名）</w:t>
      </w:r>
    </w:p>
    <w:p w14:paraId="334D2CE1">
      <w:pPr>
        <w:wordWrap w:val="0"/>
        <w:spacing w:line="360" w:lineRule="auto"/>
        <w:ind w:firstLine="5040" w:firstLineChars="2100"/>
        <w:rPr>
          <w:rFonts w:cs="宋体"/>
          <w:color w:val="auto"/>
          <w:sz w:val="24"/>
          <w:highlight w:val="none"/>
        </w:rPr>
      </w:pPr>
      <w:r>
        <w:rPr>
          <w:rFonts w:hint="eastAsia" w:cs="宋体"/>
          <w:color w:val="auto"/>
          <w:sz w:val="24"/>
          <w:highlight w:val="none"/>
        </w:rPr>
        <w:t>日期：</w:t>
      </w:r>
      <w:r>
        <w:rPr>
          <w:color w:val="auto"/>
          <w:sz w:val="24"/>
          <w:highlight w:val="none"/>
          <w:u w:val="single"/>
        </w:rPr>
        <w:t xml:space="preserve">       </w:t>
      </w:r>
      <w:r>
        <w:rPr>
          <w:rFonts w:hint="eastAsia" w:cs="宋体"/>
          <w:color w:val="auto"/>
          <w:sz w:val="24"/>
          <w:highlight w:val="none"/>
        </w:rPr>
        <w:t>年</w:t>
      </w:r>
      <w:r>
        <w:rPr>
          <w:color w:val="auto"/>
          <w:sz w:val="24"/>
          <w:highlight w:val="none"/>
          <w:u w:val="single"/>
        </w:rPr>
        <w:t xml:space="preserve">     </w:t>
      </w:r>
      <w:r>
        <w:rPr>
          <w:rFonts w:hint="eastAsia" w:cs="宋体"/>
          <w:color w:val="auto"/>
          <w:sz w:val="24"/>
          <w:highlight w:val="none"/>
        </w:rPr>
        <w:t>月</w:t>
      </w:r>
      <w:r>
        <w:rPr>
          <w:color w:val="auto"/>
          <w:sz w:val="24"/>
          <w:highlight w:val="none"/>
          <w:u w:val="single"/>
        </w:rPr>
        <w:t xml:space="preserve">     </w:t>
      </w:r>
      <w:r>
        <w:rPr>
          <w:rFonts w:hint="eastAsia" w:cs="宋体"/>
          <w:color w:val="auto"/>
          <w:sz w:val="24"/>
          <w:highlight w:val="none"/>
        </w:rPr>
        <w:t>日</w:t>
      </w:r>
    </w:p>
    <w:p w14:paraId="32BF741A">
      <w:pPr>
        <w:spacing w:line="360" w:lineRule="auto"/>
        <w:rPr>
          <w:rFonts w:ascii="宋体" w:hAnsi="宋体"/>
          <w:b/>
          <w:bCs/>
          <w:color w:val="auto"/>
          <w:sz w:val="24"/>
          <w:highlight w:val="none"/>
        </w:rPr>
      </w:pPr>
    </w:p>
    <w:p w14:paraId="75D5E468">
      <w:pPr>
        <w:spacing w:line="360" w:lineRule="auto"/>
        <w:rPr>
          <w:rFonts w:ascii="宋体" w:hAnsi="宋体"/>
          <w:b/>
          <w:bCs/>
          <w:color w:val="auto"/>
          <w:sz w:val="24"/>
          <w:highlight w:val="none"/>
        </w:rPr>
      </w:pPr>
    </w:p>
    <w:p w14:paraId="29A85741">
      <w:pPr>
        <w:spacing w:line="360" w:lineRule="auto"/>
        <w:rPr>
          <w:rFonts w:ascii="宋体" w:hAnsi="宋体"/>
          <w:b/>
          <w:bCs/>
          <w:color w:val="auto"/>
          <w:sz w:val="24"/>
          <w:highlight w:val="none"/>
        </w:rPr>
      </w:pPr>
    </w:p>
    <w:p w14:paraId="3A281AA0">
      <w:pPr>
        <w:spacing w:line="360" w:lineRule="auto"/>
        <w:rPr>
          <w:rFonts w:ascii="宋体" w:hAnsi="宋体"/>
          <w:b/>
          <w:bCs/>
          <w:color w:val="auto"/>
          <w:sz w:val="24"/>
          <w:highlight w:val="none"/>
        </w:rPr>
      </w:pPr>
    </w:p>
    <w:p w14:paraId="2F9246F0">
      <w:pPr>
        <w:spacing w:line="360" w:lineRule="auto"/>
        <w:rPr>
          <w:rFonts w:ascii="宋体" w:hAnsi="宋体"/>
          <w:b/>
          <w:bCs/>
          <w:color w:val="auto"/>
          <w:sz w:val="24"/>
          <w:highlight w:val="none"/>
        </w:rPr>
      </w:pPr>
    </w:p>
    <w:p w14:paraId="19B844B9">
      <w:pPr>
        <w:spacing w:line="360" w:lineRule="auto"/>
        <w:rPr>
          <w:rFonts w:ascii="宋体" w:hAnsi="宋体"/>
          <w:b/>
          <w:bCs/>
          <w:color w:val="auto"/>
          <w:sz w:val="24"/>
          <w:highlight w:val="none"/>
        </w:rPr>
      </w:pPr>
    </w:p>
    <w:p w14:paraId="4D313763">
      <w:pPr>
        <w:spacing w:line="360" w:lineRule="auto"/>
        <w:rPr>
          <w:rFonts w:ascii="宋体" w:hAnsi="宋体"/>
          <w:b/>
          <w:bCs/>
          <w:color w:val="auto"/>
          <w:sz w:val="24"/>
          <w:highlight w:val="none"/>
        </w:rPr>
      </w:pPr>
    </w:p>
    <w:p w14:paraId="7426A40F">
      <w:pPr>
        <w:spacing w:line="360" w:lineRule="auto"/>
        <w:rPr>
          <w:rFonts w:ascii="宋体" w:hAnsi="宋体"/>
          <w:b/>
          <w:bCs/>
          <w:color w:val="auto"/>
          <w:sz w:val="24"/>
          <w:highlight w:val="none"/>
        </w:rPr>
      </w:pPr>
    </w:p>
    <w:p w14:paraId="0970BE27">
      <w:pPr>
        <w:spacing w:line="360" w:lineRule="auto"/>
        <w:rPr>
          <w:rFonts w:ascii="宋体" w:hAnsi="宋体"/>
          <w:b/>
          <w:bCs/>
          <w:color w:val="auto"/>
          <w:sz w:val="24"/>
          <w:highlight w:val="none"/>
        </w:rPr>
      </w:pPr>
    </w:p>
    <w:p w14:paraId="453B8475">
      <w:pPr>
        <w:spacing w:line="360" w:lineRule="auto"/>
        <w:rPr>
          <w:rFonts w:ascii="宋体" w:hAnsi="宋体"/>
          <w:b/>
          <w:bCs/>
          <w:color w:val="auto"/>
          <w:sz w:val="24"/>
          <w:highlight w:val="none"/>
        </w:rPr>
      </w:pPr>
    </w:p>
    <w:p w14:paraId="099E96F7">
      <w:pPr>
        <w:spacing w:line="360" w:lineRule="auto"/>
        <w:rPr>
          <w:rFonts w:ascii="宋体" w:hAnsi="宋体"/>
          <w:b/>
          <w:bCs/>
          <w:color w:val="auto"/>
          <w:sz w:val="24"/>
          <w:highlight w:val="none"/>
        </w:rPr>
      </w:pPr>
    </w:p>
    <w:p w14:paraId="77CD73BE">
      <w:pPr>
        <w:spacing w:line="360" w:lineRule="auto"/>
        <w:rPr>
          <w:rFonts w:ascii="宋体" w:hAnsi="宋体"/>
          <w:b/>
          <w:bCs/>
          <w:color w:val="auto"/>
          <w:sz w:val="24"/>
          <w:highlight w:val="none"/>
        </w:rPr>
      </w:pPr>
    </w:p>
    <w:p w14:paraId="294E21F6">
      <w:pPr>
        <w:spacing w:line="360" w:lineRule="auto"/>
        <w:rPr>
          <w:rFonts w:ascii="宋体" w:hAnsi="宋体"/>
          <w:b/>
          <w:bCs/>
          <w:color w:val="auto"/>
          <w:sz w:val="24"/>
          <w:highlight w:val="none"/>
        </w:rPr>
      </w:pPr>
    </w:p>
    <w:p w14:paraId="1D9DBC3D">
      <w:pPr>
        <w:spacing w:line="360" w:lineRule="auto"/>
        <w:rPr>
          <w:rFonts w:ascii="宋体" w:hAnsi="宋体"/>
          <w:b/>
          <w:bCs/>
          <w:color w:val="auto"/>
          <w:sz w:val="24"/>
          <w:highlight w:val="none"/>
        </w:rPr>
      </w:pPr>
    </w:p>
    <w:p w14:paraId="15AF4A5C">
      <w:pPr>
        <w:spacing w:line="360" w:lineRule="auto"/>
        <w:rPr>
          <w:rFonts w:ascii="宋体" w:hAnsi="宋体"/>
          <w:b/>
          <w:bCs/>
          <w:color w:val="auto"/>
          <w:sz w:val="24"/>
          <w:highlight w:val="none"/>
        </w:rPr>
      </w:pPr>
    </w:p>
    <w:p w14:paraId="57C026E4">
      <w:pPr>
        <w:spacing w:line="360" w:lineRule="auto"/>
        <w:rPr>
          <w:rFonts w:ascii="宋体" w:hAnsi="宋体"/>
          <w:b/>
          <w:bCs/>
          <w:color w:val="auto"/>
          <w:sz w:val="24"/>
          <w:highlight w:val="none"/>
        </w:rPr>
      </w:pPr>
    </w:p>
    <w:p w14:paraId="56307F11">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color w:val="auto"/>
          <w:kern w:val="2"/>
          <w:sz w:val="44"/>
          <w:szCs w:val="44"/>
          <w:highlight w:val="none"/>
        </w:rPr>
      </w:pPr>
      <w:r>
        <w:rPr>
          <w:rFonts w:hint="eastAsia" w:ascii="方正小标宋简体" w:hAnsi="方正小标宋简体" w:eastAsia="方正小标宋简体" w:cs="方正小标宋简体"/>
          <w:color w:val="auto"/>
          <w:kern w:val="2"/>
          <w:sz w:val="44"/>
          <w:szCs w:val="44"/>
          <w:highlight w:val="none"/>
          <w:lang w:val="en-US" w:eastAsia="zh-CN" w:bidi="ar"/>
        </w:rPr>
        <w:t>中小企业声明函（工程）</w:t>
      </w:r>
    </w:p>
    <w:p w14:paraId="41B7258C">
      <w:pPr>
        <w:keepNext w:val="0"/>
        <w:keepLines w:val="0"/>
        <w:widowControl w:val="0"/>
        <w:suppressLineNumbers w:val="0"/>
        <w:spacing w:before="2" w:beforeAutospacing="0" w:after="0" w:afterAutospacing="0" w:line="500" w:lineRule="exact"/>
        <w:ind w:left="0" w:right="0" w:firstLine="705" w:firstLineChars="294"/>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 xml:space="preserve"> </w:t>
      </w:r>
    </w:p>
    <w:p w14:paraId="0C1D0533">
      <w:pPr>
        <w:pStyle w:val="42"/>
        <w:keepNext w:val="0"/>
        <w:keepLines w:val="0"/>
        <w:widowControl w:val="0"/>
        <w:suppressLineNumbers w:val="0"/>
        <w:spacing w:before="0" w:beforeAutospacing="1" w:after="120" w:afterAutospacing="0" w:line="500" w:lineRule="exact"/>
        <w:ind w:left="0" w:right="142" w:firstLine="705" w:firstLineChars="294"/>
        <w:jc w:val="both"/>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本公司郑重声明，根据《政府采购促进中小企业发展管理办法》（财库﹝</w:t>
      </w:r>
      <w:r>
        <w:rPr>
          <w:rFonts w:hint="eastAsia" w:ascii="宋体" w:hAnsi="宋体" w:eastAsia="宋体" w:cs="Times New Roman"/>
          <w:color w:val="auto"/>
          <w:kern w:val="2"/>
          <w:sz w:val="24"/>
          <w:szCs w:val="24"/>
          <w:highlight w:val="none"/>
          <w:lang w:val="en-US" w:eastAsia="zh-CN" w:bidi="ar"/>
        </w:rPr>
        <w:t>2020</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Times New Roman"/>
          <w:color w:val="auto"/>
          <w:kern w:val="2"/>
          <w:sz w:val="24"/>
          <w:szCs w:val="24"/>
          <w:highlight w:val="none"/>
          <w:lang w:val="en-US" w:eastAsia="zh-CN" w:bidi="ar"/>
        </w:rPr>
        <w:t>46号）的规定，本公司参加</w:t>
      </w:r>
      <w:r>
        <w:rPr>
          <w:rFonts w:hint="eastAsia" w:ascii="宋体" w:hAnsi="宋体" w:eastAsia="宋体" w:cs="宋体"/>
          <w:color w:val="auto"/>
          <w:kern w:val="2"/>
          <w:sz w:val="24"/>
          <w:szCs w:val="24"/>
          <w:highlight w:val="none"/>
          <w:u w:val="single"/>
          <w:lang w:val="en-US" w:eastAsia="zh-CN" w:bidi="ar"/>
        </w:rPr>
        <w:t>（单位名称）</w:t>
      </w:r>
      <w:r>
        <w:rPr>
          <w:rFonts w:hint="eastAsia" w:ascii="宋体" w:hAnsi="宋体" w:eastAsia="宋体" w:cs="宋体"/>
          <w:color w:val="auto"/>
          <w:kern w:val="2"/>
          <w:sz w:val="24"/>
          <w:szCs w:val="24"/>
          <w:highlight w:val="none"/>
          <w:lang w:val="en-US" w:eastAsia="zh-CN" w:bidi="ar"/>
        </w:rPr>
        <w:t>的</w:t>
      </w:r>
      <w:r>
        <w:rPr>
          <w:rFonts w:hint="eastAsia" w:ascii="宋体" w:hAnsi="宋体" w:eastAsia="宋体" w:cs="宋体"/>
          <w:color w:val="auto"/>
          <w:kern w:val="2"/>
          <w:sz w:val="24"/>
          <w:szCs w:val="24"/>
          <w:highlight w:val="none"/>
          <w:u w:val="single"/>
          <w:lang w:val="en-US" w:eastAsia="zh-CN" w:bidi="ar"/>
        </w:rPr>
        <w:t>（项目名称）</w:t>
      </w:r>
      <w:r>
        <w:rPr>
          <w:rFonts w:hint="eastAsia" w:ascii="宋体" w:hAnsi="宋体" w:eastAsia="宋体" w:cs="宋体"/>
          <w:color w:val="auto"/>
          <w:kern w:val="2"/>
          <w:sz w:val="24"/>
          <w:szCs w:val="24"/>
          <w:highlight w:val="none"/>
          <w:lang w:val="en-US" w:eastAsia="zh-CN" w:bidi="ar"/>
        </w:rPr>
        <w:t>采购活动，工程的施工单位全部为符合政策要求的中小企业。相关企业的具体情况如下：</w:t>
      </w:r>
    </w:p>
    <w:p w14:paraId="598E441A">
      <w:pPr>
        <w:keepNext w:val="0"/>
        <w:keepLines w:val="0"/>
        <w:widowControl w:val="0"/>
        <w:suppressLineNumbers w:val="0"/>
        <w:tabs>
          <w:tab w:val="left" w:pos="1384"/>
          <w:tab w:val="left" w:pos="4562"/>
          <w:tab w:val="left" w:pos="6803"/>
        </w:tabs>
        <w:spacing w:before="13" w:beforeAutospacing="0" w:after="0" w:afterAutospacing="0" w:line="500" w:lineRule="exact"/>
        <w:ind w:left="0" w:right="142" w:firstLine="772" w:firstLineChars="322"/>
        <w:jc w:val="both"/>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u w:val="single"/>
          <w:lang w:val="en-US" w:eastAsia="zh-CN" w:bidi="ar"/>
        </w:rPr>
        <w:t>（标的名称）</w:t>
      </w:r>
      <w:r>
        <w:rPr>
          <w:rFonts w:hint="eastAsia" w:ascii="宋体" w:hAnsi="宋体" w:eastAsia="宋体" w:cs="宋体"/>
          <w:color w:val="auto"/>
          <w:kern w:val="2"/>
          <w:sz w:val="24"/>
          <w:szCs w:val="24"/>
          <w:highlight w:val="none"/>
          <w:lang w:val="en-US" w:eastAsia="zh-CN" w:bidi="ar"/>
        </w:rPr>
        <w:t>，属于</w:t>
      </w:r>
      <w:r>
        <w:rPr>
          <w:rFonts w:hint="eastAsia" w:ascii="宋体" w:hAnsi="宋体" w:eastAsia="宋体" w:cs="宋体"/>
          <w:color w:val="auto"/>
          <w:kern w:val="2"/>
          <w:sz w:val="24"/>
          <w:szCs w:val="24"/>
          <w:highlight w:val="none"/>
          <w:u w:val="single"/>
          <w:lang w:val="en-US" w:eastAsia="zh-CN" w:bidi="ar"/>
        </w:rPr>
        <w:t>建筑业</w:t>
      </w:r>
      <w:r>
        <w:rPr>
          <w:rFonts w:hint="eastAsia" w:ascii="宋体" w:hAnsi="宋体" w:eastAsia="宋体" w:cs="宋体"/>
          <w:color w:val="auto"/>
          <w:kern w:val="2"/>
          <w:sz w:val="24"/>
          <w:szCs w:val="24"/>
          <w:highlight w:val="none"/>
          <w:lang w:val="en-US" w:eastAsia="zh-CN" w:bidi="ar"/>
        </w:rPr>
        <w:t>；承建企业为</w:t>
      </w:r>
      <w:r>
        <w:rPr>
          <w:rFonts w:hint="eastAsia" w:ascii="宋体" w:hAnsi="宋体" w:eastAsia="宋体" w:cs="宋体"/>
          <w:color w:val="auto"/>
          <w:kern w:val="2"/>
          <w:sz w:val="24"/>
          <w:szCs w:val="24"/>
          <w:highlight w:val="none"/>
          <w:u w:val="single"/>
          <w:lang w:val="en-US" w:eastAsia="zh-CN" w:bidi="ar"/>
        </w:rPr>
        <w:t>（企业名称）</w:t>
      </w:r>
      <w:r>
        <w:rPr>
          <w:rFonts w:hint="eastAsia" w:ascii="宋体" w:hAnsi="宋体" w:eastAsia="宋体" w:cs="宋体"/>
          <w:color w:val="auto"/>
          <w:kern w:val="2"/>
          <w:sz w:val="24"/>
          <w:szCs w:val="24"/>
          <w:highlight w:val="none"/>
          <w:lang w:val="en-US" w:eastAsia="zh-CN" w:bidi="ar"/>
        </w:rPr>
        <w:t>，从业人员</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人，营业收入为</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万元，资产总额为</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万元，属于</w:t>
      </w:r>
      <w:r>
        <w:rPr>
          <w:rFonts w:hint="eastAsia" w:ascii="宋体" w:hAnsi="宋体" w:eastAsia="宋体" w:cs="宋体"/>
          <w:color w:val="auto"/>
          <w:kern w:val="2"/>
          <w:sz w:val="24"/>
          <w:szCs w:val="24"/>
          <w:highlight w:val="none"/>
          <w:u w:val="single"/>
          <w:lang w:val="en-US" w:eastAsia="zh-CN" w:bidi="ar"/>
        </w:rPr>
        <w:t>（中型企业、小型企业、微型企业）</w:t>
      </w:r>
      <w:r>
        <w:rPr>
          <w:rFonts w:hint="eastAsia" w:ascii="宋体" w:hAnsi="宋体" w:eastAsia="宋体" w:cs="宋体"/>
          <w:color w:val="auto"/>
          <w:kern w:val="2"/>
          <w:sz w:val="24"/>
          <w:szCs w:val="24"/>
          <w:highlight w:val="none"/>
          <w:lang w:val="en-US" w:eastAsia="zh-CN" w:bidi="ar"/>
        </w:rPr>
        <w:t>；</w:t>
      </w:r>
    </w:p>
    <w:p w14:paraId="7BCDFA8A">
      <w:pPr>
        <w:pStyle w:val="42"/>
        <w:keepNext w:val="0"/>
        <w:keepLines w:val="0"/>
        <w:widowControl w:val="0"/>
        <w:suppressLineNumbers w:val="0"/>
        <w:spacing w:before="34" w:beforeAutospacing="0" w:after="120" w:afterAutospacing="0" w:line="500" w:lineRule="exact"/>
        <w:ind w:left="0" w:right="142" w:firstLine="705" w:firstLineChars="294"/>
        <w:jc w:val="both"/>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以上企业，不属于大企业的分支机构，不存在控股股东为大企业的情形，也不存在与大企业的负责人为同一人的情形。</w:t>
      </w:r>
    </w:p>
    <w:p w14:paraId="17D9E9CD">
      <w:pPr>
        <w:pStyle w:val="42"/>
        <w:keepNext w:val="0"/>
        <w:keepLines w:val="0"/>
        <w:widowControl w:val="0"/>
        <w:suppressLineNumbers w:val="0"/>
        <w:spacing w:before="25" w:beforeAutospacing="0" w:after="120" w:afterAutospacing="0" w:line="500" w:lineRule="exact"/>
        <w:ind w:left="0" w:right="142" w:firstLine="705" w:firstLineChars="294"/>
        <w:jc w:val="both"/>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本企业对上述声明内容的真实性负责。如有虚假，将依法承担相应责任。</w:t>
      </w:r>
    </w:p>
    <w:p w14:paraId="0827FD98">
      <w:pPr>
        <w:pStyle w:val="42"/>
        <w:keepNext w:val="0"/>
        <w:keepLines w:val="0"/>
        <w:widowControl w:val="0"/>
        <w:suppressLineNumbers w:val="0"/>
        <w:spacing w:before="56" w:beforeAutospacing="0" w:after="120" w:afterAutospacing="0" w:line="500" w:lineRule="exact"/>
        <w:ind w:left="0" w:right="1808" w:firstLine="705" w:firstLineChars="294"/>
        <w:jc w:val="both"/>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 xml:space="preserve"> </w:t>
      </w:r>
    </w:p>
    <w:p w14:paraId="136B3EA6">
      <w:pPr>
        <w:pStyle w:val="42"/>
        <w:keepNext w:val="0"/>
        <w:keepLines w:val="0"/>
        <w:widowControl w:val="0"/>
        <w:suppressLineNumbers w:val="0"/>
        <w:spacing w:before="56" w:beforeAutospacing="0" w:after="120" w:afterAutospacing="0" w:line="500" w:lineRule="exact"/>
        <w:ind w:left="0" w:right="650" w:firstLine="5625" w:firstLineChars="2344"/>
        <w:jc w:val="both"/>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企业名称（电子签章）：</w:t>
      </w:r>
      <w:r>
        <w:rPr>
          <w:rFonts w:hint="eastAsia" w:ascii="宋体" w:hAnsi="宋体" w:eastAsia="宋体" w:cs="Times New Roman"/>
          <w:color w:val="auto"/>
          <w:kern w:val="2"/>
          <w:sz w:val="24"/>
          <w:szCs w:val="24"/>
          <w:highlight w:val="none"/>
          <w:lang w:val="en-US" w:eastAsia="zh-CN" w:bidi="ar"/>
        </w:rPr>
        <w:t xml:space="preserve"> </w:t>
      </w:r>
    </w:p>
    <w:p w14:paraId="500AC32A">
      <w:pPr>
        <w:pStyle w:val="42"/>
        <w:keepNext w:val="0"/>
        <w:keepLines w:val="0"/>
        <w:widowControl w:val="0"/>
        <w:suppressLineNumbers w:val="0"/>
        <w:spacing w:before="56" w:beforeAutospacing="0" w:after="120" w:afterAutospacing="0" w:line="500" w:lineRule="exact"/>
        <w:ind w:left="0" w:right="1808" w:firstLine="5625" w:firstLineChars="2344"/>
        <w:jc w:val="both"/>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期：</w:t>
      </w:r>
    </w:p>
    <w:p w14:paraId="5FA1C03A">
      <w:pPr>
        <w:keepNext w:val="0"/>
        <w:keepLines w:val="0"/>
        <w:widowControl w:val="0"/>
        <w:suppressLineNumbers w:val="0"/>
        <w:spacing w:before="0" w:beforeAutospacing="0" w:after="0" w:afterAutospacing="0" w:line="520" w:lineRule="exact"/>
        <w:ind w:left="0" w:right="0"/>
        <w:jc w:val="left"/>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6520F09B">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br w:type="page"/>
      </w:r>
    </w:p>
    <w:p w14:paraId="72EDBD9A">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 xml:space="preserve"> </w:t>
      </w:r>
    </w:p>
    <w:p w14:paraId="20B7019C">
      <w:pPr>
        <w:keepNext w:val="0"/>
        <w:keepLines w:val="0"/>
        <w:widowControl w:val="0"/>
        <w:suppressLineNumbers w:val="0"/>
        <w:spacing w:before="0" w:beforeAutospacing="0" w:after="0" w:afterAutospacing="0" w:line="520" w:lineRule="exact"/>
        <w:ind w:left="0" w:right="0"/>
        <w:jc w:val="center"/>
        <w:rPr>
          <w:rFonts w:hint="default" w:ascii="仿宋_GB2312" w:eastAsia="仿宋_GB2312" w:cs="仿宋_GB2312"/>
          <w:color w:val="auto"/>
          <w:kern w:val="2"/>
          <w:sz w:val="32"/>
          <w:szCs w:val="32"/>
          <w:highlight w:val="none"/>
        </w:rPr>
      </w:pPr>
      <w:r>
        <w:rPr>
          <w:rFonts w:hint="eastAsia" w:ascii="方正小标宋简体" w:hAnsi="方正小标宋简体" w:eastAsia="方正小标宋简体" w:cs="方正小标宋简体"/>
          <w:color w:val="auto"/>
          <w:kern w:val="2"/>
          <w:sz w:val="44"/>
          <w:szCs w:val="44"/>
          <w:highlight w:val="none"/>
          <w:lang w:val="en-US" w:eastAsia="zh-CN" w:bidi="ar"/>
        </w:rPr>
        <w:t>残疾人福利性单位声明函</w:t>
      </w:r>
    </w:p>
    <w:p w14:paraId="199B956D">
      <w:pPr>
        <w:keepNext w:val="0"/>
        <w:keepLines w:val="0"/>
        <w:widowControl w:val="0"/>
        <w:suppressLineNumbers w:val="0"/>
        <w:spacing w:before="0" w:beforeAutospacing="0" w:after="0" w:afterAutospacing="0" w:line="360" w:lineRule="auto"/>
        <w:ind w:left="0" w:right="0"/>
        <w:contextualSpacing/>
        <w:jc w:val="both"/>
        <w:rPr>
          <w:rFonts w:hint="default" w:ascii="仿宋_GB2312" w:eastAsia="仿宋_GB2312" w:cs="仿宋_GB2312"/>
          <w:color w:val="auto"/>
          <w:kern w:val="2"/>
          <w:sz w:val="32"/>
          <w:szCs w:val="32"/>
          <w:highlight w:val="none"/>
        </w:rPr>
      </w:pPr>
      <w:r>
        <w:rPr>
          <w:rFonts w:hint="default" w:ascii="仿宋_GB2312" w:hAnsi="Times New Roman" w:eastAsia="仿宋_GB2312" w:cs="仿宋_GB2312"/>
          <w:color w:val="auto"/>
          <w:kern w:val="2"/>
          <w:sz w:val="32"/>
          <w:szCs w:val="32"/>
          <w:highlight w:val="none"/>
          <w:lang w:val="en-US" w:eastAsia="zh-CN" w:bidi="ar"/>
        </w:rPr>
        <w:t xml:space="preserve"> </w:t>
      </w:r>
    </w:p>
    <w:p w14:paraId="69896530">
      <w:pPr>
        <w:keepNext w:val="0"/>
        <w:keepLines w:val="0"/>
        <w:widowControl w:val="0"/>
        <w:suppressLineNumbers w:val="0"/>
        <w:spacing w:before="0" w:beforeAutospacing="0" w:after="0" w:afterAutospacing="0" w:line="360" w:lineRule="auto"/>
        <w:ind w:left="0" w:right="0" w:firstLine="480" w:firstLineChars="200"/>
        <w:contextualSpacing/>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本单位郑重声明，根据《财政部</w:t>
      </w: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民政部</w:t>
      </w: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中国残疾人联合会关于促进残疾人就业政府采购政策的通知》（财库〔2017〕141号）的规定，本单位为符合条件的残疾人福利性单位，且本单位参加</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单位的</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项目采购活动提供本单位制造的货物（由本单位承担工程/提供服务），或者提供其他残疾人福利性单位制造的货物（不包括使用非残疾人福利性单位注册商标的货物）。</w:t>
      </w:r>
    </w:p>
    <w:p w14:paraId="09B47B81">
      <w:pPr>
        <w:keepNext w:val="0"/>
        <w:keepLines w:val="0"/>
        <w:widowControl w:val="0"/>
        <w:suppressLineNumbers w:val="0"/>
        <w:spacing w:before="0" w:beforeAutospacing="0" w:after="0" w:afterAutospacing="0" w:line="360" w:lineRule="auto"/>
        <w:ind w:left="0" w:right="0" w:firstLine="480" w:firstLineChars="200"/>
        <w:contextualSpacing/>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本单位对上述声明的真实性负责。如有虚假，将依法承担相应责任。</w:t>
      </w:r>
    </w:p>
    <w:p w14:paraId="4DD5B822">
      <w:pPr>
        <w:keepNext w:val="0"/>
        <w:keepLines w:val="0"/>
        <w:widowControl w:val="0"/>
        <w:suppressLineNumbers w:val="0"/>
        <w:spacing w:before="0" w:beforeAutospacing="0" w:after="0" w:afterAutospacing="0" w:line="360" w:lineRule="auto"/>
        <w:ind w:left="0" w:right="0"/>
        <w:contextualSpacing/>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708EED5E">
      <w:pPr>
        <w:keepNext w:val="0"/>
        <w:keepLines w:val="0"/>
        <w:widowControl w:val="0"/>
        <w:suppressLineNumbers w:val="0"/>
        <w:spacing w:before="0" w:beforeAutospacing="0" w:after="0" w:afterAutospacing="0" w:line="360" w:lineRule="auto"/>
        <w:ind w:left="0" w:right="0"/>
        <w:contextualSpacing/>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23132F58">
      <w:pPr>
        <w:keepNext w:val="0"/>
        <w:keepLines w:val="0"/>
        <w:widowControl w:val="0"/>
        <w:suppressLineNumbers w:val="0"/>
        <w:spacing w:before="0" w:beforeAutospacing="0" w:after="0" w:afterAutospacing="0" w:line="360" w:lineRule="auto"/>
        <w:ind w:left="0" w:right="0"/>
        <w:contextualSpacing/>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6FCFE176">
      <w:pPr>
        <w:keepNext w:val="0"/>
        <w:keepLines w:val="0"/>
        <w:widowControl w:val="0"/>
        <w:suppressLineNumbers w:val="0"/>
        <w:spacing w:before="0" w:beforeAutospacing="0" w:after="0" w:afterAutospacing="0" w:line="360" w:lineRule="auto"/>
        <w:ind w:left="0" w:right="0" w:firstLine="2400" w:firstLineChars="1000"/>
        <w:contextualSpacing/>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单位名称（电子签章）：</w:t>
      </w:r>
    </w:p>
    <w:p w14:paraId="4D269623">
      <w:pPr>
        <w:keepNext w:val="0"/>
        <w:keepLines w:val="0"/>
        <w:widowControl w:val="0"/>
        <w:suppressLineNumbers w:val="0"/>
        <w:spacing w:before="0" w:beforeAutospacing="0" w:after="0" w:afterAutospacing="0" w:line="360" w:lineRule="auto"/>
        <w:ind w:left="0" w:right="0" w:firstLine="3600" w:firstLineChars="1500"/>
        <w:contextualSpacing/>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期：</w:t>
      </w:r>
    </w:p>
    <w:p w14:paraId="631AB4CA">
      <w:pPr>
        <w:keepNext w:val="0"/>
        <w:keepLines w:val="0"/>
        <w:widowControl w:val="0"/>
        <w:suppressLineNumbers w:val="0"/>
        <w:spacing w:before="0" w:beforeAutospacing="0" w:after="0" w:afterAutospacing="0" w:line="360" w:lineRule="auto"/>
        <w:ind w:left="0" w:right="0"/>
        <w:contextualSpacing/>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077211D3">
      <w:pPr>
        <w:keepNext w:val="0"/>
        <w:keepLines w:val="0"/>
        <w:widowControl w:val="0"/>
        <w:suppressLineNumbers w:val="0"/>
        <w:spacing w:before="0" w:beforeAutospacing="0" w:after="0" w:afterAutospacing="0" w:line="360" w:lineRule="auto"/>
        <w:ind w:left="0" w:right="0"/>
        <w:contextualSpacing/>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5DBE862F">
      <w:pPr>
        <w:keepNext w:val="0"/>
        <w:keepLines w:val="0"/>
        <w:widowControl w:val="0"/>
        <w:suppressLineNumbers w:val="0"/>
        <w:spacing w:before="0" w:beforeAutospacing="0" w:after="0" w:afterAutospacing="0" w:line="360" w:lineRule="auto"/>
        <w:ind w:left="0" w:right="0"/>
        <w:contextualSpacing/>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7DF2656B">
      <w:pPr>
        <w:keepNext w:val="0"/>
        <w:keepLines w:val="0"/>
        <w:widowControl w:val="0"/>
        <w:suppressLineNumbers w:val="0"/>
        <w:spacing w:before="0" w:beforeAutospacing="0" w:after="0" w:afterAutospacing="0" w:line="360" w:lineRule="auto"/>
        <w:ind w:left="0" w:right="0"/>
        <w:contextualSpacing/>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注：请根据自己的真实情况出具《残疾人福利性单位声明函》。依法享受中小企业优惠政策的，采购人或者采购代理机构在公告成交结果时，同时公告其《残疾人福利性单位声明函》，接受社会监督。</w:t>
      </w:r>
    </w:p>
    <w:p w14:paraId="411E5B54">
      <w:pPr>
        <w:pStyle w:val="42"/>
        <w:keepNext w:val="0"/>
        <w:keepLines w:val="0"/>
        <w:widowControl w:val="0"/>
        <w:suppressLineNumbers w:val="0"/>
        <w:tabs>
          <w:tab w:val="left" w:pos="7575"/>
        </w:tabs>
        <w:spacing w:before="0" w:beforeAutospacing="1" w:after="120" w:afterAutospacing="0" w:line="480" w:lineRule="auto"/>
        <w:ind w:left="420" w:leftChars="200" w:right="0"/>
        <w:jc w:val="both"/>
        <w:rPr>
          <w:rFonts w:hint="eastAsia" w:ascii="宋体" w:hAnsi="宋体" w:eastAsia="宋体" w:cs="Times New Roman"/>
          <w:b/>
          <w:bCs/>
          <w:color w:val="auto"/>
          <w:kern w:val="2"/>
          <w:sz w:val="32"/>
          <w:szCs w:val="32"/>
          <w:highlight w:val="none"/>
        </w:rPr>
      </w:pPr>
      <w:r>
        <w:rPr>
          <w:rFonts w:hint="eastAsia" w:ascii="宋体" w:hAnsi="宋体" w:eastAsia="宋体" w:cs="Times New Roman"/>
          <w:b/>
          <w:bCs/>
          <w:color w:val="auto"/>
          <w:kern w:val="2"/>
          <w:sz w:val="32"/>
          <w:szCs w:val="32"/>
          <w:highlight w:val="none"/>
          <w:lang w:val="en-US" w:eastAsia="zh-CN" w:bidi="ar"/>
        </w:rPr>
        <w:tab/>
      </w:r>
    </w:p>
    <w:p w14:paraId="720CCBBF">
      <w:pPr>
        <w:spacing w:line="360" w:lineRule="auto"/>
        <w:rPr>
          <w:rFonts w:ascii="宋体" w:hAnsi="宋体"/>
          <w:b/>
          <w:bCs/>
          <w:color w:val="auto"/>
          <w:sz w:val="24"/>
          <w:highlight w:val="none"/>
        </w:rPr>
      </w:pPr>
    </w:p>
    <w:p w14:paraId="6F36F3C9">
      <w:pPr>
        <w:spacing w:line="360" w:lineRule="auto"/>
        <w:rPr>
          <w:rFonts w:ascii="宋体" w:hAnsi="宋体"/>
          <w:b/>
          <w:bCs/>
          <w:color w:val="auto"/>
          <w:sz w:val="24"/>
          <w:highlight w:val="none"/>
        </w:rPr>
      </w:pPr>
    </w:p>
    <w:p w14:paraId="17554F61">
      <w:pPr>
        <w:spacing w:line="360" w:lineRule="auto"/>
        <w:rPr>
          <w:rFonts w:ascii="宋体" w:hAnsi="宋体"/>
          <w:b/>
          <w:bCs/>
          <w:color w:val="auto"/>
          <w:sz w:val="24"/>
          <w:highlight w:val="none"/>
        </w:rPr>
      </w:pPr>
    </w:p>
    <w:p w14:paraId="3ED2EBAB">
      <w:pPr>
        <w:spacing w:line="360" w:lineRule="auto"/>
        <w:rPr>
          <w:rFonts w:ascii="宋体" w:hAnsi="宋体"/>
          <w:b/>
          <w:bCs/>
          <w:color w:val="auto"/>
          <w:sz w:val="24"/>
          <w:highlight w:val="none"/>
        </w:rPr>
      </w:pPr>
    </w:p>
    <w:p w14:paraId="3CA7D823">
      <w:pPr>
        <w:spacing w:line="360" w:lineRule="auto"/>
        <w:rPr>
          <w:rFonts w:ascii="宋体" w:hAnsi="宋体"/>
          <w:b/>
          <w:bCs/>
          <w:color w:val="auto"/>
          <w:sz w:val="24"/>
          <w:highlight w:val="none"/>
        </w:rPr>
      </w:pPr>
    </w:p>
    <w:p w14:paraId="0E1B8877">
      <w:pPr>
        <w:spacing w:line="360" w:lineRule="auto"/>
        <w:rPr>
          <w:rFonts w:ascii="宋体" w:hAnsi="宋体"/>
          <w:b/>
          <w:bCs/>
          <w:color w:val="auto"/>
          <w:sz w:val="24"/>
          <w:highlight w:val="none"/>
        </w:rPr>
      </w:pPr>
    </w:p>
    <w:p w14:paraId="514EF739">
      <w:pPr>
        <w:spacing w:line="360" w:lineRule="auto"/>
        <w:rPr>
          <w:rFonts w:ascii="宋体" w:hAnsi="宋体"/>
          <w:b/>
          <w:bCs/>
          <w:color w:val="auto"/>
          <w:sz w:val="24"/>
          <w:highlight w:val="none"/>
        </w:rPr>
      </w:pPr>
    </w:p>
    <w:p w14:paraId="0E7E287A">
      <w:pPr>
        <w:spacing w:line="360" w:lineRule="auto"/>
        <w:rPr>
          <w:rFonts w:ascii="宋体" w:hAnsi="宋体"/>
          <w:color w:val="auto"/>
          <w:szCs w:val="21"/>
          <w:highlight w:val="none"/>
        </w:rPr>
      </w:pPr>
      <w:r>
        <w:rPr>
          <w:rFonts w:hint="eastAsia" w:ascii="宋体" w:hAnsi="宋体"/>
          <w:b/>
          <w:bCs/>
          <w:color w:val="auto"/>
          <w:sz w:val="24"/>
          <w:highlight w:val="none"/>
        </w:rPr>
        <w:t>其他文书、文件格式</w:t>
      </w:r>
    </w:p>
    <w:p w14:paraId="18E398C7">
      <w:pPr>
        <w:spacing w:line="460" w:lineRule="exact"/>
        <w:jc w:val="center"/>
        <w:rPr>
          <w:rFonts w:ascii="宋体" w:hAnsi="宋体" w:cs="宋体"/>
          <w:color w:val="auto"/>
          <w:sz w:val="44"/>
          <w:highlight w:val="none"/>
        </w:rPr>
      </w:pPr>
    </w:p>
    <w:p w14:paraId="6E68D691">
      <w:pPr>
        <w:spacing w:line="460" w:lineRule="exact"/>
        <w:jc w:val="center"/>
        <w:rPr>
          <w:rFonts w:ascii="宋体" w:hAnsi="宋体" w:cs="宋体"/>
          <w:color w:val="auto"/>
          <w:sz w:val="44"/>
          <w:highlight w:val="none"/>
        </w:rPr>
      </w:pPr>
      <w:r>
        <w:rPr>
          <w:rFonts w:hint="eastAsia" w:ascii="宋体" w:hAnsi="宋体" w:cs="宋体"/>
          <w:color w:val="auto"/>
          <w:sz w:val="44"/>
          <w:highlight w:val="none"/>
        </w:rPr>
        <w:t>桂林市政府采购项目合同验收书（格式）</w:t>
      </w:r>
    </w:p>
    <w:p w14:paraId="46FC756E">
      <w:pPr>
        <w:widowControl/>
        <w:spacing w:line="600" w:lineRule="atLeast"/>
        <w:jc w:val="center"/>
        <w:rPr>
          <w:rFonts w:ascii="方正小标宋简体" w:hAnsi="仿宋" w:eastAsia="方正小标宋简体"/>
          <w:color w:val="auto"/>
          <w:kern w:val="0"/>
          <w:sz w:val="36"/>
          <w:szCs w:val="36"/>
          <w:highlight w:val="none"/>
        </w:rPr>
      </w:pPr>
    </w:p>
    <w:p w14:paraId="5E31E76F">
      <w:pPr>
        <w:widowControl/>
        <w:spacing w:line="460" w:lineRule="exact"/>
        <w:ind w:firstLine="482"/>
        <w:jc w:val="left"/>
        <w:rPr>
          <w:rFonts w:ascii="宋体" w:hAnsi="宋体"/>
          <w:color w:val="auto"/>
          <w:kern w:val="0"/>
          <w:sz w:val="30"/>
          <w:szCs w:val="30"/>
          <w:highlight w:val="none"/>
        </w:rPr>
      </w:pPr>
      <w:r>
        <w:rPr>
          <w:rFonts w:hint="eastAsia" w:ascii="宋体" w:hAnsi="宋体" w:cs="仿宋"/>
          <w:color w:val="auto"/>
          <w:kern w:val="0"/>
          <w:highlight w:val="none"/>
        </w:rPr>
        <w:t>根据政府采购项目（</w:t>
      </w:r>
      <w:r>
        <w:rPr>
          <w:rFonts w:hint="eastAsia" w:ascii="宋体" w:hAnsi="宋体" w:cs="仿宋"/>
          <w:color w:val="auto"/>
          <w:kern w:val="0"/>
          <w:highlight w:val="none"/>
          <w:u w:val="single"/>
        </w:rPr>
        <w:t>采购合同编号：</w:t>
      </w:r>
      <w:r>
        <w:rPr>
          <w:rFonts w:ascii="宋体" w:hAnsi="宋体"/>
          <w:color w:val="auto"/>
          <w:kern w:val="0"/>
          <w:highlight w:val="none"/>
          <w:u w:val="single"/>
        </w:rPr>
        <w:softHyphen/>
      </w:r>
      <w:r>
        <w:rPr>
          <w:rFonts w:ascii="宋体" w:hAnsi="宋体"/>
          <w:color w:val="auto"/>
          <w:kern w:val="0"/>
          <w:highlight w:val="none"/>
          <w:u w:val="single"/>
        </w:rPr>
        <w:t>   </w:t>
      </w:r>
      <w:r>
        <w:rPr>
          <w:rFonts w:hint="eastAsia" w:ascii="宋体" w:hAnsi="宋体" w:cs="仿宋"/>
          <w:color w:val="auto"/>
          <w:kern w:val="0"/>
          <w:highlight w:val="none"/>
        </w:rPr>
        <w:t>）的约定，采购人对（</w:t>
      </w:r>
      <w:r>
        <w:rPr>
          <w:rFonts w:ascii="宋体" w:hAnsi="宋体"/>
          <w:color w:val="auto"/>
          <w:kern w:val="0"/>
          <w:highlight w:val="none"/>
          <w:u w:val="single"/>
        </w:rPr>
        <w:t> </w:t>
      </w:r>
      <w:r>
        <w:rPr>
          <w:rFonts w:hint="eastAsia" w:ascii="宋体" w:hAnsi="宋体" w:cs="仿宋"/>
          <w:color w:val="auto"/>
          <w:kern w:val="0"/>
          <w:highlight w:val="none"/>
          <w:u w:val="single"/>
        </w:rPr>
        <w:t>项目名称</w:t>
      </w:r>
      <w:r>
        <w:rPr>
          <w:rFonts w:ascii="宋体" w:hAnsi="宋体"/>
          <w:color w:val="auto"/>
          <w:kern w:val="0"/>
          <w:highlight w:val="none"/>
          <w:u w:val="single"/>
        </w:rPr>
        <w:t>   </w:t>
      </w:r>
      <w:r>
        <w:rPr>
          <w:rFonts w:hint="eastAsia" w:ascii="宋体" w:hAnsi="宋体" w:cs="仿宋"/>
          <w:color w:val="auto"/>
          <w:kern w:val="0"/>
          <w:highlight w:val="none"/>
        </w:rPr>
        <w:t>）政府采购项目成交供应商（</w:t>
      </w:r>
      <w:r>
        <w:rPr>
          <w:rFonts w:ascii="宋体" w:hAnsi="宋体"/>
          <w:color w:val="auto"/>
          <w:kern w:val="0"/>
          <w:highlight w:val="none"/>
          <w:u w:val="single"/>
        </w:rPr>
        <w:t>      </w:t>
      </w:r>
      <w:r>
        <w:rPr>
          <w:rFonts w:hint="eastAsia" w:ascii="宋体" w:hAnsi="宋体" w:cs="仿宋"/>
          <w:color w:val="auto"/>
          <w:kern w:val="0"/>
          <w:highlight w:val="none"/>
          <w:u w:val="single"/>
        </w:rPr>
        <w:t>公司名称</w:t>
      </w:r>
      <w:r>
        <w:rPr>
          <w:rFonts w:ascii="宋体" w:hAnsi="宋体"/>
          <w:color w:val="auto"/>
          <w:kern w:val="0"/>
          <w:highlight w:val="none"/>
          <w:u w:val="single"/>
        </w:rPr>
        <w:t>         </w:t>
      </w:r>
      <w:r>
        <w:rPr>
          <w:rFonts w:hint="eastAsia" w:ascii="宋体" w:hAnsi="宋体" w:cs="仿宋"/>
          <w:color w:val="auto"/>
          <w:kern w:val="0"/>
          <w:highlight w:val="none"/>
        </w:rPr>
        <w:t>）提供的服务进行了验收，验收情况如下：</w:t>
      </w:r>
    </w:p>
    <w:tbl>
      <w:tblPr>
        <w:tblStyle w:val="46"/>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27"/>
        <w:gridCol w:w="2294"/>
        <w:gridCol w:w="946"/>
        <w:gridCol w:w="2495"/>
        <w:gridCol w:w="205"/>
        <w:gridCol w:w="793"/>
        <w:gridCol w:w="1367"/>
      </w:tblGrid>
      <w:tr w14:paraId="201B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821" w:type="dxa"/>
            <w:gridSpan w:val="2"/>
            <w:vAlign w:val="center"/>
          </w:tcPr>
          <w:p w14:paraId="3B886B6F">
            <w:pPr>
              <w:keepNext w:val="0"/>
              <w:keepLines w:val="0"/>
              <w:widowControl/>
              <w:suppressLineNumbers w:val="0"/>
              <w:spacing w:before="0" w:beforeAutospacing="0" w:after="0" w:afterAutospacing="0" w:line="320" w:lineRule="atLeast"/>
              <w:ind w:left="0" w:right="0" w:firstLine="5"/>
              <w:jc w:val="center"/>
              <w:rPr>
                <w:rFonts w:hint="default" w:ascii="宋体"/>
                <w:color w:val="auto"/>
                <w:kern w:val="0"/>
                <w:highlight w:val="none"/>
              </w:rPr>
            </w:pPr>
            <w:r>
              <w:rPr>
                <w:rFonts w:hint="eastAsia" w:ascii="宋体" w:hAnsi="宋体" w:cs="宋体"/>
                <w:color w:val="auto"/>
                <w:kern w:val="0"/>
                <w:highlight w:val="none"/>
              </w:rPr>
              <w:t>验收方式：</w:t>
            </w:r>
          </w:p>
        </w:tc>
        <w:tc>
          <w:tcPr>
            <w:tcW w:w="5806" w:type="dxa"/>
            <w:gridSpan w:val="5"/>
            <w:vAlign w:val="center"/>
          </w:tcPr>
          <w:p w14:paraId="7B8E608E">
            <w:pPr>
              <w:keepNext w:val="0"/>
              <w:keepLines w:val="0"/>
              <w:widowControl/>
              <w:suppressLineNumbers w:val="0"/>
              <w:spacing w:before="0" w:beforeAutospacing="0" w:after="0" w:afterAutospacing="0" w:line="320" w:lineRule="atLeast"/>
              <w:ind w:left="0" w:right="0" w:firstLine="480"/>
              <w:jc w:val="center"/>
              <w:rPr>
                <w:rFonts w:hint="default" w:ascii="宋体"/>
                <w:color w:val="auto"/>
                <w:kern w:val="0"/>
                <w:highlight w:val="none"/>
              </w:rPr>
            </w:pPr>
            <w:r>
              <w:rPr>
                <w:rFonts w:hint="eastAsia" w:ascii="宋体" w:cs="宋体"/>
                <w:color w:val="auto"/>
                <w:kern w:val="0"/>
                <w:highlight w:val="none"/>
              </w:rPr>
              <w:t>□</w:t>
            </w:r>
            <w:r>
              <w:rPr>
                <w:rFonts w:hint="eastAsia" w:ascii="宋体" w:hAnsi="宋体" w:cs="宋体"/>
                <w:color w:val="auto"/>
                <w:kern w:val="0"/>
                <w:highlight w:val="none"/>
              </w:rPr>
              <w:t>自行验收</w:t>
            </w:r>
            <w:r>
              <w:rPr>
                <w:rFonts w:hint="default" w:ascii="宋体"/>
                <w:color w:val="auto"/>
                <w:kern w:val="0"/>
                <w:highlight w:val="none"/>
              </w:rPr>
              <w:t>        </w:t>
            </w:r>
            <w:r>
              <w:rPr>
                <w:rFonts w:hint="eastAsia" w:ascii="宋体" w:cs="宋体"/>
                <w:color w:val="auto"/>
                <w:kern w:val="0"/>
                <w:highlight w:val="none"/>
              </w:rPr>
              <w:t>□</w:t>
            </w:r>
            <w:r>
              <w:rPr>
                <w:rFonts w:hint="eastAsia" w:ascii="宋体" w:hAnsi="宋体" w:cs="宋体"/>
                <w:color w:val="auto"/>
                <w:kern w:val="0"/>
                <w:highlight w:val="none"/>
              </w:rPr>
              <w:t>委托验收</w:t>
            </w:r>
          </w:p>
        </w:tc>
      </w:tr>
      <w:tr w14:paraId="691C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527" w:type="dxa"/>
            <w:vAlign w:val="center"/>
          </w:tcPr>
          <w:p w14:paraId="4C0BEB21">
            <w:pPr>
              <w:keepNext w:val="0"/>
              <w:keepLines w:val="0"/>
              <w:widowControl/>
              <w:suppressLineNumbers w:val="0"/>
              <w:spacing w:before="0" w:beforeAutospacing="0" w:after="0" w:afterAutospacing="0" w:line="320" w:lineRule="atLeast"/>
              <w:ind w:left="0" w:right="0" w:firstLine="2"/>
              <w:jc w:val="center"/>
              <w:rPr>
                <w:rFonts w:hint="default" w:ascii="宋体"/>
                <w:color w:val="auto"/>
                <w:kern w:val="0"/>
                <w:highlight w:val="none"/>
              </w:rPr>
            </w:pPr>
            <w:r>
              <w:rPr>
                <w:rFonts w:hint="eastAsia" w:ascii="宋体" w:hAnsi="宋体" w:cs="宋体"/>
                <w:color w:val="auto"/>
                <w:kern w:val="0"/>
                <w:highlight w:val="none"/>
              </w:rPr>
              <w:t>序号</w:t>
            </w:r>
          </w:p>
        </w:tc>
        <w:tc>
          <w:tcPr>
            <w:tcW w:w="2294" w:type="dxa"/>
            <w:vAlign w:val="center"/>
          </w:tcPr>
          <w:p w14:paraId="004821C4">
            <w:pPr>
              <w:keepNext w:val="0"/>
              <w:keepLines w:val="0"/>
              <w:widowControl/>
              <w:suppressLineNumbers w:val="0"/>
              <w:spacing w:before="0" w:beforeAutospacing="0" w:after="0" w:afterAutospacing="0" w:line="320" w:lineRule="atLeast"/>
              <w:ind w:left="0" w:right="0" w:firstLine="2"/>
              <w:jc w:val="center"/>
              <w:rPr>
                <w:rFonts w:hint="default" w:ascii="宋体"/>
                <w:color w:val="auto"/>
                <w:kern w:val="0"/>
                <w:highlight w:val="none"/>
              </w:rPr>
            </w:pPr>
            <w:r>
              <w:rPr>
                <w:rFonts w:hint="eastAsia" w:ascii="宋体" w:hAnsi="宋体" w:cs="宋体"/>
                <w:color w:val="auto"/>
                <w:kern w:val="0"/>
                <w:highlight w:val="none"/>
              </w:rPr>
              <w:t>名</w:t>
            </w:r>
            <w:r>
              <w:rPr>
                <w:rFonts w:hint="default" w:ascii="宋体"/>
                <w:color w:val="auto"/>
                <w:kern w:val="0"/>
                <w:highlight w:val="none"/>
              </w:rPr>
              <w:t> </w:t>
            </w:r>
            <w:r>
              <w:rPr>
                <w:rFonts w:hint="eastAsia" w:ascii="宋体" w:hAnsi="宋体" w:cs="宋体"/>
                <w:color w:val="auto"/>
                <w:kern w:val="0"/>
                <w:highlight w:val="none"/>
              </w:rPr>
              <w:t>称</w:t>
            </w:r>
          </w:p>
        </w:tc>
        <w:tc>
          <w:tcPr>
            <w:tcW w:w="3441" w:type="dxa"/>
            <w:gridSpan w:val="2"/>
            <w:vAlign w:val="center"/>
          </w:tcPr>
          <w:p w14:paraId="6A440855">
            <w:pPr>
              <w:keepNext w:val="0"/>
              <w:keepLines w:val="0"/>
              <w:widowControl/>
              <w:suppressLineNumbers w:val="0"/>
              <w:spacing w:before="0" w:beforeAutospacing="0" w:after="0" w:afterAutospacing="0" w:line="320" w:lineRule="atLeast"/>
              <w:ind w:left="0" w:right="0" w:firstLine="2"/>
              <w:jc w:val="center"/>
              <w:rPr>
                <w:rFonts w:hint="default" w:ascii="宋体"/>
                <w:color w:val="auto"/>
                <w:kern w:val="0"/>
                <w:highlight w:val="none"/>
              </w:rPr>
            </w:pPr>
            <w:r>
              <w:rPr>
                <w:rFonts w:hint="eastAsia" w:ascii="宋体" w:hAnsi="宋体" w:cs="宋体"/>
                <w:color w:val="auto"/>
                <w:kern w:val="0"/>
                <w:highlight w:val="none"/>
              </w:rPr>
              <w:t>服务内容、标准</w:t>
            </w:r>
          </w:p>
        </w:tc>
        <w:tc>
          <w:tcPr>
            <w:tcW w:w="998" w:type="dxa"/>
            <w:gridSpan w:val="2"/>
            <w:vAlign w:val="center"/>
          </w:tcPr>
          <w:p w14:paraId="4F00A48F">
            <w:pPr>
              <w:keepNext w:val="0"/>
              <w:keepLines w:val="0"/>
              <w:widowControl/>
              <w:suppressLineNumbers w:val="0"/>
              <w:spacing w:before="0" w:beforeAutospacing="0" w:after="0" w:afterAutospacing="0" w:line="320" w:lineRule="atLeast"/>
              <w:ind w:left="0" w:right="0"/>
              <w:jc w:val="center"/>
              <w:rPr>
                <w:rFonts w:hint="default" w:ascii="宋体"/>
                <w:color w:val="auto"/>
                <w:kern w:val="0"/>
                <w:highlight w:val="none"/>
              </w:rPr>
            </w:pPr>
            <w:r>
              <w:rPr>
                <w:rFonts w:hint="eastAsia" w:ascii="宋体" w:hAnsi="宋体" w:cs="宋体"/>
                <w:color w:val="auto"/>
                <w:kern w:val="0"/>
                <w:highlight w:val="none"/>
              </w:rPr>
              <w:t>数量</w:t>
            </w:r>
          </w:p>
        </w:tc>
        <w:tc>
          <w:tcPr>
            <w:tcW w:w="1367" w:type="dxa"/>
            <w:vAlign w:val="center"/>
          </w:tcPr>
          <w:p w14:paraId="66B5D797">
            <w:pPr>
              <w:keepNext w:val="0"/>
              <w:keepLines w:val="0"/>
              <w:widowControl/>
              <w:suppressLineNumbers w:val="0"/>
              <w:spacing w:before="0" w:beforeAutospacing="0" w:after="0" w:afterAutospacing="0" w:line="320" w:lineRule="atLeast"/>
              <w:ind w:left="0" w:right="0" w:firstLine="2"/>
              <w:jc w:val="center"/>
              <w:rPr>
                <w:rFonts w:hint="default" w:ascii="宋体"/>
                <w:color w:val="auto"/>
                <w:kern w:val="0"/>
                <w:highlight w:val="none"/>
              </w:rPr>
            </w:pPr>
            <w:r>
              <w:rPr>
                <w:rFonts w:hint="eastAsia" w:ascii="宋体" w:hAnsi="宋体" w:cs="宋体"/>
                <w:color w:val="auto"/>
                <w:kern w:val="0"/>
                <w:highlight w:val="none"/>
              </w:rPr>
              <w:t>金</w:t>
            </w:r>
            <w:r>
              <w:rPr>
                <w:rFonts w:hint="default" w:ascii="宋体"/>
                <w:color w:val="auto"/>
                <w:kern w:val="0"/>
                <w:highlight w:val="none"/>
              </w:rPr>
              <w:t> </w:t>
            </w:r>
            <w:r>
              <w:rPr>
                <w:rFonts w:hint="eastAsia" w:ascii="宋体" w:hAnsi="宋体" w:cs="宋体"/>
                <w:color w:val="auto"/>
                <w:kern w:val="0"/>
                <w:highlight w:val="none"/>
              </w:rPr>
              <w:t>额</w:t>
            </w:r>
          </w:p>
        </w:tc>
      </w:tr>
      <w:tr w14:paraId="3940C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0C31169A">
            <w:pPr>
              <w:keepNext w:val="0"/>
              <w:keepLines w:val="0"/>
              <w:widowControl/>
              <w:suppressLineNumbers w:val="0"/>
              <w:spacing w:before="0" w:beforeAutospacing="0" w:after="0" w:afterAutospacing="0" w:line="320" w:lineRule="atLeast"/>
              <w:ind w:left="0" w:right="0" w:firstLine="5"/>
              <w:jc w:val="left"/>
              <w:rPr>
                <w:rFonts w:hint="default" w:ascii="宋体"/>
                <w:color w:val="auto"/>
                <w:kern w:val="0"/>
                <w:highlight w:val="none"/>
              </w:rPr>
            </w:pPr>
            <w:r>
              <w:rPr>
                <w:rFonts w:hint="default" w:ascii="宋体"/>
                <w:color w:val="auto"/>
                <w:kern w:val="0"/>
                <w:highlight w:val="none"/>
              </w:rPr>
              <w:t> </w:t>
            </w:r>
          </w:p>
        </w:tc>
        <w:tc>
          <w:tcPr>
            <w:tcW w:w="2294" w:type="dxa"/>
            <w:vAlign w:val="center"/>
          </w:tcPr>
          <w:p w14:paraId="523CCB31">
            <w:pPr>
              <w:keepNext w:val="0"/>
              <w:keepLines w:val="0"/>
              <w:widowControl/>
              <w:suppressLineNumbers w:val="0"/>
              <w:spacing w:before="0" w:beforeAutospacing="0" w:after="0" w:afterAutospacing="0" w:line="320" w:lineRule="atLeast"/>
              <w:ind w:left="0" w:right="0" w:firstLine="480"/>
              <w:jc w:val="left"/>
              <w:rPr>
                <w:rFonts w:hint="default" w:ascii="宋体"/>
                <w:color w:val="auto"/>
                <w:kern w:val="0"/>
                <w:highlight w:val="none"/>
              </w:rPr>
            </w:pPr>
            <w:r>
              <w:rPr>
                <w:rFonts w:hint="default" w:ascii="宋体"/>
                <w:color w:val="auto"/>
                <w:kern w:val="0"/>
                <w:highlight w:val="none"/>
              </w:rPr>
              <w:t> </w:t>
            </w:r>
          </w:p>
        </w:tc>
        <w:tc>
          <w:tcPr>
            <w:tcW w:w="3441" w:type="dxa"/>
            <w:gridSpan w:val="2"/>
            <w:vAlign w:val="center"/>
          </w:tcPr>
          <w:p w14:paraId="014BE7F4">
            <w:pPr>
              <w:keepNext w:val="0"/>
              <w:keepLines w:val="0"/>
              <w:widowControl/>
              <w:suppressLineNumbers w:val="0"/>
              <w:spacing w:before="0" w:beforeAutospacing="0" w:after="0" w:afterAutospacing="0" w:line="320" w:lineRule="atLeast"/>
              <w:ind w:left="0" w:right="0" w:firstLine="480"/>
              <w:jc w:val="left"/>
              <w:rPr>
                <w:rFonts w:hint="default" w:ascii="宋体"/>
                <w:color w:val="auto"/>
                <w:kern w:val="0"/>
                <w:highlight w:val="none"/>
              </w:rPr>
            </w:pPr>
            <w:r>
              <w:rPr>
                <w:rFonts w:hint="default" w:ascii="宋体"/>
                <w:color w:val="auto"/>
                <w:kern w:val="0"/>
                <w:highlight w:val="none"/>
              </w:rPr>
              <w:t> </w:t>
            </w:r>
          </w:p>
        </w:tc>
        <w:tc>
          <w:tcPr>
            <w:tcW w:w="998" w:type="dxa"/>
            <w:gridSpan w:val="2"/>
            <w:vAlign w:val="center"/>
          </w:tcPr>
          <w:p w14:paraId="580E2440">
            <w:pPr>
              <w:keepNext w:val="0"/>
              <w:keepLines w:val="0"/>
              <w:widowControl/>
              <w:suppressLineNumbers w:val="0"/>
              <w:spacing w:before="0" w:beforeAutospacing="0" w:after="0" w:afterAutospacing="0" w:line="320" w:lineRule="atLeast"/>
              <w:ind w:left="0" w:right="0" w:firstLine="480"/>
              <w:jc w:val="left"/>
              <w:rPr>
                <w:rFonts w:hint="default" w:ascii="宋体"/>
                <w:color w:val="auto"/>
                <w:kern w:val="0"/>
                <w:highlight w:val="none"/>
              </w:rPr>
            </w:pPr>
            <w:r>
              <w:rPr>
                <w:rFonts w:hint="default" w:ascii="宋体"/>
                <w:color w:val="auto"/>
                <w:kern w:val="0"/>
                <w:highlight w:val="none"/>
              </w:rPr>
              <w:t> </w:t>
            </w:r>
          </w:p>
        </w:tc>
        <w:tc>
          <w:tcPr>
            <w:tcW w:w="1367" w:type="dxa"/>
            <w:vAlign w:val="center"/>
          </w:tcPr>
          <w:p w14:paraId="31919653">
            <w:pPr>
              <w:keepNext w:val="0"/>
              <w:keepLines w:val="0"/>
              <w:widowControl/>
              <w:suppressLineNumbers w:val="0"/>
              <w:spacing w:before="0" w:beforeAutospacing="0" w:after="0" w:afterAutospacing="0" w:line="320" w:lineRule="atLeast"/>
              <w:ind w:left="0" w:right="0" w:firstLine="480"/>
              <w:jc w:val="left"/>
              <w:rPr>
                <w:rFonts w:hint="default" w:ascii="宋体"/>
                <w:color w:val="auto"/>
                <w:kern w:val="0"/>
                <w:highlight w:val="none"/>
              </w:rPr>
            </w:pPr>
            <w:r>
              <w:rPr>
                <w:rFonts w:hint="default" w:ascii="宋体"/>
                <w:color w:val="auto"/>
                <w:kern w:val="0"/>
                <w:highlight w:val="none"/>
              </w:rPr>
              <w:t> </w:t>
            </w:r>
          </w:p>
        </w:tc>
      </w:tr>
      <w:tr w14:paraId="0CEE6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047BF601">
            <w:pPr>
              <w:keepNext w:val="0"/>
              <w:keepLines w:val="0"/>
              <w:widowControl/>
              <w:suppressLineNumbers w:val="0"/>
              <w:spacing w:before="0" w:beforeAutospacing="0" w:after="0" w:afterAutospacing="0" w:line="320" w:lineRule="atLeast"/>
              <w:ind w:left="0" w:right="0" w:firstLine="480"/>
              <w:jc w:val="left"/>
              <w:rPr>
                <w:rFonts w:hint="default" w:ascii="宋体"/>
                <w:color w:val="auto"/>
                <w:kern w:val="0"/>
                <w:highlight w:val="none"/>
              </w:rPr>
            </w:pPr>
            <w:r>
              <w:rPr>
                <w:rFonts w:hint="default" w:ascii="宋体"/>
                <w:color w:val="auto"/>
                <w:kern w:val="0"/>
                <w:highlight w:val="none"/>
              </w:rPr>
              <w:t> </w:t>
            </w:r>
          </w:p>
        </w:tc>
        <w:tc>
          <w:tcPr>
            <w:tcW w:w="2294" w:type="dxa"/>
            <w:vAlign w:val="center"/>
          </w:tcPr>
          <w:p w14:paraId="229924F6">
            <w:pPr>
              <w:keepNext w:val="0"/>
              <w:keepLines w:val="0"/>
              <w:widowControl/>
              <w:suppressLineNumbers w:val="0"/>
              <w:spacing w:before="0" w:beforeAutospacing="0" w:after="0" w:afterAutospacing="0" w:line="320" w:lineRule="atLeast"/>
              <w:ind w:left="0" w:right="0" w:firstLine="480"/>
              <w:jc w:val="left"/>
              <w:rPr>
                <w:rFonts w:hint="default" w:ascii="宋体"/>
                <w:color w:val="auto"/>
                <w:kern w:val="0"/>
                <w:highlight w:val="none"/>
              </w:rPr>
            </w:pPr>
            <w:r>
              <w:rPr>
                <w:rFonts w:hint="default" w:ascii="宋体"/>
                <w:color w:val="auto"/>
                <w:kern w:val="0"/>
                <w:highlight w:val="none"/>
              </w:rPr>
              <w:t> </w:t>
            </w:r>
          </w:p>
        </w:tc>
        <w:tc>
          <w:tcPr>
            <w:tcW w:w="3441" w:type="dxa"/>
            <w:gridSpan w:val="2"/>
            <w:vAlign w:val="center"/>
          </w:tcPr>
          <w:p w14:paraId="682BA55E">
            <w:pPr>
              <w:keepNext w:val="0"/>
              <w:keepLines w:val="0"/>
              <w:widowControl/>
              <w:suppressLineNumbers w:val="0"/>
              <w:spacing w:before="0" w:beforeAutospacing="0" w:after="0" w:afterAutospacing="0" w:line="320" w:lineRule="atLeast"/>
              <w:ind w:left="0" w:right="0" w:firstLine="480"/>
              <w:jc w:val="left"/>
              <w:rPr>
                <w:rFonts w:hint="default" w:ascii="宋体"/>
                <w:color w:val="auto"/>
                <w:kern w:val="0"/>
                <w:highlight w:val="none"/>
              </w:rPr>
            </w:pPr>
            <w:r>
              <w:rPr>
                <w:rFonts w:hint="default" w:ascii="宋体"/>
                <w:color w:val="auto"/>
                <w:kern w:val="0"/>
                <w:highlight w:val="none"/>
              </w:rPr>
              <w:t> </w:t>
            </w:r>
          </w:p>
        </w:tc>
        <w:tc>
          <w:tcPr>
            <w:tcW w:w="998" w:type="dxa"/>
            <w:gridSpan w:val="2"/>
            <w:vAlign w:val="center"/>
          </w:tcPr>
          <w:p w14:paraId="6D73E33C">
            <w:pPr>
              <w:keepNext w:val="0"/>
              <w:keepLines w:val="0"/>
              <w:widowControl/>
              <w:suppressLineNumbers w:val="0"/>
              <w:spacing w:before="0" w:beforeAutospacing="0" w:after="0" w:afterAutospacing="0" w:line="320" w:lineRule="atLeast"/>
              <w:ind w:left="0" w:right="0" w:firstLine="480"/>
              <w:jc w:val="left"/>
              <w:rPr>
                <w:rFonts w:hint="default" w:ascii="宋体"/>
                <w:color w:val="auto"/>
                <w:kern w:val="0"/>
                <w:highlight w:val="none"/>
              </w:rPr>
            </w:pPr>
            <w:r>
              <w:rPr>
                <w:rFonts w:hint="default" w:ascii="宋体"/>
                <w:color w:val="auto"/>
                <w:kern w:val="0"/>
                <w:highlight w:val="none"/>
              </w:rPr>
              <w:t> </w:t>
            </w:r>
          </w:p>
        </w:tc>
        <w:tc>
          <w:tcPr>
            <w:tcW w:w="1367" w:type="dxa"/>
            <w:vAlign w:val="center"/>
          </w:tcPr>
          <w:p w14:paraId="11E157B5">
            <w:pPr>
              <w:keepNext w:val="0"/>
              <w:keepLines w:val="0"/>
              <w:widowControl/>
              <w:suppressLineNumbers w:val="0"/>
              <w:spacing w:before="0" w:beforeAutospacing="0" w:after="0" w:afterAutospacing="0" w:line="320" w:lineRule="atLeast"/>
              <w:ind w:left="0" w:right="0" w:firstLine="480"/>
              <w:jc w:val="left"/>
              <w:rPr>
                <w:rFonts w:hint="default" w:ascii="宋体"/>
                <w:color w:val="auto"/>
                <w:kern w:val="0"/>
                <w:highlight w:val="none"/>
              </w:rPr>
            </w:pPr>
            <w:r>
              <w:rPr>
                <w:rFonts w:hint="default" w:ascii="宋体"/>
                <w:color w:val="auto"/>
                <w:kern w:val="0"/>
                <w:highlight w:val="none"/>
              </w:rPr>
              <w:t> </w:t>
            </w:r>
          </w:p>
        </w:tc>
      </w:tr>
      <w:tr w14:paraId="3F9B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30AEAEA0">
            <w:pPr>
              <w:keepNext w:val="0"/>
              <w:keepLines w:val="0"/>
              <w:widowControl/>
              <w:suppressLineNumbers w:val="0"/>
              <w:spacing w:before="0" w:beforeAutospacing="0" w:after="0" w:afterAutospacing="0" w:line="320" w:lineRule="atLeast"/>
              <w:ind w:left="0" w:right="0" w:firstLine="480"/>
              <w:jc w:val="left"/>
              <w:rPr>
                <w:rFonts w:hint="default" w:ascii="宋体"/>
                <w:color w:val="auto"/>
                <w:kern w:val="0"/>
                <w:highlight w:val="none"/>
              </w:rPr>
            </w:pPr>
            <w:r>
              <w:rPr>
                <w:rFonts w:hint="default" w:ascii="宋体"/>
                <w:color w:val="auto"/>
                <w:kern w:val="0"/>
                <w:highlight w:val="none"/>
              </w:rPr>
              <w:t> </w:t>
            </w:r>
          </w:p>
        </w:tc>
        <w:tc>
          <w:tcPr>
            <w:tcW w:w="2294" w:type="dxa"/>
            <w:vAlign w:val="center"/>
          </w:tcPr>
          <w:p w14:paraId="386E0552">
            <w:pPr>
              <w:keepNext w:val="0"/>
              <w:keepLines w:val="0"/>
              <w:widowControl/>
              <w:suppressLineNumbers w:val="0"/>
              <w:spacing w:before="0" w:beforeAutospacing="0" w:after="0" w:afterAutospacing="0" w:line="320" w:lineRule="atLeast"/>
              <w:ind w:left="0" w:right="0" w:firstLine="480"/>
              <w:jc w:val="left"/>
              <w:rPr>
                <w:rFonts w:hint="default" w:ascii="宋体"/>
                <w:color w:val="auto"/>
                <w:kern w:val="0"/>
                <w:highlight w:val="none"/>
              </w:rPr>
            </w:pPr>
            <w:r>
              <w:rPr>
                <w:rFonts w:hint="default" w:ascii="宋体"/>
                <w:color w:val="auto"/>
                <w:kern w:val="0"/>
                <w:highlight w:val="none"/>
              </w:rPr>
              <w:t> </w:t>
            </w:r>
          </w:p>
        </w:tc>
        <w:tc>
          <w:tcPr>
            <w:tcW w:w="3441" w:type="dxa"/>
            <w:gridSpan w:val="2"/>
            <w:vAlign w:val="center"/>
          </w:tcPr>
          <w:p w14:paraId="6FCEE26B">
            <w:pPr>
              <w:keepNext w:val="0"/>
              <w:keepLines w:val="0"/>
              <w:widowControl/>
              <w:suppressLineNumbers w:val="0"/>
              <w:spacing w:before="0" w:beforeAutospacing="0" w:after="0" w:afterAutospacing="0" w:line="320" w:lineRule="atLeast"/>
              <w:ind w:left="0" w:right="0" w:firstLine="480"/>
              <w:jc w:val="left"/>
              <w:rPr>
                <w:rFonts w:hint="default" w:ascii="宋体"/>
                <w:color w:val="auto"/>
                <w:kern w:val="0"/>
                <w:highlight w:val="none"/>
              </w:rPr>
            </w:pPr>
            <w:r>
              <w:rPr>
                <w:rFonts w:hint="default" w:ascii="宋体"/>
                <w:color w:val="auto"/>
                <w:kern w:val="0"/>
                <w:highlight w:val="none"/>
              </w:rPr>
              <w:t> </w:t>
            </w:r>
          </w:p>
        </w:tc>
        <w:tc>
          <w:tcPr>
            <w:tcW w:w="998" w:type="dxa"/>
            <w:gridSpan w:val="2"/>
            <w:vAlign w:val="center"/>
          </w:tcPr>
          <w:p w14:paraId="6ED11595">
            <w:pPr>
              <w:keepNext w:val="0"/>
              <w:keepLines w:val="0"/>
              <w:widowControl/>
              <w:suppressLineNumbers w:val="0"/>
              <w:spacing w:before="0" w:beforeAutospacing="0" w:after="0" w:afterAutospacing="0" w:line="320" w:lineRule="atLeast"/>
              <w:ind w:left="0" w:right="0" w:firstLine="480"/>
              <w:jc w:val="left"/>
              <w:rPr>
                <w:rFonts w:hint="default" w:ascii="宋体"/>
                <w:color w:val="auto"/>
                <w:kern w:val="0"/>
                <w:highlight w:val="none"/>
              </w:rPr>
            </w:pPr>
            <w:r>
              <w:rPr>
                <w:rFonts w:hint="default" w:ascii="宋体"/>
                <w:color w:val="auto"/>
                <w:kern w:val="0"/>
                <w:highlight w:val="none"/>
              </w:rPr>
              <w:t> </w:t>
            </w:r>
          </w:p>
        </w:tc>
        <w:tc>
          <w:tcPr>
            <w:tcW w:w="1367" w:type="dxa"/>
            <w:vAlign w:val="center"/>
          </w:tcPr>
          <w:p w14:paraId="6635F8ED">
            <w:pPr>
              <w:keepNext w:val="0"/>
              <w:keepLines w:val="0"/>
              <w:widowControl/>
              <w:suppressLineNumbers w:val="0"/>
              <w:spacing w:before="0" w:beforeAutospacing="0" w:after="0" w:afterAutospacing="0" w:line="320" w:lineRule="atLeast"/>
              <w:ind w:left="0" w:right="0" w:firstLine="480"/>
              <w:jc w:val="left"/>
              <w:rPr>
                <w:rFonts w:hint="default" w:ascii="宋体"/>
                <w:color w:val="auto"/>
                <w:kern w:val="0"/>
                <w:highlight w:val="none"/>
              </w:rPr>
            </w:pPr>
            <w:r>
              <w:rPr>
                <w:rFonts w:hint="default" w:ascii="宋体"/>
                <w:color w:val="auto"/>
                <w:kern w:val="0"/>
                <w:highlight w:val="none"/>
              </w:rPr>
              <w:t> </w:t>
            </w:r>
          </w:p>
        </w:tc>
      </w:tr>
      <w:tr w14:paraId="0C0D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262" w:type="dxa"/>
            <w:gridSpan w:val="4"/>
            <w:vAlign w:val="center"/>
          </w:tcPr>
          <w:p w14:paraId="4CF3A83C">
            <w:pPr>
              <w:keepNext w:val="0"/>
              <w:keepLines w:val="0"/>
              <w:widowControl/>
              <w:suppressLineNumbers w:val="0"/>
              <w:spacing w:before="0" w:beforeAutospacing="0" w:after="0" w:afterAutospacing="0" w:line="320" w:lineRule="atLeast"/>
              <w:ind w:left="0" w:right="0" w:firstLine="5"/>
              <w:jc w:val="center"/>
              <w:rPr>
                <w:rFonts w:hint="default" w:ascii="宋体"/>
                <w:color w:val="auto"/>
                <w:kern w:val="0"/>
                <w:highlight w:val="none"/>
              </w:rPr>
            </w:pPr>
            <w:r>
              <w:rPr>
                <w:rFonts w:hint="eastAsia" w:ascii="宋体" w:hAnsi="宋体" w:cs="宋体"/>
                <w:color w:val="auto"/>
                <w:kern w:val="0"/>
                <w:highlight w:val="none"/>
              </w:rPr>
              <w:t>合</w:t>
            </w:r>
            <w:r>
              <w:rPr>
                <w:rFonts w:hint="default" w:ascii="宋体"/>
                <w:color w:val="auto"/>
                <w:kern w:val="0"/>
                <w:highlight w:val="none"/>
              </w:rPr>
              <w:t>       </w:t>
            </w:r>
            <w:r>
              <w:rPr>
                <w:rFonts w:hint="eastAsia" w:ascii="宋体" w:hAnsi="宋体" w:cs="宋体"/>
                <w:color w:val="auto"/>
                <w:kern w:val="0"/>
                <w:highlight w:val="none"/>
              </w:rPr>
              <w:t>计</w:t>
            </w:r>
          </w:p>
        </w:tc>
        <w:tc>
          <w:tcPr>
            <w:tcW w:w="998" w:type="dxa"/>
            <w:gridSpan w:val="2"/>
            <w:vAlign w:val="center"/>
          </w:tcPr>
          <w:p w14:paraId="3A89E1E2">
            <w:pPr>
              <w:keepNext w:val="0"/>
              <w:keepLines w:val="0"/>
              <w:widowControl/>
              <w:suppressLineNumbers w:val="0"/>
              <w:spacing w:before="0" w:beforeAutospacing="0" w:after="0" w:afterAutospacing="0" w:line="320" w:lineRule="atLeast"/>
              <w:ind w:left="0" w:right="0" w:firstLine="480"/>
              <w:jc w:val="left"/>
              <w:rPr>
                <w:rFonts w:hint="default" w:ascii="宋体"/>
                <w:color w:val="auto"/>
                <w:kern w:val="0"/>
                <w:highlight w:val="none"/>
              </w:rPr>
            </w:pPr>
            <w:r>
              <w:rPr>
                <w:rFonts w:hint="default" w:ascii="宋体"/>
                <w:color w:val="auto"/>
                <w:kern w:val="0"/>
                <w:highlight w:val="none"/>
              </w:rPr>
              <w:t> </w:t>
            </w:r>
          </w:p>
        </w:tc>
        <w:tc>
          <w:tcPr>
            <w:tcW w:w="1367" w:type="dxa"/>
            <w:vAlign w:val="center"/>
          </w:tcPr>
          <w:p w14:paraId="56AB7E01">
            <w:pPr>
              <w:keepNext w:val="0"/>
              <w:keepLines w:val="0"/>
              <w:widowControl/>
              <w:suppressLineNumbers w:val="0"/>
              <w:spacing w:before="0" w:beforeAutospacing="0" w:after="0" w:afterAutospacing="0" w:line="320" w:lineRule="atLeast"/>
              <w:ind w:left="0" w:right="0" w:firstLine="480"/>
              <w:jc w:val="left"/>
              <w:rPr>
                <w:rFonts w:hint="default" w:ascii="宋体"/>
                <w:color w:val="auto"/>
                <w:kern w:val="0"/>
                <w:highlight w:val="none"/>
              </w:rPr>
            </w:pPr>
            <w:r>
              <w:rPr>
                <w:rFonts w:hint="default" w:ascii="宋体"/>
                <w:color w:val="auto"/>
                <w:kern w:val="0"/>
                <w:highlight w:val="none"/>
              </w:rPr>
              <w:t> </w:t>
            </w:r>
          </w:p>
        </w:tc>
      </w:tr>
      <w:tr w14:paraId="3897B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9627" w:type="dxa"/>
            <w:gridSpan w:val="7"/>
            <w:vAlign w:val="center"/>
          </w:tcPr>
          <w:p w14:paraId="0BE057DF">
            <w:pPr>
              <w:keepNext w:val="0"/>
              <w:keepLines w:val="0"/>
              <w:widowControl/>
              <w:suppressLineNumbers w:val="0"/>
              <w:spacing w:before="0" w:beforeAutospacing="0" w:after="0" w:afterAutospacing="0" w:line="320" w:lineRule="atLeast"/>
              <w:ind w:left="0" w:right="0" w:firstLine="2"/>
              <w:jc w:val="left"/>
              <w:rPr>
                <w:rFonts w:hint="default" w:ascii="宋体"/>
                <w:color w:val="auto"/>
                <w:kern w:val="0"/>
                <w:highlight w:val="none"/>
              </w:rPr>
            </w:pPr>
            <w:r>
              <w:rPr>
                <w:rFonts w:hint="eastAsia" w:ascii="宋体" w:hAnsi="宋体" w:cs="宋体"/>
                <w:color w:val="auto"/>
                <w:kern w:val="0"/>
                <w:highlight w:val="none"/>
              </w:rPr>
              <w:t>合计大写金额：</w:t>
            </w:r>
            <w:r>
              <w:rPr>
                <w:rFonts w:hint="default" w:ascii="宋体"/>
                <w:color w:val="auto"/>
                <w:kern w:val="0"/>
                <w:highlight w:val="none"/>
              </w:rPr>
              <w:t>  </w:t>
            </w:r>
            <w:r>
              <w:rPr>
                <w:rFonts w:hint="eastAsia" w:ascii="宋体" w:hAnsi="宋体" w:cs="宋体"/>
                <w:color w:val="auto"/>
                <w:kern w:val="0"/>
                <w:highlight w:val="none"/>
              </w:rPr>
              <w:t>仟</w:t>
            </w:r>
            <w:r>
              <w:rPr>
                <w:rFonts w:hint="default" w:ascii="宋体"/>
                <w:color w:val="auto"/>
                <w:kern w:val="0"/>
                <w:highlight w:val="none"/>
              </w:rPr>
              <w:t>   </w:t>
            </w:r>
            <w:r>
              <w:rPr>
                <w:rFonts w:hint="eastAsia" w:ascii="宋体" w:hAnsi="宋体" w:cs="宋体"/>
                <w:color w:val="auto"/>
                <w:kern w:val="0"/>
                <w:highlight w:val="none"/>
              </w:rPr>
              <w:t>佰</w:t>
            </w:r>
            <w:r>
              <w:rPr>
                <w:rFonts w:hint="default" w:ascii="宋体"/>
                <w:color w:val="auto"/>
                <w:kern w:val="0"/>
                <w:highlight w:val="none"/>
              </w:rPr>
              <w:t>   </w:t>
            </w:r>
            <w:r>
              <w:rPr>
                <w:rFonts w:hint="eastAsia" w:ascii="宋体" w:hAnsi="宋体" w:cs="宋体"/>
                <w:color w:val="auto"/>
                <w:kern w:val="0"/>
                <w:highlight w:val="none"/>
              </w:rPr>
              <w:t>拾</w:t>
            </w:r>
            <w:r>
              <w:rPr>
                <w:rFonts w:hint="default" w:ascii="宋体"/>
                <w:color w:val="auto"/>
                <w:kern w:val="0"/>
                <w:highlight w:val="none"/>
              </w:rPr>
              <w:t>   </w:t>
            </w:r>
            <w:r>
              <w:rPr>
                <w:rFonts w:hint="eastAsia" w:ascii="宋体" w:hAnsi="宋体" w:cs="宋体"/>
                <w:color w:val="auto"/>
                <w:kern w:val="0"/>
                <w:highlight w:val="none"/>
              </w:rPr>
              <w:t>万</w:t>
            </w:r>
            <w:r>
              <w:rPr>
                <w:rFonts w:hint="default" w:ascii="宋体"/>
                <w:color w:val="auto"/>
                <w:kern w:val="0"/>
                <w:highlight w:val="none"/>
              </w:rPr>
              <w:t>   </w:t>
            </w:r>
            <w:r>
              <w:rPr>
                <w:rFonts w:hint="eastAsia" w:ascii="宋体" w:hAnsi="宋体" w:cs="宋体"/>
                <w:color w:val="auto"/>
                <w:kern w:val="0"/>
                <w:highlight w:val="none"/>
              </w:rPr>
              <w:t>仟</w:t>
            </w:r>
            <w:r>
              <w:rPr>
                <w:rFonts w:hint="default" w:ascii="宋体"/>
                <w:color w:val="auto"/>
                <w:kern w:val="0"/>
                <w:highlight w:val="none"/>
              </w:rPr>
              <w:t>   </w:t>
            </w:r>
            <w:r>
              <w:rPr>
                <w:rFonts w:hint="eastAsia" w:ascii="宋体" w:hAnsi="宋体" w:cs="宋体"/>
                <w:color w:val="auto"/>
                <w:kern w:val="0"/>
                <w:highlight w:val="none"/>
              </w:rPr>
              <w:t>佰</w:t>
            </w:r>
            <w:r>
              <w:rPr>
                <w:rFonts w:hint="default" w:ascii="宋体"/>
                <w:color w:val="auto"/>
                <w:kern w:val="0"/>
                <w:highlight w:val="none"/>
              </w:rPr>
              <w:t>   </w:t>
            </w:r>
            <w:r>
              <w:rPr>
                <w:rFonts w:hint="eastAsia" w:ascii="宋体" w:hAnsi="宋体" w:cs="宋体"/>
                <w:color w:val="auto"/>
                <w:kern w:val="0"/>
                <w:highlight w:val="none"/>
              </w:rPr>
              <w:t>拾</w:t>
            </w:r>
            <w:r>
              <w:rPr>
                <w:rFonts w:hint="default" w:ascii="宋体"/>
                <w:color w:val="auto"/>
                <w:kern w:val="0"/>
                <w:highlight w:val="none"/>
              </w:rPr>
              <w:t>   </w:t>
            </w:r>
            <w:r>
              <w:rPr>
                <w:rFonts w:hint="eastAsia" w:ascii="宋体" w:hAnsi="宋体" w:cs="宋体"/>
                <w:color w:val="auto"/>
                <w:kern w:val="0"/>
                <w:highlight w:val="none"/>
              </w:rPr>
              <w:t>元</w:t>
            </w:r>
          </w:p>
        </w:tc>
      </w:tr>
      <w:tr w14:paraId="753C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527" w:type="dxa"/>
            <w:vAlign w:val="center"/>
          </w:tcPr>
          <w:p w14:paraId="2F018A1A">
            <w:pPr>
              <w:keepNext w:val="0"/>
              <w:keepLines w:val="0"/>
              <w:widowControl/>
              <w:suppressLineNumbers w:val="0"/>
              <w:spacing w:before="0" w:beforeAutospacing="0" w:after="0" w:afterAutospacing="0" w:line="320" w:lineRule="atLeast"/>
              <w:ind w:left="0" w:right="0" w:firstLine="2"/>
              <w:jc w:val="left"/>
              <w:rPr>
                <w:rFonts w:hint="default" w:ascii="宋体"/>
                <w:color w:val="auto"/>
                <w:kern w:val="0"/>
                <w:highlight w:val="none"/>
              </w:rPr>
            </w:pPr>
            <w:r>
              <w:rPr>
                <w:rFonts w:hint="eastAsia" w:ascii="宋体" w:hAnsi="宋体" w:cs="宋体"/>
                <w:color w:val="auto"/>
                <w:kern w:val="0"/>
                <w:highlight w:val="none"/>
              </w:rPr>
              <w:t>服务期限</w:t>
            </w:r>
          </w:p>
        </w:tc>
        <w:tc>
          <w:tcPr>
            <w:tcW w:w="3240" w:type="dxa"/>
            <w:gridSpan w:val="2"/>
            <w:vAlign w:val="center"/>
          </w:tcPr>
          <w:p w14:paraId="691BD3CC">
            <w:pPr>
              <w:keepNext w:val="0"/>
              <w:keepLines w:val="0"/>
              <w:widowControl/>
              <w:suppressLineNumbers w:val="0"/>
              <w:spacing w:before="0" w:beforeAutospacing="0" w:after="0" w:afterAutospacing="0" w:line="320" w:lineRule="atLeast"/>
              <w:ind w:left="0" w:right="0" w:firstLine="480"/>
              <w:jc w:val="left"/>
              <w:rPr>
                <w:rFonts w:hint="default" w:ascii="宋体"/>
                <w:color w:val="auto"/>
                <w:kern w:val="0"/>
                <w:highlight w:val="none"/>
              </w:rPr>
            </w:pPr>
            <w:r>
              <w:rPr>
                <w:rFonts w:hint="default" w:ascii="宋体"/>
                <w:color w:val="auto"/>
                <w:kern w:val="0"/>
                <w:highlight w:val="none"/>
              </w:rPr>
              <w:t> </w:t>
            </w:r>
          </w:p>
        </w:tc>
        <w:tc>
          <w:tcPr>
            <w:tcW w:w="2700" w:type="dxa"/>
            <w:gridSpan w:val="2"/>
            <w:vAlign w:val="center"/>
          </w:tcPr>
          <w:p w14:paraId="6B991678">
            <w:pPr>
              <w:keepNext w:val="0"/>
              <w:keepLines w:val="0"/>
              <w:widowControl/>
              <w:suppressLineNumbers w:val="0"/>
              <w:spacing w:before="0" w:beforeAutospacing="0" w:after="0" w:afterAutospacing="0" w:line="320" w:lineRule="atLeast"/>
              <w:ind w:left="0" w:right="0" w:firstLine="46"/>
              <w:jc w:val="center"/>
              <w:rPr>
                <w:rFonts w:hint="default" w:ascii="宋体"/>
                <w:color w:val="auto"/>
                <w:kern w:val="0"/>
                <w:highlight w:val="none"/>
              </w:rPr>
            </w:pPr>
            <w:r>
              <w:rPr>
                <w:rFonts w:hint="eastAsia" w:ascii="宋体" w:hAnsi="宋体" w:cs="宋体"/>
                <w:color w:val="auto"/>
                <w:kern w:val="0"/>
                <w:highlight w:val="none"/>
              </w:rPr>
              <w:t>验收日期</w:t>
            </w:r>
          </w:p>
        </w:tc>
        <w:tc>
          <w:tcPr>
            <w:tcW w:w="2160" w:type="dxa"/>
            <w:gridSpan w:val="2"/>
            <w:vAlign w:val="center"/>
          </w:tcPr>
          <w:p w14:paraId="6AFFDFDE">
            <w:pPr>
              <w:keepNext w:val="0"/>
              <w:keepLines w:val="0"/>
              <w:widowControl/>
              <w:suppressLineNumbers w:val="0"/>
              <w:spacing w:before="0" w:beforeAutospacing="0" w:after="0" w:afterAutospacing="0" w:line="320" w:lineRule="atLeast"/>
              <w:ind w:left="0" w:right="0" w:firstLine="480"/>
              <w:jc w:val="left"/>
              <w:rPr>
                <w:rFonts w:hint="default" w:ascii="宋体"/>
                <w:color w:val="auto"/>
                <w:kern w:val="0"/>
                <w:highlight w:val="none"/>
              </w:rPr>
            </w:pPr>
            <w:r>
              <w:rPr>
                <w:rFonts w:hint="default" w:ascii="宋体"/>
                <w:color w:val="auto"/>
                <w:kern w:val="0"/>
                <w:highlight w:val="none"/>
              </w:rPr>
              <w:t> </w:t>
            </w:r>
          </w:p>
        </w:tc>
      </w:tr>
      <w:tr w14:paraId="690BE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527" w:type="dxa"/>
            <w:vAlign w:val="center"/>
          </w:tcPr>
          <w:p w14:paraId="24470BD3">
            <w:pPr>
              <w:keepNext w:val="0"/>
              <w:keepLines w:val="0"/>
              <w:widowControl/>
              <w:suppressLineNumbers w:val="0"/>
              <w:spacing w:before="0" w:beforeAutospacing="0" w:after="0" w:afterAutospacing="0" w:line="320" w:lineRule="atLeast"/>
              <w:ind w:left="0" w:right="0" w:firstLine="480"/>
              <w:jc w:val="left"/>
              <w:rPr>
                <w:rFonts w:hint="default" w:ascii="宋体"/>
                <w:color w:val="auto"/>
                <w:kern w:val="0"/>
                <w:highlight w:val="none"/>
              </w:rPr>
            </w:pPr>
            <w:r>
              <w:rPr>
                <w:rFonts w:hint="default" w:ascii="宋体"/>
                <w:color w:val="auto"/>
                <w:kern w:val="0"/>
                <w:highlight w:val="none"/>
              </w:rPr>
              <w:t> </w:t>
            </w:r>
          </w:p>
        </w:tc>
        <w:tc>
          <w:tcPr>
            <w:tcW w:w="3240" w:type="dxa"/>
            <w:gridSpan w:val="2"/>
            <w:vAlign w:val="center"/>
          </w:tcPr>
          <w:p w14:paraId="549D6043">
            <w:pPr>
              <w:keepNext w:val="0"/>
              <w:keepLines w:val="0"/>
              <w:widowControl/>
              <w:suppressLineNumbers w:val="0"/>
              <w:spacing w:before="0" w:beforeAutospacing="0" w:after="0" w:afterAutospacing="0" w:line="320" w:lineRule="atLeast"/>
              <w:ind w:left="0" w:right="0" w:firstLine="480"/>
              <w:jc w:val="left"/>
              <w:rPr>
                <w:rFonts w:hint="default" w:ascii="宋体"/>
                <w:color w:val="auto"/>
                <w:kern w:val="0"/>
                <w:highlight w:val="none"/>
              </w:rPr>
            </w:pPr>
            <w:r>
              <w:rPr>
                <w:rFonts w:hint="default" w:ascii="宋体"/>
                <w:color w:val="auto"/>
                <w:kern w:val="0"/>
                <w:highlight w:val="none"/>
              </w:rPr>
              <w:t> </w:t>
            </w:r>
          </w:p>
        </w:tc>
        <w:tc>
          <w:tcPr>
            <w:tcW w:w="2700" w:type="dxa"/>
            <w:gridSpan w:val="2"/>
            <w:vAlign w:val="center"/>
          </w:tcPr>
          <w:p w14:paraId="3482D68A">
            <w:pPr>
              <w:keepNext w:val="0"/>
              <w:keepLines w:val="0"/>
              <w:widowControl/>
              <w:suppressLineNumbers w:val="0"/>
              <w:spacing w:before="0" w:beforeAutospacing="0" w:after="0" w:afterAutospacing="0" w:line="320" w:lineRule="atLeast"/>
              <w:ind w:left="0" w:right="0" w:firstLine="480"/>
              <w:jc w:val="left"/>
              <w:rPr>
                <w:rFonts w:hint="default" w:ascii="宋体"/>
                <w:color w:val="auto"/>
                <w:kern w:val="0"/>
                <w:highlight w:val="none"/>
              </w:rPr>
            </w:pPr>
            <w:r>
              <w:rPr>
                <w:rFonts w:hint="default" w:ascii="宋体"/>
                <w:color w:val="auto"/>
                <w:kern w:val="0"/>
                <w:highlight w:val="none"/>
              </w:rPr>
              <w:t> </w:t>
            </w:r>
          </w:p>
        </w:tc>
        <w:tc>
          <w:tcPr>
            <w:tcW w:w="2160" w:type="dxa"/>
            <w:gridSpan w:val="2"/>
            <w:vAlign w:val="center"/>
          </w:tcPr>
          <w:p w14:paraId="1A6D2AB3">
            <w:pPr>
              <w:keepNext w:val="0"/>
              <w:keepLines w:val="0"/>
              <w:widowControl/>
              <w:suppressLineNumbers w:val="0"/>
              <w:spacing w:before="0" w:beforeAutospacing="0" w:after="0" w:afterAutospacing="0" w:line="320" w:lineRule="atLeast"/>
              <w:ind w:left="0" w:right="0" w:firstLine="480"/>
              <w:jc w:val="left"/>
              <w:rPr>
                <w:rFonts w:hint="default" w:ascii="宋体"/>
                <w:color w:val="auto"/>
                <w:kern w:val="0"/>
                <w:highlight w:val="none"/>
              </w:rPr>
            </w:pPr>
            <w:r>
              <w:rPr>
                <w:rFonts w:hint="default" w:ascii="宋体"/>
                <w:color w:val="auto"/>
                <w:kern w:val="0"/>
                <w:highlight w:val="none"/>
              </w:rPr>
              <w:t> </w:t>
            </w:r>
          </w:p>
        </w:tc>
      </w:tr>
      <w:tr w14:paraId="519F6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527" w:type="dxa"/>
            <w:tcMar>
              <w:top w:w="0" w:type="dxa"/>
              <w:left w:w="108" w:type="dxa"/>
              <w:bottom w:w="0" w:type="dxa"/>
              <w:right w:w="108" w:type="dxa"/>
            </w:tcMar>
            <w:vAlign w:val="center"/>
          </w:tcPr>
          <w:p w14:paraId="07F1C22E">
            <w:pPr>
              <w:keepNext w:val="0"/>
              <w:keepLines w:val="0"/>
              <w:widowControl/>
              <w:suppressLineNumbers w:val="0"/>
              <w:spacing w:before="0" w:beforeAutospacing="0" w:after="0" w:afterAutospacing="0" w:line="320" w:lineRule="atLeast"/>
              <w:ind w:left="0" w:right="0"/>
              <w:jc w:val="left"/>
              <w:rPr>
                <w:rFonts w:hint="default" w:ascii="宋体"/>
                <w:color w:val="auto"/>
                <w:kern w:val="0"/>
                <w:highlight w:val="none"/>
              </w:rPr>
            </w:pPr>
            <w:r>
              <w:rPr>
                <w:rFonts w:hint="eastAsia" w:ascii="宋体" w:hAnsi="宋体" w:cs="宋体"/>
                <w:color w:val="auto"/>
                <w:kern w:val="0"/>
                <w:highlight w:val="none"/>
              </w:rPr>
              <w:t>验收具体内容</w:t>
            </w:r>
          </w:p>
        </w:tc>
        <w:tc>
          <w:tcPr>
            <w:tcW w:w="8100" w:type="dxa"/>
            <w:gridSpan w:val="6"/>
            <w:tcMar>
              <w:top w:w="0" w:type="dxa"/>
              <w:left w:w="108" w:type="dxa"/>
              <w:bottom w:w="0" w:type="dxa"/>
              <w:right w:w="108" w:type="dxa"/>
            </w:tcMar>
            <w:vAlign w:val="center"/>
          </w:tcPr>
          <w:p w14:paraId="60B317A8">
            <w:pPr>
              <w:keepNext w:val="0"/>
              <w:keepLines w:val="0"/>
              <w:widowControl/>
              <w:suppressLineNumbers w:val="0"/>
              <w:spacing w:before="0" w:beforeAutospacing="0" w:after="0" w:afterAutospacing="0" w:line="320" w:lineRule="atLeast"/>
              <w:ind w:left="0" w:right="0"/>
              <w:jc w:val="left"/>
              <w:rPr>
                <w:rFonts w:hint="default" w:ascii="宋体" w:hAnsi="宋体" w:cs="宋体"/>
                <w:color w:val="auto"/>
                <w:kern w:val="0"/>
                <w:highlight w:val="none"/>
              </w:rPr>
            </w:pPr>
            <w:r>
              <w:rPr>
                <w:rFonts w:hint="eastAsia" w:ascii="宋体" w:hAnsi="宋体" w:cs="宋体"/>
                <w:color w:val="auto"/>
                <w:kern w:val="0"/>
                <w:highlight w:val="none"/>
              </w:rPr>
              <w:t>（按</w:t>
            </w:r>
            <w:r>
              <w:rPr>
                <w:rFonts w:hint="eastAsia" w:ascii="宋体" w:hAnsi="宋体"/>
                <w:color w:val="auto"/>
                <w:szCs w:val="21"/>
                <w:highlight w:val="none"/>
              </w:rPr>
              <w:t>采购文件、成交供应商响应文件承诺、合同条款、国家</w:t>
            </w:r>
            <w:r>
              <w:rPr>
                <w:rFonts w:hint="eastAsia" w:ascii="宋体" w:hAnsi="宋体" w:cs="宋体"/>
                <w:color w:val="auto"/>
                <w:szCs w:val="21"/>
                <w:highlight w:val="none"/>
              </w:rPr>
              <w:t>相关标准规范以及行政主管部门政策文件</w:t>
            </w:r>
            <w:r>
              <w:rPr>
                <w:rFonts w:hint="eastAsia" w:ascii="宋体" w:hAnsi="宋体"/>
                <w:color w:val="auto"/>
                <w:szCs w:val="21"/>
                <w:highlight w:val="none"/>
              </w:rPr>
              <w:t>进行验收。</w:t>
            </w:r>
            <w:r>
              <w:rPr>
                <w:rFonts w:hint="eastAsia" w:ascii="宋体" w:hAnsi="宋体" w:cs="宋体"/>
                <w:color w:val="auto"/>
                <w:kern w:val="0"/>
                <w:highlight w:val="none"/>
              </w:rPr>
              <w:t>可附件）</w:t>
            </w:r>
          </w:p>
        </w:tc>
      </w:tr>
      <w:tr w14:paraId="1648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1527" w:type="dxa"/>
            <w:vMerge w:val="restart"/>
            <w:tcMar>
              <w:top w:w="0" w:type="dxa"/>
              <w:left w:w="108" w:type="dxa"/>
              <w:bottom w:w="0" w:type="dxa"/>
              <w:right w:w="108" w:type="dxa"/>
            </w:tcMar>
            <w:vAlign w:val="center"/>
          </w:tcPr>
          <w:p w14:paraId="6ABF7694">
            <w:pPr>
              <w:keepNext w:val="0"/>
              <w:keepLines w:val="0"/>
              <w:widowControl/>
              <w:suppressLineNumbers w:val="0"/>
              <w:spacing w:before="0" w:beforeAutospacing="0" w:after="0" w:afterAutospacing="0" w:line="320" w:lineRule="atLeast"/>
              <w:ind w:left="0" w:right="0"/>
              <w:jc w:val="left"/>
              <w:rPr>
                <w:rFonts w:hint="default" w:ascii="宋体"/>
                <w:color w:val="auto"/>
                <w:kern w:val="0"/>
                <w:highlight w:val="none"/>
              </w:rPr>
            </w:pPr>
            <w:r>
              <w:rPr>
                <w:rFonts w:hint="eastAsia" w:ascii="宋体" w:hAnsi="宋体" w:cs="宋体"/>
                <w:color w:val="auto"/>
                <w:kern w:val="0"/>
                <w:highlight w:val="none"/>
              </w:rPr>
              <w:t>验收小组意见</w:t>
            </w:r>
          </w:p>
        </w:tc>
        <w:tc>
          <w:tcPr>
            <w:tcW w:w="8100" w:type="dxa"/>
            <w:gridSpan w:val="6"/>
            <w:vAlign w:val="center"/>
          </w:tcPr>
          <w:p w14:paraId="4E34F557">
            <w:pPr>
              <w:keepNext w:val="0"/>
              <w:keepLines w:val="0"/>
              <w:widowControl/>
              <w:suppressLineNumbers w:val="0"/>
              <w:spacing w:before="0" w:beforeAutospacing="0" w:after="0" w:afterAutospacing="0" w:line="320" w:lineRule="atLeast"/>
              <w:ind w:left="0" w:right="0"/>
              <w:jc w:val="left"/>
              <w:rPr>
                <w:rFonts w:hint="default" w:ascii="宋体"/>
                <w:color w:val="auto"/>
                <w:kern w:val="0"/>
                <w:highlight w:val="none"/>
              </w:rPr>
            </w:pPr>
            <w:r>
              <w:rPr>
                <w:rFonts w:hint="default" w:ascii="宋体"/>
                <w:color w:val="auto"/>
                <w:kern w:val="0"/>
                <w:highlight w:val="none"/>
              </w:rPr>
              <w:t> </w:t>
            </w:r>
            <w:r>
              <w:rPr>
                <w:rFonts w:hint="eastAsia" w:ascii="宋体" w:hAnsi="宋体" w:cs="宋体"/>
                <w:color w:val="auto"/>
                <w:kern w:val="0"/>
                <w:highlight w:val="none"/>
              </w:rPr>
              <w:t>验收结论性意见：</w:t>
            </w:r>
          </w:p>
          <w:p w14:paraId="60B4E1D2">
            <w:pPr>
              <w:keepNext w:val="0"/>
              <w:keepLines w:val="0"/>
              <w:widowControl/>
              <w:suppressLineNumbers w:val="0"/>
              <w:spacing w:before="0" w:beforeAutospacing="0" w:after="0" w:afterAutospacing="0" w:line="320" w:lineRule="atLeast"/>
              <w:ind w:left="0" w:right="0"/>
              <w:jc w:val="left"/>
              <w:rPr>
                <w:rFonts w:hint="default" w:ascii="宋体"/>
                <w:color w:val="auto"/>
                <w:kern w:val="0"/>
                <w:highlight w:val="none"/>
              </w:rPr>
            </w:pPr>
            <w:r>
              <w:rPr>
                <w:rFonts w:hint="default" w:ascii="宋体"/>
                <w:color w:val="auto"/>
                <w:kern w:val="0"/>
                <w:highlight w:val="none"/>
              </w:rPr>
              <w:t> </w:t>
            </w:r>
          </w:p>
        </w:tc>
      </w:tr>
      <w:tr w14:paraId="0E18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0" w:type="auto"/>
            <w:vMerge w:val="continue"/>
            <w:vAlign w:val="center"/>
          </w:tcPr>
          <w:p w14:paraId="67F19A35">
            <w:pPr>
              <w:keepNext w:val="0"/>
              <w:keepLines w:val="0"/>
              <w:widowControl/>
              <w:suppressLineNumbers w:val="0"/>
              <w:spacing w:before="0" w:beforeAutospacing="0" w:after="0" w:afterAutospacing="0"/>
              <w:ind w:left="0" w:right="0"/>
              <w:jc w:val="left"/>
              <w:rPr>
                <w:rFonts w:hint="default" w:ascii="宋体"/>
                <w:color w:val="auto"/>
                <w:kern w:val="0"/>
                <w:highlight w:val="none"/>
              </w:rPr>
            </w:pPr>
          </w:p>
        </w:tc>
        <w:tc>
          <w:tcPr>
            <w:tcW w:w="8100" w:type="dxa"/>
            <w:gridSpan w:val="6"/>
            <w:vAlign w:val="center"/>
          </w:tcPr>
          <w:p w14:paraId="3AB5CABB">
            <w:pPr>
              <w:keepNext w:val="0"/>
              <w:keepLines w:val="0"/>
              <w:widowControl/>
              <w:suppressLineNumbers w:val="0"/>
              <w:spacing w:before="0" w:beforeAutospacing="0" w:after="0" w:afterAutospacing="0" w:line="320" w:lineRule="atLeast"/>
              <w:ind w:left="0" w:right="0" w:firstLine="96"/>
              <w:jc w:val="left"/>
              <w:rPr>
                <w:rFonts w:hint="default" w:ascii="宋体"/>
                <w:color w:val="auto"/>
                <w:kern w:val="0"/>
                <w:highlight w:val="none"/>
              </w:rPr>
            </w:pPr>
            <w:r>
              <w:rPr>
                <w:rFonts w:hint="eastAsia" w:ascii="宋体" w:hAnsi="宋体" w:cs="宋体"/>
                <w:color w:val="auto"/>
                <w:kern w:val="0"/>
                <w:highlight w:val="none"/>
              </w:rPr>
              <w:t>有异议的意见和说明理由：</w:t>
            </w:r>
          </w:p>
          <w:p w14:paraId="6B2F3BDA">
            <w:pPr>
              <w:keepNext w:val="0"/>
              <w:keepLines w:val="0"/>
              <w:widowControl/>
              <w:suppressLineNumbers w:val="0"/>
              <w:spacing w:before="0" w:beforeAutospacing="0" w:after="0" w:afterAutospacing="0" w:line="320" w:lineRule="atLeast"/>
              <w:ind w:left="0" w:right="0"/>
              <w:jc w:val="left"/>
              <w:rPr>
                <w:rFonts w:hint="default" w:ascii="宋体"/>
                <w:color w:val="auto"/>
                <w:kern w:val="0"/>
                <w:highlight w:val="none"/>
              </w:rPr>
            </w:pPr>
            <w:r>
              <w:rPr>
                <w:rFonts w:hint="default" w:ascii="宋体"/>
                <w:color w:val="auto"/>
                <w:kern w:val="0"/>
                <w:highlight w:val="none"/>
              </w:rPr>
              <w:t>        </w:t>
            </w:r>
            <w:r>
              <w:rPr>
                <w:rFonts w:hint="default" w:ascii="宋体" w:hAnsi="宋体" w:cs="宋体"/>
                <w:color w:val="auto"/>
                <w:kern w:val="0"/>
                <w:highlight w:val="none"/>
              </w:rPr>
              <w:t xml:space="preserve">                              </w:t>
            </w:r>
            <w:r>
              <w:rPr>
                <w:rFonts w:hint="eastAsia" w:ascii="宋体" w:hAnsi="宋体" w:cs="宋体"/>
                <w:color w:val="auto"/>
                <w:kern w:val="0"/>
                <w:highlight w:val="none"/>
              </w:rPr>
              <w:t>签字：</w:t>
            </w:r>
          </w:p>
        </w:tc>
      </w:tr>
      <w:tr w14:paraId="5324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9627" w:type="dxa"/>
            <w:gridSpan w:val="7"/>
            <w:tcMar>
              <w:top w:w="0" w:type="dxa"/>
              <w:left w:w="108" w:type="dxa"/>
              <w:bottom w:w="0" w:type="dxa"/>
              <w:right w:w="108" w:type="dxa"/>
            </w:tcMar>
            <w:vAlign w:val="center"/>
          </w:tcPr>
          <w:p w14:paraId="4A7DB20C">
            <w:pPr>
              <w:keepNext w:val="0"/>
              <w:keepLines w:val="0"/>
              <w:widowControl/>
              <w:suppressLineNumbers w:val="0"/>
              <w:spacing w:before="0" w:beforeAutospacing="0" w:after="0" w:afterAutospacing="0" w:line="320" w:lineRule="atLeast"/>
              <w:ind w:left="0" w:right="0"/>
              <w:jc w:val="left"/>
              <w:rPr>
                <w:rFonts w:hint="default" w:ascii="宋体"/>
                <w:color w:val="auto"/>
                <w:kern w:val="0"/>
                <w:highlight w:val="none"/>
              </w:rPr>
            </w:pPr>
            <w:r>
              <w:rPr>
                <w:rFonts w:hint="eastAsia" w:ascii="宋体" w:hAnsi="宋体" w:cs="宋体"/>
                <w:color w:val="auto"/>
                <w:kern w:val="0"/>
                <w:highlight w:val="none"/>
              </w:rPr>
              <w:t>验收小组成员签字：</w:t>
            </w:r>
          </w:p>
        </w:tc>
      </w:tr>
      <w:tr w14:paraId="07F8D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9627" w:type="dxa"/>
            <w:gridSpan w:val="7"/>
            <w:tcMar>
              <w:top w:w="0" w:type="dxa"/>
              <w:left w:w="108" w:type="dxa"/>
              <w:bottom w:w="0" w:type="dxa"/>
              <w:right w:w="108" w:type="dxa"/>
            </w:tcMar>
            <w:vAlign w:val="center"/>
          </w:tcPr>
          <w:p w14:paraId="33C39F16">
            <w:pPr>
              <w:keepNext w:val="0"/>
              <w:keepLines w:val="0"/>
              <w:widowControl/>
              <w:suppressLineNumbers w:val="0"/>
              <w:spacing w:before="0" w:beforeAutospacing="0" w:after="0" w:afterAutospacing="0" w:line="320" w:lineRule="atLeast"/>
              <w:ind w:left="0" w:right="0"/>
              <w:jc w:val="left"/>
              <w:rPr>
                <w:rFonts w:hint="default" w:ascii="宋体"/>
                <w:color w:val="auto"/>
                <w:kern w:val="0"/>
                <w:highlight w:val="none"/>
              </w:rPr>
            </w:pPr>
            <w:r>
              <w:rPr>
                <w:rFonts w:hint="eastAsia" w:ascii="宋体" w:hAnsi="宋体" w:cs="宋体"/>
                <w:color w:val="auto"/>
                <w:kern w:val="0"/>
                <w:highlight w:val="none"/>
              </w:rPr>
              <w:t>监督人员或其他相关人员签字：</w:t>
            </w:r>
          </w:p>
          <w:p w14:paraId="72BAEBE7">
            <w:pPr>
              <w:keepNext w:val="0"/>
              <w:keepLines w:val="0"/>
              <w:widowControl/>
              <w:suppressLineNumbers w:val="0"/>
              <w:spacing w:before="0" w:beforeAutospacing="0" w:after="0" w:afterAutospacing="0" w:line="320" w:lineRule="atLeast"/>
              <w:ind w:left="0" w:right="0" w:firstLine="74"/>
              <w:jc w:val="left"/>
              <w:rPr>
                <w:rFonts w:hint="default" w:ascii="宋体"/>
                <w:color w:val="auto"/>
                <w:kern w:val="0"/>
                <w:highlight w:val="none"/>
              </w:rPr>
            </w:pPr>
            <w:r>
              <w:rPr>
                <w:rFonts w:hint="eastAsia" w:ascii="宋体" w:hAnsi="宋体" w:cs="宋体"/>
                <w:color w:val="auto"/>
                <w:kern w:val="0"/>
                <w:highlight w:val="none"/>
              </w:rPr>
              <w:t>或受邀机构的意见（盖章）：</w:t>
            </w:r>
          </w:p>
        </w:tc>
      </w:tr>
      <w:tr w14:paraId="096A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4767" w:type="dxa"/>
            <w:gridSpan w:val="3"/>
            <w:tcMar>
              <w:top w:w="0" w:type="dxa"/>
              <w:left w:w="108" w:type="dxa"/>
              <w:bottom w:w="0" w:type="dxa"/>
              <w:right w:w="108" w:type="dxa"/>
            </w:tcMar>
            <w:vAlign w:val="center"/>
          </w:tcPr>
          <w:p w14:paraId="71AC92B4">
            <w:pPr>
              <w:keepNext w:val="0"/>
              <w:keepLines w:val="0"/>
              <w:widowControl/>
              <w:suppressLineNumbers w:val="0"/>
              <w:spacing w:before="0" w:beforeAutospacing="0" w:after="0" w:afterAutospacing="0" w:line="320" w:lineRule="atLeast"/>
              <w:ind w:left="0" w:right="0" w:firstLine="74"/>
              <w:jc w:val="left"/>
              <w:rPr>
                <w:rFonts w:hint="default" w:ascii="宋体"/>
                <w:color w:val="auto"/>
                <w:kern w:val="0"/>
                <w:highlight w:val="none"/>
              </w:rPr>
            </w:pPr>
            <w:r>
              <w:rPr>
                <w:rFonts w:hint="eastAsia" w:ascii="宋体" w:hAnsi="宋体" w:cs="宋体"/>
                <w:color w:val="auto"/>
                <w:kern w:val="0"/>
                <w:highlight w:val="none"/>
              </w:rPr>
              <w:t>中标或者成交供应商负责人签字或盖章：</w:t>
            </w:r>
          </w:p>
          <w:p w14:paraId="0484E7F3">
            <w:pPr>
              <w:keepNext w:val="0"/>
              <w:keepLines w:val="0"/>
              <w:widowControl/>
              <w:suppressLineNumbers w:val="0"/>
              <w:spacing w:before="0" w:beforeAutospacing="0" w:after="0" w:afterAutospacing="0" w:line="320" w:lineRule="atLeast"/>
              <w:ind w:left="0" w:right="0"/>
              <w:jc w:val="left"/>
              <w:rPr>
                <w:rFonts w:hint="default" w:ascii="宋体"/>
                <w:color w:val="auto"/>
                <w:kern w:val="0"/>
                <w:highlight w:val="none"/>
              </w:rPr>
            </w:pPr>
            <w:r>
              <w:rPr>
                <w:rFonts w:hint="eastAsia" w:ascii="宋体" w:hAnsi="宋体" w:cs="宋体"/>
                <w:color w:val="auto"/>
                <w:kern w:val="0"/>
                <w:highlight w:val="none"/>
              </w:rPr>
              <w:t>联系电话：</w:t>
            </w:r>
            <w:r>
              <w:rPr>
                <w:rFonts w:hint="default" w:ascii="宋体"/>
                <w:color w:val="auto"/>
                <w:kern w:val="0"/>
                <w:highlight w:val="none"/>
              </w:rPr>
              <w:t>        </w:t>
            </w:r>
            <w:r>
              <w:rPr>
                <w:rFonts w:hint="eastAsia" w:ascii="宋体" w:hAnsi="宋体" w:cs="宋体"/>
                <w:color w:val="auto"/>
                <w:kern w:val="0"/>
                <w:highlight w:val="none"/>
              </w:rPr>
              <w:t>年</w:t>
            </w:r>
            <w:r>
              <w:rPr>
                <w:rFonts w:hint="default" w:ascii="宋体"/>
                <w:color w:val="auto"/>
                <w:kern w:val="0"/>
                <w:highlight w:val="none"/>
              </w:rPr>
              <w:t> </w:t>
            </w:r>
            <w:r>
              <w:rPr>
                <w:rFonts w:hint="eastAsia" w:ascii="宋体"/>
                <w:color w:val="auto"/>
                <w:kern w:val="0"/>
                <w:highlight w:val="none"/>
              </w:rPr>
              <w:t xml:space="preserve">  </w:t>
            </w:r>
            <w:r>
              <w:rPr>
                <w:rFonts w:hint="eastAsia" w:ascii="宋体" w:hAnsi="宋体" w:cs="宋体"/>
                <w:color w:val="auto"/>
                <w:kern w:val="0"/>
                <w:highlight w:val="none"/>
              </w:rPr>
              <w:t xml:space="preserve">月  </w:t>
            </w:r>
            <w:r>
              <w:rPr>
                <w:rFonts w:hint="default" w:ascii="宋体"/>
                <w:color w:val="auto"/>
                <w:kern w:val="0"/>
                <w:highlight w:val="none"/>
              </w:rPr>
              <w:t> </w:t>
            </w:r>
            <w:r>
              <w:rPr>
                <w:rFonts w:hint="eastAsia" w:ascii="宋体" w:hAnsi="宋体" w:cs="宋体"/>
                <w:color w:val="auto"/>
                <w:kern w:val="0"/>
                <w:highlight w:val="none"/>
              </w:rPr>
              <w:t>日</w:t>
            </w:r>
          </w:p>
        </w:tc>
        <w:tc>
          <w:tcPr>
            <w:tcW w:w="4860" w:type="dxa"/>
            <w:gridSpan w:val="4"/>
            <w:vAlign w:val="center"/>
          </w:tcPr>
          <w:p w14:paraId="79C2FFC2">
            <w:pPr>
              <w:keepNext w:val="0"/>
              <w:keepLines w:val="0"/>
              <w:widowControl/>
              <w:suppressLineNumbers w:val="0"/>
              <w:spacing w:before="0" w:beforeAutospacing="0" w:after="0" w:afterAutospacing="0" w:line="320" w:lineRule="atLeast"/>
              <w:ind w:left="0" w:right="0"/>
              <w:jc w:val="left"/>
              <w:rPr>
                <w:rFonts w:hint="default" w:ascii="宋体"/>
                <w:color w:val="auto"/>
                <w:kern w:val="0"/>
                <w:highlight w:val="none"/>
              </w:rPr>
            </w:pPr>
            <w:r>
              <w:rPr>
                <w:rFonts w:hint="default" w:ascii="宋体"/>
                <w:color w:val="auto"/>
                <w:kern w:val="0"/>
                <w:highlight w:val="none"/>
              </w:rPr>
              <w:t> </w:t>
            </w:r>
            <w:r>
              <w:rPr>
                <w:rFonts w:hint="eastAsia" w:ascii="宋体" w:hAnsi="宋体" w:cs="宋体"/>
                <w:color w:val="auto"/>
                <w:kern w:val="0"/>
                <w:highlight w:val="none"/>
              </w:rPr>
              <w:t>采购人或受托机构的意见（盖章）：</w:t>
            </w:r>
          </w:p>
          <w:p w14:paraId="48DAB54E">
            <w:pPr>
              <w:keepNext w:val="0"/>
              <w:keepLines w:val="0"/>
              <w:widowControl/>
              <w:suppressLineNumbers w:val="0"/>
              <w:spacing w:before="0" w:beforeAutospacing="0" w:after="0" w:afterAutospacing="0" w:line="320" w:lineRule="atLeast"/>
              <w:ind w:left="0" w:right="0"/>
              <w:jc w:val="left"/>
              <w:rPr>
                <w:rFonts w:hint="default" w:ascii="宋体"/>
                <w:color w:val="auto"/>
                <w:kern w:val="0"/>
                <w:highlight w:val="none"/>
              </w:rPr>
            </w:pPr>
            <w:r>
              <w:rPr>
                <w:rFonts w:hint="eastAsia" w:ascii="宋体" w:hAnsi="宋体" w:cs="宋体"/>
                <w:color w:val="auto"/>
                <w:kern w:val="0"/>
                <w:highlight w:val="none"/>
              </w:rPr>
              <w:t>联系电话：</w:t>
            </w:r>
            <w:r>
              <w:rPr>
                <w:rFonts w:hint="default" w:ascii="宋体"/>
                <w:color w:val="auto"/>
                <w:kern w:val="0"/>
                <w:highlight w:val="none"/>
              </w:rPr>
              <w:t>                 </w:t>
            </w:r>
            <w:r>
              <w:rPr>
                <w:rFonts w:hint="eastAsia" w:ascii="宋体" w:hAnsi="宋体" w:cs="宋体"/>
                <w:color w:val="auto"/>
                <w:kern w:val="0"/>
                <w:highlight w:val="none"/>
              </w:rPr>
              <w:t>年</w:t>
            </w:r>
            <w:r>
              <w:rPr>
                <w:rFonts w:hint="default" w:ascii="宋体"/>
                <w:color w:val="auto"/>
                <w:kern w:val="0"/>
                <w:highlight w:val="none"/>
              </w:rPr>
              <w:t>   </w:t>
            </w:r>
            <w:r>
              <w:rPr>
                <w:rFonts w:hint="eastAsia" w:ascii="宋体" w:hAnsi="宋体" w:cs="宋体"/>
                <w:color w:val="auto"/>
                <w:kern w:val="0"/>
                <w:highlight w:val="none"/>
              </w:rPr>
              <w:t>月</w:t>
            </w:r>
            <w:r>
              <w:rPr>
                <w:rFonts w:hint="default" w:ascii="宋体"/>
                <w:color w:val="auto"/>
                <w:kern w:val="0"/>
                <w:highlight w:val="none"/>
              </w:rPr>
              <w:t>   </w:t>
            </w:r>
            <w:r>
              <w:rPr>
                <w:rFonts w:hint="eastAsia" w:ascii="宋体" w:hAnsi="宋体" w:cs="宋体"/>
                <w:color w:val="auto"/>
                <w:kern w:val="0"/>
                <w:highlight w:val="none"/>
              </w:rPr>
              <w:t>日</w:t>
            </w:r>
          </w:p>
        </w:tc>
      </w:tr>
    </w:tbl>
    <w:p w14:paraId="4D2656C7">
      <w:pPr>
        <w:snapToGrid w:val="0"/>
        <w:spacing w:line="340" w:lineRule="exact"/>
        <w:rPr>
          <w:rFonts w:ascii="宋体" w:hAnsi="宋体" w:cs="宋体"/>
          <w:b/>
          <w:color w:val="auto"/>
          <w:highlight w:val="none"/>
        </w:rPr>
      </w:pPr>
    </w:p>
    <w:p w14:paraId="52DBFAC4">
      <w:pPr>
        <w:snapToGrid w:val="0"/>
        <w:spacing w:line="340" w:lineRule="exact"/>
        <w:rPr>
          <w:rFonts w:ascii="宋体" w:hAnsi="宋体" w:cs="宋体"/>
          <w:b/>
          <w:color w:val="auto"/>
          <w:highlight w:val="none"/>
        </w:rPr>
      </w:pPr>
    </w:p>
    <w:p w14:paraId="5C300F50">
      <w:pPr>
        <w:snapToGrid w:val="0"/>
        <w:spacing w:line="340" w:lineRule="exact"/>
        <w:rPr>
          <w:rFonts w:ascii="宋体" w:hAnsi="宋体" w:cs="宋体"/>
          <w:b/>
          <w:color w:val="auto"/>
          <w:highlight w:val="none"/>
        </w:rPr>
      </w:pPr>
    </w:p>
    <w:p w14:paraId="3AC84F4C">
      <w:pPr>
        <w:spacing w:line="360" w:lineRule="exact"/>
        <w:ind w:firstLine="480"/>
        <w:jc w:val="center"/>
        <w:rPr>
          <w:rFonts w:ascii="宋体" w:hAnsi="宋体"/>
          <w:b/>
          <w:color w:val="auto"/>
          <w:sz w:val="32"/>
          <w:szCs w:val="32"/>
          <w:highlight w:val="none"/>
        </w:rPr>
      </w:pPr>
    </w:p>
    <w:p w14:paraId="3196EB48">
      <w:pPr>
        <w:spacing w:line="360" w:lineRule="exact"/>
        <w:ind w:firstLine="643"/>
        <w:jc w:val="center"/>
        <w:rPr>
          <w:rFonts w:ascii="宋体" w:hAnsi="宋体"/>
          <w:b/>
          <w:color w:val="auto"/>
          <w:sz w:val="32"/>
          <w:szCs w:val="32"/>
          <w:highlight w:val="none"/>
        </w:rPr>
      </w:pPr>
      <w:r>
        <w:rPr>
          <w:color w:val="auto"/>
          <w:highlight w:val="none"/>
        </w:rPr>
        <w:drawing>
          <wp:anchor distT="0" distB="0" distL="114300" distR="114300" simplePos="0" relativeHeight="251661312" behindDoc="0" locked="0" layoutInCell="1" allowOverlap="1">
            <wp:simplePos x="0" y="0"/>
            <wp:positionH relativeFrom="column">
              <wp:posOffset>252730</wp:posOffset>
            </wp:positionH>
            <wp:positionV relativeFrom="paragraph">
              <wp:posOffset>1905</wp:posOffset>
            </wp:positionV>
            <wp:extent cx="5904230" cy="6205855"/>
            <wp:effectExtent l="0" t="0" r="1270" b="4445"/>
            <wp:wrapSquare wrapText="bothSides"/>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3"/>
                    <a:stretch>
                      <a:fillRect/>
                    </a:stretch>
                  </pic:blipFill>
                  <pic:spPr>
                    <a:xfrm>
                      <a:off x="0" y="0"/>
                      <a:ext cx="5904230" cy="6205855"/>
                    </a:xfrm>
                    <a:prstGeom prst="rect">
                      <a:avLst/>
                    </a:prstGeom>
                    <a:noFill/>
                    <a:ln>
                      <a:noFill/>
                    </a:ln>
                  </pic:spPr>
                </pic:pic>
              </a:graphicData>
            </a:graphic>
          </wp:anchor>
        </w:drawing>
      </w:r>
    </w:p>
    <w:p w14:paraId="05CCE660">
      <w:pPr>
        <w:spacing w:line="360" w:lineRule="exact"/>
        <w:ind w:firstLine="643"/>
        <w:jc w:val="center"/>
        <w:rPr>
          <w:rFonts w:ascii="宋体" w:hAnsi="宋体"/>
          <w:b/>
          <w:color w:val="auto"/>
          <w:sz w:val="32"/>
          <w:szCs w:val="32"/>
          <w:highlight w:val="none"/>
        </w:rPr>
      </w:pPr>
    </w:p>
    <w:p w14:paraId="20AEB3B7">
      <w:pPr>
        <w:spacing w:line="360" w:lineRule="exact"/>
        <w:ind w:firstLine="643"/>
        <w:jc w:val="center"/>
        <w:rPr>
          <w:rFonts w:ascii="宋体" w:hAnsi="宋体"/>
          <w:b/>
          <w:color w:val="auto"/>
          <w:sz w:val="32"/>
          <w:szCs w:val="32"/>
          <w:highlight w:val="none"/>
        </w:rPr>
      </w:pPr>
    </w:p>
    <w:p w14:paraId="693127DA">
      <w:pPr>
        <w:spacing w:line="360" w:lineRule="auto"/>
        <w:jc w:val="center"/>
        <w:rPr>
          <w:rFonts w:ascii="宋体" w:hAnsi="宋体" w:cs="仿宋_GB2312"/>
          <w:color w:val="auto"/>
          <w:sz w:val="24"/>
          <w:highlight w:val="none"/>
        </w:rPr>
      </w:pPr>
      <w:r>
        <w:rPr>
          <w:rFonts w:ascii="宋体" w:hAnsi="宋体" w:cs="仿宋_GB2312"/>
          <w:color w:val="auto"/>
          <w:sz w:val="24"/>
          <w:highlight w:val="none"/>
        </w:rPr>
        <w:br w:type="page"/>
      </w:r>
    </w:p>
    <w:p w14:paraId="1DD2D520">
      <w:pPr>
        <w:spacing w:line="360" w:lineRule="auto"/>
        <w:jc w:val="center"/>
        <w:rPr>
          <w:rFonts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质疑函（格式）</w:t>
      </w:r>
    </w:p>
    <w:p w14:paraId="3C46FAED">
      <w:pPr>
        <w:pStyle w:val="26"/>
        <w:spacing w:line="360" w:lineRule="auto"/>
        <w:ind w:firstLine="480"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14:paraId="0A1528D2">
      <w:pPr>
        <w:pStyle w:val="26"/>
        <w:spacing w:line="360" w:lineRule="auto"/>
        <w:ind w:firstLine="480" w:firstLineChars="200"/>
        <w:contextualSpacing/>
        <w:rPr>
          <w:rFonts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8CBC825">
      <w:pPr>
        <w:pStyle w:val="26"/>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CCA14B2">
      <w:pPr>
        <w:pStyle w:val="26"/>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F88E807">
      <w:pPr>
        <w:pStyle w:val="26"/>
        <w:spacing w:line="360" w:lineRule="auto"/>
        <w:ind w:firstLine="480" w:firstLineChars="200"/>
        <w:contextualSpacing/>
        <w:rPr>
          <w:rFonts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623A15A7">
      <w:pPr>
        <w:pStyle w:val="26"/>
        <w:spacing w:line="360" w:lineRule="auto"/>
        <w:ind w:firstLine="480" w:firstLineChars="200"/>
        <w:contextualSpacing/>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695DA1F3">
      <w:pPr>
        <w:pStyle w:val="26"/>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81AD1E6">
      <w:pPr>
        <w:pStyle w:val="26"/>
        <w:spacing w:line="360" w:lineRule="auto"/>
        <w:ind w:firstLine="480" w:firstLineChars="200"/>
        <w:contextualSpacing/>
        <w:rPr>
          <w:rFonts w:hAnsi="宋体"/>
          <w:b/>
          <w:bCs/>
          <w:color w:val="auto"/>
          <w:sz w:val="24"/>
          <w:szCs w:val="24"/>
          <w:highlight w:val="none"/>
        </w:rPr>
      </w:pPr>
      <w:r>
        <w:rPr>
          <w:rFonts w:hint="eastAsia" w:hAnsi="宋体"/>
          <w:b/>
          <w:bCs/>
          <w:color w:val="auto"/>
          <w:sz w:val="24"/>
          <w:szCs w:val="24"/>
          <w:highlight w:val="none"/>
        </w:rPr>
        <w:t>二、质疑项目基本情况：</w:t>
      </w:r>
    </w:p>
    <w:p w14:paraId="47F3509A">
      <w:pPr>
        <w:pStyle w:val="26"/>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5C67FAF0">
      <w:pPr>
        <w:pStyle w:val="26"/>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1C129E9C">
      <w:pPr>
        <w:pStyle w:val="26"/>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115B7CD9">
      <w:pPr>
        <w:pStyle w:val="26"/>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w:t>
      </w:r>
    </w:p>
    <w:p w14:paraId="7DD150D1">
      <w:pPr>
        <w:pStyle w:val="26"/>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621666C6">
      <w:pPr>
        <w:pStyle w:val="26"/>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 xml:space="preserve">□采购过程   </w:t>
      </w:r>
    </w:p>
    <w:p w14:paraId="107195B8">
      <w:pPr>
        <w:pStyle w:val="26"/>
        <w:spacing w:line="360" w:lineRule="auto"/>
        <w:ind w:left="25" w:leftChars="12" w:firstLine="352" w:firstLineChars="147"/>
        <w:contextualSpacing/>
        <w:rPr>
          <w:rFonts w:hAnsi="宋体"/>
          <w:bCs/>
          <w:color w:val="auto"/>
          <w:sz w:val="24"/>
          <w:szCs w:val="24"/>
          <w:highlight w:val="none"/>
          <w:u w:val="single"/>
        </w:rPr>
      </w:pPr>
      <w:r>
        <w:rPr>
          <w:rFonts w:hint="eastAsia" w:hAnsi="宋体"/>
          <w:color w:val="auto"/>
          <w:sz w:val="24"/>
          <w:szCs w:val="24"/>
          <w:highlight w:val="none"/>
        </w:rPr>
        <w:t xml:space="preserve">□成交结果   </w:t>
      </w:r>
    </w:p>
    <w:p w14:paraId="70897AE0">
      <w:pPr>
        <w:pStyle w:val="26"/>
        <w:spacing w:line="360" w:lineRule="auto"/>
        <w:ind w:left="25" w:leftChars="12" w:firstLine="470" w:firstLineChars="196"/>
        <w:contextualSpacing/>
        <w:rPr>
          <w:rFonts w:hAnsi="宋体"/>
          <w:b/>
          <w:color w:val="auto"/>
          <w:sz w:val="24"/>
          <w:szCs w:val="24"/>
          <w:highlight w:val="none"/>
        </w:rPr>
      </w:pPr>
      <w:r>
        <w:rPr>
          <w:rFonts w:hint="eastAsia" w:hAnsi="宋体"/>
          <w:b/>
          <w:color w:val="auto"/>
          <w:sz w:val="24"/>
          <w:szCs w:val="24"/>
          <w:highlight w:val="none"/>
        </w:rPr>
        <w:t>三、质疑事项具体内容</w:t>
      </w:r>
    </w:p>
    <w:p w14:paraId="653BC4B4">
      <w:pPr>
        <w:pStyle w:val="26"/>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40F62BCB">
      <w:pPr>
        <w:pStyle w:val="26"/>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3EFAF4FF">
      <w:pPr>
        <w:pStyle w:val="26"/>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3C95A3D8">
      <w:pPr>
        <w:pStyle w:val="26"/>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质疑事项2</w:t>
      </w:r>
    </w:p>
    <w:p w14:paraId="53BB5AB4">
      <w:pPr>
        <w:pStyle w:val="26"/>
        <w:spacing w:line="360" w:lineRule="auto"/>
        <w:ind w:left="25" w:leftChars="12" w:firstLine="472" w:firstLineChars="197"/>
        <w:contextualSpacing/>
        <w:rPr>
          <w:rFonts w:hAnsi="宋体"/>
          <w:color w:val="auto"/>
          <w:sz w:val="24"/>
          <w:szCs w:val="24"/>
          <w:highlight w:val="none"/>
        </w:rPr>
      </w:pPr>
      <w:r>
        <w:rPr>
          <w:rFonts w:hAnsi="宋体"/>
          <w:color w:val="auto"/>
          <w:sz w:val="24"/>
          <w:szCs w:val="24"/>
          <w:highlight w:val="none"/>
        </w:rPr>
        <w:t>……</w:t>
      </w:r>
    </w:p>
    <w:p w14:paraId="55937EEF">
      <w:pPr>
        <w:pStyle w:val="26"/>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四、与质疑事项相关的质疑请求：</w:t>
      </w:r>
    </w:p>
    <w:p w14:paraId="167984F9">
      <w:pPr>
        <w:pStyle w:val="26"/>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4EEEF862">
      <w:pPr>
        <w:pStyle w:val="26"/>
        <w:spacing w:line="360" w:lineRule="auto"/>
        <w:ind w:left="25" w:leftChars="12" w:firstLine="352" w:firstLineChars="147"/>
        <w:contextualSpacing/>
        <w:rPr>
          <w:rFonts w:hAnsi="宋体"/>
          <w:color w:val="auto"/>
          <w:sz w:val="24"/>
          <w:szCs w:val="24"/>
          <w:highlight w:val="none"/>
        </w:rPr>
      </w:pPr>
    </w:p>
    <w:p w14:paraId="40BB9CB8">
      <w:pPr>
        <w:pStyle w:val="26"/>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签字（签章）：                                       公章：</w:t>
      </w:r>
    </w:p>
    <w:p w14:paraId="787825DE">
      <w:pPr>
        <w:pStyle w:val="26"/>
        <w:spacing w:line="360" w:lineRule="auto"/>
        <w:ind w:firstLine="480" w:firstLineChars="200"/>
        <w:contextualSpacing/>
        <w:rPr>
          <w:rFonts w:hAnsi="宋体"/>
          <w:b/>
          <w:color w:val="auto"/>
          <w:sz w:val="24"/>
          <w:szCs w:val="24"/>
          <w:highlight w:val="none"/>
        </w:rPr>
      </w:pPr>
      <w:r>
        <w:rPr>
          <w:rFonts w:hint="eastAsia" w:hAnsi="宋体"/>
          <w:color w:val="auto"/>
          <w:sz w:val="24"/>
          <w:szCs w:val="24"/>
          <w:highlight w:val="none"/>
        </w:rPr>
        <w:t>日期：</w:t>
      </w:r>
    </w:p>
    <w:p w14:paraId="3451AC7C">
      <w:pPr>
        <w:pStyle w:val="26"/>
        <w:spacing w:line="360" w:lineRule="auto"/>
        <w:contextualSpacing/>
        <w:rPr>
          <w:rFonts w:hAnsi="宋体"/>
          <w:b/>
          <w:color w:val="auto"/>
          <w:sz w:val="24"/>
          <w:szCs w:val="24"/>
          <w:highlight w:val="none"/>
        </w:rPr>
      </w:pPr>
      <w:r>
        <w:rPr>
          <w:rFonts w:hint="eastAsia" w:hAnsi="宋体"/>
          <w:b/>
          <w:color w:val="auto"/>
          <w:sz w:val="24"/>
          <w:szCs w:val="24"/>
          <w:highlight w:val="none"/>
        </w:rPr>
        <w:t>说明：</w:t>
      </w:r>
    </w:p>
    <w:p w14:paraId="3C52EE2F">
      <w:pPr>
        <w:pStyle w:val="26"/>
        <w:spacing w:line="360" w:lineRule="auto"/>
        <w:ind w:left="25" w:leftChars="12" w:firstLine="352" w:firstLineChars="147"/>
        <w:contextualSpacing/>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54885272">
      <w:pPr>
        <w:pStyle w:val="26"/>
        <w:spacing w:line="360" w:lineRule="auto"/>
        <w:ind w:left="25" w:leftChars="12" w:firstLine="352" w:firstLineChars="147"/>
        <w:contextualSpacing/>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CCFC34C">
      <w:pPr>
        <w:pStyle w:val="26"/>
        <w:spacing w:line="360" w:lineRule="auto"/>
        <w:ind w:left="25" w:leftChars="12" w:firstLine="352" w:firstLineChars="147"/>
        <w:contextualSpacing/>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1983F2F5">
      <w:pPr>
        <w:pStyle w:val="26"/>
        <w:spacing w:line="360" w:lineRule="auto"/>
        <w:ind w:left="25" w:leftChars="12" w:firstLine="352" w:firstLineChars="147"/>
        <w:contextualSpacing/>
        <w:rPr>
          <w:rFonts w:hAnsi="宋体"/>
          <w:b/>
          <w:color w:val="auto"/>
          <w:sz w:val="24"/>
          <w:szCs w:val="24"/>
          <w:highlight w:val="none"/>
        </w:rPr>
      </w:pPr>
      <w:r>
        <w:rPr>
          <w:rFonts w:hint="eastAsia" w:hAnsi="宋体"/>
          <w:b/>
          <w:color w:val="auto"/>
          <w:sz w:val="24"/>
          <w:szCs w:val="24"/>
          <w:highlight w:val="none"/>
        </w:rPr>
        <w:t>4.质疑函的质疑请求应与质疑事项相关。</w:t>
      </w:r>
    </w:p>
    <w:p w14:paraId="760C6B41">
      <w:pPr>
        <w:pStyle w:val="26"/>
        <w:spacing w:line="360" w:lineRule="auto"/>
        <w:ind w:left="25" w:leftChars="12" w:firstLine="352" w:firstLineChars="147"/>
        <w:contextualSpacing/>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557B9D0A">
      <w:pPr>
        <w:pStyle w:val="26"/>
        <w:snapToGrid w:val="0"/>
        <w:rPr>
          <w:b/>
          <w:color w:val="auto"/>
          <w:sz w:val="24"/>
          <w:szCs w:val="24"/>
          <w:highlight w:val="none"/>
        </w:rPr>
      </w:pPr>
    </w:p>
    <w:p w14:paraId="02446F5D">
      <w:pPr>
        <w:rPr>
          <w:color w:val="auto"/>
          <w:sz w:val="32"/>
          <w:szCs w:val="40"/>
          <w:highlight w:val="none"/>
        </w:rPr>
      </w:pPr>
    </w:p>
    <w:p w14:paraId="1670F763">
      <w:pPr>
        <w:pStyle w:val="26"/>
        <w:jc w:val="center"/>
        <w:rPr>
          <w:rFonts w:hAnsi="宋体"/>
          <w:b/>
          <w:color w:val="auto"/>
          <w:sz w:val="32"/>
          <w:highlight w:val="none"/>
        </w:rPr>
      </w:pPr>
      <w:r>
        <w:rPr>
          <w:rFonts w:hint="eastAsia" w:hAnsi="宋体"/>
          <w:b/>
          <w:color w:val="auto"/>
          <w:sz w:val="32"/>
          <w:highlight w:val="none"/>
        </w:rPr>
        <w:t xml:space="preserve">  </w:t>
      </w:r>
    </w:p>
    <w:p w14:paraId="06CF5814">
      <w:pPr>
        <w:pStyle w:val="26"/>
        <w:jc w:val="center"/>
        <w:rPr>
          <w:rFonts w:hAnsi="宋体"/>
          <w:b/>
          <w:color w:val="auto"/>
          <w:sz w:val="32"/>
          <w:highlight w:val="none"/>
        </w:rPr>
      </w:pPr>
    </w:p>
    <w:p w14:paraId="5B72A9D7">
      <w:pPr>
        <w:pStyle w:val="26"/>
        <w:jc w:val="center"/>
        <w:rPr>
          <w:rFonts w:hAnsi="宋体"/>
          <w:b/>
          <w:color w:val="auto"/>
          <w:sz w:val="32"/>
          <w:highlight w:val="none"/>
        </w:rPr>
      </w:pPr>
    </w:p>
    <w:p w14:paraId="58EA8E3F">
      <w:pPr>
        <w:pStyle w:val="26"/>
        <w:jc w:val="center"/>
        <w:rPr>
          <w:rFonts w:hAnsi="宋体"/>
          <w:b/>
          <w:color w:val="auto"/>
          <w:sz w:val="32"/>
          <w:highlight w:val="none"/>
        </w:rPr>
      </w:pPr>
    </w:p>
    <w:p w14:paraId="395FEB5E">
      <w:pPr>
        <w:pStyle w:val="26"/>
        <w:jc w:val="center"/>
        <w:rPr>
          <w:rFonts w:hAnsi="宋体"/>
          <w:b/>
          <w:color w:val="auto"/>
          <w:sz w:val="32"/>
          <w:highlight w:val="none"/>
        </w:rPr>
      </w:pPr>
    </w:p>
    <w:p w14:paraId="2FD53EE1">
      <w:pPr>
        <w:pStyle w:val="26"/>
        <w:jc w:val="center"/>
        <w:rPr>
          <w:rFonts w:hAnsi="宋体"/>
          <w:b/>
          <w:color w:val="auto"/>
          <w:sz w:val="32"/>
          <w:highlight w:val="none"/>
        </w:rPr>
      </w:pPr>
    </w:p>
    <w:p w14:paraId="22DA0D64">
      <w:pPr>
        <w:pStyle w:val="26"/>
        <w:jc w:val="center"/>
        <w:rPr>
          <w:rFonts w:hAnsi="宋体"/>
          <w:b/>
          <w:color w:val="auto"/>
          <w:sz w:val="32"/>
          <w:highlight w:val="none"/>
        </w:rPr>
      </w:pPr>
    </w:p>
    <w:p w14:paraId="22406C07">
      <w:pPr>
        <w:pStyle w:val="26"/>
        <w:jc w:val="center"/>
        <w:rPr>
          <w:rFonts w:hAnsi="宋体"/>
          <w:b/>
          <w:color w:val="auto"/>
          <w:sz w:val="32"/>
          <w:highlight w:val="none"/>
        </w:rPr>
      </w:pPr>
    </w:p>
    <w:p w14:paraId="1C7D12F3">
      <w:pPr>
        <w:pStyle w:val="26"/>
        <w:jc w:val="center"/>
        <w:rPr>
          <w:rFonts w:hAnsi="宋体"/>
          <w:b/>
          <w:color w:val="auto"/>
          <w:sz w:val="32"/>
          <w:highlight w:val="none"/>
        </w:rPr>
      </w:pPr>
    </w:p>
    <w:p w14:paraId="054CB5EB">
      <w:pPr>
        <w:pStyle w:val="26"/>
        <w:jc w:val="center"/>
        <w:rPr>
          <w:rFonts w:hAnsi="宋体"/>
          <w:b/>
          <w:color w:val="auto"/>
          <w:sz w:val="32"/>
          <w:highlight w:val="none"/>
        </w:rPr>
      </w:pPr>
    </w:p>
    <w:p w14:paraId="6AEBB057">
      <w:pPr>
        <w:pStyle w:val="26"/>
        <w:jc w:val="center"/>
        <w:rPr>
          <w:rFonts w:hAnsi="宋体"/>
          <w:b/>
          <w:color w:val="auto"/>
          <w:sz w:val="32"/>
          <w:highlight w:val="none"/>
        </w:rPr>
      </w:pPr>
    </w:p>
    <w:p w14:paraId="6ED8EDBE">
      <w:pPr>
        <w:pStyle w:val="26"/>
        <w:jc w:val="center"/>
        <w:rPr>
          <w:rFonts w:hAnsi="宋体"/>
          <w:b/>
          <w:color w:val="auto"/>
          <w:sz w:val="32"/>
          <w:highlight w:val="none"/>
        </w:rPr>
      </w:pPr>
    </w:p>
    <w:p w14:paraId="132580D8">
      <w:pPr>
        <w:pStyle w:val="26"/>
        <w:jc w:val="center"/>
        <w:rPr>
          <w:rFonts w:hAnsi="宋体"/>
          <w:b/>
          <w:color w:val="auto"/>
          <w:sz w:val="32"/>
          <w:highlight w:val="none"/>
        </w:rPr>
      </w:pPr>
    </w:p>
    <w:p w14:paraId="20CCAAD3">
      <w:pPr>
        <w:pStyle w:val="26"/>
        <w:jc w:val="center"/>
        <w:rPr>
          <w:rFonts w:hAnsi="宋体"/>
          <w:b/>
          <w:color w:val="auto"/>
          <w:sz w:val="32"/>
          <w:highlight w:val="none"/>
        </w:rPr>
      </w:pPr>
    </w:p>
    <w:p w14:paraId="66C217A6">
      <w:pPr>
        <w:pStyle w:val="26"/>
        <w:jc w:val="center"/>
        <w:rPr>
          <w:rFonts w:hAnsi="宋体"/>
          <w:b/>
          <w:color w:val="auto"/>
          <w:sz w:val="32"/>
          <w:highlight w:val="none"/>
        </w:rPr>
      </w:pPr>
    </w:p>
    <w:p w14:paraId="3F122195">
      <w:pPr>
        <w:pStyle w:val="26"/>
        <w:jc w:val="center"/>
        <w:rPr>
          <w:rFonts w:hAnsi="宋体"/>
          <w:b/>
          <w:color w:val="auto"/>
          <w:sz w:val="32"/>
          <w:highlight w:val="none"/>
        </w:rPr>
      </w:pPr>
    </w:p>
    <w:p w14:paraId="359F28A5">
      <w:pPr>
        <w:pStyle w:val="26"/>
        <w:jc w:val="center"/>
        <w:rPr>
          <w:rFonts w:hAnsi="宋体" w:cs="宋体"/>
          <w:b/>
          <w:bCs/>
          <w:color w:val="auto"/>
          <w:kern w:val="2"/>
          <w:sz w:val="44"/>
          <w:szCs w:val="24"/>
          <w:highlight w:val="none"/>
        </w:rPr>
      </w:pPr>
      <w:r>
        <w:rPr>
          <w:rFonts w:hint="eastAsia" w:hAnsi="宋体" w:cs="宋体"/>
          <w:b/>
          <w:bCs/>
          <w:color w:val="auto"/>
          <w:kern w:val="2"/>
          <w:sz w:val="44"/>
          <w:szCs w:val="24"/>
          <w:highlight w:val="none"/>
        </w:rPr>
        <w:t>质疑授权委托书（格式）</w:t>
      </w:r>
    </w:p>
    <w:p w14:paraId="35E721C7">
      <w:pPr>
        <w:snapToGrid w:val="0"/>
        <w:spacing w:line="400" w:lineRule="exact"/>
        <w:outlineLvl w:val="4"/>
        <w:rPr>
          <w:rFonts w:ascii="宋体" w:hAnsi="宋体"/>
          <w:b/>
          <w:color w:val="auto"/>
          <w:szCs w:val="21"/>
          <w:highlight w:val="none"/>
        </w:rPr>
      </w:pPr>
    </w:p>
    <w:p w14:paraId="7F078EFA">
      <w:pPr>
        <w:snapToGrid w:val="0"/>
        <w:spacing w:line="400" w:lineRule="exact"/>
        <w:outlineLvl w:val="4"/>
        <w:rPr>
          <w:rFonts w:ascii="宋体" w:hAnsi="宋体"/>
          <w:color w:val="auto"/>
          <w:szCs w:val="21"/>
          <w:highlight w:val="none"/>
        </w:rPr>
      </w:pPr>
      <w:r>
        <w:rPr>
          <w:rFonts w:hint="eastAsia" w:ascii="宋体" w:hAnsi="宋体"/>
          <w:b/>
          <w:color w:val="auto"/>
          <w:szCs w:val="21"/>
          <w:highlight w:val="none"/>
        </w:rPr>
        <w:t>致</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60051C28">
      <w:pPr>
        <w:snapToGrid w:val="0"/>
        <w:spacing w:line="400" w:lineRule="exact"/>
        <w:outlineLvl w:val="4"/>
        <w:rPr>
          <w:rFonts w:ascii="宋体" w:hAnsi="宋体"/>
          <w:color w:val="auto"/>
          <w:szCs w:val="21"/>
          <w:highlight w:val="none"/>
          <w:u w:val="single"/>
        </w:rPr>
      </w:pPr>
    </w:p>
    <w:p w14:paraId="3F1616CE">
      <w:pPr>
        <w:pStyle w:val="26"/>
        <w:spacing w:line="400" w:lineRule="exact"/>
        <w:ind w:firstLine="525" w:firstLineChars="250"/>
        <w:rPr>
          <w:rFonts w:hAnsi="宋体"/>
          <w:color w:val="auto"/>
          <w:sz w:val="21"/>
          <w:highlight w:val="none"/>
        </w:rPr>
      </w:pPr>
      <w:r>
        <w:rPr>
          <w:rFonts w:hint="eastAsia" w:hAnsi="宋体"/>
          <w:color w:val="auto"/>
          <w:sz w:val="21"/>
          <w:highlight w:val="none"/>
        </w:rPr>
        <w:t>我</w:t>
      </w:r>
      <w:r>
        <w:rPr>
          <w:rFonts w:hint="eastAsia" w:hAnsi="宋体"/>
          <w:color w:val="auto"/>
          <w:sz w:val="21"/>
          <w:highlight w:val="none"/>
          <w:u w:val="single"/>
        </w:rPr>
        <w:t xml:space="preserve">              </w:t>
      </w:r>
      <w:r>
        <w:rPr>
          <w:rFonts w:hint="eastAsia" w:hAnsi="宋体"/>
          <w:color w:val="auto"/>
          <w:sz w:val="21"/>
          <w:highlight w:val="none"/>
        </w:rPr>
        <w:t>（姓名）系</w:t>
      </w:r>
      <w:r>
        <w:rPr>
          <w:rFonts w:hint="eastAsia" w:hAnsi="宋体"/>
          <w:color w:val="auto"/>
          <w:sz w:val="21"/>
          <w:highlight w:val="none"/>
          <w:u w:val="single"/>
        </w:rPr>
        <w:t xml:space="preserve">                              </w:t>
      </w:r>
      <w:r>
        <w:rPr>
          <w:rFonts w:hint="eastAsia" w:hAnsi="宋体"/>
          <w:color w:val="auto"/>
          <w:sz w:val="21"/>
          <w:highlight w:val="none"/>
        </w:rPr>
        <w:t>（供应商名称）的法定代表人，现授权委托本单位在职职工</w:t>
      </w:r>
      <w:r>
        <w:rPr>
          <w:rFonts w:hint="eastAsia" w:hAnsi="宋体"/>
          <w:color w:val="auto"/>
          <w:sz w:val="21"/>
          <w:highlight w:val="none"/>
          <w:u w:val="single"/>
        </w:rPr>
        <w:t xml:space="preserve">            </w:t>
      </w:r>
      <w:r>
        <w:rPr>
          <w:rFonts w:hint="eastAsia" w:hAnsi="宋体"/>
          <w:color w:val="auto"/>
          <w:sz w:val="21"/>
          <w:highlight w:val="none"/>
        </w:rPr>
        <w:t>（姓名）以我公司名义办理</w:t>
      </w:r>
      <w:r>
        <w:rPr>
          <w:rFonts w:hint="eastAsia" w:hAnsi="宋体"/>
          <w:color w:val="auto"/>
          <w:sz w:val="21"/>
          <w:highlight w:val="none"/>
          <w:u w:val="single"/>
        </w:rPr>
        <w:t xml:space="preserve">      （项目名称及项目编号）        </w:t>
      </w:r>
      <w:r>
        <w:rPr>
          <w:rFonts w:hint="eastAsia" w:hAnsi="宋体"/>
          <w:color w:val="auto"/>
          <w:sz w:val="21"/>
          <w:highlight w:val="none"/>
        </w:rPr>
        <w:t>项目的质疑事项，代表我方全权办理针对上述项目的质疑具体事务和签署相关文件。</w:t>
      </w:r>
    </w:p>
    <w:p w14:paraId="4D75A25E">
      <w:pPr>
        <w:pStyle w:val="26"/>
        <w:spacing w:line="400" w:lineRule="exact"/>
        <w:ind w:firstLine="420" w:firstLineChars="200"/>
        <w:rPr>
          <w:rFonts w:hAnsi="宋体"/>
          <w:color w:val="auto"/>
          <w:sz w:val="21"/>
          <w:highlight w:val="none"/>
        </w:rPr>
      </w:pPr>
      <w:r>
        <w:rPr>
          <w:rFonts w:hint="eastAsia" w:hAnsi="宋体"/>
          <w:color w:val="auto"/>
          <w:sz w:val="21"/>
          <w:highlight w:val="none"/>
        </w:rPr>
        <w:t>我方对被授权人的签字事项负全部责任。</w:t>
      </w:r>
    </w:p>
    <w:p w14:paraId="34E2DF91">
      <w:pPr>
        <w:pStyle w:val="26"/>
        <w:spacing w:line="400" w:lineRule="exact"/>
        <w:ind w:firstLine="420" w:firstLineChars="200"/>
        <w:rPr>
          <w:rFonts w:hAnsi="宋体"/>
          <w:color w:val="auto"/>
          <w:sz w:val="21"/>
          <w:highlight w:val="none"/>
          <w:u w:val="single"/>
        </w:rPr>
      </w:pPr>
      <w:r>
        <w:rPr>
          <w:rFonts w:hint="eastAsia" w:hAnsi="宋体"/>
          <w:color w:val="auto"/>
          <w:sz w:val="21"/>
          <w:highlight w:val="none"/>
        </w:rPr>
        <w:t xml:space="preserve">授权委托代理期限：自即日起至该项目政府采购活动结束。                                                                                         </w:t>
      </w:r>
    </w:p>
    <w:p w14:paraId="7EA79B55">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代理人无转委托权，特此委托。</w:t>
      </w:r>
      <w:r>
        <w:rPr>
          <w:rFonts w:ascii="宋体" w:hAnsi="宋体"/>
          <w:color w:val="auto"/>
          <w:kern w:val="0"/>
          <w:szCs w:val="21"/>
          <w:highlight w:val="none"/>
        </w:rPr>
        <w:t xml:space="preserve"> </w:t>
      </w:r>
    </w:p>
    <w:p w14:paraId="7EFF0E07">
      <w:pPr>
        <w:snapToGrid w:val="0"/>
        <w:spacing w:line="400" w:lineRule="exact"/>
        <w:ind w:firstLine="420"/>
        <w:outlineLvl w:val="4"/>
        <w:rPr>
          <w:rFonts w:ascii="宋体" w:hAnsi="宋体"/>
          <w:color w:val="auto"/>
          <w:szCs w:val="21"/>
          <w:highlight w:val="none"/>
        </w:rPr>
      </w:pPr>
      <w:r>
        <w:rPr>
          <w:rFonts w:hint="eastAsia" w:ascii="宋体" w:hAnsi="宋体"/>
          <w:color w:val="auto"/>
          <w:szCs w:val="21"/>
          <w:highlight w:val="none"/>
        </w:rPr>
        <w:t>我已在下面签字，以资证明。</w:t>
      </w:r>
    </w:p>
    <w:p w14:paraId="19CA1004">
      <w:pPr>
        <w:snapToGrid w:val="0"/>
        <w:spacing w:line="400" w:lineRule="exact"/>
        <w:ind w:firstLine="420"/>
        <w:outlineLvl w:val="4"/>
        <w:rPr>
          <w:rFonts w:ascii="宋体" w:hAnsi="宋体"/>
          <w:color w:val="auto"/>
          <w:szCs w:val="21"/>
          <w:highlight w:val="none"/>
        </w:rPr>
      </w:pPr>
      <w:r>
        <w:rPr>
          <w:rFonts w:hint="eastAsia" w:ascii="宋体" w:hAnsi="宋体"/>
          <w:color w:val="auto"/>
          <w:szCs w:val="21"/>
          <w:highlight w:val="none"/>
        </w:rPr>
        <w:t>委托代理人身份证号：</w:t>
      </w:r>
      <w:r>
        <w:rPr>
          <w:rFonts w:hint="eastAsia" w:ascii="宋体" w:hAnsi="宋体"/>
          <w:color w:val="auto"/>
          <w:szCs w:val="21"/>
          <w:highlight w:val="none"/>
          <w:u w:val="single"/>
        </w:rPr>
        <w:t xml:space="preserve">                                   </w:t>
      </w:r>
    </w:p>
    <w:p w14:paraId="77D52B76">
      <w:pPr>
        <w:snapToGrid w:val="0"/>
        <w:spacing w:line="400" w:lineRule="exact"/>
        <w:ind w:firstLine="420"/>
        <w:outlineLvl w:val="4"/>
        <w:rPr>
          <w:rFonts w:ascii="宋体" w:hAnsi="宋体"/>
          <w:color w:val="auto"/>
          <w:szCs w:val="21"/>
          <w:highlight w:val="none"/>
          <w:u w:val="single"/>
        </w:rPr>
      </w:pPr>
      <w:r>
        <w:rPr>
          <w:rFonts w:hint="eastAsia" w:ascii="宋体" w:hAnsi="宋体"/>
          <w:color w:val="auto"/>
          <w:szCs w:val="21"/>
          <w:highlight w:val="none"/>
        </w:rPr>
        <w:t>供应商</w:t>
      </w:r>
      <w:r>
        <w:rPr>
          <w:rFonts w:hint="eastAsia" w:ascii="宋体" w:hAnsi="宋体" w:cs="宋体"/>
          <w:color w:val="auto"/>
          <w:szCs w:val="21"/>
          <w:highlight w:val="none"/>
        </w:rPr>
        <w:t>（公章）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47F14F0B">
      <w:pPr>
        <w:snapToGrid w:val="0"/>
        <w:spacing w:line="400" w:lineRule="exact"/>
        <w:ind w:firstLine="420"/>
        <w:outlineLvl w:val="4"/>
        <w:rPr>
          <w:rFonts w:ascii="宋体" w:hAnsi="宋体"/>
          <w:color w:val="auto"/>
          <w:szCs w:val="21"/>
          <w:highlight w:val="none"/>
        </w:rPr>
      </w:pPr>
    </w:p>
    <w:p w14:paraId="0F723888">
      <w:pPr>
        <w:snapToGrid w:val="0"/>
        <w:spacing w:line="400" w:lineRule="exact"/>
        <w:ind w:firstLine="420"/>
        <w:outlineLvl w:val="4"/>
        <w:rPr>
          <w:rFonts w:ascii="宋体" w:hAnsi="宋体"/>
          <w:color w:val="auto"/>
          <w:szCs w:val="21"/>
          <w:highlight w:val="none"/>
        </w:rPr>
      </w:pPr>
      <w:r>
        <w:rPr>
          <w:rFonts w:hint="eastAsia" w:ascii="宋体" w:hAnsi="宋体"/>
          <w:color w:val="auto"/>
          <w:szCs w:val="21"/>
          <w:highlight w:val="none"/>
        </w:rPr>
        <w:t>法定代表人签字：</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2BEF8396">
      <w:pPr>
        <w:snapToGrid w:val="0"/>
        <w:spacing w:line="400" w:lineRule="exact"/>
        <w:ind w:firstLine="420"/>
        <w:outlineLvl w:val="4"/>
        <w:rPr>
          <w:rFonts w:ascii="宋体" w:hAnsi="宋体"/>
          <w:color w:val="auto"/>
          <w:szCs w:val="21"/>
          <w:highlight w:val="none"/>
        </w:rPr>
      </w:pPr>
    </w:p>
    <w:p w14:paraId="1E97E497">
      <w:pPr>
        <w:snapToGrid w:val="0"/>
        <w:spacing w:line="400" w:lineRule="exact"/>
        <w:ind w:firstLine="420"/>
        <w:outlineLvl w:val="4"/>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4293931">
      <w:pPr>
        <w:snapToGrid w:val="0"/>
        <w:spacing w:line="400" w:lineRule="exact"/>
        <w:ind w:firstLine="420"/>
        <w:outlineLvl w:val="4"/>
        <w:rPr>
          <w:rFonts w:ascii="宋体" w:hAnsi="宋体"/>
          <w:color w:val="auto"/>
          <w:szCs w:val="21"/>
          <w:highlight w:val="none"/>
        </w:rPr>
      </w:pPr>
    </w:p>
    <w:p w14:paraId="7C83D973">
      <w:pPr>
        <w:tabs>
          <w:tab w:val="left" w:pos="1305"/>
        </w:tabs>
        <w:spacing w:line="520" w:lineRule="exact"/>
        <w:rPr>
          <w:rFonts w:hAnsi="宋体"/>
          <w:b/>
          <w:color w:val="auto"/>
          <w:szCs w:val="21"/>
          <w:highlight w:val="none"/>
        </w:rPr>
      </w:pPr>
      <w:r>
        <w:rPr>
          <w:rFonts w:hint="eastAsia" w:hAnsi="宋体"/>
          <w:b/>
          <w:color w:val="auto"/>
          <w:szCs w:val="21"/>
          <w:highlight w:val="none"/>
        </w:rPr>
        <w:t>附：委托代理人身份证正反面复印件。</w:t>
      </w:r>
    </w:p>
    <w:p w14:paraId="693A0A02">
      <w:pPr>
        <w:rPr>
          <w:color w:val="auto"/>
          <w:sz w:val="32"/>
          <w:szCs w:val="40"/>
          <w:highlight w:val="none"/>
        </w:rPr>
      </w:pPr>
    </w:p>
    <w:p w14:paraId="729EEB08">
      <w:pPr>
        <w:rPr>
          <w:color w:val="auto"/>
          <w:sz w:val="32"/>
          <w:szCs w:val="40"/>
          <w:highlight w:val="none"/>
        </w:rPr>
      </w:pPr>
    </w:p>
    <w:p w14:paraId="55AB78DB">
      <w:pPr>
        <w:rPr>
          <w:color w:val="auto"/>
          <w:sz w:val="32"/>
          <w:szCs w:val="40"/>
          <w:highlight w:val="none"/>
        </w:rPr>
      </w:pPr>
    </w:p>
    <w:p w14:paraId="2E485994">
      <w:pPr>
        <w:rPr>
          <w:color w:val="auto"/>
          <w:sz w:val="32"/>
          <w:szCs w:val="40"/>
          <w:highlight w:val="none"/>
        </w:rPr>
      </w:pPr>
    </w:p>
    <w:p w14:paraId="28A14B73">
      <w:pPr>
        <w:rPr>
          <w:color w:val="auto"/>
          <w:sz w:val="32"/>
          <w:szCs w:val="40"/>
          <w:highlight w:val="none"/>
        </w:rPr>
      </w:pPr>
    </w:p>
    <w:p w14:paraId="4ED83598">
      <w:pPr>
        <w:rPr>
          <w:color w:val="auto"/>
          <w:sz w:val="32"/>
          <w:szCs w:val="40"/>
          <w:highlight w:val="none"/>
        </w:rPr>
      </w:pPr>
    </w:p>
    <w:p w14:paraId="578CF89C">
      <w:pPr>
        <w:rPr>
          <w:color w:val="auto"/>
          <w:sz w:val="32"/>
          <w:szCs w:val="40"/>
          <w:highlight w:val="none"/>
        </w:rPr>
      </w:pPr>
    </w:p>
    <w:p w14:paraId="562A6431">
      <w:pPr>
        <w:rPr>
          <w:color w:val="auto"/>
          <w:sz w:val="32"/>
          <w:szCs w:val="40"/>
          <w:highlight w:val="none"/>
        </w:rPr>
      </w:pPr>
    </w:p>
    <w:p w14:paraId="33529EBE">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03A0AAEE">
      <w:pPr>
        <w:pStyle w:val="26"/>
        <w:snapToGrid w:val="0"/>
        <w:spacing w:line="360" w:lineRule="auto"/>
        <w:ind w:firstLine="480"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45CA2003">
      <w:pPr>
        <w:pStyle w:val="26"/>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63AEBBA">
      <w:pPr>
        <w:pStyle w:val="26"/>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D723A34">
      <w:pPr>
        <w:pStyle w:val="26"/>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322FABA4">
      <w:pPr>
        <w:pStyle w:val="26"/>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69D888BE">
      <w:pPr>
        <w:pStyle w:val="26"/>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3302DCE2">
      <w:pPr>
        <w:pStyle w:val="26"/>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0FE0873F">
      <w:pPr>
        <w:pStyle w:val="26"/>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3B137C1">
      <w:pPr>
        <w:pStyle w:val="26"/>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被投诉人1：</w:t>
      </w:r>
    </w:p>
    <w:p w14:paraId="30B4C5F9">
      <w:pPr>
        <w:pStyle w:val="26"/>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221BB9A6">
      <w:pPr>
        <w:pStyle w:val="26"/>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CADE721">
      <w:pPr>
        <w:pStyle w:val="26"/>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56889DF3">
      <w:pPr>
        <w:pStyle w:val="26"/>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被投诉人2：</w:t>
      </w:r>
    </w:p>
    <w:p w14:paraId="52205F9F">
      <w:pPr>
        <w:pStyle w:val="26"/>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w:t>
      </w:r>
    </w:p>
    <w:p w14:paraId="3F0149A1">
      <w:pPr>
        <w:pStyle w:val="26"/>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2F726A6C">
      <w:pPr>
        <w:pStyle w:val="26"/>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53698F45">
      <w:pPr>
        <w:pStyle w:val="26"/>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3AA2256">
      <w:pPr>
        <w:pStyle w:val="26"/>
        <w:snapToGrid w:val="0"/>
        <w:spacing w:line="360" w:lineRule="auto"/>
        <w:ind w:firstLine="480"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14:paraId="00F3EFAC">
      <w:pPr>
        <w:pStyle w:val="26"/>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293E5654">
      <w:pPr>
        <w:pStyle w:val="26"/>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57829AE0">
      <w:pPr>
        <w:pStyle w:val="26"/>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487C57DB">
      <w:pPr>
        <w:pStyle w:val="26"/>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654351DC">
      <w:pPr>
        <w:pStyle w:val="26"/>
        <w:spacing w:line="360" w:lineRule="auto"/>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62A854F0">
      <w:pPr>
        <w:pStyle w:val="26"/>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6ECF6A3B">
      <w:pPr>
        <w:pStyle w:val="26"/>
        <w:spacing w:line="360" w:lineRule="auto"/>
        <w:ind w:left="25" w:leftChars="12" w:firstLine="470" w:firstLineChars="196"/>
        <w:rPr>
          <w:rFonts w:hAnsi="宋体"/>
          <w:b/>
          <w:color w:val="auto"/>
          <w:sz w:val="24"/>
          <w:szCs w:val="24"/>
          <w:highlight w:val="none"/>
        </w:rPr>
      </w:pPr>
      <w:r>
        <w:rPr>
          <w:rFonts w:hint="eastAsia" w:hAnsi="宋体"/>
          <w:b/>
          <w:color w:val="auto"/>
          <w:sz w:val="24"/>
          <w:szCs w:val="24"/>
          <w:highlight w:val="none"/>
        </w:rPr>
        <w:t>三、质疑基本情况</w:t>
      </w:r>
    </w:p>
    <w:p w14:paraId="262B3A9E">
      <w:pPr>
        <w:pStyle w:val="26"/>
        <w:spacing w:line="360" w:lineRule="auto"/>
        <w:ind w:firstLine="480" w:firstLineChars="200"/>
        <w:rPr>
          <w:rFonts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63748980">
      <w:pPr>
        <w:pStyle w:val="26"/>
        <w:spacing w:line="360" w:lineRule="auto"/>
        <w:ind w:firstLine="241"/>
        <w:rPr>
          <w:rFonts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08CBE5FE">
      <w:pPr>
        <w:pStyle w:val="26"/>
        <w:spacing w:line="360" w:lineRule="auto"/>
        <w:ind w:firstLine="241"/>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114309BB">
      <w:pPr>
        <w:pStyle w:val="26"/>
        <w:spacing w:line="360" w:lineRule="auto"/>
        <w:ind w:firstLine="480" w:firstLineChars="200"/>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53D91736">
      <w:pPr>
        <w:pStyle w:val="26"/>
        <w:spacing w:line="360" w:lineRule="auto"/>
        <w:ind w:left="25" w:leftChars="12" w:firstLine="470" w:firstLineChars="196"/>
        <w:rPr>
          <w:rFonts w:hAnsi="宋体"/>
          <w:b/>
          <w:color w:val="auto"/>
          <w:sz w:val="24"/>
          <w:szCs w:val="24"/>
          <w:highlight w:val="none"/>
        </w:rPr>
      </w:pPr>
      <w:r>
        <w:rPr>
          <w:rFonts w:hint="eastAsia" w:hAnsi="宋体"/>
          <w:b/>
          <w:color w:val="auto"/>
          <w:sz w:val="24"/>
          <w:szCs w:val="24"/>
          <w:highlight w:val="none"/>
        </w:rPr>
        <w:t>四、投诉事项具体内容</w:t>
      </w:r>
    </w:p>
    <w:p w14:paraId="4A5C4902">
      <w:pPr>
        <w:pStyle w:val="26"/>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5169BC20">
      <w:pPr>
        <w:pStyle w:val="26"/>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6062EEC4">
      <w:pPr>
        <w:pStyle w:val="26"/>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u w:val="single"/>
        </w:rPr>
        <w:t xml:space="preserve">                                                                                        </w:t>
      </w:r>
    </w:p>
    <w:p w14:paraId="4E6EB88F">
      <w:pPr>
        <w:pStyle w:val="26"/>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08AB1A3F">
      <w:pPr>
        <w:pStyle w:val="26"/>
        <w:spacing w:line="360" w:lineRule="auto"/>
        <w:ind w:left="25" w:leftChars="12" w:firstLine="352" w:firstLineChars="147"/>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271AA3A0">
      <w:pPr>
        <w:pStyle w:val="26"/>
        <w:spacing w:line="360" w:lineRule="auto"/>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44040891">
      <w:pPr>
        <w:pStyle w:val="26"/>
        <w:spacing w:line="360" w:lineRule="auto"/>
        <w:ind w:left="25" w:leftChars="12" w:firstLine="472" w:firstLineChars="197"/>
        <w:rPr>
          <w:rFonts w:hAnsi="宋体"/>
          <w:bCs/>
          <w:color w:val="auto"/>
          <w:sz w:val="24"/>
          <w:szCs w:val="24"/>
          <w:highlight w:val="none"/>
        </w:rPr>
      </w:pPr>
      <w:r>
        <w:rPr>
          <w:rFonts w:hAnsi="宋体"/>
          <w:bCs/>
          <w:color w:val="auto"/>
          <w:sz w:val="24"/>
          <w:szCs w:val="24"/>
          <w:highlight w:val="none"/>
        </w:rPr>
        <w:t>……</w:t>
      </w:r>
    </w:p>
    <w:p w14:paraId="69C97B8A">
      <w:pPr>
        <w:pStyle w:val="26"/>
        <w:spacing w:line="360" w:lineRule="auto"/>
        <w:ind w:left="25" w:leftChars="12" w:firstLine="470"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14:paraId="7195474E">
      <w:pPr>
        <w:pStyle w:val="26"/>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06DD63F1">
      <w:pPr>
        <w:pStyle w:val="26"/>
        <w:spacing w:line="360" w:lineRule="auto"/>
        <w:ind w:left="25" w:leftChars="12" w:firstLine="352" w:firstLineChars="147"/>
        <w:rPr>
          <w:rFonts w:hAnsi="宋体"/>
          <w:color w:val="auto"/>
          <w:sz w:val="24"/>
          <w:szCs w:val="24"/>
          <w:highlight w:val="none"/>
        </w:rPr>
      </w:pPr>
    </w:p>
    <w:p w14:paraId="764FB78A">
      <w:pPr>
        <w:pStyle w:val="26"/>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14:paraId="6B4122AA">
      <w:pPr>
        <w:pStyle w:val="26"/>
        <w:spacing w:line="360" w:lineRule="auto"/>
        <w:ind w:left="25" w:leftChars="12" w:firstLine="352" w:firstLineChars="147"/>
        <w:rPr>
          <w:rFonts w:hAnsi="宋体"/>
          <w:color w:val="auto"/>
          <w:sz w:val="24"/>
          <w:szCs w:val="24"/>
          <w:highlight w:val="none"/>
        </w:rPr>
      </w:pPr>
    </w:p>
    <w:p w14:paraId="3CDBC593">
      <w:pPr>
        <w:pStyle w:val="26"/>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56376EF2">
      <w:pPr>
        <w:pStyle w:val="26"/>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 xml:space="preserve">                                                                                 </w:t>
      </w:r>
    </w:p>
    <w:p w14:paraId="27A80BE3">
      <w:pPr>
        <w:pStyle w:val="26"/>
        <w:snapToGrid w:val="0"/>
        <w:spacing w:line="400" w:lineRule="exact"/>
        <w:rPr>
          <w:rFonts w:hAnsi="宋体"/>
          <w:b/>
          <w:color w:val="auto"/>
          <w:sz w:val="24"/>
          <w:szCs w:val="24"/>
          <w:highlight w:val="none"/>
        </w:rPr>
      </w:pPr>
      <w:r>
        <w:rPr>
          <w:rFonts w:hint="eastAsia" w:hAnsi="宋体"/>
          <w:b/>
          <w:color w:val="auto"/>
          <w:sz w:val="24"/>
          <w:szCs w:val="24"/>
          <w:highlight w:val="none"/>
        </w:rPr>
        <w:t>说明：</w:t>
      </w:r>
    </w:p>
    <w:p w14:paraId="74DCD25D">
      <w:pPr>
        <w:pStyle w:val="26"/>
        <w:spacing w:line="400" w:lineRule="exact"/>
        <w:ind w:left="25" w:leftChars="12" w:firstLine="352"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567F1DE3">
      <w:pPr>
        <w:pStyle w:val="26"/>
        <w:spacing w:line="400" w:lineRule="exact"/>
        <w:ind w:left="25" w:leftChars="12" w:firstLine="352"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5AA8114">
      <w:pPr>
        <w:pStyle w:val="26"/>
        <w:spacing w:line="400" w:lineRule="exact"/>
        <w:ind w:left="25" w:leftChars="12" w:firstLine="352"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5926C085">
      <w:pPr>
        <w:pStyle w:val="26"/>
        <w:spacing w:line="400" w:lineRule="exact"/>
        <w:ind w:left="25" w:leftChars="12" w:firstLine="352"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3EB48981">
      <w:pPr>
        <w:pStyle w:val="26"/>
        <w:spacing w:line="400" w:lineRule="exact"/>
        <w:ind w:left="25" w:leftChars="12" w:firstLine="352"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14:paraId="2F0BF5E0">
      <w:pPr>
        <w:pStyle w:val="26"/>
        <w:spacing w:line="400" w:lineRule="exact"/>
        <w:ind w:left="25" w:leftChars="12" w:firstLine="352" w:firstLineChars="147"/>
        <w:rPr>
          <w:rFonts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78E46E4F">
      <w:pPr>
        <w:jc w:val="center"/>
        <w:rPr>
          <w:rFonts w:ascii="方正小标宋简体" w:hAnsi="方正小标宋简体" w:eastAsia="方正小标宋简体" w:cs="方正小标宋简体"/>
          <w:color w:val="auto"/>
          <w:sz w:val="44"/>
          <w:szCs w:val="44"/>
          <w:highlight w:val="none"/>
        </w:rPr>
      </w:pPr>
      <w:bookmarkStart w:id="92" w:name="_Toc71365926"/>
      <w:bookmarkStart w:id="93" w:name="_Toc74323461"/>
    </w:p>
    <w:bookmarkEnd w:id="92"/>
    <w:p w14:paraId="6E68C807">
      <w:pPr>
        <w:spacing w:line="360" w:lineRule="auto"/>
        <w:rPr>
          <w:rFonts w:ascii="宋体" w:hAnsi="宋体" w:cs="仿宋_GB2312"/>
          <w:color w:val="auto"/>
          <w:sz w:val="24"/>
          <w:highlight w:val="none"/>
        </w:rPr>
      </w:pPr>
    </w:p>
    <w:p w14:paraId="44CEB425">
      <w:pPr>
        <w:rPr>
          <w:color w:val="auto"/>
          <w:highlight w:val="none"/>
        </w:rPr>
      </w:pPr>
    </w:p>
    <w:p w14:paraId="48E1D62B">
      <w:pPr>
        <w:spacing w:line="360" w:lineRule="auto"/>
        <w:ind w:right="420"/>
        <w:contextualSpacing/>
        <w:jc w:val="left"/>
        <w:rPr>
          <w:rFonts w:ascii="宋体" w:hAnsi="宋体"/>
          <w:b/>
          <w:bCs/>
          <w:color w:val="auto"/>
          <w:sz w:val="32"/>
          <w:szCs w:val="32"/>
          <w:highlight w:val="none"/>
        </w:rPr>
      </w:pPr>
    </w:p>
    <w:p w14:paraId="1AE20A96">
      <w:pPr>
        <w:pStyle w:val="2"/>
        <w:jc w:val="center"/>
        <w:rPr>
          <w:color w:val="auto"/>
          <w:highlight w:val="none"/>
        </w:rPr>
      </w:pPr>
    </w:p>
    <w:p w14:paraId="6CBCE399">
      <w:pPr>
        <w:pStyle w:val="2"/>
        <w:jc w:val="center"/>
        <w:rPr>
          <w:color w:val="auto"/>
          <w:highlight w:val="none"/>
        </w:rPr>
      </w:pPr>
    </w:p>
    <w:p w14:paraId="25744CE2">
      <w:pPr>
        <w:rPr>
          <w:color w:val="auto"/>
          <w:highlight w:val="none"/>
        </w:rPr>
      </w:pPr>
    </w:p>
    <w:p w14:paraId="79B64DF1">
      <w:pPr>
        <w:pStyle w:val="2"/>
        <w:jc w:val="center"/>
        <w:rPr>
          <w:color w:val="auto"/>
          <w:highlight w:val="none"/>
        </w:rPr>
      </w:pPr>
      <w:r>
        <w:rPr>
          <w:rFonts w:hint="eastAsia"/>
          <w:color w:val="auto"/>
          <w:highlight w:val="none"/>
        </w:rPr>
        <w:t>第七章 合同文本</w:t>
      </w:r>
      <w:bookmarkEnd w:id="93"/>
    </w:p>
    <w:p w14:paraId="61D92091">
      <w:pPr>
        <w:spacing w:line="520" w:lineRule="exact"/>
        <w:rPr>
          <w:rFonts w:ascii="宋体" w:hAnsi="宋体" w:cs="Courier New"/>
          <w:b/>
          <w:color w:val="auto"/>
          <w:sz w:val="32"/>
          <w:szCs w:val="32"/>
          <w:highlight w:val="none"/>
        </w:rPr>
      </w:pPr>
    </w:p>
    <w:p w14:paraId="61C34AFE">
      <w:pPr>
        <w:widowControl/>
        <w:jc w:val="center"/>
        <w:rPr>
          <w:rFonts w:ascii="宋体" w:hAnsi="宋体" w:cs="宋体"/>
          <w:b/>
          <w:color w:val="auto"/>
          <w:sz w:val="44"/>
          <w:szCs w:val="44"/>
          <w:highlight w:val="none"/>
        </w:rPr>
      </w:pPr>
      <w:r>
        <w:rPr>
          <w:rFonts w:ascii="宋体" w:hAnsi="宋体" w:cs="宋体"/>
          <w:color w:val="auto"/>
          <w:sz w:val="24"/>
          <w:highlight w:val="none"/>
        </w:rPr>
        <w:br w:type="page"/>
      </w:r>
      <w:r>
        <w:rPr>
          <w:rFonts w:hint="eastAsia" w:ascii="宋体" w:hAnsi="宋体" w:cs="宋体"/>
          <w:b/>
          <w:color w:val="auto"/>
          <w:sz w:val="44"/>
          <w:szCs w:val="44"/>
          <w:highlight w:val="none"/>
        </w:rPr>
        <w:t>建设工程施工合同</w:t>
      </w:r>
      <w:bookmarkStart w:id="94" w:name="_Toc20394"/>
      <w:bookmarkStart w:id="95" w:name="_Toc19149"/>
    </w:p>
    <w:p w14:paraId="1C20D6D4">
      <w:pPr>
        <w:widowControl/>
        <w:jc w:val="center"/>
        <w:rPr>
          <w:rFonts w:ascii="宋体" w:hAnsi="宋体" w:cs="宋体"/>
          <w:b/>
          <w:color w:val="auto"/>
          <w:sz w:val="44"/>
          <w:szCs w:val="44"/>
          <w:highlight w:val="none"/>
        </w:rPr>
      </w:pPr>
    </w:p>
    <w:p w14:paraId="32DE53B7">
      <w:pPr>
        <w:widowControl/>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第一部分  合同协议书</w:t>
      </w:r>
    </w:p>
    <w:p w14:paraId="163E5F03">
      <w:pPr>
        <w:spacing w:line="400" w:lineRule="exact"/>
        <w:rPr>
          <w:rFonts w:ascii="宋体" w:hAnsi="宋体" w:cs="宋体"/>
          <w:b/>
          <w:color w:val="auto"/>
          <w:szCs w:val="21"/>
          <w:highlight w:val="none"/>
          <w:u w:val="single"/>
        </w:rPr>
      </w:pPr>
      <w:r>
        <w:rPr>
          <w:rFonts w:hint="eastAsia" w:ascii="宋体" w:hAnsi="宋体" w:cs="宋体"/>
          <w:b/>
          <w:color w:val="auto"/>
          <w:szCs w:val="21"/>
          <w:highlight w:val="none"/>
        </w:rPr>
        <w:t>发包人（全称）：</w:t>
      </w:r>
      <w:r>
        <w:rPr>
          <w:rFonts w:hint="eastAsia" w:ascii="宋体" w:hAnsi="宋体" w:cs="宋体"/>
          <w:b/>
          <w:color w:val="auto"/>
          <w:szCs w:val="21"/>
          <w:highlight w:val="none"/>
          <w:u w:val="single"/>
        </w:rPr>
        <w:t xml:space="preserve">兴安县人民医院 </w:t>
      </w:r>
    </w:p>
    <w:p w14:paraId="71CFAD29">
      <w:pPr>
        <w:spacing w:line="400" w:lineRule="exact"/>
        <w:rPr>
          <w:rFonts w:ascii="宋体" w:hAnsi="宋体" w:cs="宋体"/>
          <w:b/>
          <w:color w:val="auto"/>
          <w:szCs w:val="21"/>
          <w:highlight w:val="none"/>
          <w:u w:val="single"/>
        </w:rPr>
      </w:pPr>
      <w:r>
        <w:rPr>
          <w:rFonts w:hint="eastAsia" w:ascii="宋体" w:hAnsi="宋体" w:cs="宋体"/>
          <w:b/>
          <w:color w:val="auto"/>
          <w:szCs w:val="21"/>
          <w:highlight w:val="none"/>
        </w:rPr>
        <w:t>承包人（全称）：</w:t>
      </w:r>
      <w:r>
        <w:rPr>
          <w:rFonts w:hint="eastAsia" w:ascii="宋体" w:hAnsi="宋体" w:cs="宋体"/>
          <w:b/>
          <w:color w:val="auto"/>
          <w:szCs w:val="21"/>
          <w:highlight w:val="none"/>
          <w:u w:val="single"/>
        </w:rPr>
        <w:t xml:space="preserve">               </w:t>
      </w:r>
    </w:p>
    <w:p w14:paraId="4732EB24">
      <w:pPr>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根据《中华人民共和国民法典》《中华人民共和国建筑法》相关法律法规及行业规定等相关法律、法规规定，遵循平等、自愿、公平和诚实信用的原则，双方就工程施工及有关事项协商一致共同达成如下协议：</w:t>
      </w:r>
    </w:p>
    <w:p w14:paraId="077397A0">
      <w:pPr>
        <w:pStyle w:val="249"/>
        <w:spacing w:line="340" w:lineRule="exact"/>
        <w:rPr>
          <w:rFonts w:ascii="宋体" w:hAnsi="宋体" w:cs="宋体"/>
          <w:color w:val="auto"/>
          <w:highlight w:val="none"/>
          <w:lang w:eastAsia="zh-CN"/>
        </w:rPr>
      </w:pPr>
      <w:r>
        <w:rPr>
          <w:rFonts w:hint="eastAsia" w:ascii="宋体" w:hAnsi="宋体" w:cs="宋体"/>
          <w:color w:val="auto"/>
          <w:highlight w:val="none"/>
          <w:lang w:eastAsia="zh-CN"/>
        </w:rPr>
        <w:t>一、工程概况</w:t>
      </w:r>
    </w:p>
    <w:p w14:paraId="788C9CE7">
      <w:pPr>
        <w:snapToGrid w:val="0"/>
        <w:spacing w:line="340" w:lineRule="exact"/>
        <w:ind w:firstLine="411" w:firstLineChars="196"/>
        <w:rPr>
          <w:rFonts w:ascii="宋体" w:hAnsi="宋体" w:cs="宋体"/>
          <w:color w:val="auto"/>
          <w:szCs w:val="21"/>
          <w:highlight w:val="none"/>
          <w:u w:val="single"/>
        </w:rPr>
      </w:pPr>
      <w:r>
        <w:rPr>
          <w:rFonts w:hint="eastAsia" w:ascii="宋体" w:hAnsi="宋体" w:cs="宋体"/>
          <w:bCs/>
          <w:color w:val="auto"/>
          <w:szCs w:val="21"/>
          <w:highlight w:val="none"/>
        </w:rPr>
        <w:t>1.工程名称</w:t>
      </w:r>
      <w:r>
        <w:rPr>
          <w:rFonts w:hint="eastAsia" w:ascii="宋体" w:hAnsi="宋体" w:cs="宋体"/>
          <w:color w:val="auto"/>
          <w:szCs w:val="21"/>
          <w:highlight w:val="none"/>
        </w:rPr>
        <w:t>：</w:t>
      </w:r>
      <w:r>
        <w:rPr>
          <w:rFonts w:hint="eastAsia" w:ascii="宋体" w:hAnsi="宋体"/>
          <w:color w:val="auto"/>
          <w:szCs w:val="21"/>
          <w:highlight w:val="none"/>
          <w:u w:val="single"/>
          <w:lang w:eastAsia="zh-CN"/>
        </w:rPr>
        <w:t>兴安县人民医院门诊及住院楼装修项目（增加补充部分电力，墙板，门窗柜子等）</w:t>
      </w:r>
      <w:r>
        <w:rPr>
          <w:rFonts w:hint="eastAsia" w:ascii="宋体" w:hAnsi="宋体" w:cs="宋体"/>
          <w:color w:val="auto"/>
          <w:szCs w:val="21"/>
          <w:highlight w:val="none"/>
        </w:rPr>
        <w:t>。</w:t>
      </w:r>
    </w:p>
    <w:p w14:paraId="456C4A92">
      <w:pPr>
        <w:snapToGrid w:val="0"/>
        <w:spacing w:line="340" w:lineRule="exact"/>
        <w:ind w:firstLine="411" w:firstLineChars="196"/>
        <w:rPr>
          <w:rFonts w:ascii="宋体" w:hAnsi="宋体" w:cs="宋体"/>
          <w:color w:val="auto"/>
          <w:szCs w:val="21"/>
          <w:highlight w:val="none"/>
          <w:u w:val="single"/>
        </w:rPr>
      </w:pPr>
      <w:r>
        <w:rPr>
          <w:rFonts w:hint="eastAsia" w:ascii="宋体" w:hAnsi="宋体" w:cs="宋体"/>
          <w:bCs/>
          <w:color w:val="auto"/>
          <w:szCs w:val="21"/>
          <w:highlight w:val="none"/>
        </w:rPr>
        <w:t>2.工程地点：</w:t>
      </w:r>
      <w:r>
        <w:rPr>
          <w:rFonts w:hint="eastAsia" w:ascii="宋体" w:hAnsi="宋体" w:cs="宋体"/>
          <w:bCs/>
          <w:color w:val="auto"/>
          <w:szCs w:val="21"/>
          <w:highlight w:val="none"/>
          <w:u w:val="single"/>
        </w:rPr>
        <w:t>广西桂林市兴安县兴安镇康宁街78号兴安县人民医院内</w:t>
      </w:r>
    </w:p>
    <w:p w14:paraId="6675983B">
      <w:pPr>
        <w:snapToGrid w:val="0"/>
        <w:spacing w:line="340" w:lineRule="exact"/>
        <w:ind w:firstLine="411" w:firstLineChars="196"/>
        <w:rPr>
          <w:rFonts w:ascii="宋体" w:hAnsi="宋体" w:cs="宋体"/>
          <w:bCs/>
          <w:color w:val="auto"/>
          <w:szCs w:val="21"/>
          <w:highlight w:val="none"/>
        </w:rPr>
      </w:pPr>
      <w:r>
        <w:rPr>
          <w:rFonts w:hint="eastAsia" w:ascii="宋体" w:hAnsi="宋体" w:cs="宋体"/>
          <w:bCs/>
          <w:color w:val="auto"/>
          <w:szCs w:val="21"/>
          <w:highlight w:val="none"/>
        </w:rPr>
        <w:t>3.工程立项批准文号：</w:t>
      </w:r>
      <w:r>
        <w:rPr>
          <w:rFonts w:hint="eastAsia" w:ascii="宋体" w:hAnsi="宋体" w:cs="宋体"/>
          <w:color w:val="auto"/>
          <w:szCs w:val="21"/>
          <w:highlight w:val="none"/>
          <w:u w:val="single"/>
        </w:rPr>
        <w:t>    </w:t>
      </w:r>
      <w:r>
        <w:rPr>
          <w:rFonts w:hint="eastAsia" w:ascii="宋体" w:hAnsi="宋体" w:cs="宋体"/>
          <w:bCs/>
          <w:color w:val="auto"/>
          <w:szCs w:val="21"/>
          <w:highlight w:val="none"/>
        </w:rPr>
        <w:t>。</w:t>
      </w:r>
    </w:p>
    <w:p w14:paraId="485DFD6E">
      <w:pPr>
        <w:snapToGrid w:val="0"/>
        <w:spacing w:line="340" w:lineRule="exact"/>
        <w:ind w:firstLine="411" w:firstLineChars="196"/>
        <w:rPr>
          <w:rFonts w:ascii="宋体" w:hAnsi="宋体" w:cs="宋体"/>
          <w:color w:val="auto"/>
          <w:szCs w:val="21"/>
          <w:highlight w:val="none"/>
          <w:u w:val="single"/>
        </w:rPr>
      </w:pPr>
      <w:r>
        <w:rPr>
          <w:rFonts w:hint="eastAsia" w:ascii="宋体" w:hAnsi="宋体" w:cs="宋体"/>
          <w:bCs/>
          <w:color w:val="auto"/>
          <w:szCs w:val="21"/>
          <w:highlight w:val="none"/>
        </w:rPr>
        <w:t>4.工程承包范围：</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p>
    <w:p w14:paraId="58D03150">
      <w:pPr>
        <w:pStyle w:val="249"/>
        <w:spacing w:line="340" w:lineRule="exact"/>
        <w:rPr>
          <w:rFonts w:ascii="宋体" w:hAnsi="宋体" w:cs="宋体"/>
          <w:color w:val="auto"/>
          <w:highlight w:val="none"/>
          <w:lang w:eastAsia="zh-CN"/>
        </w:rPr>
      </w:pPr>
      <w:r>
        <w:rPr>
          <w:rFonts w:hint="eastAsia" w:ascii="宋体" w:hAnsi="宋体" w:cs="宋体"/>
          <w:color w:val="auto"/>
          <w:highlight w:val="none"/>
          <w:lang w:eastAsia="zh-CN"/>
        </w:rPr>
        <w:t>二、合同工期</w:t>
      </w:r>
    </w:p>
    <w:p w14:paraId="4600A76C">
      <w:pPr>
        <w:snapToGrid w:val="0"/>
        <w:spacing w:line="340" w:lineRule="exact"/>
        <w:ind w:firstLine="459"/>
        <w:rPr>
          <w:rFonts w:ascii="宋体" w:hAnsi="宋体" w:cs="宋体"/>
          <w:color w:val="auto"/>
          <w:szCs w:val="21"/>
          <w:highlight w:val="none"/>
        </w:rPr>
      </w:pPr>
      <w:r>
        <w:rPr>
          <w:rFonts w:hint="eastAsia" w:ascii="宋体" w:hAnsi="宋体" w:cs="宋体"/>
          <w:color w:val="auto"/>
          <w:szCs w:val="21"/>
          <w:highlight w:val="none"/>
        </w:rPr>
        <w:t>计划开工日期：</w:t>
      </w:r>
      <w:r>
        <w:rPr>
          <w:rFonts w:hint="eastAsia" w:ascii="宋体" w:hAnsi="宋体" w:cs="宋体"/>
          <w:color w:val="auto"/>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w:t>
      </w:r>
      <w:r>
        <w:rPr>
          <w:rFonts w:hint="eastAsia" w:ascii="宋体" w:hAnsi="宋体" w:cs="宋体"/>
          <w:color w:val="auto"/>
          <w:szCs w:val="21"/>
          <w:highlight w:val="none"/>
        </w:rPr>
        <w:t>日。（</w:t>
      </w:r>
      <w:r>
        <w:rPr>
          <w:rFonts w:hint="eastAsia" w:ascii="宋体" w:hAnsi="宋体" w:cs="宋体"/>
          <w:bCs/>
          <w:color w:val="auto"/>
          <w:szCs w:val="21"/>
          <w:highlight w:val="none"/>
        </w:rPr>
        <w:t>具体以实际下发的开工令为准</w:t>
      </w:r>
      <w:r>
        <w:rPr>
          <w:rFonts w:hint="eastAsia" w:ascii="宋体" w:hAnsi="宋体" w:cs="宋体"/>
          <w:color w:val="auto"/>
          <w:szCs w:val="21"/>
          <w:highlight w:val="none"/>
        </w:rPr>
        <w:t>）</w:t>
      </w:r>
    </w:p>
    <w:p w14:paraId="2223C083">
      <w:pPr>
        <w:snapToGrid w:val="0"/>
        <w:spacing w:line="340" w:lineRule="exact"/>
        <w:ind w:firstLine="459"/>
        <w:rPr>
          <w:rFonts w:ascii="宋体" w:hAnsi="宋体" w:cs="宋体"/>
          <w:color w:val="auto"/>
          <w:szCs w:val="21"/>
          <w:highlight w:val="none"/>
        </w:rPr>
      </w:pPr>
      <w:r>
        <w:rPr>
          <w:rFonts w:hint="eastAsia" w:ascii="宋体" w:hAnsi="宋体" w:cs="宋体"/>
          <w:color w:val="auto"/>
          <w:szCs w:val="21"/>
          <w:highlight w:val="none"/>
        </w:rPr>
        <w:t>计划竣工日期：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09D391B">
      <w:pPr>
        <w:snapToGrid w:val="0"/>
        <w:spacing w:line="340" w:lineRule="exact"/>
        <w:ind w:firstLine="459"/>
        <w:rPr>
          <w:rFonts w:ascii="宋体" w:hAnsi="宋体" w:cs="宋体"/>
          <w:color w:val="auto"/>
          <w:szCs w:val="21"/>
          <w:highlight w:val="none"/>
        </w:rPr>
      </w:pPr>
      <w:r>
        <w:rPr>
          <w:rFonts w:hint="eastAsia" w:ascii="宋体" w:hAnsi="宋体" w:cs="宋体"/>
          <w:color w:val="auto"/>
          <w:szCs w:val="21"/>
          <w:highlight w:val="none"/>
        </w:rPr>
        <w:t>工期总日历天数：自接到发包人发出开工令之日</w:t>
      </w:r>
      <w:r>
        <w:rPr>
          <w:rFonts w:hint="eastAsia" w:ascii="宋体" w:hAnsi="宋体" w:cs="宋体"/>
          <w:color w:val="auto"/>
          <w:szCs w:val="21"/>
          <w:highlight w:val="none"/>
          <w:u w:val="single"/>
        </w:rPr>
        <w:t xml:space="preserve">  </w:t>
      </w:r>
      <w:r>
        <w:rPr>
          <w:rFonts w:hint="eastAsia" w:ascii="宋体" w:hAnsi="宋体" w:cs="宋体"/>
          <w:color w:val="auto"/>
          <w:szCs w:val="20"/>
          <w:highlight w:val="none"/>
        </w:rPr>
        <w:t>天（日历日）</w:t>
      </w:r>
      <w:r>
        <w:rPr>
          <w:rFonts w:hint="eastAsia" w:ascii="宋体" w:hAnsi="宋体" w:cs="宋体"/>
          <w:color w:val="auto"/>
          <w:szCs w:val="21"/>
          <w:highlight w:val="none"/>
        </w:rPr>
        <w:t>。工期总日历天数与根据前述计划开竣工日期计算的工期天数不一致的，以工期总日历天数为准。</w:t>
      </w:r>
    </w:p>
    <w:p w14:paraId="3AA4A0A4">
      <w:pPr>
        <w:pStyle w:val="249"/>
        <w:spacing w:line="340" w:lineRule="exact"/>
        <w:rPr>
          <w:rFonts w:ascii="宋体" w:hAnsi="宋体" w:cs="宋体"/>
          <w:color w:val="auto"/>
          <w:highlight w:val="none"/>
          <w:lang w:eastAsia="zh-CN"/>
        </w:rPr>
      </w:pPr>
      <w:r>
        <w:rPr>
          <w:rFonts w:hint="eastAsia" w:ascii="宋体" w:hAnsi="宋体" w:cs="宋体"/>
          <w:color w:val="auto"/>
          <w:highlight w:val="none"/>
          <w:lang w:eastAsia="zh-CN"/>
        </w:rPr>
        <w:t>三、质量标准：</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w:t>
      </w:r>
    </w:p>
    <w:p w14:paraId="58B399A1">
      <w:pPr>
        <w:pStyle w:val="249"/>
        <w:spacing w:line="340" w:lineRule="exact"/>
        <w:rPr>
          <w:rFonts w:ascii="宋体" w:hAnsi="宋体" w:cs="宋体"/>
          <w:color w:val="auto"/>
          <w:highlight w:val="none"/>
          <w:lang w:eastAsia="zh-CN"/>
        </w:rPr>
      </w:pPr>
      <w:r>
        <w:rPr>
          <w:rFonts w:hint="eastAsia" w:ascii="宋体" w:hAnsi="宋体" w:cs="宋体"/>
          <w:color w:val="auto"/>
          <w:highlight w:val="none"/>
          <w:lang w:eastAsia="zh-CN"/>
        </w:rPr>
        <w:t>四、签约合同价与合同价格形式</w:t>
      </w:r>
      <w:r>
        <w:rPr>
          <w:rFonts w:hint="eastAsia" w:ascii="宋体" w:hAnsi="宋体" w:cs="宋体"/>
          <w:color w:val="auto"/>
          <w:highlight w:val="none"/>
          <w:lang w:eastAsia="zh-CN"/>
        </w:rPr>
        <w:tab/>
      </w:r>
    </w:p>
    <w:p w14:paraId="7D199E76">
      <w:pPr>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1.签约合同价为：人民币（大写）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5AE10110">
      <w:pPr>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其中：</w:t>
      </w:r>
    </w:p>
    <w:p w14:paraId="04F2A7BF">
      <w:pPr>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（1）安全文明施工费：人民币（大写）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 ；</w:t>
      </w:r>
    </w:p>
    <w:p w14:paraId="6C19F132">
      <w:pPr>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（2）规费：人民币（大写）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3A470ED0">
      <w:pPr>
        <w:snapToGrid w:val="0"/>
        <w:spacing w:line="340" w:lineRule="exact"/>
        <w:ind w:firstLine="1680" w:firstLineChars="800"/>
        <w:rPr>
          <w:rFonts w:ascii="宋体" w:hAnsi="宋体" w:cs="宋体"/>
          <w:color w:val="auto"/>
          <w:szCs w:val="21"/>
          <w:highlight w:val="none"/>
        </w:rPr>
      </w:pPr>
      <w:r>
        <w:rPr>
          <w:rFonts w:hint="eastAsia" w:ascii="宋体" w:hAnsi="宋体" w:cs="宋体"/>
          <w:color w:val="auto"/>
          <w:szCs w:val="21"/>
          <w:highlight w:val="none"/>
        </w:rPr>
        <w:t>其中：社会保险费人民币（大写）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531020F2">
      <w:pPr>
        <w:snapToGrid w:val="0"/>
        <w:spacing w:line="340" w:lineRule="exact"/>
        <w:ind w:firstLine="1680" w:firstLineChars="800"/>
        <w:rPr>
          <w:rFonts w:ascii="宋体" w:hAnsi="宋体" w:cs="宋体"/>
          <w:color w:val="auto"/>
          <w:szCs w:val="21"/>
          <w:highlight w:val="none"/>
        </w:rPr>
      </w:pPr>
      <w:r>
        <w:rPr>
          <w:rFonts w:hint="eastAsia" w:ascii="宋体" w:hAnsi="宋体" w:cs="宋体"/>
          <w:color w:val="auto"/>
          <w:szCs w:val="21"/>
          <w:highlight w:val="none"/>
        </w:rPr>
        <w:t>其他：人民币（大写）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 ；</w:t>
      </w:r>
    </w:p>
    <w:p w14:paraId="2CCCC685">
      <w:pPr>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（3）税金：人民币（大写）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46E8B7A7">
      <w:pPr>
        <w:snapToGrid w:val="0"/>
        <w:spacing w:line="340" w:lineRule="exact"/>
        <w:ind w:firstLine="840" w:firstLineChars="400"/>
        <w:rPr>
          <w:rFonts w:ascii="宋体" w:hAnsi="宋体" w:cs="宋体"/>
          <w:color w:val="auto"/>
          <w:szCs w:val="21"/>
          <w:highlight w:val="none"/>
        </w:rPr>
      </w:pPr>
      <w:r>
        <w:rPr>
          <w:rFonts w:hint="eastAsia" w:ascii="宋体" w:hAnsi="宋体" w:cs="宋体"/>
          <w:color w:val="auto"/>
          <w:szCs w:val="21"/>
          <w:highlight w:val="none"/>
        </w:rPr>
        <w:t>其中：增值税：人民币（大写）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68DA6B9D">
      <w:pPr>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（4）暂列金额：人民币（大写）</w:t>
      </w:r>
      <w:r>
        <w:rPr>
          <w:rFonts w:hint="eastAsia" w:ascii="宋体" w:hAnsi="宋体" w:cs="宋体"/>
          <w:color w:val="auto"/>
          <w:szCs w:val="21"/>
          <w:highlight w:val="none"/>
          <w:u w:val="single"/>
        </w:rPr>
        <w:t xml:space="preserve">    </w:t>
      </w:r>
      <w:r>
        <w:rPr>
          <w:rFonts w:hint="eastAsia" w:ascii="宋体" w:hAnsi="宋体"/>
          <w:color w:val="auto"/>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1E5F6019">
      <w:pPr>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（5）安全生产责任保险费暂估价：人民币（大写）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4BF64E70">
      <w:pPr>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2.合同价格形式：</w:t>
      </w:r>
      <w:r>
        <w:rPr>
          <w:rFonts w:hint="eastAsia" w:ascii="宋体" w:hAnsi="宋体" w:cs="宋体"/>
          <w:color w:val="auto"/>
          <w:szCs w:val="21"/>
          <w:highlight w:val="none"/>
          <w:u w:val="single"/>
        </w:rPr>
        <w:t>固定综合单价</w:t>
      </w:r>
      <w:r>
        <w:rPr>
          <w:rFonts w:hint="eastAsia" w:ascii="宋体" w:hAnsi="宋体" w:cs="宋体"/>
          <w:color w:val="auto"/>
          <w:szCs w:val="21"/>
          <w:highlight w:val="none"/>
        </w:rPr>
        <w:t>。</w:t>
      </w:r>
    </w:p>
    <w:p w14:paraId="432BF0BC">
      <w:pPr>
        <w:pStyle w:val="249"/>
        <w:spacing w:line="340" w:lineRule="exact"/>
        <w:rPr>
          <w:rFonts w:ascii="宋体" w:hAnsi="宋体" w:cs="宋体"/>
          <w:color w:val="auto"/>
          <w:highlight w:val="none"/>
          <w:lang w:eastAsia="zh-CN"/>
        </w:rPr>
      </w:pPr>
      <w:r>
        <w:rPr>
          <w:rFonts w:hint="eastAsia" w:ascii="宋体" w:hAnsi="宋体" w:cs="宋体"/>
          <w:color w:val="auto"/>
          <w:highlight w:val="none"/>
          <w:lang w:eastAsia="zh-CN"/>
        </w:rPr>
        <w:t>五、合同文件构成</w:t>
      </w:r>
    </w:p>
    <w:p w14:paraId="07BF322B">
      <w:pPr>
        <w:snapToGrid w:val="0"/>
        <w:spacing w:line="3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本协议书与下列文件一起构成合同文件：</w:t>
      </w:r>
    </w:p>
    <w:p w14:paraId="4CF4553E">
      <w:pPr>
        <w:autoSpaceDE w:val="0"/>
        <w:autoSpaceDN w:val="0"/>
        <w:snapToGrid w:val="0"/>
        <w:spacing w:line="3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（1）成交通知书（如果有）；</w:t>
      </w:r>
    </w:p>
    <w:p w14:paraId="5476F926">
      <w:pPr>
        <w:autoSpaceDE w:val="0"/>
        <w:autoSpaceDN w:val="0"/>
        <w:snapToGrid w:val="0"/>
        <w:spacing w:line="3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（2）竞标函及其附录（如果有）； </w:t>
      </w:r>
    </w:p>
    <w:p w14:paraId="73410789">
      <w:pPr>
        <w:autoSpaceDE w:val="0"/>
        <w:autoSpaceDN w:val="0"/>
        <w:snapToGrid w:val="0"/>
        <w:spacing w:line="3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（3）专用合同条款及其附件；</w:t>
      </w:r>
    </w:p>
    <w:p w14:paraId="20CAFFB8">
      <w:pPr>
        <w:autoSpaceDE w:val="0"/>
        <w:autoSpaceDN w:val="0"/>
        <w:snapToGrid w:val="0"/>
        <w:spacing w:line="3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（4）通用合同条款；</w:t>
      </w:r>
    </w:p>
    <w:p w14:paraId="26C0ED84">
      <w:pPr>
        <w:autoSpaceDE w:val="0"/>
        <w:autoSpaceDN w:val="0"/>
        <w:snapToGrid w:val="0"/>
        <w:spacing w:line="3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（5）技术标准和要求；</w:t>
      </w:r>
    </w:p>
    <w:p w14:paraId="5264B938">
      <w:pPr>
        <w:autoSpaceDE w:val="0"/>
        <w:autoSpaceDN w:val="0"/>
        <w:snapToGrid w:val="0"/>
        <w:spacing w:line="3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（6）已标价工程量清单或预算书；</w:t>
      </w:r>
    </w:p>
    <w:p w14:paraId="7D227221">
      <w:pPr>
        <w:autoSpaceDE w:val="0"/>
        <w:autoSpaceDN w:val="0"/>
        <w:snapToGrid w:val="0"/>
        <w:spacing w:line="3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（7）其他合同文件。</w:t>
      </w:r>
    </w:p>
    <w:p w14:paraId="2D81658F">
      <w:pPr>
        <w:autoSpaceDE w:val="0"/>
        <w:autoSpaceDN w:val="0"/>
        <w:snapToGrid w:val="0"/>
        <w:spacing w:line="3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w:t>
      </w:r>
    </w:p>
    <w:p w14:paraId="5821E54E">
      <w:pPr>
        <w:autoSpaceDE w:val="0"/>
        <w:autoSpaceDN w:val="0"/>
        <w:snapToGrid w:val="0"/>
        <w:spacing w:line="3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上述各项合同文件包括合同当事人就该项合同文件所作出的补充和修改，属于同一类内容的文件，应以最新签署的为准。</w:t>
      </w:r>
    </w:p>
    <w:p w14:paraId="2766D0AE">
      <w:pPr>
        <w:pStyle w:val="249"/>
        <w:spacing w:line="340" w:lineRule="exact"/>
        <w:rPr>
          <w:rFonts w:ascii="宋体" w:hAnsi="宋体" w:cs="宋体"/>
          <w:color w:val="auto"/>
          <w:highlight w:val="none"/>
          <w:lang w:eastAsia="zh-CN"/>
        </w:rPr>
      </w:pPr>
      <w:r>
        <w:rPr>
          <w:rFonts w:hint="eastAsia" w:ascii="宋体" w:hAnsi="宋体" w:cs="宋体"/>
          <w:color w:val="auto"/>
          <w:highlight w:val="none"/>
          <w:lang w:eastAsia="zh-CN"/>
        </w:rPr>
        <w:t>六、承诺</w:t>
      </w:r>
    </w:p>
    <w:p w14:paraId="2E6079E8">
      <w:pPr>
        <w:snapToGrid w:val="0"/>
        <w:spacing w:line="3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1.发包人承诺按照法律规定履行项目审批手续、筹集工程建设资金并按照合同约定的期限和方式支付合同价款。</w:t>
      </w:r>
    </w:p>
    <w:p w14:paraId="463172D3">
      <w:pPr>
        <w:snapToGrid w:val="0"/>
        <w:spacing w:line="3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2.承包人承诺按照法律规定及合同约定组织完成工程施工，确保工程质量和安全，不进行转包及违法分包，并在缺陷责任期及保修期内承担相应的工程维修责任。</w:t>
      </w:r>
    </w:p>
    <w:p w14:paraId="720EF5AC">
      <w:pPr>
        <w:snapToGrid w:val="0"/>
        <w:spacing w:line="3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3.发包人和承包人通过磋商形式签订合同的，双方理解并同意不再就同一工程另行签订与合同实质性内容相背离的协议。</w:t>
      </w:r>
    </w:p>
    <w:p w14:paraId="42F3AC57">
      <w:pPr>
        <w:snapToGrid w:val="0"/>
        <w:spacing w:line="340" w:lineRule="exact"/>
        <w:ind w:firstLine="420" w:firstLineChars="200"/>
        <w:rPr>
          <w:rFonts w:ascii="宋体" w:hAnsi="宋体" w:cs="宋体"/>
          <w:bCs/>
          <w:color w:val="auto"/>
          <w:szCs w:val="21"/>
          <w:highlight w:val="none"/>
        </w:rPr>
      </w:pPr>
      <w:r>
        <w:rPr>
          <w:rFonts w:ascii="宋体" w:hAnsi="宋体" w:cs="宋体"/>
          <w:bCs/>
          <w:color w:val="auto"/>
          <w:szCs w:val="21"/>
          <w:highlight w:val="none"/>
        </w:rPr>
        <w:t>4.</w:t>
      </w:r>
      <w:r>
        <w:rPr>
          <w:rFonts w:hint="eastAsia" w:ascii="宋体" w:hAnsi="宋体" w:cs="宋体"/>
          <w:bCs/>
          <w:color w:val="auto"/>
          <w:szCs w:val="21"/>
          <w:highlight w:val="none"/>
        </w:rPr>
        <w:t>承包人应遵守发包人管理制度，包括但不限于施工用水用电管理、安全文明施工管理、  其他规章制度。</w:t>
      </w:r>
    </w:p>
    <w:p w14:paraId="19274BF7">
      <w:pPr>
        <w:snapToGrid w:val="0"/>
        <w:spacing w:line="340" w:lineRule="exact"/>
        <w:ind w:firstLine="420" w:firstLineChars="200"/>
        <w:rPr>
          <w:color w:val="auto"/>
          <w:highlight w:val="none"/>
        </w:rPr>
      </w:pPr>
      <w:r>
        <w:rPr>
          <w:rFonts w:ascii="宋体" w:hAnsi="宋体" w:cs="宋体"/>
          <w:bCs/>
          <w:color w:val="auto"/>
          <w:szCs w:val="21"/>
          <w:highlight w:val="none"/>
        </w:rPr>
        <w:t>5.</w:t>
      </w:r>
      <w:r>
        <w:rPr>
          <w:rFonts w:hint="eastAsia" w:ascii="宋体" w:hAnsi="宋体" w:cs="宋体"/>
          <w:bCs/>
          <w:color w:val="auto"/>
          <w:szCs w:val="21"/>
          <w:highlight w:val="none"/>
        </w:rPr>
        <w:t>承包人应遵守主体工程建设场地管理制度，与主体施工单位建立良好的配合工作，完成相关设施交接工作，做好已完</w:t>
      </w:r>
      <w:r>
        <w:rPr>
          <w:rFonts w:hint="eastAsia"/>
          <w:color w:val="auto"/>
          <w:highlight w:val="none"/>
        </w:rPr>
        <w:t>工程的成品保护工作。</w:t>
      </w:r>
    </w:p>
    <w:p w14:paraId="139A0BB7">
      <w:pPr>
        <w:pStyle w:val="249"/>
        <w:spacing w:line="340" w:lineRule="exact"/>
        <w:rPr>
          <w:rFonts w:ascii="宋体" w:hAnsi="宋体" w:cs="宋体"/>
          <w:color w:val="auto"/>
          <w:highlight w:val="none"/>
          <w:lang w:eastAsia="zh-CN"/>
        </w:rPr>
      </w:pPr>
      <w:r>
        <w:rPr>
          <w:rFonts w:hint="eastAsia" w:ascii="宋体" w:hAnsi="宋体" w:cs="宋体"/>
          <w:color w:val="auto"/>
          <w:highlight w:val="none"/>
          <w:lang w:eastAsia="zh-CN"/>
        </w:rPr>
        <w:t>七、词语含义</w:t>
      </w:r>
    </w:p>
    <w:p w14:paraId="17C01BD0">
      <w:pPr>
        <w:snapToGrid w:val="0"/>
        <w:spacing w:line="3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本协议书中词语含义与第二部分通用合同条款中赋予的含义相同。</w:t>
      </w:r>
    </w:p>
    <w:p w14:paraId="3FF7B41C">
      <w:pPr>
        <w:pStyle w:val="249"/>
        <w:spacing w:line="340" w:lineRule="exact"/>
        <w:rPr>
          <w:rFonts w:ascii="宋体" w:hAnsi="宋体" w:cs="宋体"/>
          <w:color w:val="auto"/>
          <w:highlight w:val="none"/>
          <w:lang w:eastAsia="zh-CN"/>
        </w:rPr>
      </w:pPr>
      <w:r>
        <w:rPr>
          <w:rFonts w:hint="eastAsia" w:ascii="宋体" w:hAnsi="宋体" w:cs="宋体"/>
          <w:color w:val="auto"/>
          <w:highlight w:val="none"/>
          <w:lang w:eastAsia="zh-CN"/>
        </w:rPr>
        <w:t>八、签订时间</w:t>
      </w:r>
    </w:p>
    <w:p w14:paraId="1CC55CD5">
      <w:pPr>
        <w:snapToGrid w:val="0"/>
        <w:spacing w:line="3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本合同于</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日签订。</w:t>
      </w:r>
    </w:p>
    <w:p w14:paraId="5A8715DE">
      <w:pPr>
        <w:pStyle w:val="249"/>
        <w:spacing w:line="340" w:lineRule="exact"/>
        <w:rPr>
          <w:rFonts w:ascii="宋体" w:hAnsi="宋体" w:cs="宋体"/>
          <w:color w:val="auto"/>
          <w:highlight w:val="none"/>
          <w:lang w:eastAsia="zh-CN"/>
        </w:rPr>
      </w:pPr>
      <w:r>
        <w:rPr>
          <w:rFonts w:hint="eastAsia" w:ascii="宋体" w:hAnsi="宋体" w:cs="宋体"/>
          <w:color w:val="auto"/>
          <w:highlight w:val="none"/>
          <w:lang w:eastAsia="zh-CN"/>
        </w:rPr>
        <w:t>九、签订地点</w:t>
      </w:r>
    </w:p>
    <w:p w14:paraId="0B5ED239">
      <w:pPr>
        <w:snapToGrid w:val="0"/>
        <w:spacing w:line="3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本合同在</w:t>
      </w:r>
      <w:r>
        <w:rPr>
          <w:rFonts w:hint="eastAsia" w:ascii="宋体" w:hAnsi="宋体" w:cs="宋体"/>
          <w:color w:val="auto"/>
          <w:szCs w:val="21"/>
          <w:highlight w:val="none"/>
          <w:u w:val="single"/>
        </w:rPr>
        <w:t>桂林市</w:t>
      </w:r>
      <w:r>
        <w:rPr>
          <w:rFonts w:hint="eastAsia" w:ascii="宋体" w:hAnsi="宋体" w:cs="宋体"/>
          <w:bCs/>
          <w:color w:val="auto"/>
          <w:szCs w:val="21"/>
          <w:highlight w:val="none"/>
        </w:rPr>
        <w:t>签订。</w:t>
      </w:r>
    </w:p>
    <w:p w14:paraId="4FB38FC0">
      <w:pPr>
        <w:pStyle w:val="249"/>
        <w:spacing w:line="340" w:lineRule="exact"/>
        <w:rPr>
          <w:rFonts w:ascii="宋体" w:hAnsi="宋体" w:cs="宋体"/>
          <w:color w:val="auto"/>
          <w:highlight w:val="none"/>
          <w:lang w:eastAsia="zh-CN"/>
        </w:rPr>
      </w:pPr>
      <w:r>
        <w:rPr>
          <w:rFonts w:hint="eastAsia" w:ascii="宋体" w:hAnsi="宋体" w:cs="宋体"/>
          <w:color w:val="auto"/>
          <w:highlight w:val="none"/>
          <w:lang w:eastAsia="zh-CN"/>
        </w:rPr>
        <w:t>十、补充协议</w:t>
      </w:r>
    </w:p>
    <w:p w14:paraId="369E97AF">
      <w:pPr>
        <w:snapToGrid w:val="0"/>
        <w:spacing w:line="340" w:lineRule="exact"/>
        <w:ind w:firstLine="420" w:firstLineChars="200"/>
        <w:rPr>
          <w:rFonts w:ascii="宋体" w:hAnsi="宋体" w:cs="宋体"/>
          <w:b/>
          <w:bCs/>
          <w:color w:val="auto"/>
          <w:szCs w:val="21"/>
          <w:highlight w:val="none"/>
        </w:rPr>
      </w:pPr>
      <w:r>
        <w:rPr>
          <w:rFonts w:hint="eastAsia" w:ascii="宋体" w:hAnsi="宋体" w:cs="宋体"/>
          <w:bCs/>
          <w:color w:val="auto"/>
          <w:szCs w:val="21"/>
          <w:highlight w:val="none"/>
        </w:rPr>
        <w:t>合同未尽事宜，合同当事人另行签订补充协议。补充协议是合同的组成部分。</w:t>
      </w:r>
    </w:p>
    <w:p w14:paraId="7D2DF3BB">
      <w:pPr>
        <w:pStyle w:val="249"/>
        <w:spacing w:line="340" w:lineRule="exact"/>
        <w:rPr>
          <w:rFonts w:ascii="宋体" w:hAnsi="宋体" w:cs="宋体"/>
          <w:color w:val="auto"/>
          <w:highlight w:val="none"/>
          <w:lang w:eastAsia="zh-CN"/>
        </w:rPr>
      </w:pPr>
      <w:r>
        <w:rPr>
          <w:rFonts w:hint="eastAsia" w:ascii="宋体" w:hAnsi="宋体" w:cs="宋体"/>
          <w:color w:val="auto"/>
          <w:highlight w:val="none"/>
          <w:lang w:eastAsia="zh-CN"/>
        </w:rPr>
        <w:t>十一、合同生效</w:t>
      </w:r>
    </w:p>
    <w:p w14:paraId="66EC40FF">
      <w:pPr>
        <w:snapToGrid w:val="0"/>
        <w:spacing w:line="3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本合同自</w:t>
      </w:r>
      <w:r>
        <w:rPr>
          <w:rFonts w:hint="eastAsia" w:ascii="宋体" w:hAnsi="宋体" w:cs="宋体"/>
          <w:bCs/>
          <w:color w:val="auto"/>
          <w:szCs w:val="21"/>
          <w:highlight w:val="none"/>
          <w:u w:val="single"/>
        </w:rPr>
        <w:t>发包人、承包人双方法定代表人或委托代理人签字并加盖单位公章后</w:t>
      </w:r>
      <w:r>
        <w:rPr>
          <w:rFonts w:hint="eastAsia" w:ascii="宋体" w:hAnsi="宋体" w:cs="宋体"/>
          <w:bCs/>
          <w:color w:val="auto"/>
          <w:szCs w:val="21"/>
          <w:highlight w:val="none"/>
        </w:rPr>
        <w:t>生效。</w:t>
      </w:r>
    </w:p>
    <w:p w14:paraId="10865E6A">
      <w:pPr>
        <w:pStyle w:val="249"/>
        <w:spacing w:line="340" w:lineRule="exact"/>
        <w:rPr>
          <w:rFonts w:ascii="宋体" w:hAnsi="宋体" w:cs="宋体"/>
          <w:color w:val="auto"/>
          <w:highlight w:val="none"/>
          <w:lang w:eastAsia="zh-CN"/>
        </w:rPr>
      </w:pPr>
      <w:r>
        <w:rPr>
          <w:rFonts w:hint="eastAsia" w:ascii="宋体" w:hAnsi="宋体" w:cs="宋体"/>
          <w:color w:val="auto"/>
          <w:highlight w:val="none"/>
          <w:lang w:eastAsia="zh-CN"/>
        </w:rPr>
        <w:t>十二、合同份数</w:t>
      </w:r>
    </w:p>
    <w:p w14:paraId="0DE0D1F1">
      <w:pPr>
        <w:snapToGrid w:val="0"/>
        <w:spacing w:line="3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本合同一式十份，均具有同等法律效力，发包人执四份，承包人执五份，采购代理机构执一份。</w:t>
      </w:r>
    </w:p>
    <w:p w14:paraId="04E2BE55">
      <w:pPr>
        <w:spacing w:line="340" w:lineRule="exact"/>
        <w:rPr>
          <w:rFonts w:ascii="宋体" w:hAnsi="宋体" w:cs="宋体"/>
          <w:b/>
          <w:color w:val="auto"/>
          <w:szCs w:val="21"/>
          <w:highlight w:val="none"/>
          <w:u w:val="single"/>
        </w:rPr>
      </w:pPr>
      <w:r>
        <w:rPr>
          <w:rFonts w:hint="eastAsia" w:ascii="宋体" w:hAnsi="宋体" w:cs="宋体"/>
          <w:color w:val="auto"/>
          <w:szCs w:val="21"/>
          <w:highlight w:val="none"/>
        </w:rPr>
        <w:t>发包人（公章）：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承包人（公章）：</w:t>
      </w:r>
      <w:r>
        <w:rPr>
          <w:rFonts w:hint="eastAsia" w:ascii="宋体" w:hAnsi="宋体" w:cs="宋体"/>
          <w:color w:val="auto"/>
          <w:szCs w:val="21"/>
          <w:highlight w:val="none"/>
          <w:u w:val="single"/>
        </w:rPr>
        <w:t xml:space="preserve">                                    </w:t>
      </w:r>
    </w:p>
    <w:p w14:paraId="09AC63B3">
      <w:pPr>
        <w:snapToGrid w:val="0"/>
        <w:spacing w:line="340" w:lineRule="exact"/>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highlight w:val="none"/>
          <w:u w:val="single"/>
        </w:rPr>
        <w:t xml:space="preserve">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57992EF">
      <w:pPr>
        <w:snapToGrid w:val="0"/>
        <w:spacing w:line="340" w:lineRule="exact"/>
        <w:rPr>
          <w:rFonts w:ascii="宋体" w:hAnsi="宋体" w:cs="宋体"/>
          <w:color w:val="auto"/>
          <w:szCs w:val="21"/>
          <w:highlight w:val="none"/>
          <w:u w:val="singl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法定代表人（签字）：</w:t>
      </w:r>
      <w:r>
        <w:rPr>
          <w:rFonts w:hint="eastAsia" w:ascii="宋体" w:hAnsi="宋体" w:cs="宋体"/>
          <w:color w:val="auto"/>
          <w:szCs w:val="21"/>
          <w:highlight w:val="none"/>
          <w:u w:val="single"/>
        </w:rPr>
        <w:t xml:space="preserve">                </w:t>
      </w:r>
    </w:p>
    <w:p w14:paraId="1406AA8D">
      <w:pPr>
        <w:snapToGrid w:val="0"/>
        <w:spacing w:line="340" w:lineRule="exact"/>
        <w:rPr>
          <w:rFonts w:ascii="宋体" w:hAnsi="宋体" w:cs="宋体"/>
          <w:color w:val="auto"/>
          <w:szCs w:val="21"/>
          <w:highlight w:val="none"/>
        </w:rPr>
      </w:pPr>
      <w:r>
        <w:rPr>
          <w:rFonts w:hint="eastAsia" w:ascii="宋体" w:hAnsi="宋体" w:cs="宋体"/>
          <w:color w:val="auto"/>
          <w:szCs w:val="21"/>
          <w:highlight w:val="none"/>
        </w:rPr>
        <w:t>委托代理人（签字）：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委托代理人（签字）：</w:t>
      </w:r>
      <w:r>
        <w:rPr>
          <w:rFonts w:hint="eastAsia" w:ascii="宋体" w:hAnsi="宋体" w:cs="宋体"/>
          <w:color w:val="auto"/>
          <w:szCs w:val="21"/>
          <w:highlight w:val="none"/>
          <w:u w:val="single"/>
        </w:rPr>
        <w:t xml:space="preserve">                 </w:t>
      </w:r>
    </w:p>
    <w:p w14:paraId="5EC9A0E3">
      <w:pPr>
        <w:snapToGrid w:val="0"/>
        <w:spacing w:line="340" w:lineRule="exact"/>
        <w:rPr>
          <w:rFonts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14:paraId="782E111C">
      <w:pPr>
        <w:snapToGrid w:val="0"/>
        <w:spacing w:line="340" w:lineRule="exact"/>
        <w:rPr>
          <w:rFonts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w:t>
      </w:r>
    </w:p>
    <w:p w14:paraId="1A53478D">
      <w:pPr>
        <w:snapToGrid w:val="0"/>
        <w:spacing w:line="340" w:lineRule="exact"/>
        <w:rPr>
          <w:rFonts w:ascii="宋体" w:hAnsi="宋体" w:cs="宋体"/>
          <w:color w:val="auto"/>
          <w:szCs w:val="21"/>
          <w:highlight w:val="none"/>
          <w:u w:val="singl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电子信箱：</w:t>
      </w:r>
      <w:r>
        <w:rPr>
          <w:rFonts w:hint="eastAsia" w:ascii="宋体" w:hAnsi="宋体" w:cs="宋体"/>
          <w:color w:val="auto"/>
          <w:szCs w:val="21"/>
          <w:highlight w:val="none"/>
          <w:u w:val="single"/>
        </w:rPr>
        <w:t xml:space="preserve">          </w:t>
      </w:r>
    </w:p>
    <w:p w14:paraId="07ECA0C0">
      <w:pPr>
        <w:snapToGrid w:val="0"/>
        <w:spacing w:line="340" w:lineRule="exact"/>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14:paraId="1BDFA5E4">
      <w:pPr>
        <w:snapToGrid w:val="0"/>
        <w:spacing w:line="340" w:lineRule="exact"/>
        <w:rPr>
          <w:rFonts w:ascii="宋体" w:hAnsi="宋体" w:cs="宋体"/>
          <w:color w:val="auto"/>
          <w:szCs w:val="21"/>
          <w:highlight w:val="none"/>
          <w:u w:val="singl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14:paraId="6DEBE1E2">
      <w:pPr>
        <w:snapToGrid w:val="0"/>
        <w:spacing w:line="340" w:lineRule="exact"/>
        <w:rPr>
          <w:rFonts w:ascii="宋体" w:hAnsi="宋体" w:cs="宋体"/>
          <w:color w:val="auto"/>
          <w:szCs w:val="20"/>
          <w:highlight w:val="none"/>
        </w:rPr>
      </w:pPr>
      <w:r>
        <w:rPr>
          <w:rFonts w:hint="eastAsia" w:ascii="宋体" w:hAnsi="宋体" w:cs="宋体"/>
          <w:color w:val="auto"/>
          <w:highlight w:val="none"/>
        </w:rPr>
        <w:t>邮政编码：</w:t>
      </w:r>
      <w:r>
        <w:rPr>
          <w:rFonts w:hint="eastAsia" w:ascii="宋体" w:hAnsi="宋体" w:cs="宋体"/>
          <w:color w:val="auto"/>
          <w:szCs w:val="21"/>
          <w:highlight w:val="none"/>
          <w:u w:val="single"/>
        </w:rPr>
        <w:t xml:space="preserve">                       </w:t>
      </w:r>
      <w:r>
        <w:rPr>
          <w:rFonts w:hint="eastAsia" w:ascii="宋体" w:hAnsi="宋体" w:cs="宋体"/>
          <w:color w:val="auto"/>
          <w:highlight w:val="none"/>
        </w:rPr>
        <w:t> 邮政编码：</w:t>
      </w:r>
      <w:r>
        <w:rPr>
          <w:rFonts w:hint="eastAsia" w:ascii="宋体" w:hAnsi="宋体" w:cs="宋体"/>
          <w:color w:val="auto"/>
          <w:szCs w:val="21"/>
          <w:highlight w:val="none"/>
          <w:u w:val="single"/>
        </w:rPr>
        <w:t xml:space="preserve">                          </w:t>
      </w:r>
    </w:p>
    <w:p w14:paraId="0D4594F0">
      <w:pPr>
        <w:snapToGrid w:val="0"/>
        <w:spacing w:line="340" w:lineRule="exact"/>
        <w:rPr>
          <w:rFonts w:ascii="宋体" w:hAnsi="宋体" w:cs="宋体"/>
          <w:color w:val="auto"/>
          <w:szCs w:val="21"/>
          <w:highlight w:val="none"/>
          <w:u w:val="single"/>
        </w:rPr>
      </w:pPr>
    </w:p>
    <w:p w14:paraId="416F7C27">
      <w:pPr>
        <w:pStyle w:val="2"/>
        <w:jc w:val="center"/>
        <w:rPr>
          <w:rFonts w:ascii="宋体" w:hAnsi="宋体" w:cs="宋体"/>
          <w:color w:val="auto"/>
          <w:kern w:val="0"/>
          <w:szCs w:val="21"/>
          <w:highlight w:val="none"/>
        </w:rPr>
      </w:pPr>
      <w:bookmarkStart w:id="96" w:name="_Toc389065256"/>
      <w:bookmarkStart w:id="97" w:name="_Toc395382492"/>
      <w:bookmarkStart w:id="98" w:name="_Toc478389010"/>
      <w:bookmarkStart w:id="99" w:name="_Toc373227691"/>
      <w:bookmarkStart w:id="100" w:name="_Toc351203632"/>
      <w:bookmarkStart w:id="101" w:name="_Toc373478338"/>
      <w:r>
        <w:rPr>
          <w:rFonts w:hint="eastAsia" w:ascii="宋体" w:hAnsi="宋体" w:cs="宋体"/>
          <w:color w:val="auto"/>
          <w:highlight w:val="none"/>
        </w:rPr>
        <w:t>第二部分 通用合同条款</w:t>
      </w:r>
      <w:bookmarkEnd w:id="96"/>
      <w:bookmarkEnd w:id="97"/>
      <w:bookmarkEnd w:id="98"/>
    </w:p>
    <w:p w14:paraId="6CFAAA26">
      <w:pPr>
        <w:pStyle w:val="321"/>
        <w:rPr>
          <w:rFonts w:ascii="宋体" w:cs="宋体"/>
          <w:color w:val="auto"/>
          <w:highlight w:val="none"/>
        </w:rPr>
      </w:pPr>
      <w:bookmarkStart w:id="102" w:name="_Toc351203495"/>
      <w:bookmarkStart w:id="103" w:name="_Toc478389011"/>
      <w:bookmarkStart w:id="104" w:name="_Toc337558727"/>
      <w:r>
        <w:rPr>
          <w:rFonts w:hint="eastAsia" w:ascii="宋体" w:cs="宋体"/>
          <w:color w:val="auto"/>
          <w:highlight w:val="none"/>
        </w:rPr>
        <w:t>1.</w:t>
      </w:r>
      <w:bookmarkStart w:id="105" w:name="_Toc303538975"/>
      <w:bookmarkEnd w:id="105"/>
      <w:bookmarkStart w:id="106" w:name="_Toc303538973"/>
      <w:bookmarkEnd w:id="106"/>
      <w:bookmarkStart w:id="107" w:name="_Toc303538972"/>
      <w:bookmarkEnd w:id="107"/>
      <w:bookmarkStart w:id="108" w:name="_Toc303538974"/>
      <w:bookmarkEnd w:id="108"/>
      <w:bookmarkStart w:id="109" w:name="_Toc303538976"/>
      <w:bookmarkEnd w:id="109"/>
      <w:bookmarkStart w:id="110" w:name="_Toc296346528"/>
      <w:bookmarkStart w:id="111" w:name="_Toc296503027"/>
      <w:r>
        <w:rPr>
          <w:rFonts w:hint="eastAsia" w:ascii="宋体" w:cs="宋体"/>
          <w:color w:val="auto"/>
          <w:highlight w:val="none"/>
        </w:rPr>
        <w:t xml:space="preserve"> 一般约定</w:t>
      </w:r>
      <w:bookmarkEnd w:id="102"/>
      <w:bookmarkEnd w:id="103"/>
      <w:bookmarkEnd w:id="104"/>
      <w:bookmarkEnd w:id="110"/>
      <w:bookmarkEnd w:id="111"/>
    </w:p>
    <w:p w14:paraId="675E66AB">
      <w:pPr>
        <w:pStyle w:val="321"/>
        <w:rPr>
          <w:rFonts w:ascii="宋体" w:cs="宋体"/>
          <w:color w:val="auto"/>
          <w:highlight w:val="none"/>
        </w:rPr>
      </w:pPr>
      <w:bookmarkStart w:id="112" w:name="_Toc296346529"/>
      <w:bookmarkStart w:id="113" w:name="_Toc296503028"/>
      <w:bookmarkStart w:id="114" w:name="_Toc337558728"/>
      <w:bookmarkStart w:id="115" w:name="_Toc478389012"/>
      <w:bookmarkStart w:id="116" w:name="_Toc351203496"/>
      <w:r>
        <w:rPr>
          <w:rFonts w:hint="eastAsia" w:ascii="宋体" w:cs="宋体"/>
          <w:color w:val="auto"/>
          <w:highlight w:val="none"/>
        </w:rPr>
        <w:t>1.1词语定义</w:t>
      </w:r>
      <w:bookmarkEnd w:id="112"/>
      <w:bookmarkEnd w:id="113"/>
      <w:bookmarkEnd w:id="114"/>
      <w:r>
        <w:rPr>
          <w:rFonts w:hint="eastAsia" w:ascii="宋体" w:cs="宋体"/>
          <w:color w:val="auto"/>
          <w:highlight w:val="none"/>
        </w:rPr>
        <w:t>与解释</w:t>
      </w:r>
      <w:bookmarkEnd w:id="115"/>
      <w:bookmarkEnd w:id="116"/>
    </w:p>
    <w:p w14:paraId="2B95997F">
      <w:pPr>
        <w:autoSpaceDE w:val="0"/>
        <w:autoSpaceDN w:val="0"/>
        <w:adjustRightIn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合同协议书、通用合同条款、专用合同条款中的下列词语具有本款所赋予的含义：</w:t>
      </w:r>
    </w:p>
    <w:p w14:paraId="252E5BC7">
      <w:pPr>
        <w:pStyle w:val="79"/>
        <w:ind w:firstLine="402"/>
        <w:outlineLvl w:val="0"/>
        <w:rPr>
          <w:rFonts w:cs="宋体"/>
          <w:b/>
          <w:color w:val="auto"/>
          <w:highlight w:val="none"/>
        </w:rPr>
      </w:pPr>
      <w:bookmarkStart w:id="117" w:name="_Toc406419169"/>
      <w:bookmarkStart w:id="118" w:name="_Toc406522044"/>
      <w:bookmarkStart w:id="119" w:name="_Toc478389013"/>
      <w:r>
        <w:rPr>
          <w:rFonts w:hint="eastAsia" w:cs="宋体"/>
          <w:b/>
          <w:color w:val="auto"/>
          <w:highlight w:val="none"/>
        </w:rPr>
        <w:t>1.1.1 合同</w:t>
      </w:r>
      <w:bookmarkEnd w:id="117"/>
      <w:bookmarkEnd w:id="118"/>
      <w:bookmarkEnd w:id="119"/>
    </w:p>
    <w:p w14:paraId="7E83B56F">
      <w:pPr>
        <w:autoSpaceDE w:val="0"/>
        <w:autoSpaceDN w:val="0"/>
        <w:adjustRightIn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1.1.1.1 合同：是指根据法律规定和合同当事人约定具有约束力的文件，构成合同的文件包括合同协议书、成交通知书（如果有）、投标函及其附录（如果有）、专用合同条款</w:t>
      </w:r>
      <w:r>
        <w:rPr>
          <w:rFonts w:hint="eastAsia" w:ascii="宋体" w:hAnsi="宋体" w:cs="宋体"/>
          <w:color w:val="auto"/>
          <w:szCs w:val="21"/>
          <w:highlight w:val="none"/>
        </w:rPr>
        <w:t>及其附件</w:t>
      </w:r>
      <w:r>
        <w:rPr>
          <w:rFonts w:hint="eastAsia" w:ascii="宋体" w:hAnsi="宋体" w:cs="宋体"/>
          <w:color w:val="auto"/>
          <w:kern w:val="0"/>
          <w:szCs w:val="21"/>
          <w:highlight w:val="none"/>
        </w:rPr>
        <w:t>、通用合同条款、技术标准和要求、图纸（如有）、已标价工程量清单或预算书以及其他合同文件。</w:t>
      </w:r>
    </w:p>
    <w:p w14:paraId="1DD462DB">
      <w:pPr>
        <w:autoSpaceDE w:val="0"/>
        <w:autoSpaceDN w:val="0"/>
        <w:adjustRightIn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1.1.1.2 合同协议书：是指构成合同的由发包人和承包人共同签署的称为“合同协议书”的书面文件。</w:t>
      </w:r>
    </w:p>
    <w:p w14:paraId="77E12507">
      <w:pPr>
        <w:autoSpaceDE w:val="0"/>
        <w:autoSpaceDN w:val="0"/>
        <w:adjustRightIn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1.1.1.3 成交通知书：是指构成合同的由发包人通知承包人成交的书面文件。</w:t>
      </w:r>
    </w:p>
    <w:p w14:paraId="13566399">
      <w:pPr>
        <w:autoSpaceDE w:val="0"/>
        <w:autoSpaceDN w:val="0"/>
        <w:adjustRightIn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1.1.1.4 投标函：是指构成合同的由承包人填写并签署的用于投标的称为“投标函”的文件。</w:t>
      </w:r>
    </w:p>
    <w:p w14:paraId="7437A757">
      <w:pPr>
        <w:autoSpaceDE w:val="0"/>
        <w:autoSpaceDN w:val="0"/>
        <w:adjustRightIn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1.1.1.5 投标函附录：是指构成合同的附在投标函后的称为“投标函附录”的文件。</w:t>
      </w:r>
    </w:p>
    <w:p w14:paraId="161BAEBE">
      <w:pPr>
        <w:autoSpaceDE w:val="0"/>
        <w:autoSpaceDN w:val="0"/>
        <w:adjustRightIn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1.1.1.6 技术标准和要求：是指构成合同的施工应当遵守的或指导施工的国家、行业或地方的技术标准和要求，以及合同约定的技术标准和要求。</w:t>
      </w:r>
    </w:p>
    <w:p w14:paraId="3F0B657F">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1.1.1.7 图纸（如有）：是指构成合同的图纸，包括由发包人按照合同约定提供或经发包人批准的设计文件、施工图、鸟瞰图及模型等，以及在合同履行过程中形成的图纸文件。图纸应当按照法律规定审查合格。</w:t>
      </w:r>
    </w:p>
    <w:p w14:paraId="33419500">
      <w:pPr>
        <w:autoSpaceDE w:val="0"/>
        <w:autoSpaceDN w:val="0"/>
        <w:adjustRightInd w:val="0"/>
        <w:spacing w:line="420" w:lineRule="exact"/>
        <w:ind w:firstLine="409" w:firstLineChars="195"/>
        <w:jc w:val="left"/>
        <w:rPr>
          <w:rFonts w:ascii="宋体" w:hAnsi="宋体" w:cs="宋体"/>
          <w:color w:val="auto"/>
          <w:kern w:val="0"/>
          <w:szCs w:val="21"/>
          <w:highlight w:val="none"/>
        </w:rPr>
      </w:pPr>
      <w:r>
        <w:rPr>
          <w:rFonts w:hint="eastAsia" w:ascii="宋体" w:hAnsi="宋体" w:cs="宋体"/>
          <w:color w:val="auto"/>
          <w:kern w:val="0"/>
          <w:szCs w:val="21"/>
          <w:highlight w:val="none"/>
        </w:rPr>
        <w:t>1.1.1.8 已标价工程量清单：是指构成合同的由承包人按照规定的格式和要求填写并标明价格的工程量清单，包括说明和表格。</w:t>
      </w:r>
    </w:p>
    <w:p w14:paraId="75FDEEFF">
      <w:pPr>
        <w:autoSpaceDE w:val="0"/>
        <w:autoSpaceDN w:val="0"/>
        <w:adjustRightInd w:val="0"/>
        <w:spacing w:line="420" w:lineRule="exact"/>
        <w:ind w:firstLine="409" w:firstLineChars="195"/>
        <w:jc w:val="left"/>
        <w:rPr>
          <w:rFonts w:ascii="宋体" w:hAnsi="宋体" w:cs="宋体"/>
          <w:color w:val="auto"/>
          <w:kern w:val="0"/>
          <w:szCs w:val="21"/>
          <w:highlight w:val="none"/>
        </w:rPr>
      </w:pPr>
      <w:r>
        <w:rPr>
          <w:rFonts w:hint="eastAsia" w:ascii="宋体" w:hAnsi="宋体" w:cs="宋体"/>
          <w:color w:val="auto"/>
          <w:kern w:val="0"/>
          <w:szCs w:val="21"/>
          <w:highlight w:val="none"/>
        </w:rPr>
        <w:t>1.1.1.9 预算书：是指构成合同的由承包人按照发包人规定的格式和要求编制的工程预算文件。</w:t>
      </w:r>
    </w:p>
    <w:p w14:paraId="29C6B036">
      <w:pPr>
        <w:autoSpaceDE w:val="0"/>
        <w:autoSpaceDN w:val="0"/>
        <w:adjustRightIn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1.1.1.10 其他合同文件：是指经合同当事人约定的与工程施工有关的具有合同约束力的文件或书面协议。合同当事人可以在专用合同条款中进行约定。</w:t>
      </w:r>
    </w:p>
    <w:p w14:paraId="4662DFF5">
      <w:pPr>
        <w:pStyle w:val="79"/>
        <w:ind w:firstLine="402"/>
        <w:outlineLvl w:val="0"/>
        <w:rPr>
          <w:rFonts w:cs="宋体"/>
          <w:b/>
          <w:color w:val="auto"/>
          <w:highlight w:val="none"/>
        </w:rPr>
      </w:pPr>
      <w:bookmarkStart w:id="120" w:name="_Toc406522045"/>
      <w:bookmarkStart w:id="121" w:name="_Toc406419170"/>
      <w:bookmarkStart w:id="122" w:name="_Toc478389014"/>
      <w:r>
        <w:rPr>
          <w:rFonts w:hint="eastAsia" w:cs="宋体"/>
          <w:b/>
          <w:color w:val="auto"/>
          <w:highlight w:val="none"/>
        </w:rPr>
        <w:t>1.1.2 合同当事人及其他相关方</w:t>
      </w:r>
      <w:bookmarkEnd w:id="120"/>
      <w:bookmarkEnd w:id="121"/>
      <w:bookmarkEnd w:id="122"/>
    </w:p>
    <w:p w14:paraId="5A3699C3">
      <w:pPr>
        <w:autoSpaceDE w:val="0"/>
        <w:autoSpaceDN w:val="0"/>
        <w:adjustRightIn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1.1.2.1 合同当事人：是指发包人和（或）承包人。</w:t>
      </w:r>
    </w:p>
    <w:p w14:paraId="7BB5ACEC">
      <w:pPr>
        <w:autoSpaceDE w:val="0"/>
        <w:autoSpaceDN w:val="0"/>
        <w:adjustRightIn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1.1.2.2 发包人：是指与承包人签订合同协议书的当事人及取得该当事人资格的合法继承人。</w:t>
      </w:r>
    </w:p>
    <w:p w14:paraId="03B7C6D5">
      <w:pPr>
        <w:autoSpaceDE w:val="0"/>
        <w:autoSpaceDN w:val="0"/>
        <w:adjustRightIn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1.1.2.3 承包人：是指与发包人签订合同协议书的，具有相应工程施工承包资质的当事人及取得该当事人资格的合法继承人。</w:t>
      </w:r>
    </w:p>
    <w:p w14:paraId="3C539ED7">
      <w:pPr>
        <w:autoSpaceDE w:val="0"/>
        <w:autoSpaceDN w:val="0"/>
        <w:adjustRightIn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1.1.2.4 监理人：是指在专用合同条款中指明的，受发包人委托按照法律规定进行工程监督管理的法人或其他组织。</w:t>
      </w:r>
    </w:p>
    <w:p w14:paraId="6F016031">
      <w:pPr>
        <w:autoSpaceDE w:val="0"/>
        <w:autoSpaceDN w:val="0"/>
        <w:adjustRightIn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1.1.2.5 设计人：是指在专用合同条款中指明的，受发包人委托负责工程设计并具备相应工程设计资质的法人或其他组织。</w:t>
      </w:r>
    </w:p>
    <w:p w14:paraId="22D41996">
      <w:pPr>
        <w:spacing w:line="420" w:lineRule="exact"/>
        <w:ind w:firstLine="409" w:firstLineChars="195"/>
        <w:jc w:val="left"/>
        <w:rPr>
          <w:rFonts w:ascii="宋体" w:hAnsi="宋体" w:cs="宋体"/>
          <w:color w:val="auto"/>
          <w:kern w:val="0"/>
          <w:szCs w:val="21"/>
          <w:highlight w:val="none"/>
        </w:rPr>
      </w:pPr>
      <w:r>
        <w:rPr>
          <w:rFonts w:hint="eastAsia" w:ascii="宋体" w:hAnsi="宋体" w:cs="宋体"/>
          <w:color w:val="auto"/>
          <w:kern w:val="0"/>
          <w:szCs w:val="21"/>
          <w:highlight w:val="none"/>
        </w:rPr>
        <w:t>1.1.2.6 分包人：</w:t>
      </w:r>
      <w:bookmarkStart w:id="123" w:name="#go5"/>
      <w:bookmarkEnd w:id="123"/>
      <w:r>
        <w:rPr>
          <w:rFonts w:hint="eastAsia" w:ascii="宋体" w:hAnsi="宋体" w:cs="宋体"/>
          <w:color w:val="auto"/>
          <w:kern w:val="0"/>
          <w:szCs w:val="21"/>
          <w:highlight w:val="none"/>
        </w:rPr>
        <w:t>是指按照法律规定和合同约定，分包部分工程或工作，并与承包人签订分包合同的具有相应资质的法人。</w:t>
      </w:r>
    </w:p>
    <w:p w14:paraId="3DE6449E">
      <w:pPr>
        <w:autoSpaceDE w:val="0"/>
        <w:autoSpaceDN w:val="0"/>
        <w:adjustRightIn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1.1.2.7 发包人代表：是指由发包人任命并派驻施工现场在发包人授权范围内行使发包人权利的人。</w:t>
      </w:r>
    </w:p>
    <w:p w14:paraId="45E332EC">
      <w:pPr>
        <w:autoSpaceDE w:val="0"/>
        <w:autoSpaceDN w:val="0"/>
        <w:adjustRightIn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1.1.2.8 项目经理：是指由承包人任命并派驻施工现场，在承包人授权范围内负责合同履行，且按照法律规定具有相应资格的项目负责人。</w:t>
      </w:r>
    </w:p>
    <w:p w14:paraId="38255330">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1.1.2.9 总监理工程师：是指由监理人任命并派驻施工现场进行工程监理的总负责人。</w:t>
      </w:r>
    </w:p>
    <w:p w14:paraId="0AF52EE9">
      <w:pPr>
        <w:pStyle w:val="79"/>
        <w:ind w:firstLine="402"/>
        <w:outlineLvl w:val="0"/>
        <w:rPr>
          <w:rFonts w:cs="宋体"/>
          <w:b/>
          <w:color w:val="auto"/>
          <w:highlight w:val="none"/>
        </w:rPr>
      </w:pPr>
      <w:bookmarkStart w:id="124" w:name="_Toc406419171"/>
      <w:bookmarkStart w:id="125" w:name="_Toc478389015"/>
      <w:bookmarkStart w:id="126" w:name="_Toc406522046"/>
      <w:r>
        <w:rPr>
          <w:rFonts w:hint="eastAsia" w:cs="宋体"/>
          <w:b/>
          <w:color w:val="auto"/>
          <w:highlight w:val="none"/>
        </w:rPr>
        <w:t>1.1.3 工程和设备</w:t>
      </w:r>
      <w:bookmarkEnd w:id="124"/>
      <w:bookmarkEnd w:id="125"/>
      <w:bookmarkEnd w:id="126"/>
    </w:p>
    <w:p w14:paraId="7B154548">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1.1.3.1 工程：是指与合同协议书中工程承包范围对应的永久工程和（或）临时工程。</w:t>
      </w:r>
    </w:p>
    <w:p w14:paraId="7A0FD489">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1.1.3.2 永久工程：是指按合同约定建造并移交给发包人的工程，包括工程设备。</w:t>
      </w:r>
    </w:p>
    <w:p w14:paraId="4C5995DD">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1.1.3.3 临时工程：是指为完成合同约定的永久工程所修建的各类临时性工程，不包括施工设备。</w:t>
      </w:r>
    </w:p>
    <w:p w14:paraId="23D71023">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1.1.3.4 单位工程：是指在合同协议书中指明的，具备独立施工条件并能形成独立使用功能的永久工程。</w:t>
      </w:r>
    </w:p>
    <w:p w14:paraId="0C92C1D2">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1.1.3.5 工程设备：是指构成永久工程的机电设备、金属结构设备、仪器及其他类似的设备和装置。</w:t>
      </w:r>
    </w:p>
    <w:p w14:paraId="7522441E">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1.1.3.6 施工设备：是指为完成合同约定的各项工作所需的设备、器具和其他物品，但不包括工程设备、临时工程和材料。</w:t>
      </w:r>
    </w:p>
    <w:p w14:paraId="3E9C20E5">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1.1.3.7 施工现场：是指用于工程施工的场所，以及在专用合同条款中指明作为施工场所组成部分的其他场所，包括永久占地和临时占地。</w:t>
      </w:r>
    </w:p>
    <w:p w14:paraId="06A6BD8C">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1.1.3.8临时设施：是指为完成合同约定的各项工作所服务的临时性生产和生活设施。</w:t>
      </w:r>
    </w:p>
    <w:p w14:paraId="45C25ADB">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1.1.3.9 永久占地：是指专用合同条款中指明为实施工程需永久占用的土地。</w:t>
      </w:r>
    </w:p>
    <w:p w14:paraId="4C2469D6">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1.1.3.10 临时占地：是指专用合同条款中指明为实施工程需要临时占用的土地。</w:t>
      </w:r>
    </w:p>
    <w:p w14:paraId="2BFD0E43">
      <w:pPr>
        <w:pStyle w:val="79"/>
        <w:ind w:firstLine="402"/>
        <w:outlineLvl w:val="0"/>
        <w:rPr>
          <w:rFonts w:cs="宋体"/>
          <w:b/>
          <w:color w:val="auto"/>
          <w:highlight w:val="none"/>
        </w:rPr>
      </w:pPr>
      <w:bookmarkStart w:id="127" w:name="_Toc406419172"/>
      <w:bookmarkStart w:id="128" w:name="_Toc406522047"/>
      <w:bookmarkStart w:id="129" w:name="_Toc478389016"/>
      <w:r>
        <w:rPr>
          <w:rFonts w:hint="eastAsia" w:cs="宋体"/>
          <w:b/>
          <w:color w:val="auto"/>
          <w:highlight w:val="none"/>
        </w:rPr>
        <w:t>1.1.4 日期和期限</w:t>
      </w:r>
      <w:bookmarkEnd w:id="127"/>
      <w:bookmarkEnd w:id="128"/>
      <w:bookmarkEnd w:id="129"/>
    </w:p>
    <w:p w14:paraId="2618D9D0">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2268C041">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1.1.4.2 竣工日期：包括计划竣工日期和实际竣工日期。计划竣工日期是指合同协议书约定的竣工日期；实际竣工日期按照第13.2.3项〔竣工日期〕的约定确定。 </w:t>
      </w:r>
    </w:p>
    <w:p w14:paraId="27A4403A">
      <w:pPr>
        <w:spacing w:line="420" w:lineRule="exact"/>
        <w:ind w:firstLine="426" w:firstLineChars="203"/>
        <w:rPr>
          <w:rFonts w:ascii="宋体" w:hAnsi="宋体" w:cs="宋体"/>
          <w:color w:val="auto"/>
          <w:szCs w:val="21"/>
          <w:highlight w:val="none"/>
        </w:rPr>
      </w:pPr>
      <w:r>
        <w:rPr>
          <w:rFonts w:hint="eastAsia" w:ascii="宋体" w:hAnsi="宋体" w:cs="宋体"/>
          <w:color w:val="auto"/>
          <w:kern w:val="0"/>
          <w:szCs w:val="21"/>
          <w:highlight w:val="none"/>
        </w:rPr>
        <w:t>1.1.4.3 工期：是指在合同协议书约定的承包人完成工程所需的期限，包括按照合同约定所做的期限变更。</w:t>
      </w:r>
    </w:p>
    <w:p w14:paraId="6340B6E7">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1.1.4.4 缺陷责任期：是指承包人按照合同约定承担缺陷修复义务，且发包人预留质量保证金的期限，自工程实际竣工日期起计算。</w:t>
      </w:r>
    </w:p>
    <w:p w14:paraId="44B5A0D9">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1.1.4.5 保修期：是指承包人按照合同约定对工程承担保修责任的期限，从工程竣工验收合格之日起计算。</w:t>
      </w:r>
    </w:p>
    <w:p w14:paraId="06E87203">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1.1.4.6 基准日期：招标发包的工程以投标截止日前28天的日期为基准日期，直接发包的工程以合同签订日前28天的日期为基准日期。</w:t>
      </w:r>
    </w:p>
    <w:p w14:paraId="1E6A9404">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1.1.4.7 天：除特别指明外，均指日历天。合同中按天计算时间的，开始当天不计入，从次日开始计算，期限最后一天的截止时间为当天24:00时。</w:t>
      </w:r>
    </w:p>
    <w:p w14:paraId="79BD1665">
      <w:pPr>
        <w:pStyle w:val="79"/>
        <w:ind w:firstLine="402"/>
        <w:outlineLvl w:val="0"/>
        <w:rPr>
          <w:rFonts w:cs="宋体"/>
          <w:b/>
          <w:color w:val="auto"/>
          <w:highlight w:val="none"/>
        </w:rPr>
      </w:pPr>
      <w:bookmarkStart w:id="130" w:name="_Toc406419173"/>
      <w:bookmarkStart w:id="131" w:name="_Toc406522048"/>
      <w:bookmarkStart w:id="132" w:name="_Toc478389017"/>
      <w:r>
        <w:rPr>
          <w:rFonts w:hint="eastAsia" w:cs="宋体"/>
          <w:b/>
          <w:color w:val="auto"/>
          <w:highlight w:val="none"/>
        </w:rPr>
        <w:t>1.1.5 合同价格和费用</w:t>
      </w:r>
      <w:bookmarkEnd w:id="130"/>
      <w:bookmarkEnd w:id="131"/>
      <w:bookmarkEnd w:id="132"/>
    </w:p>
    <w:p w14:paraId="661122B1">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1.1.5.1 签约合同价：是指</w:t>
      </w:r>
      <w:r>
        <w:rPr>
          <w:rFonts w:hint="eastAsia" w:ascii="宋体" w:hAnsi="宋体" w:cs="宋体"/>
          <w:color w:val="auto"/>
          <w:szCs w:val="21"/>
          <w:highlight w:val="none"/>
        </w:rPr>
        <w:t>发包人和承包人在合同协议书中确定的总金额，包括安全文明施工费、暂估价及暂列金额等。</w:t>
      </w:r>
    </w:p>
    <w:p w14:paraId="3A6CBFD6">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1.1.5.2 合同价格：是指发包人用于支付承包人按照合同约定完成承包范围内全部工作的金额，包括合同履行过程中按合同约定发生的价格变化。</w:t>
      </w:r>
    </w:p>
    <w:p w14:paraId="79083EEB">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1.1.5.3 费用：是指为履行合同所发生的或将要发生的所有必需的开支，包括管理费和应分摊的其他费用，但不包括利润。</w:t>
      </w:r>
    </w:p>
    <w:p w14:paraId="4C62B6D4">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1.1.5.4 暂估价：是指发包人在工程量清单或预算书中提供的用于支付必然发生但暂时不能确定价格的材料、工程设备的单价、专业工程以及服务工作的金额。</w:t>
      </w:r>
    </w:p>
    <w:p w14:paraId="020CCDCB">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403F9201">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1.1.5.6 计日工：是指合同履行过程中，承包人完成发包人提出的零星工作或需要采用计日工计价的变更工作时，按合同中约定的单价计价的一种方式。</w:t>
      </w:r>
    </w:p>
    <w:p w14:paraId="61D0FF1D">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1.1.5.7 质量保证金</w:t>
      </w:r>
      <w:bookmarkStart w:id="133" w:name="#go2"/>
      <w:bookmarkEnd w:id="133"/>
      <w:r>
        <w:rPr>
          <w:rFonts w:hint="eastAsia" w:ascii="宋体" w:hAnsi="宋体" w:cs="宋体"/>
          <w:color w:val="auto"/>
          <w:kern w:val="0"/>
          <w:szCs w:val="21"/>
          <w:highlight w:val="none"/>
        </w:rPr>
        <w:t>：是指按照第15.3款〔质量保证金〕约定承包人用于保证其在缺陷责任期内履行缺陷修补义务的担保</w:t>
      </w:r>
      <w:r>
        <w:rPr>
          <w:rFonts w:hint="eastAsia" w:ascii="宋体" w:hAnsi="宋体" w:cs="宋体"/>
          <w:color w:val="auto"/>
          <w:szCs w:val="21"/>
          <w:highlight w:val="none"/>
        </w:rPr>
        <w:t>。</w:t>
      </w:r>
    </w:p>
    <w:p w14:paraId="29D7E8B5">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1.1.5.8 总价项目：是指在现行国家、行业以及地方的计量规则中无工程量计算规则，在已标价工程量清单或预算书中以总价或以费率形式计算的项目。</w:t>
      </w:r>
    </w:p>
    <w:p w14:paraId="5B07342E">
      <w:pPr>
        <w:pStyle w:val="79"/>
        <w:ind w:firstLine="402"/>
        <w:outlineLvl w:val="0"/>
        <w:rPr>
          <w:rFonts w:cs="宋体"/>
          <w:b/>
          <w:color w:val="auto"/>
          <w:highlight w:val="none"/>
        </w:rPr>
      </w:pPr>
      <w:bookmarkStart w:id="134" w:name="_Toc406522049"/>
      <w:bookmarkStart w:id="135" w:name="_Toc406419174"/>
      <w:bookmarkStart w:id="136" w:name="_Toc478389018"/>
      <w:r>
        <w:rPr>
          <w:rFonts w:hint="eastAsia" w:cs="宋体"/>
          <w:b/>
          <w:color w:val="auto"/>
          <w:highlight w:val="none"/>
        </w:rPr>
        <w:t>1.1.6 其他</w:t>
      </w:r>
      <w:bookmarkEnd w:id="134"/>
      <w:bookmarkEnd w:id="135"/>
      <w:bookmarkEnd w:id="136"/>
    </w:p>
    <w:p w14:paraId="3E69AD0A">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1.1.6.1 书面形式：是指合同文件、信函、电报、传真等可以有形地表现所载内容的形式。</w:t>
      </w:r>
    </w:p>
    <w:p w14:paraId="77203AC9">
      <w:pPr>
        <w:pStyle w:val="321"/>
        <w:rPr>
          <w:rFonts w:ascii="宋体" w:cs="宋体"/>
          <w:color w:val="auto"/>
          <w:highlight w:val="none"/>
        </w:rPr>
      </w:pPr>
      <w:bookmarkStart w:id="137" w:name="_Toc351203497"/>
      <w:bookmarkStart w:id="138" w:name="_Toc478389019"/>
      <w:bookmarkStart w:id="139" w:name="_Toc296503029"/>
      <w:bookmarkStart w:id="140" w:name="_Toc296346530"/>
      <w:bookmarkStart w:id="141" w:name="_Toc337558729"/>
      <w:r>
        <w:rPr>
          <w:rFonts w:hint="eastAsia" w:ascii="宋体" w:cs="宋体"/>
          <w:color w:val="auto"/>
          <w:highlight w:val="none"/>
        </w:rPr>
        <w:t>1.2语言文字</w:t>
      </w:r>
      <w:bookmarkEnd w:id="137"/>
      <w:bookmarkEnd w:id="138"/>
      <w:bookmarkEnd w:id="139"/>
      <w:bookmarkEnd w:id="140"/>
      <w:bookmarkEnd w:id="141"/>
    </w:p>
    <w:p w14:paraId="2A7C2F46">
      <w:pPr>
        <w:autoSpaceDE w:val="0"/>
        <w:autoSpaceDN w:val="0"/>
        <w:adjustRightIn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合同以中国的汉语简体文字编写、解释和说明。合同当事人在专用合同条款中约定使用两种以上语言时，汉语为优先解释和说明合同的语言。</w:t>
      </w:r>
    </w:p>
    <w:p w14:paraId="792E6CD0">
      <w:pPr>
        <w:pStyle w:val="321"/>
        <w:rPr>
          <w:rFonts w:ascii="宋体" w:cs="宋体"/>
          <w:color w:val="auto"/>
          <w:highlight w:val="none"/>
        </w:rPr>
      </w:pPr>
      <w:bookmarkStart w:id="142" w:name="_Toc478389020"/>
      <w:bookmarkStart w:id="143" w:name="_Toc296346531"/>
      <w:bookmarkStart w:id="144" w:name="_Toc296503030"/>
      <w:bookmarkStart w:id="145" w:name="_Toc351203498"/>
      <w:bookmarkStart w:id="146" w:name="_Toc337558730"/>
      <w:r>
        <w:rPr>
          <w:rFonts w:hint="eastAsia" w:ascii="宋体" w:cs="宋体"/>
          <w:color w:val="auto"/>
          <w:highlight w:val="none"/>
        </w:rPr>
        <w:t>1.3法律</w:t>
      </w:r>
      <w:bookmarkEnd w:id="142"/>
      <w:bookmarkEnd w:id="143"/>
      <w:bookmarkEnd w:id="144"/>
      <w:bookmarkEnd w:id="145"/>
      <w:bookmarkEnd w:id="146"/>
    </w:p>
    <w:p w14:paraId="05116658">
      <w:pPr>
        <w:autoSpaceDE w:val="0"/>
        <w:autoSpaceDN w:val="0"/>
        <w:adjustRightIn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合同所称法律是指中华人民共和国法律、行政法规、部门规章，以及工程所在地的地方性法规、自治条例、单行条例和地方规章等。</w:t>
      </w:r>
    </w:p>
    <w:p w14:paraId="078FFE56">
      <w:pPr>
        <w:autoSpaceDE w:val="0"/>
        <w:autoSpaceDN w:val="0"/>
        <w:adjustRightIn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合同当事人可以在专用合同条款中约定合同适用的其他规范性文件。</w:t>
      </w:r>
    </w:p>
    <w:p w14:paraId="3A1CDDD8">
      <w:pPr>
        <w:pStyle w:val="321"/>
        <w:rPr>
          <w:rFonts w:ascii="宋体" w:cs="宋体"/>
          <w:color w:val="auto"/>
          <w:highlight w:val="none"/>
        </w:rPr>
      </w:pPr>
      <w:bookmarkStart w:id="147" w:name="_Toc478389021"/>
      <w:bookmarkStart w:id="148" w:name="_Toc351203499"/>
      <w:r>
        <w:rPr>
          <w:rFonts w:hint="eastAsia" w:ascii="宋体" w:cs="宋体"/>
          <w:color w:val="auto"/>
          <w:highlight w:val="none"/>
        </w:rPr>
        <w:t>1.4 标准和规范</w:t>
      </w:r>
      <w:bookmarkEnd w:id="147"/>
      <w:bookmarkEnd w:id="148"/>
    </w:p>
    <w:p w14:paraId="00776E94">
      <w:pPr>
        <w:autoSpaceDE w:val="0"/>
        <w:autoSpaceDN w:val="0"/>
        <w:adjustRightInd w:val="0"/>
        <w:spacing w:line="420" w:lineRule="exact"/>
        <w:ind w:firstLine="426"/>
        <w:jc w:val="left"/>
        <w:rPr>
          <w:rFonts w:ascii="宋体" w:hAnsi="宋体" w:cs="宋体"/>
          <w:color w:val="auto"/>
          <w:kern w:val="0"/>
          <w:szCs w:val="21"/>
          <w:highlight w:val="none"/>
        </w:rPr>
      </w:pPr>
      <w:r>
        <w:rPr>
          <w:rFonts w:hint="eastAsia" w:ascii="宋体" w:hAnsi="宋体" w:cs="宋体"/>
          <w:color w:val="auto"/>
          <w:kern w:val="0"/>
          <w:szCs w:val="21"/>
          <w:highlight w:val="none"/>
        </w:rPr>
        <w:t>1.4.1 适用于工程的国家标准、行业标准、工程所在地的地方性标准，以及相应的规范、规程等，合同当事人有特别要求的，应在专用合同条款中约定。</w:t>
      </w:r>
    </w:p>
    <w:p w14:paraId="00D9E5B5">
      <w:pPr>
        <w:autoSpaceDE w:val="0"/>
        <w:autoSpaceDN w:val="0"/>
        <w:adjustRightInd w:val="0"/>
        <w:spacing w:line="420" w:lineRule="exact"/>
        <w:ind w:firstLine="426"/>
        <w:jc w:val="left"/>
        <w:rPr>
          <w:rFonts w:ascii="宋体" w:hAnsi="宋体" w:cs="宋体"/>
          <w:color w:val="auto"/>
          <w:kern w:val="0"/>
          <w:szCs w:val="21"/>
          <w:highlight w:val="none"/>
        </w:rPr>
      </w:pPr>
      <w:r>
        <w:rPr>
          <w:rFonts w:hint="eastAsia" w:ascii="宋体" w:hAnsi="宋体" w:cs="宋体"/>
          <w:color w:val="auto"/>
          <w:kern w:val="0"/>
          <w:szCs w:val="21"/>
          <w:highlight w:val="none"/>
        </w:rPr>
        <w:t>1.4.2 发包人要求使用国外标准、规范的，发包人负责提供原文版本和中文译本，并在专用合同条款中约定提供标准规范的名称、份数和时间。</w:t>
      </w:r>
    </w:p>
    <w:p w14:paraId="424DFE3D">
      <w:pPr>
        <w:autoSpaceDE w:val="0"/>
        <w:autoSpaceDN w:val="0"/>
        <w:adjustRightInd w:val="0"/>
        <w:spacing w:line="420" w:lineRule="exact"/>
        <w:ind w:firstLine="426"/>
        <w:jc w:val="left"/>
        <w:rPr>
          <w:rFonts w:ascii="宋体" w:hAnsi="宋体" w:cs="宋体"/>
          <w:color w:val="auto"/>
          <w:kern w:val="0"/>
          <w:szCs w:val="21"/>
          <w:highlight w:val="none"/>
        </w:rPr>
      </w:pPr>
      <w:r>
        <w:rPr>
          <w:rFonts w:hint="eastAsia" w:ascii="宋体" w:hAnsi="宋体" w:cs="宋体"/>
          <w:color w:val="auto"/>
          <w:kern w:val="0"/>
          <w:szCs w:val="21"/>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451F32F3">
      <w:pPr>
        <w:pStyle w:val="321"/>
        <w:rPr>
          <w:rFonts w:ascii="宋体" w:cs="宋体"/>
          <w:color w:val="auto"/>
          <w:highlight w:val="none"/>
        </w:rPr>
      </w:pPr>
      <w:bookmarkStart w:id="149" w:name="_Toc478389022"/>
      <w:bookmarkStart w:id="150" w:name="_Toc351203500"/>
      <w:r>
        <w:rPr>
          <w:rFonts w:hint="eastAsia" w:ascii="宋体" w:cs="宋体"/>
          <w:color w:val="auto"/>
          <w:highlight w:val="none"/>
        </w:rPr>
        <w:t>1</w:t>
      </w:r>
      <w:bookmarkStart w:id="151" w:name="_Toc296346532"/>
      <w:bookmarkStart w:id="152" w:name="_Toc337558731"/>
      <w:bookmarkStart w:id="153" w:name="_Toc296503031"/>
      <w:r>
        <w:rPr>
          <w:rFonts w:hint="eastAsia" w:ascii="宋体" w:cs="宋体"/>
          <w:color w:val="auto"/>
          <w:highlight w:val="none"/>
        </w:rPr>
        <w:t>.5 合同文件的优先顺序</w:t>
      </w:r>
      <w:bookmarkEnd w:id="149"/>
      <w:bookmarkEnd w:id="150"/>
    </w:p>
    <w:bookmarkEnd w:id="151"/>
    <w:bookmarkEnd w:id="152"/>
    <w:bookmarkEnd w:id="153"/>
    <w:p w14:paraId="58F27C20">
      <w:pPr>
        <w:autoSpaceDE w:val="0"/>
        <w:autoSpaceDN w:val="0"/>
        <w:adjustRightIn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组成合同的各项文件应互相解释，互为说明。除专用合同条款另有约定外，解释合同文件的优先顺序如下：</w:t>
      </w:r>
    </w:p>
    <w:p w14:paraId="6990CE62">
      <w:pPr>
        <w:autoSpaceDE w:val="0"/>
        <w:autoSpaceDN w:val="0"/>
        <w:adjustRightIn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（1）合同协议书；</w:t>
      </w:r>
    </w:p>
    <w:p w14:paraId="734A81FB">
      <w:pPr>
        <w:autoSpaceDE w:val="0"/>
        <w:autoSpaceDN w:val="0"/>
        <w:adjustRightIn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（2）成交通知书（如果有）；</w:t>
      </w:r>
    </w:p>
    <w:p w14:paraId="0C69681B">
      <w:pPr>
        <w:autoSpaceDE w:val="0"/>
        <w:autoSpaceDN w:val="0"/>
        <w:adjustRightIn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（3）投标函及其附录（如果有）；</w:t>
      </w:r>
    </w:p>
    <w:p w14:paraId="42CB9944">
      <w:pPr>
        <w:autoSpaceDE w:val="0"/>
        <w:autoSpaceDN w:val="0"/>
        <w:adjustRightIn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（4）专用合同条款</w:t>
      </w:r>
      <w:r>
        <w:rPr>
          <w:rFonts w:hint="eastAsia" w:ascii="宋体" w:hAnsi="宋体" w:cs="宋体"/>
          <w:color w:val="auto"/>
          <w:szCs w:val="21"/>
          <w:highlight w:val="none"/>
        </w:rPr>
        <w:t>及其附件</w:t>
      </w:r>
      <w:r>
        <w:rPr>
          <w:rFonts w:hint="eastAsia" w:ascii="宋体" w:hAnsi="宋体" w:cs="宋体"/>
          <w:color w:val="auto"/>
          <w:kern w:val="0"/>
          <w:szCs w:val="21"/>
          <w:highlight w:val="none"/>
        </w:rPr>
        <w:t>；</w:t>
      </w:r>
    </w:p>
    <w:p w14:paraId="17C3AE28">
      <w:pPr>
        <w:autoSpaceDE w:val="0"/>
        <w:autoSpaceDN w:val="0"/>
        <w:adjustRightIn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（5）通用合同条款；</w:t>
      </w:r>
    </w:p>
    <w:p w14:paraId="48FCEFF3">
      <w:pPr>
        <w:autoSpaceDE w:val="0"/>
        <w:autoSpaceDN w:val="0"/>
        <w:adjustRightIn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（6）技术标准和要求；</w:t>
      </w:r>
    </w:p>
    <w:p w14:paraId="2A8E18B1">
      <w:pPr>
        <w:autoSpaceDE w:val="0"/>
        <w:autoSpaceDN w:val="0"/>
        <w:adjustRightIn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（7）已标价工程量清单或预算书；</w:t>
      </w:r>
    </w:p>
    <w:p w14:paraId="285608DB">
      <w:pPr>
        <w:autoSpaceDE w:val="0"/>
        <w:autoSpaceDN w:val="0"/>
        <w:adjustRightIn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（8）其他合同文件。</w:t>
      </w:r>
    </w:p>
    <w:p w14:paraId="079E8923">
      <w:pPr>
        <w:autoSpaceDE w:val="0"/>
        <w:autoSpaceDN w:val="0"/>
        <w:adjustRightIn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GB50500-2013）《建设工程工程量清单计价规范》及其广西实施细则及《关于建筑业实施营业税改征增值税后广西壮族自治区建设工程计价依据调整的通知》（桂建标〔2019〕12号）、（GB50854~50862-2013）《建设工程工程量计算规范广西壮族自治区实施细则》（修订本）。</w:t>
      </w:r>
    </w:p>
    <w:p w14:paraId="67FFB371">
      <w:pPr>
        <w:autoSpaceDE w:val="0"/>
        <w:autoSpaceDN w:val="0"/>
        <w:adjustRightIn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上述各项合同文件包括合同当事人就该项合同文件所作出的补充和修改，属于同一类内容的文件，应以最新签署的为准。</w:t>
      </w:r>
    </w:p>
    <w:p w14:paraId="5793EAF0">
      <w:pPr>
        <w:spacing w:line="420" w:lineRule="exact"/>
        <w:ind w:firstLine="447" w:firstLineChars="213"/>
        <w:rPr>
          <w:rFonts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在合同订立及履行过程中形成的与合同有关的文件均构成合同文件组成部分，并根据其性质确定优先解释顺序。</w:t>
      </w:r>
    </w:p>
    <w:p w14:paraId="60A8E0D0">
      <w:pPr>
        <w:pStyle w:val="321"/>
        <w:rPr>
          <w:rFonts w:ascii="宋体" w:cs="宋体"/>
          <w:color w:val="auto"/>
          <w:highlight w:val="none"/>
        </w:rPr>
      </w:pPr>
      <w:bookmarkStart w:id="154" w:name="_Toc351203501"/>
      <w:bookmarkStart w:id="155" w:name="_Toc478389023"/>
      <w:r>
        <w:rPr>
          <w:rFonts w:hint="eastAsia" w:ascii="宋体" w:cs="宋体"/>
          <w:color w:val="auto"/>
          <w:highlight w:val="none"/>
        </w:rPr>
        <w:t>1</w:t>
      </w:r>
      <w:bookmarkStart w:id="156" w:name="_Toc296503032"/>
      <w:bookmarkStart w:id="157" w:name="_Toc296346533"/>
      <w:bookmarkStart w:id="158" w:name="_Toc337558732"/>
      <w:r>
        <w:rPr>
          <w:rFonts w:hint="eastAsia" w:ascii="宋体" w:cs="宋体"/>
          <w:color w:val="auto"/>
          <w:highlight w:val="none"/>
        </w:rPr>
        <w:t>.6图纸和承包人文件</w:t>
      </w:r>
      <w:bookmarkEnd w:id="154"/>
      <w:bookmarkEnd w:id="155"/>
    </w:p>
    <w:bookmarkEnd w:id="156"/>
    <w:bookmarkEnd w:id="157"/>
    <w:bookmarkEnd w:id="158"/>
    <w:p w14:paraId="49C56D6B">
      <w:pPr>
        <w:spacing w:line="420" w:lineRule="exact"/>
        <w:ind w:firstLine="420" w:firstLineChars="200"/>
        <w:jc w:val="left"/>
        <w:outlineLvl w:val="0"/>
        <w:rPr>
          <w:rFonts w:ascii="宋体" w:hAnsi="宋体" w:cs="宋体"/>
          <w:color w:val="auto"/>
          <w:kern w:val="0"/>
          <w:szCs w:val="21"/>
          <w:highlight w:val="none"/>
        </w:rPr>
      </w:pPr>
      <w:bookmarkStart w:id="159" w:name="_Toc406522055"/>
      <w:bookmarkStart w:id="160" w:name="_Toc478389024"/>
      <w:r>
        <w:rPr>
          <w:rFonts w:hint="eastAsia" w:ascii="宋体" w:hAnsi="宋体" w:cs="宋体"/>
          <w:color w:val="auto"/>
          <w:kern w:val="0"/>
          <w:szCs w:val="21"/>
          <w:highlight w:val="none"/>
        </w:rPr>
        <w:t>1.6.1 图纸的提供和交底</w:t>
      </w:r>
      <w:bookmarkEnd w:id="159"/>
      <w:bookmarkEnd w:id="160"/>
    </w:p>
    <w:p w14:paraId="36038441">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3FF5780C">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因发包人未按合同约定提供图纸导致承包人费用增加和（或）工期延误的，按照第7.5.1项〔因发包人原因导致工期延误〕约定办理。</w:t>
      </w:r>
    </w:p>
    <w:p w14:paraId="470B344F">
      <w:pPr>
        <w:spacing w:line="420" w:lineRule="exact"/>
        <w:ind w:firstLine="420" w:firstLineChars="200"/>
        <w:jc w:val="left"/>
        <w:outlineLvl w:val="0"/>
        <w:rPr>
          <w:rFonts w:ascii="宋体" w:hAnsi="宋体" w:cs="宋体"/>
          <w:color w:val="auto"/>
          <w:kern w:val="0"/>
          <w:szCs w:val="21"/>
          <w:highlight w:val="none"/>
        </w:rPr>
      </w:pPr>
      <w:bookmarkStart w:id="161" w:name="_Toc406522056"/>
      <w:bookmarkStart w:id="162" w:name="_Toc478389025"/>
      <w:r>
        <w:rPr>
          <w:rFonts w:hint="eastAsia" w:ascii="宋体" w:hAnsi="宋体" w:cs="宋体"/>
          <w:color w:val="auto"/>
          <w:kern w:val="0"/>
          <w:szCs w:val="21"/>
          <w:highlight w:val="none"/>
        </w:rPr>
        <w:t>1.6.2 图纸的错误</w:t>
      </w:r>
      <w:bookmarkEnd w:id="161"/>
      <w:bookmarkEnd w:id="162"/>
    </w:p>
    <w:p w14:paraId="13E28D46">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75527059">
      <w:pPr>
        <w:spacing w:line="420" w:lineRule="exact"/>
        <w:ind w:firstLine="420" w:firstLineChars="200"/>
        <w:jc w:val="left"/>
        <w:outlineLvl w:val="0"/>
        <w:rPr>
          <w:rFonts w:ascii="宋体" w:hAnsi="宋体" w:cs="宋体"/>
          <w:color w:val="auto"/>
          <w:kern w:val="0"/>
          <w:szCs w:val="21"/>
          <w:highlight w:val="none"/>
        </w:rPr>
      </w:pPr>
      <w:bookmarkStart w:id="163" w:name="_Toc478389026"/>
      <w:bookmarkStart w:id="164" w:name="_Toc406522057"/>
      <w:r>
        <w:rPr>
          <w:rFonts w:hint="eastAsia" w:ascii="宋体" w:hAnsi="宋体" w:cs="宋体"/>
          <w:color w:val="auto"/>
          <w:kern w:val="0"/>
          <w:szCs w:val="21"/>
          <w:highlight w:val="none"/>
        </w:rPr>
        <w:t>1.6.3 图纸的修改和补充</w:t>
      </w:r>
      <w:bookmarkEnd w:id="163"/>
      <w:bookmarkEnd w:id="164"/>
    </w:p>
    <w:p w14:paraId="76ACEFD4">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63798EA0">
      <w:pPr>
        <w:spacing w:line="420" w:lineRule="exact"/>
        <w:ind w:firstLine="420" w:firstLineChars="200"/>
        <w:jc w:val="left"/>
        <w:outlineLvl w:val="0"/>
        <w:rPr>
          <w:rFonts w:ascii="宋体" w:hAnsi="宋体" w:cs="宋体"/>
          <w:color w:val="auto"/>
          <w:kern w:val="0"/>
          <w:szCs w:val="21"/>
          <w:highlight w:val="none"/>
        </w:rPr>
      </w:pPr>
      <w:bookmarkStart w:id="165" w:name="_Toc406522058"/>
      <w:bookmarkStart w:id="166" w:name="_Toc478389027"/>
      <w:r>
        <w:rPr>
          <w:rFonts w:hint="eastAsia" w:ascii="宋体" w:hAnsi="宋体" w:cs="宋体"/>
          <w:color w:val="auto"/>
          <w:kern w:val="0"/>
          <w:szCs w:val="21"/>
          <w:highlight w:val="none"/>
        </w:rPr>
        <w:t>1.6.4 承包人文件</w:t>
      </w:r>
      <w:bookmarkEnd w:id="165"/>
      <w:bookmarkEnd w:id="166"/>
    </w:p>
    <w:p w14:paraId="49617EA5">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承包人应按照专用合同条款的约定提供应当由其编制的与工程施工有关的文件，并按照专用合同条款约定的期限、数量和形式提交监理人，并由监理人报送发包人。</w:t>
      </w:r>
    </w:p>
    <w:p w14:paraId="3C4456B5">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24BF44A2">
      <w:pPr>
        <w:spacing w:line="420" w:lineRule="exact"/>
        <w:ind w:firstLine="420" w:firstLineChars="200"/>
        <w:jc w:val="left"/>
        <w:outlineLvl w:val="0"/>
        <w:rPr>
          <w:rFonts w:ascii="宋体" w:hAnsi="宋体" w:cs="宋体"/>
          <w:color w:val="auto"/>
          <w:kern w:val="0"/>
          <w:szCs w:val="21"/>
          <w:highlight w:val="none"/>
        </w:rPr>
      </w:pPr>
      <w:bookmarkStart w:id="167" w:name="_Toc478389028"/>
      <w:bookmarkStart w:id="168" w:name="_Toc406522059"/>
      <w:r>
        <w:rPr>
          <w:rFonts w:hint="eastAsia" w:ascii="宋体" w:hAnsi="宋体" w:cs="宋体"/>
          <w:color w:val="auto"/>
          <w:kern w:val="0"/>
          <w:szCs w:val="21"/>
          <w:highlight w:val="none"/>
        </w:rPr>
        <w:t>1.6.5 图纸和承包人文件的保管</w:t>
      </w:r>
      <w:bookmarkEnd w:id="167"/>
      <w:bookmarkEnd w:id="168"/>
    </w:p>
    <w:p w14:paraId="58B8BD63">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除专用合同条款另有约定外，承包人应在施工现场另外保存一套完整的图纸和承包人文件，供发包人、监理人及有关人员进行工程检查时使用。</w:t>
      </w:r>
    </w:p>
    <w:p w14:paraId="42466431">
      <w:pPr>
        <w:pStyle w:val="321"/>
        <w:rPr>
          <w:rFonts w:ascii="宋体" w:cs="宋体"/>
          <w:color w:val="auto"/>
          <w:highlight w:val="none"/>
        </w:rPr>
      </w:pPr>
      <w:bookmarkStart w:id="169" w:name="_Toc351203502"/>
      <w:bookmarkStart w:id="170" w:name="_Toc478389029"/>
      <w:r>
        <w:rPr>
          <w:rFonts w:hint="eastAsia" w:ascii="宋体" w:cs="宋体"/>
          <w:color w:val="auto"/>
          <w:highlight w:val="none"/>
        </w:rPr>
        <w:t>1</w:t>
      </w:r>
      <w:bookmarkStart w:id="171" w:name="_Toc337558733"/>
      <w:bookmarkStart w:id="172" w:name="_Toc296346534"/>
      <w:bookmarkStart w:id="173" w:name="_Toc296503033"/>
      <w:r>
        <w:rPr>
          <w:rFonts w:hint="eastAsia" w:ascii="宋体" w:cs="宋体"/>
          <w:color w:val="auto"/>
          <w:highlight w:val="none"/>
        </w:rPr>
        <w:t>.7联络</w:t>
      </w:r>
      <w:bookmarkEnd w:id="169"/>
      <w:bookmarkEnd w:id="170"/>
    </w:p>
    <w:bookmarkEnd w:id="171"/>
    <w:bookmarkEnd w:id="172"/>
    <w:bookmarkEnd w:id="173"/>
    <w:p w14:paraId="217E94DA">
      <w:pPr>
        <w:autoSpaceDE w:val="0"/>
        <w:autoSpaceDN w:val="0"/>
        <w:adjustRightIn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与合同有关的通知、批准、证明、证书、指示、指令、要求、请求、同意、意见、确定和决定等，均应采用书面形式，并应在合同约定的期限内送达接收人和送达地点。</w:t>
      </w:r>
    </w:p>
    <w:p w14:paraId="10213C00">
      <w:pPr>
        <w:autoSpaceDE w:val="0"/>
        <w:autoSpaceDN w:val="0"/>
        <w:adjustRightIn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1.7.2 发包人和承包人应在专用合同条款中约定各自的送达接收人和送达地点。任何一方合同当事人指定的接收人或送达地点发生变动的，应提前3天以书面形式通知对方。</w:t>
      </w:r>
    </w:p>
    <w:p w14:paraId="66078671">
      <w:pPr>
        <w:autoSpaceDE w:val="0"/>
        <w:autoSpaceDN w:val="0"/>
        <w:adjustRightIn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1.7.3 发包人和承包人应当及时签收另一方送达至送达地点和指定接收人的来往信函。拒不签收的，由此增加的费</w:t>
      </w:r>
      <w:r>
        <w:rPr>
          <w:rStyle w:val="76"/>
          <w:rFonts w:cs="宋体"/>
          <w:color w:val="auto"/>
          <w:highlight w:val="none"/>
        </w:rPr>
        <w:t>用和（或）延误的工期由拒绝接收一方承担。</w:t>
      </w:r>
    </w:p>
    <w:p w14:paraId="49BD90F7">
      <w:pPr>
        <w:pStyle w:val="321"/>
        <w:rPr>
          <w:rFonts w:ascii="宋体" w:cs="宋体"/>
          <w:color w:val="auto"/>
          <w:highlight w:val="none"/>
        </w:rPr>
      </w:pPr>
      <w:bookmarkStart w:id="174" w:name="_Toc351203503"/>
      <w:bookmarkStart w:id="175" w:name="_Toc478389030"/>
      <w:r>
        <w:rPr>
          <w:rFonts w:hint="eastAsia" w:ascii="宋体" w:cs="宋体"/>
          <w:color w:val="auto"/>
          <w:highlight w:val="none"/>
        </w:rPr>
        <w:t>1</w:t>
      </w:r>
      <w:bookmarkStart w:id="176" w:name="_Toc296346536"/>
      <w:bookmarkStart w:id="177" w:name="_Toc337558734"/>
      <w:bookmarkStart w:id="178" w:name="_Toc296503035"/>
      <w:r>
        <w:rPr>
          <w:rFonts w:hint="eastAsia" w:ascii="宋体" w:cs="宋体"/>
          <w:color w:val="auto"/>
          <w:highlight w:val="none"/>
        </w:rPr>
        <w:t>.8严禁贿赂</w:t>
      </w:r>
      <w:bookmarkEnd w:id="174"/>
      <w:bookmarkEnd w:id="175"/>
    </w:p>
    <w:bookmarkEnd w:id="176"/>
    <w:bookmarkEnd w:id="177"/>
    <w:bookmarkEnd w:id="178"/>
    <w:p w14:paraId="086F2D80">
      <w:pPr>
        <w:pStyle w:val="79"/>
        <w:rPr>
          <w:rFonts w:cs="宋体"/>
          <w:color w:val="auto"/>
          <w:sz w:val="21"/>
          <w:highlight w:val="none"/>
        </w:rPr>
      </w:pPr>
      <w:r>
        <w:rPr>
          <w:rFonts w:hint="eastAsia" w:cs="宋体"/>
          <w:color w:val="auto"/>
          <w:sz w:val="21"/>
          <w:highlight w:val="none"/>
        </w:rPr>
        <w:t>合同当事人不得以贿赂或变相贿赂的方式，谋取非法利益或损害对方权益。因一方合同当事人的贿赂造成对方损失的，应赔偿损失，并承担相应的法律责任。</w:t>
      </w:r>
    </w:p>
    <w:p w14:paraId="2C312BD7">
      <w:pPr>
        <w:pStyle w:val="79"/>
        <w:rPr>
          <w:rFonts w:cs="宋体"/>
          <w:color w:val="auto"/>
          <w:sz w:val="21"/>
          <w:highlight w:val="none"/>
        </w:rPr>
      </w:pPr>
      <w:r>
        <w:rPr>
          <w:rFonts w:hint="eastAsia" w:cs="宋体"/>
          <w:color w:val="auto"/>
          <w:sz w:val="21"/>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756BB49D">
      <w:pPr>
        <w:pStyle w:val="321"/>
        <w:rPr>
          <w:rFonts w:ascii="宋体" w:cs="宋体"/>
          <w:color w:val="auto"/>
          <w:highlight w:val="none"/>
        </w:rPr>
      </w:pPr>
      <w:bookmarkStart w:id="179" w:name="_Toc478389031"/>
      <w:bookmarkStart w:id="180" w:name="_Toc351203504"/>
      <w:r>
        <w:rPr>
          <w:rFonts w:hint="eastAsia" w:ascii="宋体" w:cs="宋体"/>
          <w:color w:val="auto"/>
          <w:highlight w:val="none"/>
        </w:rPr>
        <w:t>1</w:t>
      </w:r>
      <w:bookmarkStart w:id="181" w:name="_Toc296346537"/>
      <w:bookmarkStart w:id="182" w:name="_Toc296503036"/>
      <w:bookmarkStart w:id="183" w:name="_Toc337558735"/>
      <w:r>
        <w:rPr>
          <w:rFonts w:hint="eastAsia" w:ascii="宋体" w:cs="宋体"/>
          <w:color w:val="auto"/>
          <w:highlight w:val="none"/>
        </w:rPr>
        <w:t>.9化石、文物</w:t>
      </w:r>
      <w:bookmarkEnd w:id="179"/>
      <w:bookmarkEnd w:id="180"/>
    </w:p>
    <w:bookmarkEnd w:id="181"/>
    <w:bookmarkEnd w:id="182"/>
    <w:bookmarkEnd w:id="183"/>
    <w:p w14:paraId="3FFCDF40">
      <w:pPr>
        <w:pStyle w:val="79"/>
        <w:rPr>
          <w:rFonts w:cs="宋体"/>
          <w:color w:val="auto"/>
          <w:sz w:val="21"/>
          <w:highlight w:val="none"/>
        </w:rPr>
      </w:pPr>
      <w:r>
        <w:rPr>
          <w:rFonts w:hint="eastAsia" w:cs="宋体"/>
          <w:color w:val="auto"/>
          <w:sz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行政管理部门，同时通知监理人。</w:t>
      </w:r>
    </w:p>
    <w:p w14:paraId="630D6999">
      <w:pPr>
        <w:pStyle w:val="79"/>
        <w:rPr>
          <w:rFonts w:cs="宋体"/>
          <w:color w:val="auto"/>
          <w:sz w:val="21"/>
          <w:highlight w:val="none"/>
        </w:rPr>
      </w:pPr>
      <w:r>
        <w:rPr>
          <w:rFonts w:hint="eastAsia" w:cs="宋体"/>
          <w:color w:val="auto"/>
          <w:sz w:val="21"/>
          <w:highlight w:val="none"/>
        </w:rPr>
        <w:t>发包人、监理人和承包人应按有关行政管理部门要求采取妥善的保护措施，由此增加的费用和（或）延误的工期由发包人承担。</w:t>
      </w:r>
    </w:p>
    <w:p w14:paraId="1498FA23">
      <w:pPr>
        <w:pStyle w:val="79"/>
        <w:rPr>
          <w:rFonts w:cs="宋体"/>
          <w:color w:val="auto"/>
          <w:sz w:val="21"/>
          <w:highlight w:val="none"/>
        </w:rPr>
      </w:pPr>
      <w:r>
        <w:rPr>
          <w:rFonts w:hint="eastAsia" w:cs="宋体"/>
          <w:color w:val="auto"/>
          <w:sz w:val="21"/>
          <w:highlight w:val="none"/>
        </w:rPr>
        <w:t>承包人发现文物后不及时报告或隐瞒不报，致使文物丢失或损坏的，应赔偿损失，并承担相应的法律责任。</w:t>
      </w:r>
    </w:p>
    <w:p w14:paraId="4BC0C53D">
      <w:pPr>
        <w:pStyle w:val="321"/>
        <w:rPr>
          <w:rFonts w:ascii="宋体" w:cs="宋体"/>
          <w:color w:val="auto"/>
          <w:highlight w:val="none"/>
        </w:rPr>
      </w:pPr>
      <w:bookmarkStart w:id="184" w:name="_Toc351203505"/>
      <w:bookmarkStart w:id="185" w:name="_Toc478389032"/>
      <w:r>
        <w:rPr>
          <w:rFonts w:hint="eastAsia" w:ascii="宋体" w:cs="宋体"/>
          <w:color w:val="auto"/>
          <w:highlight w:val="none"/>
        </w:rPr>
        <w:t>1</w:t>
      </w:r>
      <w:bookmarkStart w:id="186" w:name="_Toc337558736"/>
      <w:r>
        <w:rPr>
          <w:rFonts w:hint="eastAsia" w:ascii="宋体" w:cs="宋体"/>
          <w:color w:val="auto"/>
          <w:highlight w:val="none"/>
        </w:rPr>
        <w:t>.10交通运输</w:t>
      </w:r>
      <w:bookmarkEnd w:id="184"/>
      <w:bookmarkEnd w:id="185"/>
    </w:p>
    <w:bookmarkEnd w:id="186"/>
    <w:p w14:paraId="3D5B9BAA">
      <w:pPr>
        <w:pStyle w:val="79"/>
        <w:outlineLvl w:val="0"/>
        <w:rPr>
          <w:rFonts w:cs="宋体"/>
          <w:color w:val="auto"/>
          <w:sz w:val="21"/>
          <w:highlight w:val="none"/>
        </w:rPr>
      </w:pPr>
      <w:bookmarkStart w:id="187" w:name="_Toc478389033"/>
      <w:bookmarkStart w:id="188" w:name="_Toc406522064"/>
      <w:r>
        <w:rPr>
          <w:rFonts w:hint="eastAsia" w:cs="宋体"/>
          <w:color w:val="auto"/>
          <w:sz w:val="21"/>
          <w:highlight w:val="none"/>
        </w:rPr>
        <w:t>1.10.1 出入现场的权利</w:t>
      </w:r>
      <w:bookmarkEnd w:id="187"/>
      <w:bookmarkEnd w:id="188"/>
    </w:p>
    <w:p w14:paraId="7E6F8ED0">
      <w:pPr>
        <w:pStyle w:val="79"/>
        <w:rPr>
          <w:rFonts w:cs="宋体"/>
          <w:color w:val="auto"/>
          <w:sz w:val="21"/>
          <w:highlight w:val="none"/>
        </w:rPr>
      </w:pPr>
      <w:r>
        <w:rPr>
          <w:rFonts w:hint="eastAsia" w:cs="宋体"/>
          <w:color w:val="auto"/>
          <w:sz w:val="21"/>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18C6BB66">
      <w:pPr>
        <w:pStyle w:val="79"/>
        <w:rPr>
          <w:rFonts w:cs="宋体"/>
          <w:color w:val="auto"/>
          <w:sz w:val="21"/>
          <w:highlight w:val="none"/>
        </w:rPr>
      </w:pPr>
      <w:r>
        <w:rPr>
          <w:rFonts w:hint="eastAsia" w:cs="宋体"/>
          <w:color w:val="auto"/>
          <w:sz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1B0FF905">
      <w:pPr>
        <w:pStyle w:val="79"/>
        <w:outlineLvl w:val="0"/>
        <w:rPr>
          <w:rFonts w:cs="宋体"/>
          <w:color w:val="auto"/>
          <w:sz w:val="21"/>
          <w:highlight w:val="none"/>
        </w:rPr>
      </w:pPr>
      <w:bookmarkStart w:id="189" w:name="_Toc406522065"/>
      <w:bookmarkStart w:id="190" w:name="_Toc478389034"/>
      <w:r>
        <w:rPr>
          <w:rFonts w:hint="eastAsia" w:cs="宋体"/>
          <w:color w:val="auto"/>
          <w:sz w:val="21"/>
          <w:highlight w:val="none"/>
        </w:rPr>
        <w:t>1.10.2 场外交通</w:t>
      </w:r>
      <w:bookmarkEnd w:id="189"/>
      <w:bookmarkEnd w:id="190"/>
    </w:p>
    <w:p w14:paraId="4ED0FACD">
      <w:pPr>
        <w:pStyle w:val="79"/>
        <w:rPr>
          <w:rFonts w:cs="宋体"/>
          <w:color w:val="auto"/>
          <w:sz w:val="21"/>
          <w:highlight w:val="none"/>
        </w:rPr>
      </w:pPr>
      <w:r>
        <w:rPr>
          <w:rFonts w:hint="eastAsia" w:cs="宋体"/>
          <w:color w:val="auto"/>
          <w:sz w:val="21"/>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423256FA">
      <w:pPr>
        <w:pStyle w:val="79"/>
        <w:rPr>
          <w:rFonts w:cs="宋体"/>
          <w:color w:val="auto"/>
          <w:sz w:val="21"/>
          <w:highlight w:val="none"/>
        </w:rPr>
      </w:pPr>
      <w:r>
        <w:rPr>
          <w:rFonts w:hint="eastAsia" w:cs="宋体"/>
          <w:color w:val="auto"/>
          <w:sz w:val="21"/>
          <w:highlight w:val="none"/>
        </w:rPr>
        <w:t>1.10.3场内交通</w:t>
      </w:r>
    </w:p>
    <w:p w14:paraId="203F79C2">
      <w:pPr>
        <w:pStyle w:val="79"/>
        <w:rPr>
          <w:rFonts w:cs="宋体"/>
          <w:color w:val="auto"/>
          <w:sz w:val="21"/>
          <w:highlight w:val="none"/>
        </w:rPr>
      </w:pPr>
      <w:r>
        <w:rPr>
          <w:rFonts w:hint="eastAsia" w:cs="宋体"/>
          <w:color w:val="auto"/>
          <w:sz w:val="21"/>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3E2EBF26">
      <w:pPr>
        <w:pStyle w:val="79"/>
        <w:rPr>
          <w:rFonts w:cs="宋体"/>
          <w:color w:val="auto"/>
          <w:sz w:val="21"/>
          <w:highlight w:val="none"/>
        </w:rPr>
      </w:pPr>
      <w:r>
        <w:rPr>
          <w:rFonts w:hint="eastAsia" w:cs="宋体"/>
          <w:color w:val="auto"/>
          <w:sz w:val="21"/>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2267ED13">
      <w:pPr>
        <w:pStyle w:val="79"/>
        <w:rPr>
          <w:rFonts w:cs="宋体"/>
          <w:color w:val="auto"/>
          <w:sz w:val="21"/>
          <w:highlight w:val="none"/>
        </w:rPr>
      </w:pPr>
      <w:r>
        <w:rPr>
          <w:rFonts w:hint="eastAsia" w:cs="宋体"/>
          <w:color w:val="auto"/>
          <w:sz w:val="21"/>
          <w:highlight w:val="none"/>
        </w:rPr>
        <w:t>场外交通和场内交通的边界由合同当事人在专用合同条款中约定。</w:t>
      </w:r>
    </w:p>
    <w:p w14:paraId="07FEA455">
      <w:pPr>
        <w:pStyle w:val="79"/>
        <w:outlineLvl w:val="0"/>
        <w:rPr>
          <w:rFonts w:cs="宋体"/>
          <w:color w:val="auto"/>
          <w:sz w:val="21"/>
          <w:highlight w:val="none"/>
        </w:rPr>
      </w:pPr>
      <w:bookmarkStart w:id="191" w:name="_Toc478389035"/>
      <w:bookmarkStart w:id="192" w:name="_Toc406522066"/>
      <w:r>
        <w:rPr>
          <w:rFonts w:hint="eastAsia" w:cs="宋体"/>
          <w:color w:val="auto"/>
          <w:sz w:val="21"/>
          <w:highlight w:val="none"/>
        </w:rPr>
        <w:t>1.10.4 超大件和超重件的运输</w:t>
      </w:r>
      <w:bookmarkEnd w:id="191"/>
      <w:bookmarkEnd w:id="192"/>
    </w:p>
    <w:p w14:paraId="4EF30DB8">
      <w:pPr>
        <w:pStyle w:val="79"/>
        <w:rPr>
          <w:rFonts w:cs="宋体"/>
          <w:color w:val="auto"/>
          <w:sz w:val="21"/>
          <w:highlight w:val="none"/>
        </w:rPr>
      </w:pPr>
      <w:r>
        <w:rPr>
          <w:rFonts w:hint="eastAsia" w:cs="宋体"/>
          <w:color w:val="auto"/>
          <w:sz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5D623890">
      <w:pPr>
        <w:pStyle w:val="79"/>
        <w:outlineLvl w:val="0"/>
        <w:rPr>
          <w:rFonts w:cs="宋体"/>
          <w:color w:val="auto"/>
          <w:sz w:val="21"/>
          <w:highlight w:val="none"/>
        </w:rPr>
      </w:pPr>
      <w:bookmarkStart w:id="193" w:name="_Toc406522067"/>
      <w:bookmarkStart w:id="194" w:name="_Toc478389036"/>
      <w:r>
        <w:rPr>
          <w:rFonts w:hint="eastAsia" w:cs="宋体"/>
          <w:color w:val="auto"/>
          <w:sz w:val="21"/>
          <w:highlight w:val="none"/>
        </w:rPr>
        <w:t>1.10.5 道路和桥梁的损坏责任</w:t>
      </w:r>
      <w:bookmarkEnd w:id="193"/>
      <w:bookmarkEnd w:id="194"/>
    </w:p>
    <w:p w14:paraId="1C20DBA9">
      <w:pPr>
        <w:pStyle w:val="79"/>
        <w:rPr>
          <w:rFonts w:cs="宋体"/>
          <w:color w:val="auto"/>
          <w:sz w:val="21"/>
          <w:highlight w:val="none"/>
        </w:rPr>
      </w:pPr>
      <w:r>
        <w:rPr>
          <w:rFonts w:hint="eastAsia" w:cs="宋体"/>
          <w:color w:val="auto"/>
          <w:sz w:val="21"/>
          <w:highlight w:val="none"/>
        </w:rPr>
        <w:t>因承包人运输造成施工场地内外公共道路和桥梁损坏的，由承包人承担修复损坏的全部费用和可能引起的赔偿。</w:t>
      </w:r>
    </w:p>
    <w:p w14:paraId="339792B9">
      <w:pPr>
        <w:pStyle w:val="79"/>
        <w:outlineLvl w:val="0"/>
        <w:rPr>
          <w:rFonts w:cs="宋体"/>
          <w:color w:val="auto"/>
          <w:sz w:val="21"/>
          <w:highlight w:val="none"/>
        </w:rPr>
      </w:pPr>
      <w:bookmarkStart w:id="195" w:name="_Toc478389037"/>
      <w:bookmarkStart w:id="196" w:name="_Toc406522068"/>
      <w:r>
        <w:rPr>
          <w:rFonts w:hint="eastAsia" w:cs="宋体"/>
          <w:color w:val="auto"/>
          <w:sz w:val="21"/>
          <w:highlight w:val="none"/>
        </w:rPr>
        <w:t>1.10.6 水路和航空运输</w:t>
      </w:r>
      <w:bookmarkEnd w:id="195"/>
      <w:bookmarkEnd w:id="196"/>
    </w:p>
    <w:p w14:paraId="58E4A31D">
      <w:pPr>
        <w:pStyle w:val="79"/>
        <w:rPr>
          <w:rFonts w:cs="宋体"/>
          <w:color w:val="auto"/>
          <w:sz w:val="21"/>
          <w:highlight w:val="none"/>
        </w:rPr>
      </w:pPr>
      <w:r>
        <w:rPr>
          <w:rFonts w:hint="eastAsia" w:cs="宋体"/>
          <w:color w:val="auto"/>
          <w:sz w:val="21"/>
          <w:highlight w:val="none"/>
        </w:rPr>
        <w:t>本款前述各项的内容适用于水路运输和航空运输，其中“道路”一词的含义包括河道、航线、船闸、机场、码头、堤防以及水路或航空运输中其他相似结构物；“车辆”一词的含义包括船舶和飞机等。</w:t>
      </w:r>
    </w:p>
    <w:p w14:paraId="56527C8E">
      <w:pPr>
        <w:pStyle w:val="321"/>
        <w:rPr>
          <w:rFonts w:ascii="宋体" w:cs="宋体"/>
          <w:color w:val="auto"/>
          <w:highlight w:val="none"/>
        </w:rPr>
      </w:pPr>
      <w:bookmarkStart w:id="197" w:name="_Toc478389038"/>
      <w:bookmarkStart w:id="198" w:name="_Toc351203506"/>
      <w:r>
        <w:rPr>
          <w:rFonts w:hint="eastAsia" w:ascii="宋体" w:cs="宋体"/>
          <w:color w:val="auto"/>
          <w:highlight w:val="none"/>
        </w:rPr>
        <w:t>1</w:t>
      </w:r>
      <w:bookmarkStart w:id="199" w:name="_Toc337558737"/>
      <w:bookmarkStart w:id="200" w:name="_Toc296346538"/>
      <w:bookmarkStart w:id="201" w:name="_Toc296503037"/>
      <w:r>
        <w:rPr>
          <w:rFonts w:hint="eastAsia" w:ascii="宋体" w:cs="宋体"/>
          <w:color w:val="auto"/>
          <w:highlight w:val="none"/>
        </w:rPr>
        <w:t>.11知识产权</w:t>
      </w:r>
      <w:bookmarkEnd w:id="197"/>
      <w:bookmarkEnd w:id="198"/>
      <w:bookmarkEnd w:id="199"/>
    </w:p>
    <w:bookmarkEnd w:id="200"/>
    <w:bookmarkEnd w:id="201"/>
    <w:p w14:paraId="35813871">
      <w:pPr>
        <w:pStyle w:val="79"/>
        <w:rPr>
          <w:rFonts w:cs="宋体"/>
          <w:color w:val="auto"/>
          <w:sz w:val="21"/>
          <w:highlight w:val="none"/>
        </w:rPr>
      </w:pPr>
      <w:r>
        <w:rPr>
          <w:rFonts w:hint="eastAsia" w:cs="宋体"/>
          <w:color w:val="auto"/>
          <w:sz w:val="21"/>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395F0D42">
      <w:pPr>
        <w:pStyle w:val="79"/>
        <w:rPr>
          <w:rFonts w:cs="宋体"/>
          <w:color w:val="auto"/>
          <w:sz w:val="21"/>
          <w:highlight w:val="none"/>
        </w:rPr>
      </w:pPr>
      <w:r>
        <w:rPr>
          <w:rFonts w:hint="eastAsia" w:cs="宋体"/>
          <w:color w:val="auto"/>
          <w:sz w:val="21"/>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0E8C7E63">
      <w:pPr>
        <w:pStyle w:val="79"/>
        <w:rPr>
          <w:rFonts w:cs="宋体"/>
          <w:color w:val="auto"/>
          <w:sz w:val="21"/>
          <w:highlight w:val="none"/>
        </w:rPr>
      </w:pPr>
      <w:r>
        <w:rPr>
          <w:rFonts w:hint="eastAsia" w:cs="宋体"/>
          <w:color w:val="auto"/>
          <w:sz w:val="21"/>
          <w:highlight w:val="none"/>
        </w:rPr>
        <w:t>1.11.3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3ED95489">
      <w:pPr>
        <w:pStyle w:val="79"/>
        <w:rPr>
          <w:rFonts w:cs="宋体"/>
          <w:color w:val="auto"/>
          <w:sz w:val="21"/>
          <w:highlight w:val="none"/>
        </w:rPr>
      </w:pPr>
      <w:r>
        <w:rPr>
          <w:rFonts w:hint="eastAsia" w:cs="宋体"/>
          <w:color w:val="auto"/>
          <w:sz w:val="21"/>
          <w:highlight w:val="none"/>
        </w:rPr>
        <w:t>1.11.4除专用合同条款另有约定外，承包人在合同签订前和签订时已确定采用的专利、专有技术、技术秘密的使用费已包含在签约合同价中。</w:t>
      </w:r>
    </w:p>
    <w:p w14:paraId="328CEAEE">
      <w:pPr>
        <w:pStyle w:val="321"/>
        <w:rPr>
          <w:rFonts w:ascii="宋体" w:cs="宋体"/>
          <w:color w:val="auto"/>
          <w:highlight w:val="none"/>
        </w:rPr>
      </w:pPr>
      <w:bookmarkStart w:id="202" w:name="_Toc351203507"/>
      <w:bookmarkStart w:id="203" w:name="_Toc478389039"/>
      <w:r>
        <w:rPr>
          <w:rFonts w:hint="eastAsia" w:ascii="宋体" w:cs="宋体"/>
          <w:color w:val="auto"/>
          <w:highlight w:val="none"/>
        </w:rPr>
        <w:t>1</w:t>
      </w:r>
      <w:bookmarkStart w:id="204" w:name="_Toc337558738"/>
      <w:r>
        <w:rPr>
          <w:rFonts w:hint="eastAsia" w:ascii="宋体" w:cs="宋体"/>
          <w:color w:val="auto"/>
          <w:highlight w:val="none"/>
        </w:rPr>
        <w:t>.12保密</w:t>
      </w:r>
      <w:bookmarkEnd w:id="202"/>
      <w:bookmarkEnd w:id="203"/>
    </w:p>
    <w:bookmarkEnd w:id="204"/>
    <w:p w14:paraId="631D7A29">
      <w:pPr>
        <w:pStyle w:val="79"/>
        <w:rPr>
          <w:rFonts w:cs="宋体"/>
          <w:color w:val="auto"/>
          <w:sz w:val="21"/>
          <w:highlight w:val="none"/>
        </w:rPr>
      </w:pPr>
      <w:r>
        <w:rPr>
          <w:rFonts w:hint="eastAsia" w:cs="宋体"/>
          <w:color w:val="auto"/>
          <w:sz w:val="21"/>
          <w:highlight w:val="none"/>
        </w:rPr>
        <w:t>除法律规定或合同另有约定外，未经发包人同意，承包人不得将发包人提供的图纸、文件以及声明需要保密的资料信息等商业秘密泄露给第三方。</w:t>
      </w:r>
    </w:p>
    <w:p w14:paraId="7CE45E98">
      <w:pPr>
        <w:pStyle w:val="79"/>
        <w:rPr>
          <w:rFonts w:cs="宋体"/>
          <w:color w:val="auto"/>
          <w:sz w:val="21"/>
          <w:highlight w:val="none"/>
        </w:rPr>
      </w:pPr>
      <w:r>
        <w:rPr>
          <w:rFonts w:hint="eastAsia" w:cs="宋体"/>
          <w:color w:val="auto"/>
          <w:sz w:val="21"/>
          <w:highlight w:val="none"/>
        </w:rPr>
        <w:t>除法律规定或合同另有约定外，未经承包人同意，发包人不得将承包人提供的技术秘密及声明需要保密的资料信息等商业秘密泄露给第三方。</w:t>
      </w:r>
    </w:p>
    <w:p w14:paraId="600DD60B">
      <w:pPr>
        <w:pStyle w:val="321"/>
        <w:rPr>
          <w:rFonts w:ascii="宋体" w:cs="宋体"/>
          <w:color w:val="auto"/>
          <w:highlight w:val="none"/>
        </w:rPr>
      </w:pPr>
      <w:bookmarkStart w:id="205" w:name="_Toc351203508"/>
      <w:bookmarkStart w:id="206" w:name="_Toc478389040"/>
      <w:r>
        <w:rPr>
          <w:rFonts w:hint="eastAsia" w:ascii="宋体" w:cs="宋体"/>
          <w:color w:val="auto"/>
          <w:highlight w:val="none"/>
        </w:rPr>
        <w:t>1.13工程量清单错误的修正</w:t>
      </w:r>
      <w:bookmarkEnd w:id="205"/>
      <w:bookmarkEnd w:id="206"/>
    </w:p>
    <w:p w14:paraId="0DD94256">
      <w:pPr>
        <w:pStyle w:val="79"/>
        <w:rPr>
          <w:rFonts w:cs="宋体"/>
          <w:color w:val="auto"/>
          <w:sz w:val="21"/>
          <w:highlight w:val="none"/>
        </w:rPr>
      </w:pPr>
      <w:r>
        <w:rPr>
          <w:rFonts w:hint="eastAsia" w:cs="宋体"/>
          <w:color w:val="auto"/>
          <w:sz w:val="21"/>
          <w:highlight w:val="none"/>
        </w:rPr>
        <w:t>除专用合同条款另有约定外，发包人提供的工程量清单，应被认为是准确的和完整的。出现下列情形之一时，发包人应予以修正，并相应调整合同价格：</w:t>
      </w:r>
    </w:p>
    <w:p w14:paraId="62D284A7">
      <w:pPr>
        <w:pStyle w:val="79"/>
        <w:rPr>
          <w:rFonts w:cs="宋体"/>
          <w:color w:val="auto"/>
          <w:sz w:val="21"/>
          <w:highlight w:val="none"/>
        </w:rPr>
      </w:pPr>
      <w:r>
        <w:rPr>
          <w:rFonts w:hint="eastAsia" w:cs="宋体"/>
          <w:color w:val="auto"/>
          <w:sz w:val="21"/>
          <w:highlight w:val="none"/>
        </w:rPr>
        <w:t>（1）工程量清单存在缺项、漏项的；</w:t>
      </w:r>
    </w:p>
    <w:p w14:paraId="4137E956">
      <w:pPr>
        <w:pStyle w:val="79"/>
        <w:rPr>
          <w:rFonts w:cs="宋体"/>
          <w:color w:val="auto"/>
          <w:sz w:val="21"/>
          <w:highlight w:val="none"/>
        </w:rPr>
      </w:pPr>
      <w:r>
        <w:rPr>
          <w:rFonts w:hint="eastAsia" w:cs="宋体"/>
          <w:color w:val="auto"/>
          <w:sz w:val="21"/>
          <w:highlight w:val="none"/>
        </w:rPr>
        <w:t>（2）工程量清单偏差超出专用合同条款约定的工程量偏差范围的；</w:t>
      </w:r>
    </w:p>
    <w:p w14:paraId="18FF6CF3">
      <w:pPr>
        <w:pStyle w:val="79"/>
        <w:rPr>
          <w:rFonts w:cs="宋体"/>
          <w:color w:val="auto"/>
          <w:sz w:val="21"/>
          <w:highlight w:val="none"/>
        </w:rPr>
      </w:pPr>
      <w:r>
        <w:rPr>
          <w:rFonts w:hint="eastAsia" w:cs="宋体"/>
          <w:color w:val="auto"/>
          <w:sz w:val="21"/>
          <w:highlight w:val="none"/>
        </w:rPr>
        <w:t>（3）未按照国家现行计量规范强制性规定计量的。</w:t>
      </w:r>
    </w:p>
    <w:p w14:paraId="1A035E8D">
      <w:pPr>
        <w:pStyle w:val="321"/>
        <w:rPr>
          <w:rFonts w:ascii="宋体" w:cs="宋体"/>
          <w:color w:val="auto"/>
          <w:highlight w:val="none"/>
        </w:rPr>
      </w:pPr>
      <w:bookmarkStart w:id="207" w:name="_Toc478389041"/>
      <w:bookmarkStart w:id="208" w:name="_Toc351203509"/>
      <w:r>
        <w:rPr>
          <w:rFonts w:hint="eastAsia" w:ascii="宋体" w:cs="宋体"/>
          <w:color w:val="auto"/>
          <w:highlight w:val="none"/>
        </w:rPr>
        <w:t>2</w:t>
      </w:r>
      <w:bookmarkStart w:id="209" w:name="_Toc296346539"/>
      <w:bookmarkStart w:id="210" w:name="_Toc337558739"/>
      <w:bookmarkStart w:id="211" w:name="_Toc296503038"/>
      <w:r>
        <w:rPr>
          <w:rFonts w:hint="eastAsia" w:ascii="宋体" w:cs="宋体"/>
          <w:color w:val="auto"/>
          <w:highlight w:val="none"/>
        </w:rPr>
        <w:t>. 发包人</w:t>
      </w:r>
      <w:bookmarkEnd w:id="207"/>
      <w:bookmarkEnd w:id="208"/>
    </w:p>
    <w:bookmarkEnd w:id="209"/>
    <w:bookmarkEnd w:id="210"/>
    <w:bookmarkEnd w:id="211"/>
    <w:p w14:paraId="0E4F0A83">
      <w:pPr>
        <w:pStyle w:val="321"/>
        <w:rPr>
          <w:rFonts w:ascii="宋体" w:cs="宋体"/>
          <w:color w:val="auto"/>
          <w:highlight w:val="none"/>
        </w:rPr>
      </w:pPr>
      <w:bookmarkStart w:id="212" w:name="_Toc478389042"/>
      <w:bookmarkStart w:id="213" w:name="_Toc351203510"/>
      <w:r>
        <w:rPr>
          <w:rFonts w:hint="eastAsia" w:ascii="宋体" w:cs="宋体"/>
          <w:color w:val="auto"/>
          <w:highlight w:val="none"/>
        </w:rPr>
        <w:t>2</w:t>
      </w:r>
      <w:bookmarkStart w:id="214" w:name="_Toc296346540"/>
      <w:bookmarkStart w:id="215" w:name="_Toc337558740"/>
      <w:bookmarkStart w:id="216" w:name="_Toc296503039"/>
      <w:r>
        <w:rPr>
          <w:rFonts w:hint="eastAsia" w:ascii="宋体" w:cs="宋体"/>
          <w:color w:val="auto"/>
          <w:highlight w:val="none"/>
        </w:rPr>
        <w:t>.1 许可或批准</w:t>
      </w:r>
      <w:bookmarkEnd w:id="212"/>
      <w:bookmarkEnd w:id="213"/>
    </w:p>
    <w:p w14:paraId="0952FB6A">
      <w:pPr>
        <w:pStyle w:val="79"/>
        <w:rPr>
          <w:rFonts w:cs="宋体"/>
          <w:color w:val="auto"/>
          <w:sz w:val="21"/>
          <w:highlight w:val="none"/>
        </w:rPr>
      </w:pPr>
      <w:r>
        <w:rPr>
          <w:rFonts w:hint="eastAsia" w:cs="宋体"/>
          <w:color w:val="auto"/>
          <w:sz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4F83D159">
      <w:pPr>
        <w:pStyle w:val="79"/>
        <w:rPr>
          <w:rFonts w:cs="宋体"/>
          <w:color w:val="auto"/>
          <w:sz w:val="21"/>
          <w:highlight w:val="none"/>
        </w:rPr>
      </w:pPr>
      <w:r>
        <w:rPr>
          <w:rFonts w:hint="eastAsia" w:cs="宋体"/>
          <w:color w:val="auto"/>
          <w:sz w:val="21"/>
          <w:highlight w:val="none"/>
        </w:rPr>
        <w:t>因发包人原因未能及时办理完毕前述许可、批准或备案，由发包人承担由此增加的费用和（或）延误的工期，并支付承包人合理的利润。</w:t>
      </w:r>
    </w:p>
    <w:p w14:paraId="0F0313E2">
      <w:pPr>
        <w:pStyle w:val="321"/>
        <w:rPr>
          <w:rFonts w:ascii="宋体" w:cs="宋体"/>
          <w:color w:val="auto"/>
          <w:highlight w:val="none"/>
        </w:rPr>
      </w:pPr>
      <w:bookmarkStart w:id="217" w:name="_Toc351203511"/>
      <w:bookmarkStart w:id="218" w:name="_Toc478389043"/>
      <w:r>
        <w:rPr>
          <w:rFonts w:hint="eastAsia" w:ascii="宋体" w:cs="宋体"/>
          <w:color w:val="auto"/>
          <w:highlight w:val="none"/>
        </w:rPr>
        <w:t>2.2 发包人代表</w:t>
      </w:r>
      <w:bookmarkEnd w:id="217"/>
      <w:bookmarkEnd w:id="218"/>
    </w:p>
    <w:p w14:paraId="041E82B2">
      <w:pPr>
        <w:pStyle w:val="79"/>
        <w:rPr>
          <w:rFonts w:cs="宋体"/>
          <w:color w:val="auto"/>
          <w:sz w:val="21"/>
          <w:highlight w:val="none"/>
        </w:rPr>
      </w:pPr>
      <w:r>
        <w:rPr>
          <w:rFonts w:hint="eastAsia" w:cs="宋体"/>
          <w:color w:val="auto"/>
          <w:sz w:val="21"/>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2188A5FB">
      <w:pPr>
        <w:pStyle w:val="79"/>
        <w:rPr>
          <w:rFonts w:cs="宋体"/>
          <w:color w:val="auto"/>
          <w:sz w:val="21"/>
          <w:highlight w:val="none"/>
        </w:rPr>
      </w:pPr>
      <w:r>
        <w:rPr>
          <w:rFonts w:hint="eastAsia" w:cs="宋体"/>
          <w:color w:val="auto"/>
          <w:sz w:val="21"/>
          <w:highlight w:val="none"/>
        </w:rPr>
        <w:t>发包人代表不能按照合同约定履行其职责及义务，并导致合同无法继续正常履行的，承包人可以要求发包人撤换发包人代表。</w:t>
      </w:r>
    </w:p>
    <w:p w14:paraId="12545452">
      <w:pPr>
        <w:pStyle w:val="79"/>
        <w:rPr>
          <w:rFonts w:cs="宋体"/>
          <w:color w:val="auto"/>
          <w:sz w:val="21"/>
          <w:highlight w:val="none"/>
        </w:rPr>
      </w:pPr>
      <w:r>
        <w:rPr>
          <w:rFonts w:hint="eastAsia" w:cs="宋体"/>
          <w:color w:val="auto"/>
          <w:sz w:val="21"/>
          <w:highlight w:val="none"/>
        </w:rPr>
        <w:t>不属于法定必须监理的工程，监理人的职权可以由发包人代表或发包人指定的其他人员行使</w:t>
      </w:r>
    </w:p>
    <w:p w14:paraId="483381DD">
      <w:pPr>
        <w:pStyle w:val="321"/>
        <w:rPr>
          <w:rFonts w:ascii="宋体" w:cs="宋体"/>
          <w:color w:val="auto"/>
          <w:highlight w:val="none"/>
        </w:rPr>
      </w:pPr>
      <w:bookmarkStart w:id="219" w:name="_Toc478389044"/>
      <w:bookmarkStart w:id="220" w:name="_Toc351203512"/>
      <w:r>
        <w:rPr>
          <w:rFonts w:hint="eastAsia" w:ascii="宋体" w:cs="宋体"/>
          <w:color w:val="auto"/>
          <w:highlight w:val="none"/>
        </w:rPr>
        <w:t>2.3 发包人人员</w:t>
      </w:r>
      <w:bookmarkEnd w:id="219"/>
      <w:bookmarkEnd w:id="220"/>
    </w:p>
    <w:p w14:paraId="7B09DE56">
      <w:pPr>
        <w:pStyle w:val="79"/>
        <w:rPr>
          <w:rFonts w:cs="宋体"/>
          <w:color w:val="auto"/>
          <w:sz w:val="21"/>
          <w:highlight w:val="none"/>
        </w:rPr>
      </w:pPr>
      <w:r>
        <w:rPr>
          <w:rFonts w:hint="eastAsia" w:cs="宋体"/>
          <w:color w:val="auto"/>
          <w:sz w:val="21"/>
          <w:highlight w:val="none"/>
        </w:rPr>
        <w:t>发包人应要求在施工现场的发包人人员遵守法律及有关安全、质量、环境保护、文明施工等规定，并保障承包人免于承受因发包人人员未遵守上述要求给承包人造成的损失和责任。</w:t>
      </w:r>
    </w:p>
    <w:p w14:paraId="44A38E64">
      <w:pPr>
        <w:pStyle w:val="79"/>
        <w:rPr>
          <w:rFonts w:cs="宋体"/>
          <w:color w:val="auto"/>
          <w:sz w:val="21"/>
          <w:highlight w:val="none"/>
        </w:rPr>
      </w:pPr>
      <w:r>
        <w:rPr>
          <w:rFonts w:hint="eastAsia" w:cs="宋体"/>
          <w:color w:val="auto"/>
          <w:sz w:val="21"/>
          <w:highlight w:val="none"/>
        </w:rPr>
        <w:t>发包人人员包括发包人代表及其他由发包人派驻施工现场的人员。</w:t>
      </w:r>
      <w:bookmarkEnd w:id="214"/>
      <w:bookmarkEnd w:id="215"/>
      <w:bookmarkEnd w:id="216"/>
    </w:p>
    <w:p w14:paraId="519A63A0">
      <w:pPr>
        <w:pStyle w:val="321"/>
        <w:rPr>
          <w:rFonts w:ascii="宋体" w:cs="宋体"/>
          <w:color w:val="auto"/>
          <w:highlight w:val="none"/>
        </w:rPr>
      </w:pPr>
      <w:bookmarkStart w:id="221" w:name="_Toc351203513"/>
      <w:bookmarkStart w:id="222" w:name="_Toc478389045"/>
      <w:r>
        <w:rPr>
          <w:rFonts w:hint="eastAsia" w:ascii="宋体" w:cs="宋体"/>
          <w:color w:val="auto"/>
          <w:highlight w:val="none"/>
        </w:rPr>
        <w:t>2</w:t>
      </w:r>
      <w:bookmarkStart w:id="223" w:name="_Toc296346541"/>
      <w:bookmarkStart w:id="224" w:name="_Toc337558741"/>
      <w:bookmarkStart w:id="225" w:name="_Toc296503040"/>
      <w:r>
        <w:rPr>
          <w:rFonts w:hint="eastAsia" w:ascii="宋体" w:cs="宋体"/>
          <w:color w:val="auto"/>
          <w:highlight w:val="none"/>
        </w:rPr>
        <w:t>.4 施工现场、施工条件和基础资料的提供</w:t>
      </w:r>
      <w:bookmarkEnd w:id="221"/>
      <w:bookmarkEnd w:id="222"/>
      <w:bookmarkEnd w:id="223"/>
      <w:bookmarkEnd w:id="224"/>
      <w:bookmarkEnd w:id="225"/>
    </w:p>
    <w:p w14:paraId="2AECCE0A">
      <w:pPr>
        <w:pStyle w:val="79"/>
        <w:rPr>
          <w:rFonts w:cs="宋体"/>
          <w:color w:val="auto"/>
          <w:sz w:val="21"/>
          <w:highlight w:val="none"/>
        </w:rPr>
      </w:pPr>
      <w:r>
        <w:rPr>
          <w:rFonts w:hint="eastAsia" w:cs="宋体"/>
          <w:color w:val="auto"/>
          <w:sz w:val="21"/>
          <w:highlight w:val="none"/>
        </w:rPr>
        <w:t>2.4.1 提供施工现场</w:t>
      </w:r>
    </w:p>
    <w:p w14:paraId="59A91219">
      <w:pPr>
        <w:pStyle w:val="79"/>
        <w:rPr>
          <w:rFonts w:cs="宋体"/>
          <w:color w:val="auto"/>
          <w:sz w:val="21"/>
          <w:highlight w:val="none"/>
        </w:rPr>
      </w:pPr>
      <w:r>
        <w:rPr>
          <w:rFonts w:hint="eastAsia" w:cs="宋体"/>
          <w:color w:val="auto"/>
          <w:sz w:val="21"/>
          <w:highlight w:val="none"/>
        </w:rPr>
        <w:t>除专用合同条款另有约定外，发包人应最迟于开工日期7天前向承包人移交施工现场。</w:t>
      </w:r>
    </w:p>
    <w:p w14:paraId="46283953">
      <w:pPr>
        <w:pStyle w:val="79"/>
        <w:rPr>
          <w:rFonts w:cs="宋体"/>
          <w:color w:val="auto"/>
          <w:sz w:val="21"/>
          <w:highlight w:val="none"/>
        </w:rPr>
      </w:pPr>
      <w:r>
        <w:rPr>
          <w:rFonts w:hint="eastAsia" w:cs="宋体"/>
          <w:color w:val="auto"/>
          <w:sz w:val="21"/>
          <w:highlight w:val="none"/>
        </w:rPr>
        <w:t>2.4.2 提供施工条件</w:t>
      </w:r>
    </w:p>
    <w:p w14:paraId="102C02BE">
      <w:pPr>
        <w:pStyle w:val="79"/>
        <w:rPr>
          <w:rFonts w:cs="宋体"/>
          <w:color w:val="auto"/>
          <w:sz w:val="21"/>
          <w:highlight w:val="none"/>
        </w:rPr>
      </w:pPr>
      <w:r>
        <w:rPr>
          <w:rFonts w:hint="eastAsia" w:cs="宋体"/>
          <w:color w:val="auto"/>
          <w:sz w:val="21"/>
          <w:highlight w:val="none"/>
        </w:rPr>
        <w:t>除专用合同条款另有约定外，发包人应负责提供施工所需要的条件，包括：</w:t>
      </w:r>
    </w:p>
    <w:p w14:paraId="0371E17C">
      <w:pPr>
        <w:pStyle w:val="79"/>
        <w:rPr>
          <w:rFonts w:cs="宋体"/>
          <w:color w:val="auto"/>
          <w:sz w:val="21"/>
          <w:highlight w:val="none"/>
        </w:rPr>
      </w:pPr>
      <w:r>
        <w:rPr>
          <w:rFonts w:hint="eastAsia" w:cs="宋体"/>
          <w:color w:val="auto"/>
          <w:sz w:val="21"/>
          <w:highlight w:val="none"/>
        </w:rPr>
        <w:t>（1）将施工用水、电力、通讯线路等施工所必需的条件接至施工现场内；</w:t>
      </w:r>
    </w:p>
    <w:p w14:paraId="42E3F6D6">
      <w:pPr>
        <w:pStyle w:val="79"/>
        <w:rPr>
          <w:rFonts w:cs="宋体"/>
          <w:color w:val="auto"/>
          <w:sz w:val="21"/>
          <w:highlight w:val="none"/>
        </w:rPr>
      </w:pPr>
      <w:r>
        <w:rPr>
          <w:rFonts w:hint="eastAsia" w:cs="宋体"/>
          <w:color w:val="auto"/>
          <w:sz w:val="21"/>
          <w:highlight w:val="none"/>
        </w:rPr>
        <w:t>（2）保证向承包人提供正常施工所需要的进入施工现场的交通条件；</w:t>
      </w:r>
    </w:p>
    <w:p w14:paraId="3E8150B3">
      <w:pPr>
        <w:pStyle w:val="79"/>
        <w:rPr>
          <w:rFonts w:cs="宋体"/>
          <w:color w:val="auto"/>
          <w:sz w:val="21"/>
          <w:highlight w:val="none"/>
        </w:rPr>
      </w:pPr>
      <w:r>
        <w:rPr>
          <w:rFonts w:hint="eastAsia" w:cs="宋体"/>
          <w:color w:val="auto"/>
          <w:sz w:val="21"/>
          <w:highlight w:val="none"/>
        </w:rPr>
        <w:t>（3）协调处理施工现场周围地下管线和邻近建筑物、构筑物、古树名木的保护工作，并承担相关费用；</w:t>
      </w:r>
    </w:p>
    <w:p w14:paraId="0201BE85">
      <w:pPr>
        <w:pStyle w:val="79"/>
        <w:rPr>
          <w:rFonts w:cs="宋体"/>
          <w:color w:val="auto"/>
          <w:sz w:val="21"/>
          <w:highlight w:val="none"/>
        </w:rPr>
      </w:pPr>
      <w:r>
        <w:rPr>
          <w:rFonts w:hint="eastAsia" w:cs="宋体"/>
          <w:color w:val="auto"/>
          <w:sz w:val="21"/>
          <w:highlight w:val="none"/>
        </w:rPr>
        <w:t>（4）按照专用合同条款约定应提供的其他设施和条件。</w:t>
      </w:r>
    </w:p>
    <w:p w14:paraId="17F69F7A">
      <w:pPr>
        <w:pStyle w:val="79"/>
        <w:rPr>
          <w:rFonts w:cs="宋体"/>
          <w:color w:val="auto"/>
          <w:sz w:val="21"/>
          <w:highlight w:val="none"/>
        </w:rPr>
      </w:pPr>
      <w:r>
        <w:rPr>
          <w:rFonts w:hint="eastAsia" w:cs="宋体"/>
          <w:color w:val="auto"/>
          <w:sz w:val="21"/>
          <w:highlight w:val="none"/>
        </w:rPr>
        <w:t>2.4.3 提供基础资料</w:t>
      </w:r>
    </w:p>
    <w:p w14:paraId="6B50D6C6">
      <w:pPr>
        <w:pStyle w:val="79"/>
        <w:rPr>
          <w:rFonts w:cs="宋体"/>
          <w:color w:val="auto"/>
          <w:sz w:val="21"/>
          <w:highlight w:val="none"/>
        </w:rPr>
      </w:pPr>
      <w:r>
        <w:rPr>
          <w:rFonts w:hint="eastAsia" w:cs="宋体"/>
          <w:color w:val="auto"/>
          <w:sz w:val="21"/>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174C5767">
      <w:pPr>
        <w:pStyle w:val="79"/>
        <w:rPr>
          <w:rFonts w:cs="宋体"/>
          <w:color w:val="auto"/>
          <w:sz w:val="21"/>
          <w:highlight w:val="none"/>
        </w:rPr>
      </w:pPr>
      <w:r>
        <w:rPr>
          <w:rFonts w:hint="eastAsia" w:cs="宋体"/>
          <w:color w:val="auto"/>
          <w:sz w:val="21"/>
          <w:highlight w:val="none"/>
        </w:rPr>
        <w:t>按照法律规定确需在开工后方能提供的基础资料，发包人应尽其努力及时地在相应工程施工前的合理期限内提供，合理期限应以不影响承包人的正常施工为限。</w:t>
      </w:r>
    </w:p>
    <w:p w14:paraId="66C1CC6E">
      <w:pPr>
        <w:pStyle w:val="79"/>
        <w:rPr>
          <w:rFonts w:cs="宋体"/>
          <w:color w:val="auto"/>
          <w:sz w:val="21"/>
          <w:highlight w:val="none"/>
        </w:rPr>
      </w:pPr>
      <w:r>
        <w:rPr>
          <w:rFonts w:hint="eastAsia" w:cs="宋体"/>
          <w:color w:val="auto"/>
          <w:sz w:val="21"/>
          <w:highlight w:val="none"/>
        </w:rPr>
        <w:t>2.4.4 逾期提供的责任</w:t>
      </w:r>
    </w:p>
    <w:p w14:paraId="33CC72C6">
      <w:pPr>
        <w:pStyle w:val="79"/>
        <w:rPr>
          <w:rFonts w:cs="宋体"/>
          <w:color w:val="auto"/>
          <w:sz w:val="21"/>
          <w:highlight w:val="none"/>
        </w:rPr>
      </w:pPr>
      <w:r>
        <w:rPr>
          <w:rFonts w:hint="eastAsia" w:cs="宋体"/>
          <w:color w:val="auto"/>
          <w:sz w:val="21"/>
          <w:highlight w:val="none"/>
        </w:rPr>
        <w:t>因发包人原因未能按合同约定及时向承包人提供施工现场、施工条件、基础资料的，由发包人承担由此增加的费用和（或）延误的工期。</w:t>
      </w:r>
    </w:p>
    <w:p w14:paraId="455BF577">
      <w:pPr>
        <w:pStyle w:val="321"/>
        <w:rPr>
          <w:rFonts w:ascii="宋体" w:cs="宋体"/>
          <w:color w:val="auto"/>
          <w:highlight w:val="none"/>
        </w:rPr>
      </w:pPr>
      <w:bookmarkStart w:id="226" w:name="_Toc351203514"/>
      <w:bookmarkStart w:id="227" w:name="_Toc478389046"/>
      <w:r>
        <w:rPr>
          <w:rFonts w:hint="eastAsia" w:ascii="宋体" w:cs="宋体"/>
          <w:color w:val="auto"/>
          <w:highlight w:val="none"/>
        </w:rPr>
        <w:t>2</w:t>
      </w:r>
      <w:bookmarkStart w:id="228" w:name="_Toc296503042"/>
      <w:bookmarkStart w:id="229" w:name="_Toc337558745"/>
      <w:bookmarkStart w:id="230" w:name="_Toc296346543"/>
      <w:r>
        <w:rPr>
          <w:rFonts w:hint="eastAsia" w:ascii="宋体" w:cs="宋体"/>
          <w:color w:val="auto"/>
          <w:highlight w:val="none"/>
        </w:rPr>
        <w:t>.5 资</w:t>
      </w:r>
      <w:bookmarkEnd w:id="228"/>
      <w:bookmarkEnd w:id="229"/>
      <w:bookmarkEnd w:id="230"/>
      <w:r>
        <w:rPr>
          <w:rFonts w:hint="eastAsia" w:ascii="宋体" w:cs="宋体"/>
          <w:color w:val="auto"/>
          <w:highlight w:val="none"/>
        </w:rPr>
        <w:t>金来源证明及支付担保</w:t>
      </w:r>
      <w:bookmarkEnd w:id="226"/>
      <w:bookmarkEnd w:id="227"/>
    </w:p>
    <w:p w14:paraId="73E4A068">
      <w:pPr>
        <w:pStyle w:val="79"/>
        <w:rPr>
          <w:rFonts w:cs="宋体"/>
          <w:color w:val="auto"/>
          <w:sz w:val="21"/>
          <w:highlight w:val="none"/>
        </w:rPr>
      </w:pPr>
      <w:r>
        <w:rPr>
          <w:rFonts w:hint="eastAsia" w:cs="宋体"/>
          <w:color w:val="auto"/>
          <w:sz w:val="21"/>
          <w:highlight w:val="none"/>
        </w:rPr>
        <w:t>除专用合同条款另有约定外，发包人应在收到承包人要求提供资金来源证明的书面通知后28天内，向承包人提供能够按照合同约定支付合同价款的相应资金来源证明。</w:t>
      </w:r>
    </w:p>
    <w:p w14:paraId="24EAAF3E">
      <w:pPr>
        <w:pStyle w:val="79"/>
        <w:rPr>
          <w:rFonts w:cs="宋体"/>
          <w:color w:val="auto"/>
          <w:sz w:val="21"/>
          <w:highlight w:val="none"/>
        </w:rPr>
      </w:pPr>
      <w:r>
        <w:rPr>
          <w:rFonts w:hint="eastAsia" w:cs="宋体"/>
          <w:color w:val="auto"/>
          <w:sz w:val="21"/>
          <w:highlight w:val="none"/>
        </w:rPr>
        <w:t>除专用合同条款另有约定外，发包人要求承包人提供履约保证金的，发包人应当向承包人提供支付担保。支付担保可以采用银行保函或担保公司担保等形式，具体由合同当事人在专用合同条款中约定。</w:t>
      </w:r>
    </w:p>
    <w:p w14:paraId="5A51A1EF">
      <w:pPr>
        <w:pStyle w:val="321"/>
        <w:rPr>
          <w:rFonts w:ascii="宋体" w:cs="宋体"/>
          <w:color w:val="auto"/>
          <w:highlight w:val="none"/>
        </w:rPr>
      </w:pPr>
      <w:bookmarkStart w:id="231" w:name="_Toc351203515"/>
      <w:bookmarkStart w:id="232" w:name="_Toc478389047"/>
      <w:r>
        <w:rPr>
          <w:rFonts w:hint="eastAsia" w:ascii="宋体" w:cs="宋体"/>
          <w:color w:val="auto"/>
          <w:highlight w:val="none"/>
        </w:rPr>
        <w:t>2.6 支付合同价款</w:t>
      </w:r>
      <w:bookmarkEnd w:id="231"/>
      <w:bookmarkEnd w:id="232"/>
    </w:p>
    <w:p w14:paraId="08BE2173">
      <w:pPr>
        <w:pStyle w:val="79"/>
        <w:rPr>
          <w:rFonts w:cs="宋体"/>
          <w:color w:val="auto"/>
          <w:sz w:val="21"/>
          <w:highlight w:val="none"/>
        </w:rPr>
      </w:pPr>
      <w:r>
        <w:rPr>
          <w:rFonts w:hint="eastAsia" w:cs="宋体"/>
          <w:color w:val="auto"/>
          <w:sz w:val="21"/>
          <w:highlight w:val="none"/>
        </w:rPr>
        <w:t>发包人应按合同约定向承包人及时支付合同价款。</w:t>
      </w:r>
    </w:p>
    <w:p w14:paraId="0115E12B">
      <w:pPr>
        <w:pStyle w:val="321"/>
        <w:rPr>
          <w:rFonts w:ascii="宋体" w:cs="宋体"/>
          <w:color w:val="auto"/>
          <w:highlight w:val="none"/>
        </w:rPr>
      </w:pPr>
      <w:bookmarkStart w:id="233" w:name="_Toc478389048"/>
      <w:bookmarkStart w:id="234" w:name="_Toc351203516"/>
      <w:r>
        <w:rPr>
          <w:rFonts w:hint="eastAsia" w:ascii="宋体" w:cs="宋体"/>
          <w:color w:val="auto"/>
          <w:highlight w:val="none"/>
        </w:rPr>
        <w:t>2.7 组织竣工验收</w:t>
      </w:r>
      <w:bookmarkEnd w:id="233"/>
      <w:bookmarkEnd w:id="234"/>
    </w:p>
    <w:p w14:paraId="3F6BDE6D">
      <w:pPr>
        <w:pStyle w:val="79"/>
        <w:rPr>
          <w:rFonts w:cs="宋体"/>
          <w:color w:val="auto"/>
          <w:sz w:val="21"/>
          <w:highlight w:val="none"/>
        </w:rPr>
      </w:pPr>
      <w:r>
        <w:rPr>
          <w:rFonts w:hint="eastAsia" w:cs="宋体"/>
          <w:color w:val="auto"/>
          <w:sz w:val="21"/>
          <w:highlight w:val="none"/>
        </w:rPr>
        <w:t>发包人应按合同约定及时组织竣工验收。</w:t>
      </w:r>
    </w:p>
    <w:p w14:paraId="2840D118">
      <w:pPr>
        <w:pStyle w:val="321"/>
        <w:rPr>
          <w:rFonts w:ascii="宋体" w:cs="宋体"/>
          <w:color w:val="auto"/>
          <w:highlight w:val="none"/>
        </w:rPr>
      </w:pPr>
      <w:bookmarkStart w:id="235" w:name="_Toc351203517"/>
      <w:bookmarkStart w:id="236" w:name="_Toc478389049"/>
      <w:r>
        <w:rPr>
          <w:rFonts w:hint="eastAsia" w:ascii="宋体" w:cs="宋体"/>
          <w:color w:val="auto"/>
          <w:highlight w:val="none"/>
        </w:rPr>
        <w:t>2.8 现场统一管理协议</w:t>
      </w:r>
      <w:bookmarkEnd w:id="235"/>
      <w:bookmarkEnd w:id="236"/>
    </w:p>
    <w:p w14:paraId="59A24E53">
      <w:pPr>
        <w:pStyle w:val="79"/>
        <w:rPr>
          <w:rFonts w:cs="宋体"/>
          <w:color w:val="auto"/>
          <w:sz w:val="21"/>
          <w:highlight w:val="none"/>
        </w:rPr>
      </w:pPr>
      <w:r>
        <w:rPr>
          <w:rFonts w:hint="eastAsia" w:cs="宋体"/>
          <w:color w:val="auto"/>
          <w:sz w:val="21"/>
          <w:highlight w:val="none"/>
        </w:rPr>
        <w:t>发包人应与承包人、由发包人直接发包的专业工程的承包人签订施工现场统一管理协议，明确各方的权利义务。施工现场统一管理协议作为专用合同条款的附件。</w:t>
      </w:r>
    </w:p>
    <w:p w14:paraId="42A3A05E">
      <w:pPr>
        <w:pStyle w:val="321"/>
        <w:rPr>
          <w:rFonts w:ascii="宋体" w:cs="宋体"/>
          <w:color w:val="auto"/>
          <w:highlight w:val="none"/>
        </w:rPr>
      </w:pPr>
      <w:bookmarkStart w:id="237" w:name="_Toc478389050"/>
      <w:bookmarkStart w:id="238" w:name="_Toc351203518"/>
      <w:r>
        <w:rPr>
          <w:rFonts w:hint="eastAsia" w:ascii="宋体" w:cs="宋体"/>
          <w:color w:val="auto"/>
          <w:highlight w:val="none"/>
        </w:rPr>
        <w:t>3</w:t>
      </w:r>
      <w:bookmarkStart w:id="239" w:name="_Toc337558746"/>
      <w:bookmarkStart w:id="240" w:name="_Toc296346546"/>
      <w:bookmarkStart w:id="241" w:name="_Toc296503045"/>
      <w:r>
        <w:rPr>
          <w:rFonts w:hint="eastAsia" w:ascii="宋体" w:cs="宋体"/>
          <w:color w:val="auto"/>
          <w:highlight w:val="none"/>
        </w:rPr>
        <w:t>. 承包人</w:t>
      </w:r>
      <w:bookmarkEnd w:id="237"/>
      <w:bookmarkEnd w:id="238"/>
    </w:p>
    <w:bookmarkEnd w:id="239"/>
    <w:bookmarkEnd w:id="240"/>
    <w:bookmarkEnd w:id="241"/>
    <w:p w14:paraId="1A4C044D">
      <w:pPr>
        <w:pStyle w:val="321"/>
        <w:rPr>
          <w:rFonts w:ascii="宋体" w:cs="宋体"/>
          <w:color w:val="auto"/>
          <w:highlight w:val="none"/>
        </w:rPr>
      </w:pPr>
      <w:bookmarkStart w:id="242" w:name="_Toc478389051"/>
      <w:bookmarkStart w:id="243" w:name="_Toc351203519"/>
      <w:r>
        <w:rPr>
          <w:rFonts w:hint="eastAsia" w:ascii="宋体" w:cs="宋体"/>
          <w:color w:val="auto"/>
          <w:highlight w:val="none"/>
        </w:rPr>
        <w:t>3</w:t>
      </w:r>
      <w:bookmarkStart w:id="244" w:name="_Toc296346547"/>
      <w:bookmarkStart w:id="245" w:name="_Toc337558747"/>
      <w:bookmarkStart w:id="246" w:name="_Toc296503046"/>
      <w:r>
        <w:rPr>
          <w:rFonts w:hint="eastAsia" w:ascii="宋体" w:cs="宋体"/>
          <w:color w:val="auto"/>
          <w:highlight w:val="none"/>
        </w:rPr>
        <w:t>.1 承包人的一般义务</w:t>
      </w:r>
      <w:bookmarkEnd w:id="242"/>
      <w:bookmarkEnd w:id="243"/>
    </w:p>
    <w:bookmarkEnd w:id="244"/>
    <w:bookmarkEnd w:id="245"/>
    <w:bookmarkEnd w:id="246"/>
    <w:p w14:paraId="714DC2C1">
      <w:pPr>
        <w:pStyle w:val="79"/>
        <w:rPr>
          <w:rFonts w:cs="宋体"/>
          <w:color w:val="auto"/>
          <w:sz w:val="21"/>
          <w:highlight w:val="none"/>
        </w:rPr>
      </w:pPr>
      <w:r>
        <w:rPr>
          <w:rFonts w:hint="eastAsia" w:cs="宋体"/>
          <w:color w:val="auto"/>
          <w:sz w:val="21"/>
          <w:highlight w:val="none"/>
        </w:rPr>
        <w:t>承包人在履行合同过程中应遵守法律和工程建设标准规范，并履行以下义务：</w:t>
      </w:r>
    </w:p>
    <w:p w14:paraId="4F355C93">
      <w:pPr>
        <w:pStyle w:val="79"/>
        <w:rPr>
          <w:rFonts w:cs="宋体"/>
          <w:color w:val="auto"/>
          <w:sz w:val="21"/>
          <w:highlight w:val="none"/>
        </w:rPr>
      </w:pPr>
      <w:r>
        <w:rPr>
          <w:rFonts w:hint="eastAsia" w:cs="宋体"/>
          <w:color w:val="auto"/>
          <w:sz w:val="21"/>
          <w:highlight w:val="none"/>
        </w:rPr>
        <w:t>办理法律规定应由承包人办理的许可和批准，并将办理结果书面报送发包人留存；</w:t>
      </w:r>
    </w:p>
    <w:p w14:paraId="4D2D53FC">
      <w:pPr>
        <w:pStyle w:val="79"/>
        <w:rPr>
          <w:rFonts w:cs="宋体"/>
          <w:color w:val="auto"/>
          <w:sz w:val="21"/>
          <w:highlight w:val="none"/>
        </w:rPr>
      </w:pPr>
      <w:r>
        <w:rPr>
          <w:rFonts w:hint="eastAsia" w:cs="宋体"/>
          <w:color w:val="auto"/>
          <w:sz w:val="21"/>
          <w:highlight w:val="none"/>
        </w:rPr>
        <w:t>（2）按法律规定和合同约定完成工程，并在保修期内承担保修义务；</w:t>
      </w:r>
    </w:p>
    <w:p w14:paraId="5EFBC98E">
      <w:pPr>
        <w:pStyle w:val="79"/>
        <w:rPr>
          <w:rFonts w:cs="宋体"/>
          <w:color w:val="auto"/>
          <w:sz w:val="21"/>
          <w:highlight w:val="none"/>
        </w:rPr>
      </w:pPr>
      <w:r>
        <w:rPr>
          <w:rFonts w:hint="eastAsia" w:cs="宋体"/>
          <w:color w:val="auto"/>
          <w:sz w:val="21"/>
          <w:highlight w:val="none"/>
        </w:rPr>
        <w:t>（3）按法律规定和合同约定采取施工安全和环境保护措施，办理工伤保险，确保工程及人员、材料、设备和设施的安全；</w:t>
      </w:r>
    </w:p>
    <w:p w14:paraId="7C7032B6">
      <w:pPr>
        <w:pStyle w:val="79"/>
        <w:rPr>
          <w:rFonts w:cs="宋体"/>
          <w:color w:val="auto"/>
          <w:sz w:val="21"/>
          <w:highlight w:val="none"/>
        </w:rPr>
      </w:pPr>
      <w:r>
        <w:rPr>
          <w:rFonts w:hint="eastAsia" w:cs="宋体"/>
          <w:color w:val="auto"/>
          <w:sz w:val="21"/>
          <w:highlight w:val="none"/>
        </w:rPr>
        <w:t>（4）按照合同约定的工作内容和施工进度要求，编制施工组织设计和施工措施计划，并对所有施工作业和施工方法的完备性和安全可靠性负责；</w:t>
      </w:r>
    </w:p>
    <w:p w14:paraId="7756600F">
      <w:pPr>
        <w:pStyle w:val="79"/>
        <w:rPr>
          <w:rFonts w:cs="宋体"/>
          <w:color w:val="auto"/>
          <w:sz w:val="21"/>
          <w:highlight w:val="none"/>
        </w:rPr>
      </w:pPr>
      <w:r>
        <w:rPr>
          <w:rFonts w:hint="eastAsia" w:cs="宋体"/>
          <w:color w:val="auto"/>
          <w:sz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7B007AD">
      <w:pPr>
        <w:pStyle w:val="79"/>
        <w:rPr>
          <w:rFonts w:cs="宋体"/>
          <w:color w:val="auto"/>
          <w:sz w:val="21"/>
          <w:highlight w:val="none"/>
        </w:rPr>
      </w:pPr>
      <w:r>
        <w:rPr>
          <w:rFonts w:hint="eastAsia" w:cs="宋体"/>
          <w:color w:val="auto"/>
          <w:sz w:val="21"/>
          <w:highlight w:val="none"/>
        </w:rPr>
        <w:t>（6）按照第6.3款〔环境保护〕约定负责施工场地及其周边环境与生态的保护工作；</w:t>
      </w:r>
    </w:p>
    <w:p w14:paraId="472344CD">
      <w:pPr>
        <w:pStyle w:val="79"/>
        <w:rPr>
          <w:rFonts w:cs="宋体"/>
          <w:color w:val="auto"/>
          <w:sz w:val="21"/>
          <w:highlight w:val="none"/>
        </w:rPr>
      </w:pPr>
      <w:r>
        <w:rPr>
          <w:rFonts w:hint="eastAsia" w:cs="宋体"/>
          <w:color w:val="auto"/>
          <w:sz w:val="21"/>
          <w:highlight w:val="none"/>
        </w:rPr>
        <w:t>（7）按第6.1款〔安全文明施工〕约定采取施工安全措施，确保工程及其人员、材料、设备和设施的安全，防止因工程施工造成的人身伤害和财产损失；</w:t>
      </w:r>
    </w:p>
    <w:p w14:paraId="2F1334DB">
      <w:pPr>
        <w:pStyle w:val="79"/>
        <w:rPr>
          <w:rFonts w:cs="宋体"/>
          <w:color w:val="auto"/>
          <w:sz w:val="21"/>
          <w:highlight w:val="none"/>
        </w:rPr>
      </w:pPr>
      <w:r>
        <w:rPr>
          <w:rFonts w:hint="eastAsia" w:cs="宋体"/>
          <w:color w:val="auto"/>
          <w:sz w:val="21"/>
          <w:highlight w:val="none"/>
        </w:rPr>
        <w:t>（8）将发包人按合同约定支付的各项价款专用于合同工程，且应及时支付其雇用人员工资，并及时向分包人支付合同价款；</w:t>
      </w:r>
    </w:p>
    <w:p w14:paraId="0EDF7ADF">
      <w:pPr>
        <w:pStyle w:val="79"/>
        <w:rPr>
          <w:rFonts w:cs="宋体"/>
          <w:color w:val="auto"/>
          <w:sz w:val="21"/>
          <w:highlight w:val="none"/>
        </w:rPr>
      </w:pPr>
      <w:r>
        <w:rPr>
          <w:rFonts w:hint="eastAsia" w:cs="宋体"/>
          <w:color w:val="auto"/>
          <w:sz w:val="21"/>
          <w:highlight w:val="none"/>
        </w:rPr>
        <w:t>（9）按照法律规定和合同约定编制竣工资料，完成竣工资料立卷及归档，并按专用合同条款约定的竣工资料的套数、内容、时间等要求移交发包人；</w:t>
      </w:r>
    </w:p>
    <w:p w14:paraId="2E79712A">
      <w:pPr>
        <w:pStyle w:val="79"/>
        <w:rPr>
          <w:rFonts w:cs="宋体"/>
          <w:color w:val="auto"/>
          <w:sz w:val="21"/>
          <w:highlight w:val="none"/>
        </w:rPr>
      </w:pPr>
      <w:r>
        <w:rPr>
          <w:rFonts w:hint="eastAsia" w:cs="宋体"/>
          <w:color w:val="auto"/>
          <w:sz w:val="21"/>
          <w:highlight w:val="none"/>
        </w:rPr>
        <w:t>（10）应履行的其他义务。</w:t>
      </w:r>
    </w:p>
    <w:p w14:paraId="03F71BEC">
      <w:pPr>
        <w:pStyle w:val="321"/>
        <w:rPr>
          <w:rFonts w:ascii="宋体" w:cs="宋体"/>
          <w:color w:val="auto"/>
          <w:highlight w:val="none"/>
        </w:rPr>
      </w:pPr>
      <w:bookmarkStart w:id="247" w:name="_Toc351203520"/>
      <w:bookmarkStart w:id="248" w:name="_Toc478389052"/>
      <w:r>
        <w:rPr>
          <w:rFonts w:hint="eastAsia" w:ascii="宋体" w:cs="宋体"/>
          <w:color w:val="auto"/>
          <w:highlight w:val="none"/>
        </w:rPr>
        <w:t>3</w:t>
      </w:r>
      <w:bookmarkStart w:id="249" w:name="_Toc337558748"/>
      <w:bookmarkStart w:id="250" w:name="_Toc296503047"/>
      <w:bookmarkStart w:id="251" w:name="_Toc296346548"/>
      <w:r>
        <w:rPr>
          <w:rFonts w:hint="eastAsia" w:ascii="宋体" w:cs="宋体"/>
          <w:color w:val="auto"/>
          <w:highlight w:val="none"/>
        </w:rPr>
        <w:t xml:space="preserve">.2 </w:t>
      </w:r>
      <w:bookmarkEnd w:id="247"/>
      <w:r>
        <w:rPr>
          <w:rFonts w:hint="eastAsia" w:ascii="宋体" w:cs="宋体"/>
          <w:color w:val="auto"/>
          <w:highlight w:val="none"/>
        </w:rPr>
        <w:t>项目经理</w:t>
      </w:r>
      <w:bookmarkEnd w:id="248"/>
    </w:p>
    <w:bookmarkEnd w:id="249"/>
    <w:bookmarkEnd w:id="250"/>
    <w:bookmarkEnd w:id="251"/>
    <w:p w14:paraId="39F6E109">
      <w:pPr>
        <w:pStyle w:val="79"/>
        <w:rPr>
          <w:rFonts w:cs="宋体"/>
          <w:color w:val="auto"/>
          <w:sz w:val="21"/>
          <w:highlight w:val="none"/>
        </w:rPr>
      </w:pPr>
      <w:r>
        <w:rPr>
          <w:rFonts w:hint="eastAsia" w:cs="宋体"/>
          <w:color w:val="auto"/>
          <w:sz w:val="21"/>
          <w:highlight w:val="none"/>
        </w:rPr>
        <w:t>3.2.1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4F23E7DE">
      <w:pPr>
        <w:pStyle w:val="79"/>
        <w:rPr>
          <w:rFonts w:cs="宋体"/>
          <w:color w:val="auto"/>
          <w:sz w:val="21"/>
          <w:highlight w:val="none"/>
        </w:rPr>
      </w:pPr>
      <w:r>
        <w:rPr>
          <w:rFonts w:hint="eastAsia" w:cs="宋体"/>
          <w:color w:val="auto"/>
          <w:sz w:val="21"/>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2F830212">
      <w:pPr>
        <w:pStyle w:val="79"/>
        <w:rPr>
          <w:rFonts w:cs="宋体"/>
          <w:color w:val="auto"/>
          <w:sz w:val="21"/>
          <w:highlight w:val="none"/>
        </w:rPr>
      </w:pPr>
      <w:r>
        <w:rPr>
          <w:rFonts w:hint="eastAsia" w:cs="宋体"/>
          <w:color w:val="auto"/>
          <w:sz w:val="21"/>
          <w:highlight w:val="none"/>
        </w:rPr>
        <w:t>承包人违反上述约定的，应按照专用合同条款的约定，承担违约责任。</w:t>
      </w:r>
    </w:p>
    <w:p w14:paraId="4FF33EE2">
      <w:pPr>
        <w:pStyle w:val="79"/>
        <w:rPr>
          <w:rFonts w:cs="宋体"/>
          <w:color w:val="auto"/>
          <w:sz w:val="21"/>
          <w:highlight w:val="none"/>
        </w:rPr>
      </w:pPr>
      <w:r>
        <w:rPr>
          <w:rFonts w:hint="eastAsia" w:cs="宋体"/>
          <w:color w:val="auto"/>
          <w:sz w:val="21"/>
          <w:highlight w:val="none"/>
        </w:rPr>
        <w:t>3.2.2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41C055D8">
      <w:pPr>
        <w:pStyle w:val="79"/>
        <w:rPr>
          <w:rFonts w:cs="宋体"/>
          <w:color w:val="auto"/>
          <w:sz w:val="21"/>
          <w:highlight w:val="none"/>
        </w:rPr>
      </w:pPr>
      <w:r>
        <w:rPr>
          <w:rFonts w:hint="eastAsia" w:cs="宋体"/>
          <w:color w:val="auto"/>
          <w:sz w:val="21"/>
          <w:highlight w:val="none"/>
        </w:rPr>
        <w:t>3.2.3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0AAA0EF9">
      <w:pPr>
        <w:pStyle w:val="79"/>
        <w:rPr>
          <w:rFonts w:cs="宋体"/>
          <w:color w:val="auto"/>
          <w:sz w:val="21"/>
          <w:highlight w:val="none"/>
        </w:rPr>
      </w:pPr>
      <w:r>
        <w:rPr>
          <w:rFonts w:hint="eastAsia" w:cs="宋体"/>
          <w:color w:val="auto"/>
          <w:sz w:val="21"/>
          <w:highlight w:val="none"/>
        </w:rPr>
        <w:t>3.2.4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390D0F38">
      <w:pPr>
        <w:pStyle w:val="79"/>
        <w:rPr>
          <w:rFonts w:cs="宋体"/>
          <w:color w:val="auto"/>
          <w:sz w:val="21"/>
          <w:highlight w:val="none"/>
        </w:rPr>
      </w:pPr>
      <w:r>
        <w:rPr>
          <w:rFonts w:hint="eastAsia" w:cs="宋体"/>
          <w:color w:val="auto"/>
          <w:sz w:val="21"/>
          <w:highlight w:val="none"/>
        </w:rPr>
        <w:t>3.2.5项目经理因特殊情况授权其下属人员履行其某项工作职责的，该下属人员应具备履行相应职责的能力，并应提前7天将上述人员的姓名和授权范围书面通知监理人，并征得发包人书面同意。</w:t>
      </w:r>
    </w:p>
    <w:p w14:paraId="450DA9FD">
      <w:pPr>
        <w:pStyle w:val="321"/>
        <w:rPr>
          <w:rFonts w:ascii="宋体" w:cs="宋体"/>
          <w:color w:val="auto"/>
          <w:highlight w:val="none"/>
        </w:rPr>
      </w:pPr>
      <w:bookmarkStart w:id="252" w:name="_Toc351203521"/>
      <w:bookmarkStart w:id="253" w:name="_Toc478389053"/>
      <w:r>
        <w:rPr>
          <w:rFonts w:hint="eastAsia" w:ascii="宋体" w:cs="宋体"/>
          <w:color w:val="auto"/>
          <w:highlight w:val="none"/>
        </w:rPr>
        <w:t>3</w:t>
      </w:r>
      <w:bookmarkStart w:id="254" w:name="_Toc296346549"/>
      <w:bookmarkStart w:id="255" w:name="_Toc296503048"/>
      <w:bookmarkStart w:id="256" w:name="_Toc337558749"/>
      <w:r>
        <w:rPr>
          <w:rFonts w:hint="eastAsia" w:ascii="宋体" w:cs="宋体"/>
          <w:color w:val="auto"/>
          <w:highlight w:val="none"/>
        </w:rPr>
        <w:t xml:space="preserve">.3 </w:t>
      </w:r>
      <w:bookmarkEnd w:id="254"/>
      <w:bookmarkEnd w:id="255"/>
      <w:r>
        <w:rPr>
          <w:rFonts w:hint="eastAsia" w:ascii="宋体" w:cs="宋体"/>
          <w:color w:val="auto"/>
          <w:highlight w:val="none"/>
        </w:rPr>
        <w:t>承包人人员</w:t>
      </w:r>
      <w:bookmarkEnd w:id="252"/>
      <w:bookmarkEnd w:id="253"/>
    </w:p>
    <w:bookmarkEnd w:id="256"/>
    <w:p w14:paraId="383F362A">
      <w:pPr>
        <w:pStyle w:val="79"/>
        <w:rPr>
          <w:rFonts w:cs="宋体"/>
          <w:color w:val="auto"/>
          <w:sz w:val="21"/>
          <w:highlight w:val="none"/>
        </w:rPr>
      </w:pPr>
      <w:r>
        <w:rPr>
          <w:rFonts w:hint="eastAsia" w:cs="宋体"/>
          <w:color w:val="auto"/>
          <w:sz w:val="21"/>
          <w:highlight w:val="none"/>
        </w:rPr>
        <w:t>3.3.1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6C0DA845">
      <w:pPr>
        <w:pStyle w:val="79"/>
        <w:rPr>
          <w:rFonts w:cs="宋体"/>
          <w:color w:val="auto"/>
          <w:sz w:val="21"/>
          <w:highlight w:val="none"/>
        </w:rPr>
      </w:pPr>
      <w:r>
        <w:rPr>
          <w:rFonts w:hint="eastAsia" w:cs="宋体"/>
          <w:color w:val="auto"/>
          <w:sz w:val="21"/>
          <w:highlight w:val="none"/>
        </w:rPr>
        <w:t>3.3.2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特殊工种作业人员均应持有相应的资格证明，监理人可以随时检查。</w:t>
      </w:r>
    </w:p>
    <w:p w14:paraId="62FD560D">
      <w:pPr>
        <w:pStyle w:val="79"/>
        <w:rPr>
          <w:rFonts w:cs="宋体"/>
          <w:color w:val="auto"/>
          <w:sz w:val="21"/>
          <w:highlight w:val="none"/>
        </w:rPr>
      </w:pPr>
      <w:r>
        <w:rPr>
          <w:rFonts w:hint="eastAsia" w:cs="宋体"/>
          <w:color w:val="auto"/>
          <w:sz w:val="21"/>
          <w:highlight w:val="none"/>
        </w:rPr>
        <w:t>3.3.3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2BDB1BA6">
      <w:pPr>
        <w:pStyle w:val="79"/>
        <w:rPr>
          <w:rFonts w:cs="宋体"/>
          <w:color w:val="auto"/>
          <w:sz w:val="21"/>
          <w:highlight w:val="none"/>
        </w:rPr>
      </w:pPr>
      <w:r>
        <w:rPr>
          <w:rFonts w:hint="eastAsia" w:cs="宋体"/>
          <w:color w:val="auto"/>
          <w:sz w:val="21"/>
          <w:highlight w:val="none"/>
        </w:rPr>
        <w:t>3.3.4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0FC06A80">
      <w:pPr>
        <w:pStyle w:val="79"/>
        <w:rPr>
          <w:rFonts w:cs="宋体"/>
          <w:color w:val="auto"/>
          <w:sz w:val="21"/>
          <w:highlight w:val="none"/>
        </w:rPr>
      </w:pPr>
      <w:r>
        <w:rPr>
          <w:rFonts w:hint="eastAsia" w:cs="宋体"/>
          <w:color w:val="auto"/>
          <w:sz w:val="21"/>
          <w:highlight w:val="none"/>
        </w:rPr>
        <w:t>3.3.5承包人擅自更换主要施工管理人员，或前述人员未经监理人或发包人同意擅自离开施工现场的，应按照专用合同条款约定承担违约责任。</w:t>
      </w:r>
    </w:p>
    <w:p w14:paraId="63C27701">
      <w:pPr>
        <w:pStyle w:val="321"/>
        <w:rPr>
          <w:rFonts w:ascii="宋体" w:cs="宋体"/>
          <w:color w:val="auto"/>
          <w:highlight w:val="none"/>
        </w:rPr>
      </w:pPr>
      <w:bookmarkStart w:id="257" w:name="_Toc351203522"/>
      <w:bookmarkStart w:id="258" w:name="_Toc478389054"/>
      <w:r>
        <w:rPr>
          <w:rFonts w:hint="eastAsia" w:ascii="宋体" w:cs="宋体"/>
          <w:color w:val="auto"/>
          <w:highlight w:val="none"/>
        </w:rPr>
        <w:t>3</w:t>
      </w:r>
      <w:bookmarkStart w:id="259" w:name="_Toc296503050"/>
      <w:bookmarkStart w:id="260" w:name="_Toc296346551"/>
      <w:bookmarkStart w:id="261" w:name="_Toc337558750"/>
      <w:r>
        <w:rPr>
          <w:rFonts w:hint="eastAsia" w:ascii="宋体" w:cs="宋体"/>
          <w:color w:val="auto"/>
          <w:highlight w:val="none"/>
        </w:rPr>
        <w:t>.4 承包人现场查勘</w:t>
      </w:r>
      <w:bookmarkEnd w:id="257"/>
      <w:bookmarkEnd w:id="258"/>
    </w:p>
    <w:bookmarkEnd w:id="259"/>
    <w:bookmarkEnd w:id="260"/>
    <w:bookmarkEnd w:id="261"/>
    <w:p w14:paraId="365C5EA5">
      <w:pPr>
        <w:pStyle w:val="79"/>
        <w:rPr>
          <w:rFonts w:cs="宋体"/>
          <w:color w:val="auto"/>
          <w:sz w:val="21"/>
          <w:highlight w:val="none"/>
        </w:rPr>
      </w:pPr>
      <w:r>
        <w:rPr>
          <w:rFonts w:hint="eastAsia" w:cs="宋体"/>
          <w:color w:val="auto"/>
          <w:sz w:val="21"/>
          <w:highlight w:val="none"/>
        </w:rPr>
        <w:t>承包人应对基于发包人按照第2.4.3项〔提供基础资料〕提交的基础资料所做出的解释和推断负责，但因基础资料存在错误、遗漏导致承包人解释或推断失实的，由发包人承担责任。</w:t>
      </w:r>
    </w:p>
    <w:p w14:paraId="10A7AE65">
      <w:pPr>
        <w:pStyle w:val="79"/>
        <w:rPr>
          <w:rFonts w:cs="宋体"/>
          <w:color w:val="auto"/>
          <w:sz w:val="21"/>
          <w:highlight w:val="none"/>
        </w:rPr>
      </w:pPr>
      <w:r>
        <w:rPr>
          <w:rFonts w:hint="eastAsia" w:cs="宋体"/>
          <w:color w:val="auto"/>
          <w:sz w:val="21"/>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0BDA12FD">
      <w:pPr>
        <w:pStyle w:val="321"/>
        <w:rPr>
          <w:rFonts w:ascii="宋体" w:cs="宋体"/>
          <w:color w:val="auto"/>
          <w:highlight w:val="none"/>
        </w:rPr>
      </w:pPr>
      <w:bookmarkStart w:id="262" w:name="_Toc478389055"/>
      <w:bookmarkStart w:id="263" w:name="_Toc351203523"/>
      <w:r>
        <w:rPr>
          <w:rFonts w:hint="eastAsia" w:ascii="宋体" w:cs="宋体"/>
          <w:color w:val="auto"/>
          <w:highlight w:val="none"/>
        </w:rPr>
        <w:t>3</w:t>
      </w:r>
      <w:bookmarkStart w:id="264" w:name="_Toc296346552"/>
      <w:bookmarkStart w:id="265" w:name="_Toc337558751"/>
      <w:bookmarkStart w:id="266" w:name="_Toc296503051"/>
      <w:r>
        <w:rPr>
          <w:rFonts w:hint="eastAsia" w:ascii="宋体" w:cs="宋体"/>
          <w:color w:val="auto"/>
          <w:highlight w:val="none"/>
        </w:rPr>
        <w:t>.5 分包</w:t>
      </w:r>
      <w:bookmarkEnd w:id="262"/>
      <w:bookmarkEnd w:id="263"/>
    </w:p>
    <w:bookmarkEnd w:id="264"/>
    <w:bookmarkEnd w:id="265"/>
    <w:bookmarkEnd w:id="266"/>
    <w:p w14:paraId="48173386">
      <w:pPr>
        <w:pStyle w:val="79"/>
        <w:rPr>
          <w:rFonts w:cs="宋体"/>
          <w:color w:val="auto"/>
          <w:sz w:val="21"/>
          <w:highlight w:val="none"/>
        </w:rPr>
      </w:pPr>
      <w:r>
        <w:rPr>
          <w:rFonts w:hint="eastAsia" w:cs="宋体"/>
          <w:color w:val="auto"/>
          <w:sz w:val="21"/>
          <w:highlight w:val="none"/>
        </w:rPr>
        <w:t>3.5.1 分包的一般约定</w:t>
      </w:r>
    </w:p>
    <w:p w14:paraId="3D207DB0">
      <w:pPr>
        <w:pStyle w:val="79"/>
        <w:rPr>
          <w:rFonts w:cs="宋体"/>
          <w:color w:val="auto"/>
          <w:sz w:val="21"/>
          <w:highlight w:val="none"/>
        </w:rPr>
      </w:pPr>
      <w:r>
        <w:rPr>
          <w:rFonts w:hint="eastAsia" w:cs="宋体"/>
          <w:color w:val="auto"/>
          <w:sz w:val="21"/>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228292E5">
      <w:pPr>
        <w:pStyle w:val="79"/>
        <w:rPr>
          <w:rFonts w:cs="宋体"/>
          <w:color w:val="auto"/>
          <w:sz w:val="21"/>
          <w:highlight w:val="none"/>
        </w:rPr>
      </w:pPr>
      <w:r>
        <w:rPr>
          <w:rFonts w:hint="eastAsia" w:cs="宋体"/>
          <w:color w:val="auto"/>
          <w:sz w:val="21"/>
          <w:highlight w:val="none"/>
        </w:rPr>
        <w:t>承包人不得以劳务分包的名义转包或违法分包工程。</w:t>
      </w:r>
    </w:p>
    <w:p w14:paraId="064A1963">
      <w:pPr>
        <w:pStyle w:val="79"/>
        <w:rPr>
          <w:rFonts w:cs="宋体"/>
          <w:color w:val="auto"/>
          <w:sz w:val="21"/>
          <w:highlight w:val="none"/>
        </w:rPr>
      </w:pPr>
      <w:r>
        <w:rPr>
          <w:rFonts w:hint="eastAsia" w:cs="宋体"/>
          <w:color w:val="auto"/>
          <w:sz w:val="21"/>
          <w:highlight w:val="none"/>
        </w:rPr>
        <w:t>3.5.2 分包的确定</w:t>
      </w:r>
    </w:p>
    <w:p w14:paraId="63BC954C">
      <w:pPr>
        <w:pStyle w:val="79"/>
        <w:rPr>
          <w:rFonts w:cs="宋体"/>
          <w:color w:val="auto"/>
          <w:sz w:val="21"/>
          <w:highlight w:val="none"/>
        </w:rPr>
      </w:pPr>
      <w:r>
        <w:rPr>
          <w:rFonts w:hint="eastAsia" w:cs="宋体"/>
          <w:color w:val="auto"/>
          <w:sz w:val="21"/>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54B87680">
      <w:pPr>
        <w:pStyle w:val="79"/>
        <w:rPr>
          <w:rFonts w:cs="宋体"/>
          <w:color w:val="auto"/>
          <w:sz w:val="21"/>
          <w:highlight w:val="none"/>
        </w:rPr>
      </w:pPr>
      <w:r>
        <w:rPr>
          <w:rFonts w:hint="eastAsia" w:cs="宋体"/>
          <w:color w:val="auto"/>
          <w:sz w:val="21"/>
          <w:highlight w:val="none"/>
        </w:rPr>
        <w:t>3.5.3 分包管理</w:t>
      </w:r>
    </w:p>
    <w:p w14:paraId="43A6E9F0">
      <w:pPr>
        <w:pStyle w:val="79"/>
        <w:rPr>
          <w:rFonts w:cs="宋体"/>
          <w:color w:val="auto"/>
          <w:sz w:val="21"/>
          <w:highlight w:val="none"/>
        </w:rPr>
      </w:pPr>
      <w:r>
        <w:rPr>
          <w:rFonts w:hint="eastAsia" w:cs="宋体"/>
          <w:color w:val="auto"/>
          <w:sz w:val="21"/>
          <w:highlight w:val="none"/>
        </w:rPr>
        <w:t>承包人应向监理人提交分包人的主要施工管理人员表，并对分包人的施工人员进行实名制管理，包括但不限于进出场管理、登记造册以及各种证照的办理。</w:t>
      </w:r>
    </w:p>
    <w:p w14:paraId="75696311">
      <w:pPr>
        <w:pStyle w:val="79"/>
        <w:rPr>
          <w:rFonts w:cs="宋体"/>
          <w:color w:val="auto"/>
          <w:sz w:val="21"/>
          <w:highlight w:val="none"/>
        </w:rPr>
      </w:pPr>
      <w:r>
        <w:rPr>
          <w:rFonts w:hint="eastAsia" w:cs="宋体"/>
          <w:color w:val="auto"/>
          <w:sz w:val="21"/>
          <w:highlight w:val="none"/>
        </w:rPr>
        <w:t>3.5.4 分包合同价款</w:t>
      </w:r>
    </w:p>
    <w:p w14:paraId="670A7CEF">
      <w:pPr>
        <w:pStyle w:val="79"/>
        <w:rPr>
          <w:rFonts w:cs="宋体"/>
          <w:color w:val="auto"/>
          <w:sz w:val="21"/>
          <w:highlight w:val="none"/>
        </w:rPr>
      </w:pPr>
      <w:r>
        <w:rPr>
          <w:rFonts w:hint="eastAsia" w:cs="宋体"/>
          <w:color w:val="auto"/>
          <w:sz w:val="21"/>
          <w:highlight w:val="none"/>
        </w:rPr>
        <w:t>（1）除本项第（2）目约定的情况或专用合同条款另有约定外，分包合同价款由承包人与分包人结算，未经承包人同意，发包人不得向分包人支付分包工程价款；</w:t>
      </w:r>
    </w:p>
    <w:p w14:paraId="1867BD1C">
      <w:pPr>
        <w:pStyle w:val="79"/>
        <w:rPr>
          <w:rFonts w:cs="宋体"/>
          <w:color w:val="auto"/>
          <w:sz w:val="21"/>
          <w:highlight w:val="none"/>
        </w:rPr>
      </w:pPr>
      <w:r>
        <w:rPr>
          <w:rFonts w:hint="eastAsia" w:cs="宋体"/>
          <w:color w:val="auto"/>
          <w:sz w:val="21"/>
          <w:highlight w:val="none"/>
        </w:rPr>
        <w:t>（2）生效法律文书要求发包人向分包人支付分包合同价款的，发包人有权从应付承包人工程款中扣除该部分款项。</w:t>
      </w:r>
    </w:p>
    <w:p w14:paraId="5ECE9E4E">
      <w:pPr>
        <w:pStyle w:val="79"/>
        <w:rPr>
          <w:rFonts w:cs="宋体"/>
          <w:color w:val="auto"/>
          <w:sz w:val="21"/>
          <w:highlight w:val="none"/>
        </w:rPr>
      </w:pPr>
      <w:r>
        <w:rPr>
          <w:rFonts w:hint="eastAsia" w:cs="宋体"/>
          <w:color w:val="auto"/>
          <w:sz w:val="21"/>
          <w:highlight w:val="none"/>
        </w:rPr>
        <w:t>3.5.5 分包合同权益的转让</w:t>
      </w:r>
    </w:p>
    <w:p w14:paraId="379C0CF3">
      <w:pPr>
        <w:pStyle w:val="79"/>
        <w:rPr>
          <w:rFonts w:cs="宋体"/>
          <w:color w:val="auto"/>
          <w:sz w:val="21"/>
          <w:highlight w:val="none"/>
        </w:rPr>
      </w:pPr>
      <w:r>
        <w:rPr>
          <w:rFonts w:hint="eastAsia" w:cs="宋体"/>
          <w:color w:val="auto"/>
          <w:sz w:val="21"/>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67" w:name="_Toc351203524"/>
    </w:p>
    <w:p w14:paraId="78A98E5B">
      <w:pPr>
        <w:pStyle w:val="321"/>
        <w:rPr>
          <w:rFonts w:ascii="宋体" w:cs="宋体"/>
          <w:color w:val="auto"/>
          <w:highlight w:val="none"/>
        </w:rPr>
      </w:pPr>
      <w:bookmarkStart w:id="268" w:name="_Toc478389056"/>
      <w:r>
        <w:rPr>
          <w:rFonts w:hint="eastAsia" w:ascii="宋体" w:cs="宋体"/>
          <w:color w:val="auto"/>
          <w:highlight w:val="none"/>
        </w:rPr>
        <w:t>3.6 工程照管与成品、半成品保护</w:t>
      </w:r>
      <w:bookmarkEnd w:id="267"/>
      <w:bookmarkEnd w:id="268"/>
    </w:p>
    <w:p w14:paraId="1BC72F39">
      <w:pPr>
        <w:pStyle w:val="79"/>
        <w:rPr>
          <w:rFonts w:cs="宋体"/>
          <w:color w:val="auto"/>
          <w:sz w:val="21"/>
          <w:highlight w:val="none"/>
        </w:rPr>
      </w:pPr>
      <w:r>
        <w:rPr>
          <w:rFonts w:hint="eastAsia" w:cs="宋体"/>
          <w:color w:val="auto"/>
          <w:sz w:val="21"/>
          <w:highlight w:val="none"/>
        </w:rPr>
        <w:t>（1）除专用合同条款另有约定外，自发包人向承包人移交施工现场之日起，承包人应负责照管工程及工程相关的材料、工程设备，直到颁发工程接收证书之日止。</w:t>
      </w:r>
    </w:p>
    <w:p w14:paraId="436B626B">
      <w:pPr>
        <w:pStyle w:val="79"/>
        <w:rPr>
          <w:rFonts w:cs="宋体"/>
          <w:color w:val="auto"/>
          <w:sz w:val="21"/>
          <w:highlight w:val="none"/>
        </w:rPr>
      </w:pPr>
      <w:r>
        <w:rPr>
          <w:rFonts w:hint="eastAsia" w:cs="宋体"/>
          <w:color w:val="auto"/>
          <w:sz w:val="21"/>
          <w:highlight w:val="none"/>
        </w:rPr>
        <w:t>（2）在承包人负责照管期间，因承包人原因造成工程、材料、工程设备损坏的，由承包人负责修复或更换，并承担由此增加的费用和（或）延误的工期。</w:t>
      </w:r>
    </w:p>
    <w:p w14:paraId="09AB6C01">
      <w:pPr>
        <w:pStyle w:val="79"/>
        <w:rPr>
          <w:rFonts w:cs="宋体"/>
          <w:color w:val="auto"/>
          <w:sz w:val="21"/>
          <w:highlight w:val="none"/>
        </w:rPr>
      </w:pPr>
      <w:r>
        <w:rPr>
          <w:rFonts w:hint="eastAsia" w:cs="宋体"/>
          <w:color w:val="auto"/>
          <w:sz w:val="21"/>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105B20A2">
      <w:pPr>
        <w:pStyle w:val="321"/>
        <w:rPr>
          <w:rFonts w:ascii="宋体" w:cs="宋体"/>
          <w:color w:val="auto"/>
          <w:highlight w:val="none"/>
        </w:rPr>
      </w:pPr>
      <w:bookmarkStart w:id="269" w:name="_Toc351203525"/>
      <w:bookmarkStart w:id="270" w:name="_Toc478389057"/>
      <w:r>
        <w:rPr>
          <w:rFonts w:hint="eastAsia" w:ascii="宋体" w:cs="宋体"/>
          <w:color w:val="auto"/>
          <w:highlight w:val="none"/>
        </w:rPr>
        <w:t>3</w:t>
      </w:r>
      <w:bookmarkStart w:id="271" w:name="_Toc296503052"/>
      <w:bookmarkStart w:id="272" w:name="_Toc337558752"/>
      <w:bookmarkStart w:id="273" w:name="_Toc296346553"/>
      <w:r>
        <w:rPr>
          <w:rFonts w:hint="eastAsia" w:ascii="宋体" w:cs="宋体"/>
          <w:color w:val="auto"/>
          <w:highlight w:val="none"/>
        </w:rPr>
        <w:t>.7 履约保证金</w:t>
      </w:r>
      <w:bookmarkEnd w:id="269"/>
      <w:bookmarkEnd w:id="270"/>
    </w:p>
    <w:bookmarkEnd w:id="271"/>
    <w:bookmarkEnd w:id="272"/>
    <w:bookmarkEnd w:id="273"/>
    <w:p w14:paraId="12FF9828">
      <w:pPr>
        <w:pStyle w:val="79"/>
        <w:rPr>
          <w:rFonts w:cs="宋体"/>
          <w:color w:val="auto"/>
          <w:sz w:val="21"/>
          <w:highlight w:val="none"/>
        </w:rPr>
      </w:pPr>
      <w:r>
        <w:rPr>
          <w:rFonts w:hint="eastAsia" w:cs="宋体"/>
          <w:color w:val="auto"/>
          <w:sz w:val="21"/>
          <w:highlight w:val="none"/>
        </w:rPr>
        <w:t>发包人需要承包人提供履约保证金的，由合同当事人在专用合同条款中约定履约保证金的方式、金额及期限等。履约保证金可以采用银行保函或担保公司担保等形式，具体由合同当事人在专用合同条款中约定。</w:t>
      </w:r>
    </w:p>
    <w:p w14:paraId="727CFDEF">
      <w:pPr>
        <w:pStyle w:val="79"/>
        <w:rPr>
          <w:rFonts w:cs="宋体"/>
          <w:color w:val="auto"/>
          <w:sz w:val="21"/>
          <w:highlight w:val="none"/>
        </w:rPr>
      </w:pPr>
      <w:r>
        <w:rPr>
          <w:rFonts w:hint="eastAsia" w:cs="宋体"/>
          <w:color w:val="auto"/>
          <w:sz w:val="21"/>
          <w:highlight w:val="none"/>
        </w:rPr>
        <w:t>因承包人原因导致工期延长的，继续提供履约保证金所增加的费用由承包人承担；非因承包人原因导致工期延长的，继续提供履约保证金所增加的费用由发包人承担。</w:t>
      </w:r>
    </w:p>
    <w:p w14:paraId="4026BDFF">
      <w:pPr>
        <w:pStyle w:val="321"/>
        <w:rPr>
          <w:rFonts w:ascii="宋体" w:cs="宋体"/>
          <w:color w:val="auto"/>
          <w:highlight w:val="none"/>
        </w:rPr>
      </w:pPr>
      <w:bookmarkStart w:id="274" w:name="_Toc351203526"/>
      <w:bookmarkStart w:id="275" w:name="_Toc478389058"/>
      <w:r>
        <w:rPr>
          <w:rFonts w:hint="eastAsia" w:ascii="宋体" w:cs="宋体"/>
          <w:color w:val="auto"/>
          <w:highlight w:val="none"/>
        </w:rPr>
        <w:t>3.8 联合体</w:t>
      </w:r>
      <w:bookmarkEnd w:id="274"/>
      <w:bookmarkEnd w:id="275"/>
    </w:p>
    <w:p w14:paraId="2953C95D">
      <w:pPr>
        <w:pStyle w:val="79"/>
        <w:rPr>
          <w:rFonts w:cs="宋体"/>
          <w:color w:val="auto"/>
          <w:sz w:val="21"/>
          <w:highlight w:val="none"/>
        </w:rPr>
      </w:pPr>
      <w:r>
        <w:rPr>
          <w:rFonts w:hint="eastAsia" w:cs="宋体"/>
          <w:color w:val="auto"/>
          <w:sz w:val="21"/>
          <w:highlight w:val="none"/>
        </w:rPr>
        <w:t>3.8.1联合体各方应共同与发包人签订合同协议书。联合体各方应为履行合同向发包人承担连带责任。</w:t>
      </w:r>
    </w:p>
    <w:p w14:paraId="0E60B394">
      <w:pPr>
        <w:pStyle w:val="79"/>
        <w:rPr>
          <w:rFonts w:cs="宋体"/>
          <w:color w:val="auto"/>
          <w:sz w:val="21"/>
          <w:highlight w:val="none"/>
        </w:rPr>
      </w:pPr>
      <w:r>
        <w:rPr>
          <w:rFonts w:hint="eastAsia" w:cs="宋体"/>
          <w:color w:val="auto"/>
          <w:sz w:val="21"/>
          <w:highlight w:val="none"/>
        </w:rPr>
        <w:t>3.8.2联合体协议经发包人确认后作为合同附件。在履行合同过程中，未经发包人同意，不得修改联合体协议。</w:t>
      </w:r>
    </w:p>
    <w:p w14:paraId="2ED5F07C">
      <w:pPr>
        <w:pStyle w:val="79"/>
        <w:rPr>
          <w:rFonts w:cs="宋体"/>
          <w:color w:val="auto"/>
          <w:sz w:val="21"/>
          <w:highlight w:val="none"/>
        </w:rPr>
      </w:pPr>
      <w:r>
        <w:rPr>
          <w:rFonts w:hint="eastAsia" w:cs="宋体"/>
          <w:color w:val="auto"/>
          <w:sz w:val="21"/>
          <w:highlight w:val="none"/>
        </w:rPr>
        <w:t>3.8.3联合体牵头人负责与发包人和监理人联系，并接受指示，负责组织联合体各成员全面履行合同。</w:t>
      </w:r>
    </w:p>
    <w:p w14:paraId="607795F8">
      <w:pPr>
        <w:pStyle w:val="321"/>
        <w:rPr>
          <w:rFonts w:ascii="宋体" w:cs="宋体"/>
          <w:color w:val="auto"/>
          <w:highlight w:val="none"/>
        </w:rPr>
      </w:pPr>
      <w:bookmarkStart w:id="276" w:name="_Toc478389059"/>
      <w:bookmarkStart w:id="277" w:name="_Toc351203527"/>
      <w:r>
        <w:rPr>
          <w:rFonts w:hint="eastAsia" w:ascii="宋体" w:cs="宋体"/>
          <w:color w:val="auto"/>
          <w:highlight w:val="none"/>
        </w:rPr>
        <w:t>4</w:t>
      </w:r>
      <w:bookmarkStart w:id="278" w:name="_Toc296503053"/>
      <w:bookmarkStart w:id="279" w:name="_Toc296346554"/>
      <w:bookmarkStart w:id="280" w:name="_Toc337558753"/>
      <w:r>
        <w:rPr>
          <w:rFonts w:hint="eastAsia" w:ascii="宋体" w:cs="宋体"/>
          <w:color w:val="auto"/>
          <w:highlight w:val="none"/>
        </w:rPr>
        <w:t>. 监</w:t>
      </w:r>
      <w:bookmarkEnd w:id="278"/>
      <w:bookmarkEnd w:id="279"/>
      <w:r>
        <w:rPr>
          <w:rFonts w:hint="eastAsia" w:ascii="宋体" w:cs="宋体"/>
          <w:color w:val="auto"/>
          <w:highlight w:val="none"/>
        </w:rPr>
        <w:t>理人</w:t>
      </w:r>
      <w:bookmarkEnd w:id="276"/>
      <w:bookmarkEnd w:id="277"/>
    </w:p>
    <w:bookmarkEnd w:id="280"/>
    <w:p w14:paraId="66C12B86">
      <w:pPr>
        <w:pStyle w:val="321"/>
        <w:rPr>
          <w:rFonts w:ascii="宋体" w:cs="宋体"/>
          <w:color w:val="auto"/>
          <w:highlight w:val="none"/>
        </w:rPr>
      </w:pPr>
      <w:bookmarkStart w:id="281" w:name="_Toc478389060"/>
      <w:bookmarkStart w:id="282" w:name="_Toc351203528"/>
      <w:r>
        <w:rPr>
          <w:rFonts w:hint="eastAsia" w:ascii="宋体" w:cs="宋体"/>
          <w:color w:val="auto"/>
          <w:highlight w:val="none"/>
        </w:rPr>
        <w:t>4</w:t>
      </w:r>
      <w:bookmarkStart w:id="283" w:name="_Toc337558754"/>
      <w:bookmarkStart w:id="284" w:name="_Toc296503054"/>
      <w:bookmarkStart w:id="285" w:name="_Toc296346555"/>
      <w:r>
        <w:rPr>
          <w:rFonts w:hint="eastAsia" w:ascii="宋体" w:cs="宋体"/>
          <w:color w:val="auto"/>
          <w:highlight w:val="none"/>
        </w:rPr>
        <w:t>.1监理人的一般规定</w:t>
      </w:r>
      <w:bookmarkEnd w:id="281"/>
      <w:bookmarkEnd w:id="282"/>
    </w:p>
    <w:bookmarkEnd w:id="283"/>
    <w:bookmarkEnd w:id="284"/>
    <w:bookmarkEnd w:id="285"/>
    <w:p w14:paraId="1BAFAB1E">
      <w:pPr>
        <w:pStyle w:val="79"/>
        <w:rPr>
          <w:rFonts w:cs="宋体"/>
          <w:color w:val="auto"/>
          <w:sz w:val="21"/>
          <w:highlight w:val="none"/>
        </w:rPr>
      </w:pPr>
      <w:r>
        <w:rPr>
          <w:rFonts w:hint="eastAsia" w:cs="宋体"/>
          <w:color w:val="auto"/>
          <w:sz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3D4465E8">
      <w:pPr>
        <w:pStyle w:val="79"/>
        <w:rPr>
          <w:rFonts w:cs="宋体"/>
          <w:color w:val="auto"/>
          <w:sz w:val="21"/>
          <w:highlight w:val="none"/>
        </w:rPr>
      </w:pPr>
      <w:r>
        <w:rPr>
          <w:rFonts w:hint="eastAsia" w:cs="宋体"/>
          <w:color w:val="auto"/>
          <w:sz w:val="21"/>
          <w:highlight w:val="none"/>
        </w:rPr>
        <w:t>除专用合同条款另有约定外，监理人在施工现场的办公场所、生活场所由承包人提供，所发生的费用由发包人承担。</w:t>
      </w:r>
    </w:p>
    <w:p w14:paraId="04063E1E">
      <w:pPr>
        <w:pStyle w:val="321"/>
        <w:rPr>
          <w:rFonts w:ascii="宋体" w:cs="宋体"/>
          <w:color w:val="auto"/>
          <w:highlight w:val="none"/>
        </w:rPr>
      </w:pPr>
      <w:bookmarkStart w:id="286" w:name="_Toc478389061"/>
      <w:bookmarkStart w:id="287" w:name="_Toc351203529"/>
      <w:r>
        <w:rPr>
          <w:rFonts w:hint="eastAsia" w:ascii="宋体" w:cs="宋体"/>
          <w:color w:val="auto"/>
          <w:highlight w:val="none"/>
        </w:rPr>
        <w:t>4</w:t>
      </w:r>
      <w:bookmarkStart w:id="288" w:name="_Toc337558755"/>
      <w:r>
        <w:rPr>
          <w:rFonts w:hint="eastAsia" w:ascii="宋体" w:cs="宋体"/>
          <w:color w:val="auto"/>
          <w:highlight w:val="none"/>
        </w:rPr>
        <w:t>.2监理人员</w:t>
      </w:r>
      <w:bookmarkEnd w:id="286"/>
      <w:bookmarkEnd w:id="287"/>
    </w:p>
    <w:bookmarkEnd w:id="288"/>
    <w:p w14:paraId="7E89A749">
      <w:pPr>
        <w:pStyle w:val="79"/>
        <w:rPr>
          <w:rFonts w:cs="宋体"/>
          <w:color w:val="auto"/>
          <w:sz w:val="21"/>
          <w:highlight w:val="none"/>
        </w:rPr>
      </w:pPr>
      <w:r>
        <w:rPr>
          <w:rFonts w:hint="eastAsia" w:cs="宋体"/>
          <w:color w:val="auto"/>
          <w:sz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01E3AA0A">
      <w:pPr>
        <w:pStyle w:val="321"/>
        <w:rPr>
          <w:rFonts w:ascii="宋体" w:cs="宋体"/>
          <w:color w:val="auto"/>
          <w:highlight w:val="none"/>
        </w:rPr>
      </w:pPr>
      <w:bookmarkStart w:id="289" w:name="_Toc478389062"/>
      <w:bookmarkStart w:id="290" w:name="_Toc351203530"/>
      <w:r>
        <w:rPr>
          <w:rFonts w:hint="eastAsia" w:ascii="宋体" w:cs="宋体"/>
          <w:color w:val="auto"/>
          <w:highlight w:val="none"/>
        </w:rPr>
        <w:t>4</w:t>
      </w:r>
      <w:bookmarkStart w:id="291" w:name="_Toc296346556"/>
      <w:bookmarkStart w:id="292" w:name="_Toc296503055"/>
      <w:bookmarkStart w:id="293" w:name="_Toc337558756"/>
      <w:r>
        <w:rPr>
          <w:rFonts w:hint="eastAsia" w:ascii="宋体" w:cs="宋体"/>
          <w:color w:val="auto"/>
          <w:highlight w:val="none"/>
        </w:rPr>
        <w:t>.3</w:t>
      </w:r>
      <w:bookmarkEnd w:id="291"/>
      <w:bookmarkEnd w:id="292"/>
      <w:r>
        <w:rPr>
          <w:rFonts w:hint="eastAsia" w:ascii="宋体" w:cs="宋体"/>
          <w:color w:val="auto"/>
          <w:highlight w:val="none"/>
        </w:rPr>
        <w:t>监理人的指</w:t>
      </w:r>
      <w:bookmarkEnd w:id="293"/>
      <w:r>
        <w:rPr>
          <w:rFonts w:hint="eastAsia" w:ascii="宋体" w:cs="宋体"/>
          <w:color w:val="auto"/>
          <w:highlight w:val="none"/>
        </w:rPr>
        <w:t>示</w:t>
      </w:r>
      <w:bookmarkEnd w:id="289"/>
      <w:bookmarkEnd w:id="290"/>
    </w:p>
    <w:p w14:paraId="15FEE155">
      <w:pPr>
        <w:pStyle w:val="79"/>
        <w:rPr>
          <w:rFonts w:cs="宋体"/>
          <w:color w:val="auto"/>
          <w:sz w:val="21"/>
          <w:highlight w:val="none"/>
        </w:rPr>
      </w:pPr>
      <w:r>
        <w:rPr>
          <w:rFonts w:hint="eastAsia" w:cs="宋体"/>
          <w:color w:val="auto"/>
          <w:sz w:val="21"/>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6E1726FC">
      <w:pPr>
        <w:pStyle w:val="79"/>
        <w:rPr>
          <w:rFonts w:cs="宋体"/>
          <w:color w:val="auto"/>
          <w:sz w:val="21"/>
          <w:highlight w:val="none"/>
        </w:rPr>
      </w:pPr>
      <w:r>
        <w:rPr>
          <w:rFonts w:hint="eastAsia" w:cs="宋体"/>
          <w:color w:val="auto"/>
          <w:sz w:val="21"/>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093F8FBB">
      <w:pPr>
        <w:pStyle w:val="79"/>
        <w:rPr>
          <w:rFonts w:cs="宋体"/>
          <w:color w:val="auto"/>
          <w:sz w:val="21"/>
          <w:highlight w:val="none"/>
        </w:rPr>
      </w:pPr>
      <w:r>
        <w:rPr>
          <w:rFonts w:hint="eastAsia" w:cs="宋体"/>
          <w:color w:val="auto"/>
          <w:sz w:val="21"/>
          <w:highlight w:val="none"/>
        </w:rPr>
        <w:t>承包人对监理人发出的指示有疑问的，应向监理人提出书面异议，监理人应在48小时内对该指示予以确认、更改或撤销，监理人逾期未回复的，承包人有权拒绝执行上述指示。</w:t>
      </w:r>
    </w:p>
    <w:p w14:paraId="6679A7E9">
      <w:pPr>
        <w:pStyle w:val="79"/>
        <w:rPr>
          <w:rFonts w:cs="宋体"/>
          <w:color w:val="auto"/>
          <w:sz w:val="21"/>
          <w:highlight w:val="none"/>
        </w:rPr>
      </w:pPr>
      <w:r>
        <w:rPr>
          <w:rFonts w:hint="eastAsia" w:cs="宋体"/>
          <w:color w:val="auto"/>
          <w:sz w:val="21"/>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642B9193">
      <w:pPr>
        <w:pStyle w:val="321"/>
        <w:rPr>
          <w:rFonts w:ascii="宋体" w:cs="宋体"/>
          <w:color w:val="auto"/>
          <w:sz w:val="32"/>
          <w:highlight w:val="none"/>
        </w:rPr>
      </w:pPr>
      <w:bookmarkStart w:id="294" w:name="_Toc478389063"/>
      <w:bookmarkStart w:id="295" w:name="_Toc351203531"/>
      <w:r>
        <w:rPr>
          <w:rFonts w:hint="eastAsia" w:ascii="宋体" w:cs="宋体"/>
          <w:color w:val="auto"/>
          <w:highlight w:val="none"/>
        </w:rPr>
        <w:t>4</w:t>
      </w:r>
      <w:bookmarkStart w:id="296" w:name="_Toc296503057"/>
      <w:bookmarkStart w:id="297" w:name="_Toc296346558"/>
      <w:bookmarkStart w:id="298" w:name="_Toc337558757"/>
      <w:r>
        <w:rPr>
          <w:rFonts w:hint="eastAsia" w:ascii="宋体" w:cs="宋体"/>
          <w:color w:val="auto"/>
          <w:highlight w:val="none"/>
        </w:rPr>
        <w:t>.4 商定或确定</w:t>
      </w:r>
      <w:bookmarkEnd w:id="294"/>
      <w:bookmarkEnd w:id="295"/>
    </w:p>
    <w:bookmarkEnd w:id="296"/>
    <w:bookmarkEnd w:id="297"/>
    <w:bookmarkEnd w:id="298"/>
    <w:p w14:paraId="767C9EDF">
      <w:pPr>
        <w:pStyle w:val="79"/>
        <w:rPr>
          <w:rFonts w:cs="宋体"/>
          <w:color w:val="auto"/>
          <w:sz w:val="21"/>
          <w:highlight w:val="none"/>
        </w:rPr>
      </w:pPr>
      <w:r>
        <w:rPr>
          <w:rFonts w:hint="eastAsia" w:cs="宋体"/>
          <w:color w:val="auto"/>
          <w:sz w:val="21"/>
          <w:highlight w:val="none"/>
        </w:rPr>
        <w:t>合同当事人进行商定或确定时，总监理工程师应当会同合同当事人尽量通过协商达成一致，不能达成一致的，由总监理工程师按照合同约定审慎做出公正的确定。</w:t>
      </w:r>
    </w:p>
    <w:p w14:paraId="25E7D57D">
      <w:pPr>
        <w:pStyle w:val="79"/>
        <w:rPr>
          <w:rFonts w:cs="宋体"/>
          <w:color w:val="auto"/>
          <w:sz w:val="21"/>
          <w:highlight w:val="none"/>
        </w:rPr>
      </w:pPr>
      <w:r>
        <w:rPr>
          <w:rFonts w:hint="eastAsia" w:cs="宋体"/>
          <w:color w:val="auto"/>
          <w:sz w:val="21"/>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49F5D548">
      <w:pPr>
        <w:pStyle w:val="321"/>
        <w:rPr>
          <w:rFonts w:ascii="宋体" w:cs="宋体"/>
          <w:color w:val="auto"/>
          <w:highlight w:val="none"/>
        </w:rPr>
      </w:pPr>
      <w:bookmarkStart w:id="299" w:name="_Toc351203532"/>
      <w:bookmarkStart w:id="300" w:name="_Toc478389064"/>
      <w:r>
        <w:rPr>
          <w:rFonts w:hint="eastAsia" w:ascii="宋体" w:cs="宋体"/>
          <w:color w:val="auto"/>
          <w:highlight w:val="none"/>
        </w:rPr>
        <w:t>5</w:t>
      </w:r>
      <w:bookmarkStart w:id="301" w:name="_Toc337558758"/>
      <w:r>
        <w:rPr>
          <w:rFonts w:hint="eastAsia" w:ascii="宋体" w:cs="宋体"/>
          <w:color w:val="auto"/>
          <w:highlight w:val="none"/>
        </w:rPr>
        <w:t>. 工程质量</w:t>
      </w:r>
      <w:bookmarkEnd w:id="299"/>
      <w:bookmarkEnd w:id="300"/>
    </w:p>
    <w:bookmarkEnd w:id="301"/>
    <w:p w14:paraId="7703FFD2">
      <w:pPr>
        <w:pStyle w:val="321"/>
        <w:rPr>
          <w:rFonts w:ascii="宋体" w:cs="宋体"/>
          <w:color w:val="auto"/>
          <w:highlight w:val="none"/>
        </w:rPr>
      </w:pPr>
      <w:bookmarkStart w:id="302" w:name="_Toc478389065"/>
      <w:bookmarkStart w:id="303" w:name="_Toc351203533"/>
      <w:r>
        <w:rPr>
          <w:rFonts w:hint="eastAsia" w:ascii="宋体" w:cs="宋体"/>
          <w:color w:val="auto"/>
          <w:highlight w:val="none"/>
        </w:rPr>
        <w:t>5</w:t>
      </w:r>
      <w:bookmarkStart w:id="304" w:name="_Toc337558759"/>
      <w:r>
        <w:rPr>
          <w:rFonts w:hint="eastAsia" w:ascii="宋体" w:cs="宋体"/>
          <w:color w:val="auto"/>
          <w:highlight w:val="none"/>
        </w:rPr>
        <w:t>.1质量要求</w:t>
      </w:r>
      <w:bookmarkEnd w:id="302"/>
      <w:bookmarkEnd w:id="303"/>
    </w:p>
    <w:bookmarkEnd w:id="304"/>
    <w:p w14:paraId="6F7A253B">
      <w:pPr>
        <w:pStyle w:val="79"/>
        <w:rPr>
          <w:rFonts w:cs="宋体"/>
          <w:color w:val="auto"/>
          <w:sz w:val="21"/>
          <w:highlight w:val="none"/>
        </w:rPr>
      </w:pPr>
      <w:r>
        <w:rPr>
          <w:rFonts w:hint="eastAsia" w:cs="宋体"/>
          <w:color w:val="auto"/>
          <w:sz w:val="21"/>
          <w:highlight w:val="none"/>
        </w:rPr>
        <w:t>5.1.1工程质量标准必须符合现行国家有关工程施工质量验收规范和标准的要求。有关工程质量的特殊标准或要求由合同当事人在专用合同条款中约定。</w:t>
      </w:r>
    </w:p>
    <w:p w14:paraId="3BF331B5">
      <w:pPr>
        <w:pStyle w:val="79"/>
        <w:rPr>
          <w:rFonts w:cs="宋体"/>
          <w:color w:val="auto"/>
          <w:sz w:val="21"/>
          <w:highlight w:val="none"/>
        </w:rPr>
      </w:pPr>
      <w:r>
        <w:rPr>
          <w:rFonts w:hint="eastAsia" w:cs="宋体"/>
          <w:color w:val="auto"/>
          <w:sz w:val="21"/>
          <w:highlight w:val="none"/>
        </w:rPr>
        <w:t>5.1.2因发包人原因造成工程质量未达到合同约定标准的，由发包人承担由此增加的费用和（或）延误的工期，并支付承包人合理的利润。</w:t>
      </w:r>
    </w:p>
    <w:p w14:paraId="7BC6CE88">
      <w:pPr>
        <w:pStyle w:val="79"/>
        <w:rPr>
          <w:rFonts w:cs="宋体"/>
          <w:color w:val="auto"/>
          <w:sz w:val="21"/>
          <w:highlight w:val="none"/>
        </w:rPr>
      </w:pPr>
      <w:r>
        <w:rPr>
          <w:rFonts w:hint="eastAsia" w:cs="宋体"/>
          <w:color w:val="auto"/>
          <w:sz w:val="21"/>
          <w:highlight w:val="none"/>
        </w:rPr>
        <w:t>5.1.3因承包人原因造成工程质量未达到合同约定标准的，发包人有权要求承包人返工直至工程质量达到合同约定的标准为止，并由承包人承担由此增加的费用和（或）延误的工期。</w:t>
      </w:r>
    </w:p>
    <w:p w14:paraId="14EE392F">
      <w:pPr>
        <w:pStyle w:val="321"/>
        <w:rPr>
          <w:rFonts w:ascii="宋体" w:cs="宋体"/>
          <w:color w:val="auto"/>
          <w:highlight w:val="none"/>
        </w:rPr>
      </w:pPr>
      <w:bookmarkStart w:id="305" w:name="_Toc351203534"/>
      <w:bookmarkStart w:id="306" w:name="_Toc478389066"/>
      <w:r>
        <w:rPr>
          <w:rFonts w:hint="eastAsia" w:ascii="宋体" w:cs="宋体"/>
          <w:color w:val="auto"/>
          <w:highlight w:val="none"/>
        </w:rPr>
        <w:t>5</w:t>
      </w:r>
      <w:bookmarkStart w:id="307" w:name="_Toc337558760"/>
      <w:r>
        <w:rPr>
          <w:rFonts w:hint="eastAsia" w:ascii="宋体" w:cs="宋体"/>
          <w:color w:val="auto"/>
          <w:highlight w:val="none"/>
        </w:rPr>
        <w:t>.2质量保证措施</w:t>
      </w:r>
      <w:bookmarkEnd w:id="305"/>
      <w:bookmarkEnd w:id="306"/>
    </w:p>
    <w:bookmarkEnd w:id="307"/>
    <w:p w14:paraId="12148AA2">
      <w:pPr>
        <w:pStyle w:val="79"/>
        <w:rPr>
          <w:rFonts w:cs="宋体"/>
          <w:color w:val="auto"/>
          <w:sz w:val="21"/>
          <w:highlight w:val="none"/>
        </w:rPr>
      </w:pPr>
      <w:r>
        <w:rPr>
          <w:rFonts w:hint="eastAsia" w:cs="宋体"/>
          <w:color w:val="auto"/>
          <w:sz w:val="21"/>
          <w:highlight w:val="none"/>
        </w:rPr>
        <w:t>5.2.1 发包人的质量管理</w:t>
      </w:r>
    </w:p>
    <w:p w14:paraId="39171210">
      <w:pPr>
        <w:pStyle w:val="79"/>
        <w:rPr>
          <w:rFonts w:cs="宋体"/>
          <w:color w:val="auto"/>
          <w:sz w:val="21"/>
          <w:highlight w:val="none"/>
        </w:rPr>
      </w:pPr>
      <w:r>
        <w:rPr>
          <w:rFonts w:hint="eastAsia" w:cs="宋体"/>
          <w:color w:val="auto"/>
          <w:sz w:val="21"/>
          <w:highlight w:val="none"/>
        </w:rPr>
        <w:t>发包人应按照法律规定及合同约定完成与工程质量有关的各项工作。</w:t>
      </w:r>
    </w:p>
    <w:p w14:paraId="451CC5E8">
      <w:pPr>
        <w:pStyle w:val="79"/>
        <w:rPr>
          <w:rFonts w:cs="宋体"/>
          <w:color w:val="auto"/>
          <w:sz w:val="21"/>
          <w:highlight w:val="none"/>
        </w:rPr>
      </w:pPr>
      <w:r>
        <w:rPr>
          <w:rFonts w:hint="eastAsia" w:cs="宋体"/>
          <w:color w:val="auto"/>
          <w:sz w:val="21"/>
          <w:highlight w:val="none"/>
        </w:rPr>
        <w:t>5.2.2 承包人的质量管理</w:t>
      </w:r>
    </w:p>
    <w:p w14:paraId="7BE123CE">
      <w:pPr>
        <w:pStyle w:val="79"/>
        <w:rPr>
          <w:rFonts w:cs="宋体"/>
          <w:color w:val="auto"/>
          <w:sz w:val="21"/>
          <w:highlight w:val="none"/>
        </w:rPr>
      </w:pPr>
      <w:r>
        <w:rPr>
          <w:rFonts w:hint="eastAsia" w:cs="宋体"/>
          <w:color w:val="auto"/>
          <w:sz w:val="21"/>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07277D77">
      <w:pPr>
        <w:pStyle w:val="79"/>
        <w:rPr>
          <w:rFonts w:cs="宋体"/>
          <w:color w:val="auto"/>
          <w:sz w:val="21"/>
          <w:highlight w:val="none"/>
        </w:rPr>
      </w:pPr>
      <w:r>
        <w:rPr>
          <w:rFonts w:hint="eastAsia" w:cs="宋体"/>
          <w:color w:val="auto"/>
          <w:sz w:val="21"/>
          <w:highlight w:val="none"/>
        </w:rPr>
        <w:t>承包人应对施工人员进行质量教育和技术培训，定期考核施工人员的劳动技能，严格执行施工规范和操作规程。</w:t>
      </w:r>
    </w:p>
    <w:p w14:paraId="1104F9CD">
      <w:pPr>
        <w:pStyle w:val="79"/>
        <w:rPr>
          <w:rFonts w:cs="宋体"/>
          <w:color w:val="auto"/>
          <w:sz w:val="21"/>
          <w:highlight w:val="none"/>
        </w:rPr>
      </w:pPr>
      <w:r>
        <w:rPr>
          <w:rFonts w:hint="eastAsia" w:cs="宋体"/>
          <w:color w:val="auto"/>
          <w:sz w:val="21"/>
          <w:highlight w:val="none"/>
        </w:rPr>
        <w:t>承包人应按照法律规定和发包人的要求，对材料、工程设备以及工程的所有部位及其施工工艺进行全过程的质量检查和检验，并做详细记录，编制工程质量报表，报送监理人审查。此外，承包人还应按照法律规定和发包人的要求，进行施工现场取样试验、工程复核测量和设备性能检测，提供试验样品、提交试验报告和测量成果以及其他工作。</w:t>
      </w:r>
    </w:p>
    <w:p w14:paraId="06EFF076">
      <w:pPr>
        <w:pStyle w:val="79"/>
        <w:rPr>
          <w:rFonts w:cs="宋体"/>
          <w:color w:val="auto"/>
          <w:sz w:val="21"/>
          <w:highlight w:val="none"/>
        </w:rPr>
      </w:pPr>
      <w:r>
        <w:rPr>
          <w:rFonts w:hint="eastAsia" w:cs="宋体"/>
          <w:color w:val="auto"/>
          <w:sz w:val="21"/>
          <w:highlight w:val="none"/>
        </w:rPr>
        <w:t>5.2.3 监理人的质量检查和检验</w:t>
      </w:r>
    </w:p>
    <w:p w14:paraId="3DE8A12E">
      <w:pPr>
        <w:pStyle w:val="79"/>
        <w:rPr>
          <w:rFonts w:cs="宋体"/>
          <w:color w:val="auto"/>
          <w:sz w:val="21"/>
          <w:highlight w:val="none"/>
        </w:rPr>
      </w:pPr>
      <w:r>
        <w:rPr>
          <w:rFonts w:hint="eastAsia" w:cs="宋体"/>
          <w:color w:val="auto"/>
          <w:sz w:val="21"/>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查看和查阅施工原始记录。监理人为此进行的检查和检验，不免除或减轻承包人按照合同约定应当承担的责任。</w:t>
      </w:r>
    </w:p>
    <w:p w14:paraId="207C3209">
      <w:pPr>
        <w:pStyle w:val="79"/>
        <w:rPr>
          <w:rFonts w:cs="宋体"/>
          <w:color w:val="auto"/>
          <w:sz w:val="21"/>
          <w:highlight w:val="none"/>
        </w:rPr>
      </w:pPr>
      <w:r>
        <w:rPr>
          <w:rFonts w:hint="eastAsia" w:cs="宋体"/>
          <w:color w:val="auto"/>
          <w:sz w:val="21"/>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57985251">
      <w:pPr>
        <w:pStyle w:val="321"/>
        <w:rPr>
          <w:rFonts w:ascii="宋体" w:cs="宋体"/>
          <w:color w:val="auto"/>
          <w:highlight w:val="none"/>
        </w:rPr>
      </w:pPr>
      <w:bookmarkStart w:id="308" w:name="_Toc478389067"/>
      <w:bookmarkStart w:id="309" w:name="_Toc351203535"/>
      <w:r>
        <w:rPr>
          <w:rFonts w:hint="eastAsia" w:ascii="宋体" w:cs="宋体"/>
          <w:color w:val="auto"/>
          <w:highlight w:val="none"/>
        </w:rPr>
        <w:t>5</w:t>
      </w:r>
      <w:bookmarkStart w:id="310" w:name="_Toc337558761"/>
      <w:r>
        <w:rPr>
          <w:rFonts w:hint="eastAsia" w:ascii="宋体" w:cs="宋体"/>
          <w:color w:val="auto"/>
          <w:highlight w:val="none"/>
        </w:rPr>
        <w:t>.3 隐蔽工程检查</w:t>
      </w:r>
      <w:bookmarkEnd w:id="308"/>
      <w:bookmarkEnd w:id="309"/>
    </w:p>
    <w:bookmarkEnd w:id="310"/>
    <w:p w14:paraId="099ADF78">
      <w:pPr>
        <w:pStyle w:val="79"/>
        <w:rPr>
          <w:rFonts w:cs="宋体"/>
          <w:color w:val="auto"/>
          <w:sz w:val="21"/>
          <w:highlight w:val="none"/>
        </w:rPr>
      </w:pPr>
      <w:r>
        <w:rPr>
          <w:rFonts w:hint="eastAsia" w:cs="宋体"/>
          <w:color w:val="auto"/>
          <w:sz w:val="21"/>
          <w:highlight w:val="none"/>
        </w:rPr>
        <w:t>5.3.1承包人自检</w:t>
      </w:r>
    </w:p>
    <w:p w14:paraId="157BC39B">
      <w:pPr>
        <w:pStyle w:val="79"/>
        <w:rPr>
          <w:rFonts w:cs="宋体"/>
          <w:color w:val="auto"/>
          <w:sz w:val="21"/>
          <w:highlight w:val="none"/>
        </w:rPr>
      </w:pPr>
      <w:r>
        <w:rPr>
          <w:rFonts w:hint="eastAsia" w:cs="宋体"/>
          <w:color w:val="auto"/>
          <w:sz w:val="21"/>
          <w:highlight w:val="none"/>
        </w:rPr>
        <w:t>承包人应当对工程隐蔽部位进行自检，并经自检确认是否具备覆盖条件。</w:t>
      </w:r>
    </w:p>
    <w:p w14:paraId="480BCFF3">
      <w:pPr>
        <w:pStyle w:val="79"/>
        <w:rPr>
          <w:rFonts w:cs="宋体"/>
          <w:color w:val="auto"/>
          <w:sz w:val="21"/>
          <w:highlight w:val="none"/>
        </w:rPr>
      </w:pPr>
      <w:r>
        <w:rPr>
          <w:rFonts w:hint="eastAsia" w:cs="宋体"/>
          <w:color w:val="auto"/>
          <w:sz w:val="21"/>
          <w:highlight w:val="none"/>
        </w:rPr>
        <w:t>5.3.2检查程序</w:t>
      </w:r>
    </w:p>
    <w:p w14:paraId="0835716D">
      <w:pPr>
        <w:pStyle w:val="79"/>
        <w:rPr>
          <w:rFonts w:cs="宋体"/>
          <w:color w:val="auto"/>
          <w:sz w:val="21"/>
          <w:highlight w:val="none"/>
        </w:rPr>
      </w:pPr>
      <w:r>
        <w:rPr>
          <w:rFonts w:hint="eastAsia" w:cs="宋体"/>
          <w:color w:val="auto"/>
          <w:sz w:val="21"/>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054D1567">
      <w:pPr>
        <w:pStyle w:val="79"/>
        <w:rPr>
          <w:rFonts w:cs="宋体"/>
          <w:color w:val="auto"/>
          <w:sz w:val="21"/>
          <w:highlight w:val="none"/>
        </w:rPr>
      </w:pPr>
      <w:r>
        <w:rPr>
          <w:rFonts w:hint="eastAsia" w:cs="宋体"/>
          <w:color w:val="auto"/>
          <w:sz w:val="21"/>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793AC9BC">
      <w:pPr>
        <w:pStyle w:val="79"/>
        <w:rPr>
          <w:rFonts w:cs="宋体"/>
          <w:color w:val="auto"/>
          <w:sz w:val="21"/>
          <w:highlight w:val="none"/>
        </w:rPr>
      </w:pPr>
      <w:r>
        <w:rPr>
          <w:rFonts w:hint="eastAsia" w:cs="宋体"/>
          <w:color w:val="auto"/>
          <w:sz w:val="21"/>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5F5A2FC6">
      <w:pPr>
        <w:pStyle w:val="79"/>
        <w:rPr>
          <w:rFonts w:cs="宋体"/>
          <w:color w:val="auto"/>
          <w:sz w:val="21"/>
          <w:highlight w:val="none"/>
        </w:rPr>
      </w:pPr>
      <w:r>
        <w:rPr>
          <w:rFonts w:hint="eastAsia" w:cs="宋体"/>
          <w:color w:val="auto"/>
          <w:sz w:val="21"/>
          <w:highlight w:val="none"/>
        </w:rPr>
        <w:t>5.3.3 重新检查</w:t>
      </w:r>
    </w:p>
    <w:p w14:paraId="21E7B026">
      <w:pPr>
        <w:pStyle w:val="79"/>
        <w:rPr>
          <w:rFonts w:cs="宋体"/>
          <w:color w:val="auto"/>
          <w:sz w:val="21"/>
          <w:highlight w:val="none"/>
        </w:rPr>
      </w:pPr>
      <w:r>
        <w:rPr>
          <w:rFonts w:hint="eastAsia" w:cs="宋体"/>
          <w:color w:val="auto"/>
          <w:sz w:val="21"/>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505D66E3">
      <w:pPr>
        <w:pStyle w:val="79"/>
        <w:rPr>
          <w:rFonts w:cs="宋体"/>
          <w:color w:val="auto"/>
          <w:sz w:val="21"/>
          <w:highlight w:val="none"/>
        </w:rPr>
      </w:pPr>
      <w:r>
        <w:rPr>
          <w:rFonts w:hint="eastAsia" w:cs="宋体"/>
          <w:color w:val="auto"/>
          <w:sz w:val="21"/>
          <w:highlight w:val="none"/>
        </w:rPr>
        <w:t>5.3.4 承包人私自覆盖</w:t>
      </w:r>
    </w:p>
    <w:p w14:paraId="2A40FE70">
      <w:pPr>
        <w:pStyle w:val="79"/>
        <w:rPr>
          <w:rFonts w:cs="宋体"/>
          <w:color w:val="auto"/>
          <w:sz w:val="21"/>
          <w:highlight w:val="none"/>
        </w:rPr>
      </w:pPr>
      <w:r>
        <w:rPr>
          <w:rFonts w:hint="eastAsia" w:cs="宋体"/>
          <w:color w:val="auto"/>
          <w:sz w:val="21"/>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1A6DDEB7">
      <w:pPr>
        <w:pStyle w:val="321"/>
        <w:rPr>
          <w:rFonts w:ascii="宋体" w:cs="宋体"/>
          <w:color w:val="auto"/>
          <w:highlight w:val="none"/>
        </w:rPr>
      </w:pPr>
      <w:bookmarkStart w:id="311" w:name="_Toc478389068"/>
      <w:bookmarkStart w:id="312" w:name="_Toc351203536"/>
      <w:r>
        <w:rPr>
          <w:rFonts w:hint="eastAsia" w:ascii="宋体" w:cs="宋体"/>
          <w:color w:val="auto"/>
          <w:highlight w:val="none"/>
        </w:rPr>
        <w:t>5</w:t>
      </w:r>
      <w:bookmarkStart w:id="313" w:name="_Toc337558762"/>
      <w:r>
        <w:rPr>
          <w:rFonts w:hint="eastAsia" w:ascii="宋体" w:cs="宋体"/>
          <w:color w:val="auto"/>
          <w:highlight w:val="none"/>
        </w:rPr>
        <w:t>.4不合格工程的处理</w:t>
      </w:r>
      <w:bookmarkEnd w:id="311"/>
      <w:bookmarkEnd w:id="312"/>
    </w:p>
    <w:bookmarkEnd w:id="313"/>
    <w:p w14:paraId="0405C5A9">
      <w:pPr>
        <w:pStyle w:val="79"/>
        <w:rPr>
          <w:rFonts w:cs="宋体"/>
          <w:color w:val="auto"/>
          <w:sz w:val="21"/>
          <w:highlight w:val="none"/>
        </w:rPr>
      </w:pPr>
      <w:r>
        <w:rPr>
          <w:rFonts w:hint="eastAsia" w:cs="宋体"/>
          <w:color w:val="auto"/>
          <w:sz w:val="21"/>
          <w:highlight w:val="none"/>
        </w:rPr>
        <w:t xml:space="preserve">5.4.1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6C7C9A31">
      <w:pPr>
        <w:pStyle w:val="79"/>
        <w:rPr>
          <w:rFonts w:cs="宋体"/>
          <w:color w:val="auto"/>
          <w:sz w:val="21"/>
          <w:highlight w:val="none"/>
        </w:rPr>
      </w:pPr>
      <w:r>
        <w:rPr>
          <w:rFonts w:hint="eastAsia" w:cs="宋体"/>
          <w:color w:val="auto"/>
          <w:sz w:val="21"/>
          <w:highlight w:val="none"/>
        </w:rPr>
        <w:t>5.4.2因发包人原因造成工程不合格的，由此增加的费用和（或）延误的工期由发包人承担，并支付承包人合理的利润。</w:t>
      </w:r>
    </w:p>
    <w:p w14:paraId="033433AE">
      <w:pPr>
        <w:pStyle w:val="321"/>
        <w:rPr>
          <w:rFonts w:ascii="宋体" w:cs="宋体"/>
          <w:color w:val="auto"/>
          <w:highlight w:val="none"/>
        </w:rPr>
      </w:pPr>
      <w:bookmarkStart w:id="314" w:name="_Toc351203537"/>
      <w:bookmarkStart w:id="315" w:name="_Toc478389069"/>
      <w:r>
        <w:rPr>
          <w:rFonts w:hint="eastAsia" w:ascii="宋体" w:cs="宋体"/>
          <w:color w:val="auto"/>
          <w:highlight w:val="none"/>
        </w:rPr>
        <w:t>5.5 质量争议检测</w:t>
      </w:r>
      <w:bookmarkEnd w:id="314"/>
      <w:bookmarkEnd w:id="315"/>
    </w:p>
    <w:p w14:paraId="04AF40A7">
      <w:pPr>
        <w:pStyle w:val="79"/>
        <w:rPr>
          <w:rFonts w:cs="宋体"/>
          <w:color w:val="auto"/>
          <w:sz w:val="21"/>
          <w:highlight w:val="none"/>
        </w:rPr>
      </w:pPr>
      <w:r>
        <w:rPr>
          <w:rFonts w:hint="eastAsia" w:cs="宋体"/>
          <w:color w:val="auto"/>
          <w:sz w:val="21"/>
          <w:highlight w:val="none"/>
        </w:rPr>
        <w:t>合同当事人对工程质量有争议的，由双方协商确定的工程质量检测机构鉴定，由此产生的费用及因此造成的损失，由责任方承担。</w:t>
      </w:r>
    </w:p>
    <w:p w14:paraId="5250011D">
      <w:pPr>
        <w:pStyle w:val="79"/>
        <w:rPr>
          <w:rFonts w:cs="宋体"/>
          <w:color w:val="auto"/>
          <w:sz w:val="21"/>
          <w:highlight w:val="none"/>
        </w:rPr>
      </w:pPr>
      <w:r>
        <w:rPr>
          <w:rFonts w:hint="eastAsia" w:cs="宋体"/>
          <w:color w:val="auto"/>
          <w:sz w:val="21"/>
          <w:highlight w:val="none"/>
        </w:rPr>
        <w:t>合同当事人均有责任的，由双方根据其责任分别承担。合同当事人无法达成一致的，按照第4.4款〔商定或确定〕执行。</w:t>
      </w:r>
    </w:p>
    <w:p w14:paraId="62479A14">
      <w:pPr>
        <w:pStyle w:val="321"/>
        <w:rPr>
          <w:rFonts w:ascii="宋体" w:cs="宋体"/>
          <w:color w:val="auto"/>
          <w:highlight w:val="none"/>
        </w:rPr>
      </w:pPr>
      <w:bookmarkStart w:id="316" w:name="_Toc351203538"/>
      <w:bookmarkStart w:id="317" w:name="_Toc478389070"/>
      <w:r>
        <w:rPr>
          <w:rFonts w:hint="eastAsia" w:ascii="宋体" w:cs="宋体"/>
          <w:color w:val="auto"/>
          <w:highlight w:val="none"/>
        </w:rPr>
        <w:t>6</w:t>
      </w:r>
      <w:bookmarkStart w:id="318" w:name="_Toc337558763"/>
      <w:r>
        <w:rPr>
          <w:rFonts w:hint="eastAsia" w:ascii="宋体" w:cs="宋体"/>
          <w:color w:val="auto"/>
          <w:highlight w:val="none"/>
        </w:rPr>
        <w:t>. 安全文明施工与环境保护</w:t>
      </w:r>
      <w:bookmarkEnd w:id="316"/>
      <w:bookmarkEnd w:id="317"/>
    </w:p>
    <w:bookmarkEnd w:id="318"/>
    <w:p w14:paraId="6FEED90A">
      <w:pPr>
        <w:pStyle w:val="321"/>
        <w:rPr>
          <w:rFonts w:ascii="宋体" w:cs="宋体"/>
          <w:color w:val="auto"/>
          <w:highlight w:val="none"/>
        </w:rPr>
      </w:pPr>
      <w:bookmarkStart w:id="319" w:name="_Toc351203539"/>
      <w:bookmarkStart w:id="320" w:name="_Toc478389071"/>
      <w:r>
        <w:rPr>
          <w:rFonts w:hint="eastAsia" w:ascii="宋体" w:cs="宋体"/>
          <w:color w:val="auto"/>
          <w:highlight w:val="none"/>
        </w:rPr>
        <w:t>6</w:t>
      </w:r>
      <w:bookmarkStart w:id="321" w:name="_Toc337558764"/>
      <w:r>
        <w:rPr>
          <w:rFonts w:hint="eastAsia" w:ascii="宋体" w:cs="宋体"/>
          <w:color w:val="auto"/>
          <w:highlight w:val="none"/>
        </w:rPr>
        <w:t>.1安全文明施工</w:t>
      </w:r>
      <w:bookmarkEnd w:id="319"/>
      <w:bookmarkEnd w:id="320"/>
    </w:p>
    <w:bookmarkEnd w:id="321"/>
    <w:p w14:paraId="3909446D">
      <w:pPr>
        <w:pStyle w:val="79"/>
        <w:rPr>
          <w:rFonts w:cs="宋体"/>
          <w:color w:val="auto"/>
          <w:sz w:val="21"/>
          <w:highlight w:val="none"/>
        </w:rPr>
      </w:pPr>
      <w:r>
        <w:rPr>
          <w:rFonts w:hint="eastAsia" w:cs="宋体"/>
          <w:color w:val="auto"/>
          <w:sz w:val="21"/>
          <w:highlight w:val="none"/>
        </w:rPr>
        <w:t>6.1.1安全生产要求</w:t>
      </w:r>
    </w:p>
    <w:p w14:paraId="3392E3BD">
      <w:pPr>
        <w:pStyle w:val="79"/>
        <w:rPr>
          <w:rFonts w:cs="宋体"/>
          <w:color w:val="auto"/>
          <w:sz w:val="21"/>
          <w:highlight w:val="none"/>
        </w:rPr>
      </w:pPr>
      <w:r>
        <w:rPr>
          <w:rFonts w:hint="eastAsia" w:cs="宋体"/>
          <w:color w:val="auto"/>
          <w:sz w:val="21"/>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253790D8">
      <w:pPr>
        <w:pStyle w:val="79"/>
        <w:rPr>
          <w:rFonts w:cs="宋体"/>
          <w:color w:val="auto"/>
          <w:sz w:val="21"/>
          <w:highlight w:val="none"/>
        </w:rPr>
      </w:pPr>
      <w:r>
        <w:rPr>
          <w:rFonts w:hint="eastAsia" w:cs="宋体"/>
          <w:color w:val="auto"/>
          <w:sz w:val="21"/>
          <w:highlight w:val="none"/>
        </w:rPr>
        <w:t>在施工过程中，如遇到突发的地质变动、事先未知的地下施工障碍等影响施工安全的紧急情况，承包人应及时报告监理人和发包人，发包人应当及时下令停工并报有关行政管理部门采取应急措施。</w:t>
      </w:r>
    </w:p>
    <w:p w14:paraId="5FBC775F">
      <w:pPr>
        <w:pStyle w:val="79"/>
        <w:rPr>
          <w:rFonts w:cs="宋体"/>
          <w:color w:val="auto"/>
          <w:sz w:val="21"/>
          <w:highlight w:val="none"/>
        </w:rPr>
      </w:pPr>
      <w:r>
        <w:rPr>
          <w:rFonts w:hint="eastAsia" w:cs="宋体"/>
          <w:color w:val="auto"/>
          <w:sz w:val="21"/>
          <w:highlight w:val="none"/>
        </w:rPr>
        <w:t>因安全生产需要暂停施工的，按照第7.8款〔暂停施工〕的约定执行。</w:t>
      </w:r>
    </w:p>
    <w:p w14:paraId="5C3C6D99">
      <w:pPr>
        <w:pStyle w:val="79"/>
        <w:rPr>
          <w:rFonts w:cs="宋体"/>
          <w:color w:val="auto"/>
          <w:sz w:val="21"/>
          <w:highlight w:val="none"/>
        </w:rPr>
      </w:pPr>
      <w:r>
        <w:rPr>
          <w:rFonts w:hint="eastAsia" w:cs="宋体"/>
          <w:color w:val="auto"/>
          <w:sz w:val="21"/>
          <w:highlight w:val="none"/>
        </w:rPr>
        <w:t>6.1.2 安全生产保证措施</w:t>
      </w:r>
    </w:p>
    <w:p w14:paraId="15456A9D">
      <w:pPr>
        <w:pStyle w:val="79"/>
        <w:rPr>
          <w:rFonts w:cs="宋体"/>
          <w:color w:val="auto"/>
          <w:sz w:val="21"/>
          <w:highlight w:val="none"/>
        </w:rPr>
      </w:pPr>
      <w:r>
        <w:rPr>
          <w:rFonts w:hint="eastAsia" w:cs="宋体"/>
          <w:color w:val="auto"/>
          <w:sz w:val="21"/>
          <w:highlight w:val="none"/>
        </w:rPr>
        <w:t>承包人应当按照有关规定编制安全技术措施或者专项施工方案，建立安全生产责任制度、治安保卫制度及安全生产教育培训制度，并按照安全生产法律规定及合同约定履行安全职责，如实编制工程安全生产的有关记录，接受发包人、监理人及安全监督部门的检查与监督。</w:t>
      </w:r>
    </w:p>
    <w:p w14:paraId="2317CF52">
      <w:pPr>
        <w:pStyle w:val="79"/>
        <w:rPr>
          <w:rFonts w:cs="宋体"/>
          <w:color w:val="auto"/>
          <w:sz w:val="21"/>
          <w:highlight w:val="none"/>
        </w:rPr>
      </w:pPr>
      <w:r>
        <w:rPr>
          <w:rFonts w:hint="eastAsia" w:cs="宋体"/>
          <w:color w:val="auto"/>
          <w:sz w:val="21"/>
          <w:highlight w:val="none"/>
        </w:rPr>
        <w:t>6.1.3特别安全生产事项</w:t>
      </w:r>
    </w:p>
    <w:p w14:paraId="63793ECD">
      <w:pPr>
        <w:pStyle w:val="79"/>
        <w:rPr>
          <w:rFonts w:cs="宋体"/>
          <w:color w:val="auto"/>
          <w:sz w:val="21"/>
          <w:highlight w:val="none"/>
        </w:rPr>
      </w:pPr>
      <w:r>
        <w:rPr>
          <w:rFonts w:hint="eastAsia" w:cs="宋体"/>
          <w:color w:val="auto"/>
          <w:sz w:val="21"/>
          <w:highlight w:val="none"/>
        </w:rPr>
        <w:t>承包人应按照法律规定进行施工，开工前做好安全技术交底工作，施工过程中做好各项安全防护措施。承包人为实施合同而雇用的特殊工种的人员应受过专门的培训并已取得有关管理机构颁发的上岗证书。</w:t>
      </w:r>
    </w:p>
    <w:p w14:paraId="3D6B1949">
      <w:pPr>
        <w:pStyle w:val="79"/>
        <w:rPr>
          <w:rFonts w:cs="宋体"/>
          <w:color w:val="auto"/>
          <w:sz w:val="21"/>
          <w:highlight w:val="none"/>
        </w:rPr>
      </w:pPr>
      <w:r>
        <w:rPr>
          <w:rFonts w:hint="eastAsia" w:cs="宋体"/>
          <w:color w:val="auto"/>
          <w:sz w:val="21"/>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50B5E50D">
      <w:pPr>
        <w:pStyle w:val="79"/>
        <w:rPr>
          <w:rFonts w:cs="宋体"/>
          <w:color w:val="auto"/>
          <w:sz w:val="21"/>
          <w:highlight w:val="none"/>
        </w:rPr>
      </w:pPr>
      <w:r>
        <w:rPr>
          <w:rFonts w:hint="eastAsia" w:cs="宋体"/>
          <w:color w:val="auto"/>
          <w:sz w:val="21"/>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6D211443">
      <w:pPr>
        <w:pStyle w:val="79"/>
        <w:rPr>
          <w:rFonts w:cs="宋体"/>
          <w:color w:val="auto"/>
          <w:sz w:val="21"/>
          <w:highlight w:val="none"/>
        </w:rPr>
      </w:pPr>
      <w:r>
        <w:rPr>
          <w:rFonts w:hint="eastAsia" w:cs="宋体"/>
          <w:color w:val="auto"/>
          <w:sz w:val="21"/>
          <w:highlight w:val="none"/>
        </w:rPr>
        <w:t>需单独编制危险性较大分部分项专项工程施工方案的，要求进行专家论证的超过一定规模的危险性较大的分部分项工程，承包人应及时编制和组织论证。</w:t>
      </w:r>
    </w:p>
    <w:p w14:paraId="291347CD">
      <w:pPr>
        <w:pStyle w:val="79"/>
        <w:rPr>
          <w:rFonts w:cs="宋体"/>
          <w:color w:val="auto"/>
          <w:sz w:val="21"/>
          <w:highlight w:val="none"/>
        </w:rPr>
      </w:pPr>
      <w:r>
        <w:rPr>
          <w:rFonts w:hint="eastAsia" w:cs="宋体"/>
          <w:color w:val="auto"/>
          <w:sz w:val="21"/>
          <w:highlight w:val="none"/>
        </w:rPr>
        <w:t>6.1.4 治安保卫</w:t>
      </w:r>
    </w:p>
    <w:p w14:paraId="63B647E1">
      <w:pPr>
        <w:pStyle w:val="79"/>
        <w:rPr>
          <w:rFonts w:cs="宋体"/>
          <w:color w:val="auto"/>
          <w:sz w:val="21"/>
          <w:highlight w:val="none"/>
        </w:rPr>
      </w:pPr>
      <w:r>
        <w:rPr>
          <w:rFonts w:hint="eastAsia" w:cs="宋体"/>
          <w:color w:val="auto"/>
          <w:sz w:val="21"/>
          <w:highlight w:val="none"/>
        </w:rPr>
        <w:t>除专用合同条款另有约定外，发包人应与当地公安部门协商，在现场建立治安管理机构或联防组织，统一管理施工场地的治安保卫事项，履行合同工程的治安保卫职责。</w:t>
      </w:r>
    </w:p>
    <w:p w14:paraId="62F07CB8">
      <w:pPr>
        <w:pStyle w:val="79"/>
        <w:rPr>
          <w:rFonts w:cs="宋体"/>
          <w:color w:val="auto"/>
          <w:sz w:val="21"/>
          <w:highlight w:val="none"/>
        </w:rPr>
      </w:pPr>
      <w:r>
        <w:rPr>
          <w:rFonts w:hint="eastAsia" w:cs="宋体"/>
          <w:color w:val="auto"/>
          <w:sz w:val="21"/>
          <w:highlight w:val="none"/>
        </w:rPr>
        <w:t>发包人和承包人除应协助现场治安管理机构或联防组织维护施工场地的社会治安外，还应做好包括生活区在内的各自管辖区的治安保卫工作。</w:t>
      </w:r>
    </w:p>
    <w:p w14:paraId="3EED93F5">
      <w:pPr>
        <w:pStyle w:val="79"/>
        <w:rPr>
          <w:rFonts w:cs="宋体"/>
          <w:color w:val="auto"/>
          <w:sz w:val="21"/>
          <w:highlight w:val="none"/>
        </w:rPr>
      </w:pPr>
      <w:r>
        <w:rPr>
          <w:rFonts w:hint="eastAsia" w:cs="宋体"/>
          <w:color w:val="auto"/>
          <w:sz w:val="21"/>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报告。发包人和承包人应积极协助当地有关部门采取措施平息事态，防止事态扩大，尽量避免人员伤亡和财产损失。</w:t>
      </w:r>
    </w:p>
    <w:p w14:paraId="3B51F42C">
      <w:pPr>
        <w:pStyle w:val="79"/>
        <w:rPr>
          <w:rFonts w:cs="宋体"/>
          <w:color w:val="auto"/>
          <w:sz w:val="21"/>
          <w:highlight w:val="none"/>
        </w:rPr>
      </w:pPr>
      <w:r>
        <w:rPr>
          <w:rFonts w:hint="eastAsia" w:cs="宋体"/>
          <w:color w:val="auto"/>
          <w:sz w:val="21"/>
          <w:highlight w:val="none"/>
        </w:rPr>
        <w:t>6.1.5 文明施工</w:t>
      </w:r>
    </w:p>
    <w:p w14:paraId="5211117A">
      <w:pPr>
        <w:pStyle w:val="79"/>
        <w:rPr>
          <w:rFonts w:cs="宋体"/>
          <w:color w:val="auto"/>
          <w:sz w:val="21"/>
          <w:highlight w:val="none"/>
        </w:rPr>
      </w:pPr>
      <w:r>
        <w:rPr>
          <w:rFonts w:hint="eastAsia" w:cs="宋体"/>
          <w:color w:val="auto"/>
          <w:sz w:val="21"/>
          <w:highlight w:val="none"/>
        </w:rPr>
        <w:t>承包人在工程施工期间，应当采取措施保持施工现场平整，物料堆放整齐。工程所在地有关行政管理部门有特殊要求的，按照其要求执行。合同当事人对文明施工有其他要求的，可以在专用合同条款中明确。</w:t>
      </w:r>
    </w:p>
    <w:p w14:paraId="73D858D2">
      <w:pPr>
        <w:pStyle w:val="79"/>
        <w:rPr>
          <w:rFonts w:cs="宋体"/>
          <w:color w:val="auto"/>
          <w:sz w:val="21"/>
          <w:highlight w:val="none"/>
        </w:rPr>
      </w:pPr>
      <w:r>
        <w:rPr>
          <w:rFonts w:hint="eastAsia" w:cs="宋体"/>
          <w:color w:val="auto"/>
          <w:sz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DD478E2">
      <w:pPr>
        <w:pStyle w:val="79"/>
        <w:rPr>
          <w:rFonts w:cs="宋体"/>
          <w:color w:val="auto"/>
          <w:sz w:val="21"/>
          <w:highlight w:val="none"/>
        </w:rPr>
      </w:pPr>
      <w:r>
        <w:rPr>
          <w:rFonts w:hint="eastAsia" w:cs="宋体"/>
          <w:color w:val="auto"/>
          <w:sz w:val="21"/>
          <w:highlight w:val="none"/>
        </w:rPr>
        <w:t>6.1.6 安全文明施工费</w:t>
      </w:r>
    </w:p>
    <w:p w14:paraId="6B2E5509">
      <w:pPr>
        <w:pStyle w:val="79"/>
        <w:rPr>
          <w:rFonts w:cs="宋体"/>
          <w:color w:val="auto"/>
          <w:sz w:val="21"/>
          <w:highlight w:val="none"/>
        </w:rPr>
      </w:pPr>
      <w:r>
        <w:rPr>
          <w:rFonts w:hint="eastAsia" w:cs="宋体"/>
          <w:color w:val="auto"/>
          <w:sz w:val="21"/>
          <w:highlight w:val="none"/>
        </w:rPr>
        <w:t>安全文明施工费由发包人承担，发包人不得以任何形式扣减该部分费用。因基准日期后合同所适用的法律或有关规定发生变化，增加的安全文明施工费由发包人承担。</w:t>
      </w:r>
    </w:p>
    <w:p w14:paraId="6B81196D">
      <w:pPr>
        <w:pStyle w:val="79"/>
        <w:rPr>
          <w:rFonts w:cs="宋体"/>
          <w:color w:val="auto"/>
          <w:sz w:val="21"/>
          <w:highlight w:val="none"/>
        </w:rPr>
      </w:pPr>
      <w:r>
        <w:rPr>
          <w:rFonts w:hint="eastAsia" w:cs="宋体"/>
          <w:color w:val="auto"/>
          <w:sz w:val="21"/>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52B95ED0">
      <w:pPr>
        <w:pStyle w:val="79"/>
        <w:rPr>
          <w:rFonts w:cs="宋体"/>
          <w:color w:val="auto"/>
          <w:sz w:val="21"/>
          <w:highlight w:val="none"/>
        </w:rPr>
      </w:pPr>
      <w:r>
        <w:rPr>
          <w:rFonts w:hint="eastAsia" w:cs="宋体"/>
          <w:color w:val="auto"/>
          <w:sz w:val="21"/>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2C7720EA">
      <w:pPr>
        <w:pStyle w:val="79"/>
        <w:rPr>
          <w:rFonts w:cs="宋体"/>
          <w:color w:val="auto"/>
          <w:sz w:val="21"/>
          <w:highlight w:val="none"/>
        </w:rPr>
      </w:pPr>
      <w:r>
        <w:rPr>
          <w:rFonts w:hint="eastAsia" w:cs="宋体"/>
          <w:color w:val="auto"/>
          <w:sz w:val="21"/>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71367231">
      <w:pPr>
        <w:pStyle w:val="79"/>
        <w:rPr>
          <w:rFonts w:cs="宋体"/>
          <w:color w:val="auto"/>
          <w:sz w:val="21"/>
          <w:highlight w:val="none"/>
        </w:rPr>
      </w:pPr>
      <w:r>
        <w:rPr>
          <w:rFonts w:hint="eastAsia" w:cs="宋体"/>
          <w:color w:val="auto"/>
          <w:sz w:val="21"/>
          <w:highlight w:val="none"/>
        </w:rPr>
        <w:t>6.1.7 紧急情况处理</w:t>
      </w:r>
    </w:p>
    <w:p w14:paraId="50C7C30D">
      <w:pPr>
        <w:pStyle w:val="79"/>
        <w:rPr>
          <w:rFonts w:cs="宋体"/>
          <w:color w:val="auto"/>
          <w:sz w:val="21"/>
          <w:highlight w:val="none"/>
        </w:rPr>
      </w:pPr>
      <w:r>
        <w:rPr>
          <w:rFonts w:hint="eastAsia" w:cs="宋体"/>
          <w:color w:val="auto"/>
          <w:sz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1A92B04D">
      <w:pPr>
        <w:pStyle w:val="79"/>
        <w:rPr>
          <w:rFonts w:cs="宋体"/>
          <w:color w:val="auto"/>
          <w:sz w:val="21"/>
          <w:highlight w:val="none"/>
        </w:rPr>
      </w:pPr>
      <w:r>
        <w:rPr>
          <w:rFonts w:hint="eastAsia" w:cs="宋体"/>
          <w:color w:val="auto"/>
          <w:sz w:val="21"/>
          <w:highlight w:val="none"/>
        </w:rPr>
        <w:t>6.1.8 事故处理</w:t>
      </w:r>
    </w:p>
    <w:p w14:paraId="08824701">
      <w:pPr>
        <w:pStyle w:val="79"/>
        <w:rPr>
          <w:rFonts w:cs="宋体"/>
          <w:color w:val="auto"/>
          <w:sz w:val="21"/>
          <w:highlight w:val="none"/>
        </w:rPr>
      </w:pPr>
      <w:r>
        <w:rPr>
          <w:rFonts w:hint="eastAsia" w:cs="宋体"/>
          <w:color w:val="auto"/>
          <w:sz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08EA9A5A">
      <w:pPr>
        <w:pStyle w:val="79"/>
        <w:rPr>
          <w:rFonts w:cs="宋体"/>
          <w:color w:val="auto"/>
          <w:sz w:val="21"/>
          <w:highlight w:val="none"/>
        </w:rPr>
      </w:pPr>
      <w:r>
        <w:rPr>
          <w:rFonts w:hint="eastAsia" w:cs="宋体"/>
          <w:color w:val="auto"/>
          <w:sz w:val="21"/>
          <w:highlight w:val="none"/>
        </w:rPr>
        <w:t xml:space="preserve"> 6.1.9 安全生产责任</w:t>
      </w:r>
    </w:p>
    <w:p w14:paraId="2B302FE2">
      <w:pPr>
        <w:pStyle w:val="79"/>
        <w:outlineLvl w:val="0"/>
        <w:rPr>
          <w:rFonts w:cs="宋体"/>
          <w:color w:val="auto"/>
          <w:sz w:val="21"/>
          <w:highlight w:val="none"/>
        </w:rPr>
      </w:pPr>
      <w:bookmarkStart w:id="322" w:name="_Toc406522103"/>
      <w:bookmarkStart w:id="323" w:name="_Toc478389072"/>
      <w:r>
        <w:rPr>
          <w:rFonts w:hint="eastAsia" w:cs="宋体"/>
          <w:color w:val="auto"/>
          <w:sz w:val="21"/>
          <w:highlight w:val="none"/>
        </w:rPr>
        <w:t>6.1.9.1 发包人的安全责任</w:t>
      </w:r>
      <w:bookmarkEnd w:id="322"/>
      <w:bookmarkEnd w:id="323"/>
    </w:p>
    <w:p w14:paraId="72A9CBFD">
      <w:pPr>
        <w:pStyle w:val="79"/>
        <w:rPr>
          <w:rFonts w:cs="宋体"/>
          <w:color w:val="auto"/>
          <w:sz w:val="21"/>
          <w:highlight w:val="none"/>
        </w:rPr>
      </w:pPr>
      <w:r>
        <w:rPr>
          <w:rFonts w:hint="eastAsia" w:cs="宋体"/>
          <w:color w:val="auto"/>
          <w:sz w:val="21"/>
          <w:highlight w:val="none"/>
        </w:rPr>
        <w:t xml:space="preserve"> 发包人应负责赔偿以下各种情况造成的损失：</w:t>
      </w:r>
    </w:p>
    <w:p w14:paraId="77038F69">
      <w:pPr>
        <w:pStyle w:val="79"/>
        <w:rPr>
          <w:rFonts w:cs="宋体"/>
          <w:color w:val="auto"/>
          <w:sz w:val="21"/>
          <w:highlight w:val="none"/>
        </w:rPr>
      </w:pPr>
      <w:r>
        <w:rPr>
          <w:rFonts w:hint="eastAsia" w:cs="宋体"/>
          <w:color w:val="auto"/>
          <w:sz w:val="21"/>
          <w:highlight w:val="none"/>
        </w:rPr>
        <w:t>（1）工程或工程的任何部分对土地的占用所造成的第三者财产损失；</w:t>
      </w:r>
    </w:p>
    <w:p w14:paraId="5EA19B90">
      <w:pPr>
        <w:pStyle w:val="79"/>
        <w:rPr>
          <w:rFonts w:cs="宋体"/>
          <w:color w:val="auto"/>
          <w:sz w:val="21"/>
          <w:highlight w:val="none"/>
        </w:rPr>
      </w:pPr>
      <w:r>
        <w:rPr>
          <w:rFonts w:hint="eastAsia" w:cs="宋体"/>
          <w:color w:val="auto"/>
          <w:sz w:val="21"/>
          <w:highlight w:val="none"/>
        </w:rPr>
        <w:t>（2）由于发包人原因在施工场地及其毗邻地带造成的第三者人身伤亡和财产损失；</w:t>
      </w:r>
    </w:p>
    <w:p w14:paraId="78D9DD38">
      <w:pPr>
        <w:pStyle w:val="79"/>
        <w:rPr>
          <w:rFonts w:cs="宋体"/>
          <w:color w:val="auto"/>
          <w:sz w:val="21"/>
          <w:highlight w:val="none"/>
        </w:rPr>
      </w:pPr>
      <w:r>
        <w:rPr>
          <w:rFonts w:hint="eastAsia" w:cs="宋体"/>
          <w:color w:val="auto"/>
          <w:sz w:val="21"/>
          <w:highlight w:val="none"/>
        </w:rPr>
        <w:t>（3）由于发包人原因对承包人、监理人造成的人员人身伤亡和财产损失；</w:t>
      </w:r>
    </w:p>
    <w:p w14:paraId="59089B7D">
      <w:pPr>
        <w:pStyle w:val="79"/>
        <w:rPr>
          <w:rFonts w:cs="宋体"/>
          <w:color w:val="auto"/>
          <w:sz w:val="21"/>
          <w:highlight w:val="none"/>
        </w:rPr>
      </w:pPr>
      <w:r>
        <w:rPr>
          <w:rFonts w:hint="eastAsia" w:cs="宋体"/>
          <w:color w:val="auto"/>
          <w:sz w:val="21"/>
          <w:highlight w:val="none"/>
        </w:rPr>
        <w:t>（4）由于发包人原因造成的发包人自身人员的人身伤害以及财产损失。</w:t>
      </w:r>
    </w:p>
    <w:p w14:paraId="3A41E4D9">
      <w:pPr>
        <w:pStyle w:val="79"/>
        <w:outlineLvl w:val="0"/>
        <w:rPr>
          <w:rFonts w:cs="宋体"/>
          <w:color w:val="auto"/>
          <w:sz w:val="21"/>
          <w:highlight w:val="none"/>
        </w:rPr>
      </w:pPr>
      <w:bookmarkStart w:id="324" w:name="_Toc478389073"/>
      <w:bookmarkStart w:id="325" w:name="_Toc406522104"/>
      <w:r>
        <w:rPr>
          <w:rFonts w:hint="eastAsia" w:cs="宋体"/>
          <w:color w:val="auto"/>
          <w:sz w:val="21"/>
          <w:highlight w:val="none"/>
        </w:rPr>
        <w:t>6.1.9.2 承包人的安全责任</w:t>
      </w:r>
      <w:bookmarkEnd w:id="324"/>
      <w:bookmarkEnd w:id="325"/>
    </w:p>
    <w:p w14:paraId="0CF53BE4">
      <w:pPr>
        <w:pStyle w:val="79"/>
        <w:rPr>
          <w:rFonts w:cs="宋体"/>
          <w:color w:val="auto"/>
          <w:sz w:val="21"/>
          <w:highlight w:val="none"/>
        </w:rPr>
      </w:pPr>
      <w:r>
        <w:rPr>
          <w:rFonts w:hint="eastAsia" w:cs="宋体"/>
          <w:color w:val="auto"/>
          <w:sz w:val="21"/>
          <w:highlight w:val="none"/>
        </w:rPr>
        <w:t>由于承包人原因在施工场地内及其毗邻地带造成的发包人、监理人以及第三者人员伤亡和财产损失，由承包人负责赔偿。</w:t>
      </w:r>
    </w:p>
    <w:p w14:paraId="37075240">
      <w:pPr>
        <w:pStyle w:val="321"/>
        <w:rPr>
          <w:rFonts w:ascii="宋体" w:cs="宋体"/>
          <w:color w:val="auto"/>
          <w:highlight w:val="none"/>
        </w:rPr>
      </w:pPr>
      <w:bookmarkStart w:id="326" w:name="_Toc351203540"/>
      <w:bookmarkStart w:id="327" w:name="_Toc478389074"/>
      <w:r>
        <w:rPr>
          <w:rFonts w:hint="eastAsia" w:ascii="宋体" w:cs="宋体"/>
          <w:color w:val="auto"/>
          <w:highlight w:val="none"/>
        </w:rPr>
        <w:t>6</w:t>
      </w:r>
      <w:bookmarkStart w:id="328" w:name="_Toc337558765"/>
      <w:r>
        <w:rPr>
          <w:rFonts w:hint="eastAsia" w:ascii="宋体" w:cs="宋体"/>
          <w:color w:val="auto"/>
          <w:highlight w:val="none"/>
        </w:rPr>
        <w:t>.2 职业健康</w:t>
      </w:r>
      <w:bookmarkEnd w:id="326"/>
      <w:bookmarkEnd w:id="327"/>
    </w:p>
    <w:bookmarkEnd w:id="328"/>
    <w:p w14:paraId="2EEB3279">
      <w:pPr>
        <w:pStyle w:val="79"/>
        <w:outlineLvl w:val="0"/>
        <w:rPr>
          <w:rFonts w:cs="宋体"/>
          <w:color w:val="auto"/>
          <w:sz w:val="21"/>
          <w:highlight w:val="none"/>
        </w:rPr>
      </w:pPr>
      <w:bookmarkStart w:id="329" w:name="_Toc406522106"/>
      <w:bookmarkStart w:id="330" w:name="_Toc478389075"/>
      <w:r>
        <w:rPr>
          <w:rFonts w:hint="eastAsia" w:cs="宋体"/>
          <w:color w:val="auto"/>
          <w:sz w:val="21"/>
          <w:highlight w:val="none"/>
        </w:rPr>
        <w:t>6.2.1 劳动保护</w:t>
      </w:r>
      <w:bookmarkEnd w:id="329"/>
      <w:bookmarkEnd w:id="330"/>
    </w:p>
    <w:p w14:paraId="0FFC21E7">
      <w:pPr>
        <w:pStyle w:val="79"/>
        <w:rPr>
          <w:rFonts w:cs="宋体"/>
          <w:color w:val="auto"/>
          <w:sz w:val="21"/>
          <w:highlight w:val="none"/>
        </w:rPr>
      </w:pPr>
      <w:r>
        <w:rPr>
          <w:rFonts w:hint="eastAsia" w:cs="宋体"/>
          <w:color w:val="auto"/>
          <w:sz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56AD5B81">
      <w:pPr>
        <w:pStyle w:val="79"/>
        <w:rPr>
          <w:rFonts w:cs="宋体"/>
          <w:color w:val="auto"/>
          <w:sz w:val="21"/>
          <w:highlight w:val="none"/>
        </w:rPr>
      </w:pPr>
      <w:r>
        <w:rPr>
          <w:rFonts w:hint="eastAsia" w:cs="宋体"/>
          <w:color w:val="auto"/>
          <w:sz w:val="21"/>
          <w:highlight w:val="none"/>
        </w:rPr>
        <w:t>承包人应按照法律规定保障现场施工人员的劳动安全，并提供劳动保护，并应按国家有关劳动保护的规定，采取有效地防止粉尘、降低噪声、控制有害气体和保障高温、高寒、高空作业安全等劳动保护措施。承包人雇佣人员在施工中受到伤害的，承包人应立即采取有效措施进行抢救和治疗。</w:t>
      </w:r>
    </w:p>
    <w:p w14:paraId="539C53BB">
      <w:pPr>
        <w:pStyle w:val="79"/>
        <w:rPr>
          <w:rFonts w:cs="宋体"/>
          <w:color w:val="auto"/>
          <w:sz w:val="21"/>
          <w:highlight w:val="none"/>
        </w:rPr>
      </w:pPr>
      <w:r>
        <w:rPr>
          <w:rFonts w:hint="eastAsia" w:cs="宋体"/>
          <w:color w:val="auto"/>
          <w:sz w:val="21"/>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2F450E0B">
      <w:pPr>
        <w:pStyle w:val="79"/>
        <w:outlineLvl w:val="0"/>
        <w:rPr>
          <w:rFonts w:cs="宋体"/>
          <w:color w:val="auto"/>
          <w:sz w:val="21"/>
          <w:highlight w:val="none"/>
        </w:rPr>
      </w:pPr>
      <w:bookmarkStart w:id="331" w:name="_Toc406522107"/>
      <w:bookmarkStart w:id="332" w:name="_Toc478389076"/>
      <w:r>
        <w:rPr>
          <w:rFonts w:hint="eastAsia" w:cs="宋体"/>
          <w:color w:val="auto"/>
          <w:sz w:val="21"/>
          <w:highlight w:val="none"/>
        </w:rPr>
        <w:t>6.2.2 生活条件</w:t>
      </w:r>
      <w:bookmarkEnd w:id="331"/>
      <w:bookmarkEnd w:id="332"/>
    </w:p>
    <w:p w14:paraId="07387F10">
      <w:pPr>
        <w:pStyle w:val="79"/>
        <w:rPr>
          <w:rFonts w:cs="宋体"/>
          <w:color w:val="auto"/>
          <w:sz w:val="21"/>
          <w:highlight w:val="none"/>
        </w:rPr>
      </w:pPr>
      <w:r>
        <w:rPr>
          <w:rFonts w:hint="eastAsia" w:cs="宋体"/>
          <w:color w:val="auto"/>
          <w:sz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1D6F2BBB">
      <w:pPr>
        <w:pStyle w:val="321"/>
        <w:rPr>
          <w:rFonts w:ascii="宋体" w:cs="宋体"/>
          <w:color w:val="auto"/>
          <w:highlight w:val="none"/>
        </w:rPr>
      </w:pPr>
      <w:bookmarkStart w:id="333" w:name="_Toc351203541"/>
      <w:bookmarkStart w:id="334" w:name="_Toc478389077"/>
      <w:r>
        <w:rPr>
          <w:rFonts w:hint="eastAsia" w:ascii="宋体" w:cs="宋体"/>
          <w:color w:val="auto"/>
          <w:highlight w:val="none"/>
        </w:rPr>
        <w:t>6</w:t>
      </w:r>
      <w:bookmarkStart w:id="335" w:name="_Toc337558766"/>
      <w:r>
        <w:rPr>
          <w:rFonts w:hint="eastAsia" w:ascii="宋体" w:cs="宋体"/>
          <w:color w:val="auto"/>
          <w:highlight w:val="none"/>
        </w:rPr>
        <w:t>.3 环境保护</w:t>
      </w:r>
      <w:bookmarkEnd w:id="333"/>
      <w:bookmarkEnd w:id="334"/>
    </w:p>
    <w:bookmarkEnd w:id="335"/>
    <w:p w14:paraId="4CED7123">
      <w:pPr>
        <w:pStyle w:val="79"/>
        <w:rPr>
          <w:rFonts w:cs="宋体"/>
          <w:color w:val="auto"/>
          <w:sz w:val="21"/>
          <w:highlight w:val="none"/>
        </w:rPr>
      </w:pPr>
      <w:r>
        <w:rPr>
          <w:rFonts w:hint="eastAsia" w:cs="宋体"/>
          <w:color w:val="auto"/>
          <w:sz w:val="21"/>
          <w:highlight w:val="none"/>
        </w:rPr>
        <w:t>承包人应在施工组织设计中列明环境保护的具体措施。在合同履行期间，承包人应采取合理措施保护施工现场环境。对施工作业过程中可能引起的大气、水、噪声以及固体废物污染采取具体可行的防范措施。</w:t>
      </w:r>
    </w:p>
    <w:p w14:paraId="4C1A1B23">
      <w:pPr>
        <w:pStyle w:val="79"/>
        <w:rPr>
          <w:rFonts w:cs="宋体"/>
          <w:color w:val="auto"/>
          <w:sz w:val="21"/>
          <w:highlight w:val="none"/>
        </w:rPr>
      </w:pPr>
      <w:r>
        <w:rPr>
          <w:rFonts w:hint="eastAsia" w:cs="宋体"/>
          <w:color w:val="auto"/>
          <w:sz w:val="21"/>
          <w:highlight w:val="none"/>
        </w:rPr>
        <w:t>承包人应当承担因其原因引起的环境污染侵权损害赔偿责任，因上述环境污染引起纠纷而导致暂停施工的，由此增加的费用和（或）延误的工期由承包人承担。</w:t>
      </w:r>
    </w:p>
    <w:p w14:paraId="208FFC3C">
      <w:pPr>
        <w:pStyle w:val="321"/>
        <w:rPr>
          <w:rFonts w:ascii="宋体" w:cs="宋体"/>
          <w:color w:val="auto"/>
          <w:highlight w:val="none"/>
        </w:rPr>
      </w:pPr>
      <w:bookmarkStart w:id="336" w:name="_Toc351203542"/>
      <w:bookmarkStart w:id="337" w:name="_Toc478389078"/>
      <w:r>
        <w:rPr>
          <w:rFonts w:hint="eastAsia" w:ascii="宋体" w:cs="宋体"/>
          <w:color w:val="auto"/>
          <w:highlight w:val="none"/>
        </w:rPr>
        <w:t>7</w:t>
      </w:r>
      <w:bookmarkStart w:id="338" w:name="_Toc337558767"/>
      <w:r>
        <w:rPr>
          <w:rFonts w:hint="eastAsia" w:ascii="宋体" w:cs="宋体"/>
          <w:color w:val="auto"/>
          <w:highlight w:val="none"/>
        </w:rPr>
        <w:t>. 工期和进度</w:t>
      </w:r>
      <w:bookmarkEnd w:id="336"/>
      <w:bookmarkEnd w:id="337"/>
    </w:p>
    <w:bookmarkEnd w:id="338"/>
    <w:p w14:paraId="4ECC6090">
      <w:pPr>
        <w:pStyle w:val="321"/>
        <w:rPr>
          <w:rFonts w:ascii="宋体" w:cs="宋体"/>
          <w:color w:val="auto"/>
          <w:highlight w:val="none"/>
        </w:rPr>
      </w:pPr>
      <w:bookmarkStart w:id="339" w:name="_Toc478389079"/>
      <w:bookmarkStart w:id="340" w:name="_Toc351203543"/>
      <w:r>
        <w:rPr>
          <w:rFonts w:hint="eastAsia" w:ascii="宋体" w:cs="宋体"/>
          <w:color w:val="auto"/>
          <w:highlight w:val="none"/>
        </w:rPr>
        <w:t>7</w:t>
      </w:r>
      <w:bookmarkStart w:id="341" w:name="_Toc337558768"/>
      <w:bookmarkStart w:id="342" w:name="_Toc296503066"/>
      <w:bookmarkStart w:id="343" w:name="_Toc296346567"/>
      <w:r>
        <w:rPr>
          <w:rFonts w:hint="eastAsia" w:ascii="宋体" w:cs="宋体"/>
          <w:color w:val="auto"/>
          <w:highlight w:val="none"/>
        </w:rPr>
        <w:t>.1施工组织设计</w:t>
      </w:r>
      <w:bookmarkEnd w:id="339"/>
      <w:bookmarkEnd w:id="340"/>
    </w:p>
    <w:bookmarkEnd w:id="341"/>
    <w:p w14:paraId="11A15B31">
      <w:pPr>
        <w:pStyle w:val="79"/>
        <w:outlineLvl w:val="0"/>
        <w:rPr>
          <w:rFonts w:cs="宋体"/>
          <w:color w:val="auto"/>
          <w:sz w:val="21"/>
          <w:highlight w:val="none"/>
        </w:rPr>
      </w:pPr>
      <w:bookmarkStart w:id="344" w:name="_Toc406522111"/>
      <w:bookmarkStart w:id="345" w:name="_Toc478389080"/>
      <w:r>
        <w:rPr>
          <w:rFonts w:hint="eastAsia" w:cs="宋体"/>
          <w:color w:val="auto"/>
          <w:sz w:val="21"/>
          <w:highlight w:val="none"/>
        </w:rPr>
        <w:t>7.1.1 施工组织设计的内容</w:t>
      </w:r>
      <w:bookmarkEnd w:id="344"/>
      <w:bookmarkEnd w:id="345"/>
    </w:p>
    <w:p w14:paraId="76342956">
      <w:pPr>
        <w:pStyle w:val="79"/>
        <w:rPr>
          <w:rFonts w:cs="宋体"/>
          <w:color w:val="auto"/>
          <w:sz w:val="21"/>
          <w:highlight w:val="none"/>
        </w:rPr>
      </w:pPr>
      <w:r>
        <w:rPr>
          <w:rFonts w:hint="eastAsia" w:cs="宋体"/>
          <w:color w:val="auto"/>
          <w:sz w:val="21"/>
          <w:highlight w:val="none"/>
        </w:rPr>
        <w:t xml:space="preserve"> 施工组织设计应包含以下内容：</w:t>
      </w:r>
    </w:p>
    <w:p w14:paraId="4A22AD78">
      <w:pPr>
        <w:pStyle w:val="79"/>
        <w:rPr>
          <w:rFonts w:cs="宋体"/>
          <w:color w:val="auto"/>
          <w:sz w:val="21"/>
          <w:highlight w:val="none"/>
        </w:rPr>
      </w:pPr>
      <w:r>
        <w:rPr>
          <w:rFonts w:hint="eastAsia" w:cs="宋体"/>
          <w:color w:val="auto"/>
          <w:sz w:val="21"/>
          <w:highlight w:val="none"/>
        </w:rPr>
        <w:t xml:space="preserve">（1）施工方案； </w:t>
      </w:r>
    </w:p>
    <w:p w14:paraId="2F65BDB8">
      <w:pPr>
        <w:pStyle w:val="79"/>
        <w:rPr>
          <w:rFonts w:cs="宋体"/>
          <w:color w:val="auto"/>
          <w:sz w:val="21"/>
          <w:highlight w:val="none"/>
        </w:rPr>
      </w:pPr>
      <w:r>
        <w:rPr>
          <w:rFonts w:hint="eastAsia" w:cs="宋体"/>
          <w:color w:val="auto"/>
          <w:sz w:val="21"/>
          <w:highlight w:val="none"/>
        </w:rPr>
        <w:t>（2）施工现场平面布置图；</w:t>
      </w:r>
    </w:p>
    <w:p w14:paraId="6D2C0F9C">
      <w:pPr>
        <w:pStyle w:val="79"/>
        <w:rPr>
          <w:rFonts w:cs="宋体"/>
          <w:color w:val="auto"/>
          <w:sz w:val="21"/>
          <w:highlight w:val="none"/>
        </w:rPr>
      </w:pPr>
      <w:r>
        <w:rPr>
          <w:rFonts w:hint="eastAsia" w:cs="宋体"/>
          <w:color w:val="auto"/>
          <w:sz w:val="21"/>
          <w:highlight w:val="none"/>
        </w:rPr>
        <w:t xml:space="preserve">（3）施工进度计划和保证措施； </w:t>
      </w:r>
    </w:p>
    <w:p w14:paraId="4E5FD6B9">
      <w:pPr>
        <w:pStyle w:val="79"/>
        <w:rPr>
          <w:rFonts w:cs="宋体"/>
          <w:color w:val="auto"/>
          <w:sz w:val="21"/>
          <w:highlight w:val="none"/>
        </w:rPr>
      </w:pPr>
      <w:r>
        <w:rPr>
          <w:rFonts w:hint="eastAsia" w:cs="宋体"/>
          <w:color w:val="auto"/>
          <w:sz w:val="21"/>
          <w:highlight w:val="none"/>
        </w:rPr>
        <w:t>（4）劳动力及材料供应计划；</w:t>
      </w:r>
    </w:p>
    <w:p w14:paraId="4DBD4535">
      <w:pPr>
        <w:pStyle w:val="79"/>
        <w:rPr>
          <w:rFonts w:cs="宋体"/>
          <w:color w:val="auto"/>
          <w:sz w:val="21"/>
          <w:highlight w:val="none"/>
        </w:rPr>
      </w:pPr>
      <w:r>
        <w:rPr>
          <w:rFonts w:hint="eastAsia" w:cs="宋体"/>
          <w:color w:val="auto"/>
          <w:sz w:val="21"/>
          <w:highlight w:val="none"/>
        </w:rPr>
        <w:t>（5）施工机械设备的选用；</w:t>
      </w:r>
    </w:p>
    <w:p w14:paraId="7114DF76">
      <w:pPr>
        <w:pStyle w:val="79"/>
        <w:rPr>
          <w:rFonts w:cs="宋体"/>
          <w:color w:val="auto"/>
          <w:sz w:val="21"/>
          <w:highlight w:val="none"/>
        </w:rPr>
      </w:pPr>
      <w:r>
        <w:rPr>
          <w:rFonts w:hint="eastAsia" w:cs="宋体"/>
          <w:color w:val="auto"/>
          <w:sz w:val="21"/>
          <w:highlight w:val="none"/>
        </w:rPr>
        <w:t>（6）质量保证体系及措施；</w:t>
      </w:r>
    </w:p>
    <w:p w14:paraId="48CDB092">
      <w:pPr>
        <w:pStyle w:val="79"/>
        <w:rPr>
          <w:rFonts w:cs="宋体"/>
          <w:color w:val="auto"/>
          <w:sz w:val="21"/>
          <w:highlight w:val="none"/>
        </w:rPr>
      </w:pPr>
      <w:r>
        <w:rPr>
          <w:rFonts w:hint="eastAsia" w:cs="宋体"/>
          <w:color w:val="auto"/>
          <w:sz w:val="21"/>
          <w:highlight w:val="none"/>
        </w:rPr>
        <w:t>（7）安全生产、文明施工措施；</w:t>
      </w:r>
    </w:p>
    <w:p w14:paraId="15FBB0E0">
      <w:pPr>
        <w:pStyle w:val="79"/>
        <w:rPr>
          <w:rFonts w:cs="宋体"/>
          <w:color w:val="auto"/>
          <w:sz w:val="21"/>
          <w:highlight w:val="none"/>
        </w:rPr>
      </w:pPr>
      <w:r>
        <w:rPr>
          <w:rFonts w:hint="eastAsia" w:cs="宋体"/>
          <w:color w:val="auto"/>
          <w:sz w:val="21"/>
          <w:highlight w:val="none"/>
        </w:rPr>
        <w:t>（8）环境保护、成本控制措施；</w:t>
      </w:r>
    </w:p>
    <w:p w14:paraId="73BD4110">
      <w:pPr>
        <w:pStyle w:val="79"/>
        <w:rPr>
          <w:rFonts w:cs="宋体"/>
          <w:color w:val="auto"/>
          <w:sz w:val="21"/>
          <w:highlight w:val="none"/>
        </w:rPr>
      </w:pPr>
      <w:r>
        <w:rPr>
          <w:rFonts w:hint="eastAsia" w:cs="宋体"/>
          <w:color w:val="auto"/>
          <w:sz w:val="21"/>
          <w:highlight w:val="none"/>
        </w:rPr>
        <w:t>（9）合同当事人约定的其他内容。</w:t>
      </w:r>
    </w:p>
    <w:p w14:paraId="3E75EBCA">
      <w:pPr>
        <w:pStyle w:val="79"/>
        <w:outlineLvl w:val="0"/>
        <w:rPr>
          <w:rFonts w:cs="宋体"/>
          <w:color w:val="auto"/>
          <w:sz w:val="21"/>
          <w:highlight w:val="none"/>
        </w:rPr>
      </w:pPr>
      <w:bookmarkStart w:id="346" w:name="_Toc406522112"/>
      <w:bookmarkStart w:id="347" w:name="_Toc478389081"/>
      <w:r>
        <w:rPr>
          <w:rFonts w:hint="eastAsia" w:cs="宋体"/>
          <w:color w:val="auto"/>
          <w:sz w:val="21"/>
          <w:highlight w:val="none"/>
        </w:rPr>
        <w:t>7.1.2 施工组织设计的提交和修改</w:t>
      </w:r>
      <w:bookmarkEnd w:id="346"/>
      <w:bookmarkEnd w:id="347"/>
    </w:p>
    <w:p w14:paraId="4CE36A4A">
      <w:pPr>
        <w:pStyle w:val="79"/>
        <w:rPr>
          <w:rFonts w:cs="宋体"/>
          <w:color w:val="auto"/>
          <w:sz w:val="21"/>
          <w:highlight w:val="none"/>
        </w:rPr>
      </w:pPr>
      <w:r>
        <w:rPr>
          <w:rFonts w:hint="eastAsia" w:cs="宋体"/>
          <w:color w:val="auto"/>
          <w:sz w:val="21"/>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4B7184C7">
      <w:pPr>
        <w:pStyle w:val="79"/>
        <w:rPr>
          <w:rFonts w:cs="宋体"/>
          <w:color w:val="auto"/>
          <w:sz w:val="21"/>
          <w:highlight w:val="none"/>
        </w:rPr>
      </w:pPr>
      <w:r>
        <w:rPr>
          <w:rFonts w:hint="eastAsia" w:cs="宋体"/>
          <w:color w:val="auto"/>
          <w:sz w:val="21"/>
          <w:highlight w:val="none"/>
        </w:rPr>
        <w:t>施工进度计划的编制和修改按照第7.2款〔施工进度计划〕执行。</w:t>
      </w:r>
    </w:p>
    <w:p w14:paraId="5CFFB5B6">
      <w:pPr>
        <w:pStyle w:val="321"/>
        <w:rPr>
          <w:rFonts w:ascii="宋体" w:cs="宋体"/>
          <w:color w:val="auto"/>
          <w:highlight w:val="none"/>
        </w:rPr>
      </w:pPr>
      <w:bookmarkStart w:id="348" w:name="_Toc351203544"/>
      <w:bookmarkStart w:id="349" w:name="_Toc478389082"/>
      <w:r>
        <w:rPr>
          <w:rFonts w:hint="eastAsia" w:ascii="宋体" w:cs="宋体"/>
          <w:color w:val="auto"/>
          <w:highlight w:val="none"/>
        </w:rPr>
        <w:t>7</w:t>
      </w:r>
      <w:bookmarkStart w:id="350" w:name="_Toc337558769"/>
      <w:r>
        <w:rPr>
          <w:rFonts w:hint="eastAsia" w:ascii="宋体" w:cs="宋体"/>
          <w:color w:val="auto"/>
          <w:highlight w:val="none"/>
        </w:rPr>
        <w:t>.2 施工进度计划</w:t>
      </w:r>
      <w:bookmarkEnd w:id="348"/>
      <w:bookmarkEnd w:id="349"/>
    </w:p>
    <w:bookmarkEnd w:id="350"/>
    <w:p w14:paraId="58EAE4C7">
      <w:pPr>
        <w:pStyle w:val="79"/>
        <w:rPr>
          <w:rFonts w:cs="宋体"/>
          <w:color w:val="auto"/>
          <w:sz w:val="21"/>
          <w:highlight w:val="none"/>
        </w:rPr>
      </w:pPr>
      <w:r>
        <w:rPr>
          <w:rFonts w:hint="eastAsia" w:cs="宋体"/>
          <w:color w:val="auto"/>
          <w:sz w:val="21"/>
          <w:highlight w:val="none"/>
        </w:rPr>
        <w:t>7.2.1 施工进度计划的编制</w:t>
      </w:r>
    </w:p>
    <w:p w14:paraId="46578214">
      <w:pPr>
        <w:pStyle w:val="79"/>
        <w:rPr>
          <w:rFonts w:cs="宋体"/>
          <w:color w:val="auto"/>
          <w:sz w:val="21"/>
          <w:highlight w:val="none"/>
        </w:rPr>
      </w:pPr>
      <w:r>
        <w:rPr>
          <w:rFonts w:hint="eastAsia" w:cs="宋体"/>
          <w:color w:val="auto"/>
          <w:sz w:val="21"/>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262626AA">
      <w:pPr>
        <w:pStyle w:val="79"/>
        <w:rPr>
          <w:rFonts w:cs="宋体"/>
          <w:color w:val="auto"/>
          <w:sz w:val="21"/>
          <w:highlight w:val="none"/>
        </w:rPr>
      </w:pPr>
      <w:r>
        <w:rPr>
          <w:rFonts w:hint="eastAsia" w:cs="宋体"/>
          <w:color w:val="auto"/>
          <w:sz w:val="21"/>
          <w:highlight w:val="none"/>
        </w:rPr>
        <w:t>7.2.2 施工进度计划的修订</w:t>
      </w:r>
    </w:p>
    <w:p w14:paraId="20A602BB">
      <w:pPr>
        <w:pStyle w:val="79"/>
        <w:rPr>
          <w:rFonts w:cs="宋体"/>
          <w:color w:val="auto"/>
          <w:sz w:val="21"/>
          <w:highlight w:val="none"/>
        </w:rPr>
      </w:pPr>
      <w:r>
        <w:rPr>
          <w:rFonts w:hint="eastAsia" w:cs="宋体"/>
          <w:color w:val="auto"/>
          <w:sz w:val="21"/>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1BC3718A">
      <w:pPr>
        <w:pStyle w:val="321"/>
        <w:rPr>
          <w:rFonts w:ascii="宋体" w:cs="宋体"/>
          <w:color w:val="auto"/>
          <w:highlight w:val="none"/>
        </w:rPr>
      </w:pPr>
      <w:bookmarkStart w:id="351" w:name="_Toc351203545"/>
      <w:bookmarkStart w:id="352" w:name="_Toc478389083"/>
      <w:r>
        <w:rPr>
          <w:rFonts w:hint="eastAsia" w:ascii="宋体" w:cs="宋体"/>
          <w:color w:val="auto"/>
          <w:highlight w:val="none"/>
        </w:rPr>
        <w:t>7</w:t>
      </w:r>
      <w:bookmarkStart w:id="353" w:name="_Toc337558770"/>
      <w:r>
        <w:rPr>
          <w:rFonts w:hint="eastAsia" w:ascii="宋体" w:cs="宋体"/>
          <w:color w:val="auto"/>
          <w:highlight w:val="none"/>
        </w:rPr>
        <w:t>.3 开工</w:t>
      </w:r>
      <w:bookmarkEnd w:id="351"/>
      <w:bookmarkEnd w:id="352"/>
    </w:p>
    <w:p w14:paraId="33E7780D">
      <w:pPr>
        <w:pStyle w:val="79"/>
        <w:rPr>
          <w:rFonts w:cs="宋体"/>
          <w:color w:val="auto"/>
          <w:sz w:val="21"/>
          <w:highlight w:val="none"/>
        </w:rPr>
      </w:pPr>
      <w:r>
        <w:rPr>
          <w:rFonts w:hint="eastAsia" w:cs="宋体"/>
          <w:color w:val="auto"/>
          <w:sz w:val="21"/>
          <w:highlight w:val="none"/>
        </w:rPr>
        <w:t>7.3.1 开工准备</w:t>
      </w:r>
    </w:p>
    <w:p w14:paraId="51F5580C">
      <w:pPr>
        <w:pStyle w:val="79"/>
        <w:rPr>
          <w:rFonts w:cs="宋体"/>
          <w:color w:val="auto"/>
          <w:sz w:val="21"/>
          <w:highlight w:val="none"/>
        </w:rPr>
      </w:pPr>
      <w:r>
        <w:rPr>
          <w:rFonts w:hint="eastAsia" w:cs="宋体"/>
          <w:color w:val="auto"/>
          <w:sz w:val="21"/>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4C3FAF95">
      <w:pPr>
        <w:pStyle w:val="79"/>
        <w:rPr>
          <w:rFonts w:cs="宋体"/>
          <w:color w:val="auto"/>
          <w:sz w:val="21"/>
          <w:highlight w:val="none"/>
        </w:rPr>
      </w:pPr>
      <w:r>
        <w:rPr>
          <w:rFonts w:hint="eastAsia" w:cs="宋体"/>
          <w:color w:val="auto"/>
          <w:sz w:val="21"/>
          <w:highlight w:val="none"/>
        </w:rPr>
        <w:t>除专用合同条款另有约定外，合同当事人应按约定完成开工准备工作。</w:t>
      </w:r>
    </w:p>
    <w:p w14:paraId="423FBE32">
      <w:pPr>
        <w:pStyle w:val="79"/>
        <w:rPr>
          <w:rFonts w:cs="宋体"/>
          <w:color w:val="auto"/>
          <w:sz w:val="21"/>
          <w:highlight w:val="none"/>
        </w:rPr>
      </w:pPr>
      <w:r>
        <w:rPr>
          <w:rFonts w:hint="eastAsia" w:cs="宋体"/>
          <w:color w:val="auto"/>
          <w:sz w:val="21"/>
          <w:highlight w:val="none"/>
        </w:rPr>
        <w:t>7.3.2 开工通知</w:t>
      </w:r>
    </w:p>
    <w:bookmarkEnd w:id="353"/>
    <w:p w14:paraId="2270608E">
      <w:pPr>
        <w:pStyle w:val="79"/>
        <w:rPr>
          <w:rFonts w:cs="宋体"/>
          <w:color w:val="auto"/>
          <w:sz w:val="21"/>
          <w:highlight w:val="none"/>
        </w:rPr>
      </w:pPr>
      <w:r>
        <w:rPr>
          <w:rFonts w:hint="eastAsia" w:cs="宋体"/>
          <w:color w:val="auto"/>
          <w:sz w:val="21"/>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4C34D9A3">
      <w:pPr>
        <w:pStyle w:val="79"/>
        <w:rPr>
          <w:rFonts w:cs="宋体"/>
          <w:color w:val="auto"/>
          <w:sz w:val="21"/>
          <w:highlight w:val="none"/>
        </w:rPr>
      </w:pPr>
      <w:r>
        <w:rPr>
          <w:rFonts w:hint="eastAsia" w:cs="宋体"/>
          <w:color w:val="auto"/>
          <w:sz w:val="21"/>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228E28F2">
      <w:pPr>
        <w:pStyle w:val="321"/>
        <w:rPr>
          <w:rFonts w:ascii="宋体" w:cs="宋体"/>
          <w:color w:val="auto"/>
          <w:highlight w:val="none"/>
        </w:rPr>
      </w:pPr>
      <w:bookmarkStart w:id="354" w:name="_Toc478389084"/>
      <w:bookmarkStart w:id="355" w:name="_Toc351203546"/>
      <w:r>
        <w:rPr>
          <w:rFonts w:hint="eastAsia" w:ascii="宋体" w:cs="宋体"/>
          <w:color w:val="auto"/>
          <w:highlight w:val="none"/>
        </w:rPr>
        <w:t>7.4测量放线</w:t>
      </w:r>
      <w:bookmarkEnd w:id="354"/>
      <w:bookmarkEnd w:id="355"/>
    </w:p>
    <w:p w14:paraId="42C58084">
      <w:pPr>
        <w:pStyle w:val="79"/>
        <w:rPr>
          <w:rFonts w:cs="宋体"/>
          <w:color w:val="auto"/>
          <w:sz w:val="21"/>
          <w:highlight w:val="none"/>
        </w:rPr>
      </w:pPr>
      <w:r>
        <w:rPr>
          <w:rFonts w:hint="eastAsia" w:cs="宋体"/>
          <w:color w:val="auto"/>
          <w:sz w:val="21"/>
          <w:highlight w:val="none"/>
        </w:rPr>
        <w:t>7.4.1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2DE00F10">
      <w:pPr>
        <w:pStyle w:val="79"/>
        <w:rPr>
          <w:rFonts w:cs="宋体"/>
          <w:color w:val="auto"/>
          <w:sz w:val="21"/>
          <w:highlight w:val="none"/>
        </w:rPr>
      </w:pPr>
      <w:r>
        <w:rPr>
          <w:rFonts w:hint="eastAsia" w:cs="宋体"/>
          <w:color w:val="auto"/>
          <w:sz w:val="21"/>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07AE9AC1">
      <w:pPr>
        <w:pStyle w:val="79"/>
        <w:rPr>
          <w:rFonts w:cs="宋体"/>
          <w:color w:val="auto"/>
          <w:sz w:val="21"/>
          <w:highlight w:val="none"/>
        </w:rPr>
      </w:pPr>
      <w:r>
        <w:rPr>
          <w:rFonts w:hint="eastAsia" w:cs="宋体"/>
          <w:color w:val="auto"/>
          <w:sz w:val="21"/>
          <w:highlight w:val="none"/>
        </w:rPr>
        <w:t>7.4.2承包人负责施工过程中的全部施工测量放线工作，并配置具有相应资质的人员、合格的仪器、设备和其他物品。承包人应校正工程的位置、标高、尺寸或准线中出现的任何差错，并对工程各部分的定位负责。</w:t>
      </w:r>
    </w:p>
    <w:p w14:paraId="50738B98">
      <w:pPr>
        <w:pStyle w:val="79"/>
        <w:rPr>
          <w:rFonts w:cs="宋体"/>
          <w:color w:val="auto"/>
          <w:sz w:val="21"/>
          <w:highlight w:val="none"/>
        </w:rPr>
      </w:pPr>
      <w:r>
        <w:rPr>
          <w:rFonts w:hint="eastAsia" w:cs="宋体"/>
          <w:color w:val="auto"/>
          <w:sz w:val="21"/>
          <w:highlight w:val="none"/>
        </w:rPr>
        <w:t>施工过程中对施工现场内水准点等测量标志物的保护工作由承包人负责。</w:t>
      </w:r>
      <w:bookmarkStart w:id="356" w:name="_Toc351203547"/>
    </w:p>
    <w:p w14:paraId="7BBF29DF">
      <w:pPr>
        <w:pStyle w:val="321"/>
        <w:rPr>
          <w:rFonts w:ascii="宋体" w:cs="宋体"/>
          <w:color w:val="auto"/>
          <w:highlight w:val="none"/>
        </w:rPr>
      </w:pPr>
      <w:bookmarkStart w:id="357" w:name="_Toc478389085"/>
      <w:r>
        <w:rPr>
          <w:rFonts w:hint="eastAsia" w:ascii="宋体" w:cs="宋体"/>
          <w:color w:val="auto"/>
          <w:highlight w:val="none"/>
        </w:rPr>
        <w:t>7</w:t>
      </w:r>
      <w:bookmarkEnd w:id="342"/>
      <w:bookmarkEnd w:id="343"/>
      <w:bookmarkStart w:id="358" w:name="_Toc296346574"/>
      <w:bookmarkStart w:id="359" w:name="_Toc337558772"/>
      <w:bookmarkStart w:id="360" w:name="_Toc296503073"/>
      <w:r>
        <w:rPr>
          <w:rFonts w:hint="eastAsia" w:ascii="宋体" w:cs="宋体"/>
          <w:color w:val="auto"/>
          <w:highlight w:val="none"/>
        </w:rPr>
        <w:t>.5 工期延误</w:t>
      </w:r>
      <w:bookmarkEnd w:id="356"/>
      <w:bookmarkEnd w:id="357"/>
    </w:p>
    <w:bookmarkEnd w:id="358"/>
    <w:bookmarkEnd w:id="359"/>
    <w:bookmarkEnd w:id="360"/>
    <w:p w14:paraId="6FB6402D">
      <w:pPr>
        <w:pStyle w:val="79"/>
        <w:rPr>
          <w:rFonts w:cs="宋体"/>
          <w:color w:val="auto"/>
          <w:sz w:val="21"/>
          <w:highlight w:val="none"/>
        </w:rPr>
      </w:pPr>
      <w:r>
        <w:rPr>
          <w:rFonts w:hint="eastAsia" w:cs="宋体"/>
          <w:color w:val="auto"/>
          <w:sz w:val="21"/>
          <w:highlight w:val="none"/>
        </w:rPr>
        <w:t>7.5.1 因发包人原因导致工期延误</w:t>
      </w:r>
    </w:p>
    <w:p w14:paraId="3DC8FB67">
      <w:pPr>
        <w:pStyle w:val="79"/>
        <w:rPr>
          <w:rFonts w:cs="宋体"/>
          <w:color w:val="auto"/>
          <w:sz w:val="21"/>
          <w:highlight w:val="none"/>
        </w:rPr>
      </w:pPr>
      <w:r>
        <w:rPr>
          <w:rFonts w:hint="eastAsia" w:cs="宋体"/>
          <w:color w:val="auto"/>
          <w:sz w:val="21"/>
          <w:highlight w:val="none"/>
        </w:rPr>
        <w:t xml:space="preserve">在合同履行过程中，因下列情况导致工期延误和（或）费用增加的，由发包人承担由此延误的工期和（或）增加的费用，且发包人应支付承包人合理的利润： </w:t>
      </w:r>
    </w:p>
    <w:p w14:paraId="62617E66">
      <w:pPr>
        <w:pStyle w:val="79"/>
        <w:rPr>
          <w:rFonts w:cs="宋体"/>
          <w:color w:val="auto"/>
          <w:sz w:val="21"/>
          <w:highlight w:val="none"/>
        </w:rPr>
      </w:pPr>
      <w:r>
        <w:rPr>
          <w:rFonts w:hint="eastAsia" w:cs="宋体"/>
          <w:color w:val="auto"/>
          <w:sz w:val="21"/>
          <w:highlight w:val="none"/>
        </w:rPr>
        <w:t>（1）发包人未能按合同约定提供图纸或所提供图纸不符合合同约定的；</w:t>
      </w:r>
    </w:p>
    <w:p w14:paraId="513B030B">
      <w:pPr>
        <w:pStyle w:val="79"/>
        <w:rPr>
          <w:rFonts w:cs="宋体"/>
          <w:color w:val="auto"/>
          <w:sz w:val="21"/>
          <w:highlight w:val="none"/>
        </w:rPr>
      </w:pPr>
      <w:r>
        <w:rPr>
          <w:rFonts w:hint="eastAsia" w:cs="宋体"/>
          <w:color w:val="auto"/>
          <w:sz w:val="21"/>
          <w:highlight w:val="none"/>
        </w:rPr>
        <w:t>（2）发包人未能按合同约定提供施工现场、施工条件、基础资料、许可、批准等开工条件的；</w:t>
      </w:r>
    </w:p>
    <w:p w14:paraId="5FF09DBA">
      <w:pPr>
        <w:pStyle w:val="79"/>
        <w:rPr>
          <w:rFonts w:cs="宋体"/>
          <w:color w:val="auto"/>
          <w:sz w:val="21"/>
          <w:highlight w:val="none"/>
        </w:rPr>
      </w:pPr>
      <w:r>
        <w:rPr>
          <w:rFonts w:hint="eastAsia" w:cs="宋体"/>
          <w:color w:val="auto"/>
          <w:sz w:val="21"/>
          <w:highlight w:val="none"/>
        </w:rPr>
        <w:t>（3）发包人提供的测量基准点、基准线和水准点及其书面资料存在错误或疏漏的；</w:t>
      </w:r>
    </w:p>
    <w:p w14:paraId="2CDFD584">
      <w:pPr>
        <w:pStyle w:val="79"/>
        <w:rPr>
          <w:rFonts w:cs="宋体"/>
          <w:color w:val="auto"/>
          <w:sz w:val="21"/>
          <w:highlight w:val="none"/>
        </w:rPr>
      </w:pPr>
      <w:r>
        <w:rPr>
          <w:rFonts w:hint="eastAsia" w:cs="宋体"/>
          <w:color w:val="auto"/>
          <w:sz w:val="21"/>
          <w:highlight w:val="none"/>
        </w:rPr>
        <w:t>（4）发包人未能在计划开工日期之日起7天内同意下达开工通知的；</w:t>
      </w:r>
    </w:p>
    <w:p w14:paraId="220F06D7">
      <w:pPr>
        <w:pStyle w:val="79"/>
        <w:rPr>
          <w:rFonts w:cs="宋体"/>
          <w:color w:val="auto"/>
          <w:sz w:val="21"/>
          <w:highlight w:val="none"/>
        </w:rPr>
      </w:pPr>
      <w:r>
        <w:rPr>
          <w:rFonts w:hint="eastAsia" w:cs="宋体"/>
          <w:color w:val="auto"/>
          <w:sz w:val="21"/>
          <w:highlight w:val="none"/>
        </w:rPr>
        <w:t>（5）发包人未能按合同约定日期支付工程预付款、进度款或竣工结算款的；</w:t>
      </w:r>
    </w:p>
    <w:p w14:paraId="3586306F">
      <w:pPr>
        <w:pStyle w:val="79"/>
        <w:rPr>
          <w:rFonts w:cs="宋体"/>
          <w:color w:val="auto"/>
          <w:sz w:val="21"/>
          <w:highlight w:val="none"/>
        </w:rPr>
      </w:pPr>
      <w:r>
        <w:rPr>
          <w:rFonts w:hint="eastAsia" w:cs="宋体"/>
          <w:color w:val="auto"/>
          <w:sz w:val="21"/>
          <w:highlight w:val="none"/>
        </w:rPr>
        <w:t>（6）监理人未按合同约定发出指示、批准等文件的；</w:t>
      </w:r>
    </w:p>
    <w:p w14:paraId="77FCF35A">
      <w:pPr>
        <w:pStyle w:val="79"/>
        <w:rPr>
          <w:rFonts w:cs="宋体"/>
          <w:color w:val="auto"/>
          <w:sz w:val="21"/>
          <w:highlight w:val="none"/>
        </w:rPr>
      </w:pPr>
      <w:r>
        <w:rPr>
          <w:rFonts w:hint="eastAsia" w:cs="宋体"/>
          <w:color w:val="auto"/>
          <w:sz w:val="21"/>
          <w:highlight w:val="none"/>
        </w:rPr>
        <w:t>（7）专用合同条款中约定的其他情形。</w:t>
      </w:r>
    </w:p>
    <w:p w14:paraId="3E10CC84">
      <w:pPr>
        <w:pStyle w:val="79"/>
        <w:rPr>
          <w:rFonts w:cs="宋体"/>
          <w:color w:val="auto"/>
          <w:sz w:val="21"/>
          <w:highlight w:val="none"/>
        </w:rPr>
      </w:pPr>
      <w:r>
        <w:rPr>
          <w:rFonts w:hint="eastAsia" w:cs="宋体"/>
          <w:color w:val="auto"/>
          <w:sz w:val="21"/>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2582B181">
      <w:pPr>
        <w:pStyle w:val="79"/>
        <w:rPr>
          <w:rFonts w:cs="宋体"/>
          <w:color w:val="auto"/>
          <w:sz w:val="21"/>
          <w:highlight w:val="none"/>
        </w:rPr>
      </w:pPr>
      <w:r>
        <w:rPr>
          <w:rFonts w:hint="eastAsia" w:cs="宋体"/>
          <w:color w:val="auto"/>
          <w:sz w:val="21"/>
          <w:highlight w:val="none"/>
        </w:rPr>
        <w:t>7.5.2 因承包人原因导致工期延误</w:t>
      </w:r>
    </w:p>
    <w:p w14:paraId="21E07BA1">
      <w:pPr>
        <w:pStyle w:val="79"/>
        <w:rPr>
          <w:rFonts w:cs="宋体"/>
          <w:color w:val="auto"/>
          <w:sz w:val="21"/>
          <w:highlight w:val="none"/>
        </w:rPr>
      </w:pPr>
      <w:bookmarkStart w:id="361" w:name="_Toc296503076"/>
      <w:bookmarkStart w:id="362" w:name="_Toc296346577"/>
      <w:r>
        <w:rPr>
          <w:rFonts w:hint="eastAsia" w:cs="宋体"/>
          <w:color w:val="auto"/>
          <w:sz w:val="21"/>
          <w:highlight w:val="none"/>
        </w:rPr>
        <w:t>因</w:t>
      </w:r>
      <w:bookmarkEnd w:id="361"/>
      <w:bookmarkEnd w:id="362"/>
      <w:r>
        <w:rPr>
          <w:rFonts w:hint="eastAsia" w:cs="宋体"/>
          <w:color w:val="auto"/>
          <w:sz w:val="21"/>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3BF39A31">
      <w:pPr>
        <w:pStyle w:val="321"/>
        <w:rPr>
          <w:rFonts w:ascii="宋体" w:cs="宋体"/>
          <w:color w:val="auto"/>
          <w:highlight w:val="none"/>
        </w:rPr>
      </w:pPr>
      <w:bookmarkStart w:id="363" w:name="_Toc351203548"/>
      <w:bookmarkStart w:id="364" w:name="_Toc478389086"/>
      <w:r>
        <w:rPr>
          <w:rFonts w:hint="eastAsia" w:ascii="宋体" w:cs="宋体"/>
          <w:color w:val="auto"/>
          <w:highlight w:val="none"/>
        </w:rPr>
        <w:t>7</w:t>
      </w:r>
      <w:bookmarkStart w:id="365" w:name="_Toc337558773"/>
      <w:bookmarkStart w:id="366" w:name="_Toc296346575"/>
      <w:bookmarkStart w:id="367" w:name="_Toc296503074"/>
      <w:bookmarkStart w:id="368" w:name="_Toc296503077"/>
      <w:bookmarkStart w:id="369" w:name="_Toc296346578"/>
      <w:r>
        <w:rPr>
          <w:rFonts w:hint="eastAsia" w:ascii="宋体" w:cs="宋体"/>
          <w:color w:val="auto"/>
          <w:highlight w:val="none"/>
        </w:rPr>
        <w:t>.6 不利物质条件</w:t>
      </w:r>
      <w:bookmarkEnd w:id="363"/>
      <w:bookmarkEnd w:id="364"/>
    </w:p>
    <w:bookmarkEnd w:id="365"/>
    <w:bookmarkEnd w:id="366"/>
    <w:bookmarkEnd w:id="367"/>
    <w:p w14:paraId="0B6F2751">
      <w:pPr>
        <w:pStyle w:val="79"/>
        <w:rPr>
          <w:rFonts w:cs="宋体"/>
          <w:color w:val="auto"/>
          <w:sz w:val="21"/>
          <w:highlight w:val="none"/>
        </w:rPr>
      </w:pPr>
      <w:r>
        <w:rPr>
          <w:rFonts w:hint="eastAsia" w:cs="宋体"/>
          <w:color w:val="auto"/>
          <w:sz w:val="21"/>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4243F5EA">
      <w:pPr>
        <w:pStyle w:val="79"/>
        <w:rPr>
          <w:rFonts w:cs="宋体"/>
          <w:color w:val="auto"/>
          <w:sz w:val="21"/>
          <w:highlight w:val="none"/>
        </w:rPr>
      </w:pPr>
      <w:r>
        <w:rPr>
          <w:rFonts w:hint="eastAsia" w:cs="宋体"/>
          <w:color w:val="auto"/>
          <w:sz w:val="21"/>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443DE148">
      <w:pPr>
        <w:pStyle w:val="321"/>
        <w:rPr>
          <w:rFonts w:ascii="宋体" w:cs="宋体"/>
          <w:color w:val="auto"/>
          <w:highlight w:val="none"/>
        </w:rPr>
      </w:pPr>
      <w:bookmarkStart w:id="370" w:name="_Toc478389087"/>
      <w:bookmarkStart w:id="371" w:name="_Toc351203549"/>
      <w:r>
        <w:rPr>
          <w:rFonts w:hint="eastAsia" w:ascii="宋体" w:cs="宋体"/>
          <w:color w:val="auto"/>
          <w:highlight w:val="none"/>
        </w:rPr>
        <w:t>7</w:t>
      </w:r>
      <w:bookmarkStart w:id="372" w:name="_Toc337558774"/>
      <w:bookmarkStart w:id="373" w:name="_Toc296346576"/>
      <w:bookmarkStart w:id="374" w:name="_Toc296503075"/>
      <w:r>
        <w:rPr>
          <w:rFonts w:hint="eastAsia" w:ascii="宋体" w:cs="宋体"/>
          <w:color w:val="auto"/>
          <w:highlight w:val="none"/>
        </w:rPr>
        <w:t>.7 异常恶劣的气候条件</w:t>
      </w:r>
      <w:bookmarkEnd w:id="370"/>
      <w:bookmarkEnd w:id="371"/>
    </w:p>
    <w:bookmarkEnd w:id="372"/>
    <w:bookmarkEnd w:id="373"/>
    <w:bookmarkEnd w:id="374"/>
    <w:p w14:paraId="14F867BE">
      <w:pPr>
        <w:pStyle w:val="79"/>
        <w:rPr>
          <w:rFonts w:cs="宋体"/>
          <w:color w:val="auto"/>
          <w:sz w:val="21"/>
          <w:highlight w:val="none"/>
        </w:rPr>
      </w:pPr>
      <w:r>
        <w:rPr>
          <w:rFonts w:hint="eastAsia" w:cs="宋体"/>
          <w:color w:val="auto"/>
          <w:sz w:val="21"/>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18B09CAC">
      <w:pPr>
        <w:pStyle w:val="79"/>
        <w:rPr>
          <w:rFonts w:cs="宋体"/>
          <w:color w:val="auto"/>
          <w:sz w:val="21"/>
          <w:highlight w:val="none"/>
        </w:rPr>
      </w:pPr>
      <w:r>
        <w:rPr>
          <w:rFonts w:hint="eastAsia" w:cs="宋体"/>
          <w:color w:val="auto"/>
          <w:sz w:val="21"/>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375" w:name="_Toc351203550"/>
    </w:p>
    <w:p w14:paraId="4A77323F">
      <w:pPr>
        <w:pStyle w:val="321"/>
        <w:rPr>
          <w:rFonts w:ascii="宋体" w:cs="宋体"/>
          <w:color w:val="auto"/>
          <w:highlight w:val="none"/>
        </w:rPr>
      </w:pPr>
      <w:bookmarkStart w:id="376" w:name="_Toc478389088"/>
      <w:r>
        <w:rPr>
          <w:rFonts w:hint="eastAsia" w:ascii="宋体" w:cs="宋体"/>
          <w:color w:val="auto"/>
          <w:highlight w:val="none"/>
        </w:rPr>
        <w:t>7</w:t>
      </w:r>
      <w:bookmarkStart w:id="377" w:name="_Toc337558775"/>
      <w:r>
        <w:rPr>
          <w:rFonts w:hint="eastAsia" w:ascii="宋体" w:cs="宋体"/>
          <w:color w:val="auto"/>
          <w:highlight w:val="none"/>
        </w:rPr>
        <w:t>.8 暂停施工</w:t>
      </w:r>
      <w:bookmarkEnd w:id="375"/>
      <w:bookmarkEnd w:id="376"/>
    </w:p>
    <w:bookmarkEnd w:id="368"/>
    <w:bookmarkEnd w:id="369"/>
    <w:bookmarkEnd w:id="377"/>
    <w:p w14:paraId="59CF8AD4">
      <w:pPr>
        <w:pStyle w:val="79"/>
        <w:rPr>
          <w:rFonts w:cs="宋体"/>
          <w:color w:val="auto"/>
          <w:sz w:val="21"/>
          <w:highlight w:val="none"/>
        </w:rPr>
      </w:pPr>
      <w:r>
        <w:rPr>
          <w:rFonts w:hint="eastAsia" w:cs="宋体"/>
          <w:color w:val="auto"/>
          <w:sz w:val="21"/>
          <w:highlight w:val="none"/>
        </w:rPr>
        <w:t>7.8.1发包人原因引起的暂停施工</w:t>
      </w:r>
    </w:p>
    <w:p w14:paraId="0A0DCF18">
      <w:pPr>
        <w:pStyle w:val="79"/>
        <w:rPr>
          <w:rFonts w:cs="宋体"/>
          <w:color w:val="auto"/>
          <w:sz w:val="21"/>
          <w:highlight w:val="none"/>
        </w:rPr>
      </w:pPr>
      <w:r>
        <w:rPr>
          <w:rFonts w:hint="eastAsia" w:cs="宋体"/>
          <w:color w:val="auto"/>
          <w:sz w:val="21"/>
          <w:highlight w:val="none"/>
        </w:rPr>
        <w:t>因发包人原因引起暂停施工的，监理人经发包人同意后，应及时下达暂停施工指示。情况紧急且监理人未及时下达暂停施工指示的，按照第7.8.4项〔紧急情况下的暂停施工〕执行。</w:t>
      </w:r>
    </w:p>
    <w:p w14:paraId="4ECE8AA8">
      <w:pPr>
        <w:pStyle w:val="79"/>
        <w:rPr>
          <w:rFonts w:cs="宋体"/>
          <w:color w:val="auto"/>
          <w:sz w:val="21"/>
          <w:highlight w:val="none"/>
        </w:rPr>
      </w:pPr>
      <w:r>
        <w:rPr>
          <w:rFonts w:hint="eastAsia" w:cs="宋体"/>
          <w:color w:val="auto"/>
          <w:sz w:val="21"/>
          <w:highlight w:val="none"/>
        </w:rPr>
        <w:t>因发包人原因引起的暂停施工，发包人应承担由此增加的费用和（或）延误的工期，并支付承包人合理的利润。</w:t>
      </w:r>
    </w:p>
    <w:p w14:paraId="64AA3F0C">
      <w:pPr>
        <w:pStyle w:val="79"/>
        <w:rPr>
          <w:rFonts w:cs="宋体"/>
          <w:color w:val="auto"/>
          <w:sz w:val="21"/>
          <w:highlight w:val="none"/>
        </w:rPr>
      </w:pPr>
      <w:r>
        <w:rPr>
          <w:rFonts w:hint="eastAsia" w:cs="宋体"/>
          <w:color w:val="auto"/>
          <w:sz w:val="21"/>
          <w:highlight w:val="none"/>
        </w:rPr>
        <w:t>7.8.2 承包人原因引起的暂停施工</w:t>
      </w:r>
    </w:p>
    <w:p w14:paraId="72419E66">
      <w:pPr>
        <w:pStyle w:val="79"/>
        <w:rPr>
          <w:rFonts w:cs="宋体"/>
          <w:color w:val="auto"/>
          <w:sz w:val="21"/>
          <w:highlight w:val="none"/>
        </w:rPr>
      </w:pPr>
      <w:r>
        <w:rPr>
          <w:rFonts w:hint="eastAsia" w:cs="宋体"/>
          <w:color w:val="auto"/>
          <w:sz w:val="21"/>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5A66B699">
      <w:pPr>
        <w:pStyle w:val="79"/>
        <w:rPr>
          <w:rFonts w:cs="宋体"/>
          <w:color w:val="auto"/>
          <w:sz w:val="21"/>
          <w:highlight w:val="none"/>
        </w:rPr>
      </w:pPr>
      <w:r>
        <w:rPr>
          <w:rFonts w:hint="eastAsia" w:cs="宋体"/>
          <w:color w:val="auto"/>
          <w:sz w:val="21"/>
          <w:highlight w:val="none"/>
        </w:rPr>
        <w:t>7.8.3 指示暂停施工</w:t>
      </w:r>
    </w:p>
    <w:p w14:paraId="3177FC0D">
      <w:pPr>
        <w:pStyle w:val="79"/>
        <w:rPr>
          <w:rFonts w:cs="宋体"/>
          <w:color w:val="auto"/>
          <w:sz w:val="21"/>
          <w:highlight w:val="none"/>
        </w:rPr>
      </w:pPr>
      <w:r>
        <w:rPr>
          <w:rFonts w:hint="eastAsia" w:cs="宋体"/>
          <w:color w:val="auto"/>
          <w:sz w:val="21"/>
          <w:highlight w:val="none"/>
        </w:rPr>
        <w:t>监理人认为有必要时，并经发包人批准后，可向承包人作出暂停施工的指示，承包人应按监理人指示暂停施工。</w:t>
      </w:r>
    </w:p>
    <w:p w14:paraId="630D4AD9">
      <w:pPr>
        <w:pStyle w:val="79"/>
        <w:rPr>
          <w:rFonts w:cs="宋体"/>
          <w:color w:val="auto"/>
          <w:sz w:val="21"/>
          <w:highlight w:val="none"/>
        </w:rPr>
      </w:pPr>
      <w:r>
        <w:rPr>
          <w:rFonts w:hint="eastAsia" w:cs="宋体"/>
          <w:color w:val="auto"/>
          <w:sz w:val="21"/>
          <w:highlight w:val="none"/>
        </w:rPr>
        <w:t>7.8.4 紧急情况下的暂停施工</w:t>
      </w:r>
    </w:p>
    <w:p w14:paraId="0FFD55A7">
      <w:pPr>
        <w:pStyle w:val="79"/>
        <w:rPr>
          <w:rFonts w:cs="宋体"/>
          <w:color w:val="auto"/>
          <w:sz w:val="21"/>
          <w:highlight w:val="none"/>
        </w:rPr>
      </w:pPr>
      <w:r>
        <w:rPr>
          <w:rFonts w:hint="eastAsia" w:cs="宋体"/>
          <w:color w:val="auto"/>
          <w:sz w:val="21"/>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04CBB3F3">
      <w:pPr>
        <w:pStyle w:val="79"/>
        <w:rPr>
          <w:rFonts w:cs="宋体"/>
          <w:color w:val="auto"/>
          <w:sz w:val="21"/>
          <w:highlight w:val="none"/>
        </w:rPr>
      </w:pPr>
      <w:r>
        <w:rPr>
          <w:rFonts w:hint="eastAsia" w:cs="宋体"/>
          <w:color w:val="auto"/>
          <w:sz w:val="21"/>
          <w:highlight w:val="none"/>
        </w:rPr>
        <w:t>7.8.5 暂停施工后的复工</w:t>
      </w:r>
    </w:p>
    <w:p w14:paraId="15C3214F">
      <w:pPr>
        <w:pStyle w:val="79"/>
        <w:rPr>
          <w:rFonts w:cs="宋体"/>
          <w:color w:val="auto"/>
          <w:sz w:val="21"/>
          <w:highlight w:val="none"/>
        </w:rPr>
      </w:pPr>
      <w:r>
        <w:rPr>
          <w:rFonts w:hint="eastAsia" w:cs="宋体"/>
          <w:color w:val="auto"/>
          <w:sz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79E197BB">
      <w:pPr>
        <w:pStyle w:val="79"/>
        <w:rPr>
          <w:rFonts w:cs="宋体"/>
          <w:color w:val="auto"/>
          <w:sz w:val="21"/>
          <w:highlight w:val="none"/>
        </w:rPr>
      </w:pPr>
      <w:r>
        <w:rPr>
          <w:rFonts w:hint="eastAsia" w:cs="宋体"/>
          <w:color w:val="auto"/>
          <w:sz w:val="21"/>
          <w:highlight w:val="none"/>
        </w:rPr>
        <w:t>承包人无故拖延和拒绝复工的，承包人承担由此增加的费用和（或）延误的工期；因发包人原因无法按时复工的，按照第7.5.1项〔因发包人原因导致工期延误〕约定办理。</w:t>
      </w:r>
    </w:p>
    <w:p w14:paraId="5E86DE70">
      <w:pPr>
        <w:pStyle w:val="79"/>
        <w:rPr>
          <w:rFonts w:cs="宋体"/>
          <w:color w:val="auto"/>
          <w:sz w:val="21"/>
          <w:highlight w:val="none"/>
        </w:rPr>
      </w:pPr>
      <w:r>
        <w:rPr>
          <w:rFonts w:hint="eastAsia" w:cs="宋体"/>
          <w:color w:val="auto"/>
          <w:sz w:val="21"/>
          <w:highlight w:val="none"/>
        </w:rPr>
        <w:t>7.8.6 暂停施工持续56天以上</w:t>
      </w:r>
    </w:p>
    <w:p w14:paraId="7710521D">
      <w:pPr>
        <w:pStyle w:val="79"/>
        <w:rPr>
          <w:rFonts w:cs="宋体"/>
          <w:color w:val="auto"/>
          <w:sz w:val="21"/>
          <w:highlight w:val="none"/>
        </w:rPr>
      </w:pPr>
      <w:r>
        <w:rPr>
          <w:rFonts w:hint="eastAsia" w:cs="宋体"/>
          <w:color w:val="auto"/>
          <w:sz w:val="21"/>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482B2429">
      <w:pPr>
        <w:pStyle w:val="79"/>
        <w:rPr>
          <w:rFonts w:cs="宋体"/>
          <w:color w:val="auto"/>
          <w:sz w:val="21"/>
          <w:highlight w:val="none"/>
        </w:rPr>
      </w:pPr>
      <w:r>
        <w:rPr>
          <w:rFonts w:hint="eastAsia" w:cs="宋体"/>
          <w:color w:val="auto"/>
          <w:sz w:val="21"/>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3A171C06">
      <w:pPr>
        <w:pStyle w:val="79"/>
        <w:rPr>
          <w:rFonts w:cs="宋体"/>
          <w:color w:val="auto"/>
          <w:sz w:val="21"/>
          <w:highlight w:val="none"/>
        </w:rPr>
      </w:pPr>
      <w:r>
        <w:rPr>
          <w:rFonts w:hint="eastAsia" w:cs="宋体"/>
          <w:color w:val="auto"/>
          <w:sz w:val="21"/>
          <w:highlight w:val="none"/>
        </w:rPr>
        <w:t>7.8.7 暂停施工期间的工程照管</w:t>
      </w:r>
    </w:p>
    <w:p w14:paraId="239AF7EF">
      <w:pPr>
        <w:pStyle w:val="79"/>
        <w:rPr>
          <w:rFonts w:cs="宋体"/>
          <w:color w:val="auto"/>
          <w:sz w:val="21"/>
          <w:highlight w:val="none"/>
        </w:rPr>
      </w:pPr>
      <w:r>
        <w:rPr>
          <w:rFonts w:hint="eastAsia" w:cs="宋体"/>
          <w:color w:val="auto"/>
          <w:sz w:val="21"/>
          <w:highlight w:val="none"/>
        </w:rPr>
        <w:t>暂停施工期间，承包人应负责妥善照管工程并提供安全保障，由此增加的费用由责任方承担</w:t>
      </w:r>
    </w:p>
    <w:p w14:paraId="0B2658EE">
      <w:pPr>
        <w:pStyle w:val="79"/>
        <w:rPr>
          <w:rFonts w:cs="宋体"/>
          <w:color w:val="auto"/>
          <w:sz w:val="21"/>
          <w:highlight w:val="none"/>
        </w:rPr>
      </w:pPr>
      <w:r>
        <w:rPr>
          <w:rFonts w:hint="eastAsia" w:cs="宋体"/>
          <w:color w:val="auto"/>
          <w:sz w:val="21"/>
          <w:highlight w:val="none"/>
        </w:rPr>
        <w:t>7.8.8 暂停施工的措施</w:t>
      </w:r>
    </w:p>
    <w:p w14:paraId="592E526A">
      <w:pPr>
        <w:pStyle w:val="79"/>
        <w:rPr>
          <w:rFonts w:cs="宋体"/>
          <w:color w:val="auto"/>
          <w:sz w:val="21"/>
          <w:highlight w:val="none"/>
        </w:rPr>
      </w:pPr>
      <w:r>
        <w:rPr>
          <w:rFonts w:hint="eastAsia" w:cs="宋体"/>
          <w:color w:val="auto"/>
          <w:sz w:val="21"/>
          <w:highlight w:val="none"/>
        </w:rPr>
        <w:t>暂停施工期间，发包人和承包人均应采取必要的措施确保工程质量及安全，防止因暂停施工扩大损失。</w:t>
      </w:r>
    </w:p>
    <w:p w14:paraId="611C8FF0">
      <w:pPr>
        <w:pStyle w:val="321"/>
        <w:rPr>
          <w:rFonts w:ascii="宋体" w:cs="宋体"/>
          <w:color w:val="auto"/>
          <w:highlight w:val="none"/>
        </w:rPr>
      </w:pPr>
      <w:bookmarkStart w:id="378" w:name="_Toc478389089"/>
      <w:bookmarkStart w:id="379" w:name="_Toc351203551"/>
      <w:r>
        <w:rPr>
          <w:rFonts w:hint="eastAsia" w:ascii="宋体" w:cs="宋体"/>
          <w:color w:val="auto"/>
          <w:highlight w:val="none"/>
        </w:rPr>
        <w:t>7.9提前竣工</w:t>
      </w:r>
      <w:bookmarkEnd w:id="378"/>
      <w:bookmarkEnd w:id="379"/>
    </w:p>
    <w:p w14:paraId="1FCAC574">
      <w:pPr>
        <w:pStyle w:val="79"/>
        <w:rPr>
          <w:rFonts w:cs="宋体"/>
          <w:color w:val="auto"/>
          <w:sz w:val="21"/>
          <w:highlight w:val="none"/>
        </w:rPr>
      </w:pPr>
      <w:r>
        <w:rPr>
          <w:rFonts w:hint="eastAsia" w:cs="宋体"/>
          <w:color w:val="auto"/>
          <w:sz w:val="21"/>
          <w:highlight w:val="none"/>
        </w:rPr>
        <w:t>7.9.1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4105AFC2">
      <w:pPr>
        <w:pStyle w:val="79"/>
        <w:rPr>
          <w:rFonts w:cs="宋体"/>
          <w:color w:val="auto"/>
          <w:sz w:val="21"/>
          <w:highlight w:val="none"/>
        </w:rPr>
      </w:pPr>
      <w:r>
        <w:rPr>
          <w:rFonts w:hint="eastAsia" w:cs="宋体"/>
          <w:color w:val="auto"/>
          <w:sz w:val="21"/>
          <w:highlight w:val="none"/>
        </w:rPr>
        <w:t>7.9.2发包人要求承包人提前竣工，或承包人提出提前竣工的建议能够给发包人带来效益的，合同当事人可以在专用合同条款中约定提前竣工的奖励。</w:t>
      </w:r>
    </w:p>
    <w:p w14:paraId="12347D4C">
      <w:pPr>
        <w:pStyle w:val="321"/>
        <w:rPr>
          <w:rFonts w:ascii="宋体" w:cs="宋体"/>
          <w:color w:val="auto"/>
          <w:highlight w:val="none"/>
        </w:rPr>
      </w:pPr>
      <w:bookmarkStart w:id="380" w:name="_Toc351203552"/>
      <w:bookmarkStart w:id="381" w:name="_Toc478389090"/>
      <w:r>
        <w:rPr>
          <w:rFonts w:hint="eastAsia" w:ascii="宋体" w:cs="宋体"/>
          <w:color w:val="auto"/>
          <w:highlight w:val="none"/>
        </w:rPr>
        <w:t>8</w:t>
      </w:r>
      <w:bookmarkStart w:id="382" w:name="_Toc296346559"/>
      <w:bookmarkStart w:id="383" w:name="_Toc296503058"/>
      <w:bookmarkStart w:id="384" w:name="_Toc337558776"/>
      <w:r>
        <w:rPr>
          <w:rFonts w:hint="eastAsia" w:ascii="宋体" w:cs="宋体"/>
          <w:color w:val="auto"/>
          <w:highlight w:val="none"/>
        </w:rPr>
        <w:t>. 材料与设备</w:t>
      </w:r>
      <w:bookmarkEnd w:id="380"/>
      <w:bookmarkEnd w:id="381"/>
    </w:p>
    <w:bookmarkEnd w:id="382"/>
    <w:bookmarkEnd w:id="383"/>
    <w:bookmarkEnd w:id="384"/>
    <w:p w14:paraId="02B77B98">
      <w:pPr>
        <w:pStyle w:val="321"/>
        <w:rPr>
          <w:rFonts w:ascii="宋体" w:cs="宋体"/>
          <w:color w:val="auto"/>
          <w:highlight w:val="none"/>
        </w:rPr>
      </w:pPr>
      <w:bookmarkStart w:id="385" w:name="_Toc478389091"/>
      <w:bookmarkStart w:id="386" w:name="_Toc351203553"/>
      <w:r>
        <w:rPr>
          <w:rFonts w:hint="eastAsia" w:ascii="宋体" w:cs="宋体"/>
          <w:color w:val="auto"/>
          <w:highlight w:val="none"/>
        </w:rPr>
        <w:t>8</w:t>
      </w:r>
      <w:bookmarkStart w:id="387" w:name="_Toc296503059"/>
      <w:bookmarkStart w:id="388" w:name="_Toc296346560"/>
      <w:bookmarkStart w:id="389" w:name="_Toc337558777"/>
      <w:bookmarkStart w:id="390" w:name="_Toc468936960"/>
      <w:r>
        <w:rPr>
          <w:rFonts w:hint="eastAsia" w:ascii="宋体" w:cs="宋体"/>
          <w:color w:val="auto"/>
          <w:highlight w:val="none"/>
        </w:rPr>
        <w:t>.1发包人供应材料与工程设备</w:t>
      </w:r>
      <w:bookmarkEnd w:id="385"/>
      <w:bookmarkEnd w:id="386"/>
    </w:p>
    <w:bookmarkEnd w:id="387"/>
    <w:bookmarkEnd w:id="388"/>
    <w:bookmarkEnd w:id="389"/>
    <w:p w14:paraId="540D256C">
      <w:pPr>
        <w:pStyle w:val="79"/>
        <w:rPr>
          <w:rFonts w:cs="宋体"/>
          <w:color w:val="auto"/>
          <w:sz w:val="21"/>
          <w:highlight w:val="none"/>
        </w:rPr>
      </w:pPr>
      <w:r>
        <w:rPr>
          <w:rFonts w:hint="eastAsia" w:cs="宋体"/>
          <w:color w:val="auto"/>
          <w:sz w:val="21"/>
          <w:highlight w:val="none"/>
        </w:rPr>
        <w:t>发包人自行供应材料、工程设备的，应在签订合同时在专用合同条款的附件《发包人供应材料设备一览表》中明确材料、工程设备的品种、规格、型号、数量、单价、质量等级和送达地点。</w:t>
      </w:r>
    </w:p>
    <w:p w14:paraId="17618AB6">
      <w:pPr>
        <w:pStyle w:val="79"/>
        <w:rPr>
          <w:rFonts w:cs="宋体"/>
          <w:color w:val="auto"/>
          <w:sz w:val="21"/>
          <w:highlight w:val="none"/>
        </w:rPr>
      </w:pPr>
      <w:r>
        <w:rPr>
          <w:rFonts w:hint="eastAsia" w:cs="宋体"/>
          <w:color w:val="auto"/>
          <w:sz w:val="21"/>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141336DF">
      <w:pPr>
        <w:pStyle w:val="321"/>
        <w:rPr>
          <w:rFonts w:ascii="宋体" w:cs="宋体"/>
          <w:color w:val="auto"/>
          <w:highlight w:val="none"/>
        </w:rPr>
      </w:pPr>
      <w:bookmarkStart w:id="391" w:name="_Toc351203554"/>
      <w:bookmarkStart w:id="392" w:name="_Toc478389092"/>
      <w:r>
        <w:rPr>
          <w:rFonts w:hint="eastAsia" w:ascii="宋体" w:cs="宋体"/>
          <w:color w:val="auto"/>
          <w:highlight w:val="none"/>
        </w:rPr>
        <w:t>8</w:t>
      </w:r>
      <w:bookmarkStart w:id="393" w:name="_Toc337558778"/>
      <w:bookmarkStart w:id="394" w:name="_Toc296346561"/>
      <w:bookmarkStart w:id="395" w:name="_Toc296503060"/>
      <w:r>
        <w:rPr>
          <w:rFonts w:hint="eastAsia" w:ascii="宋体" w:cs="宋体"/>
          <w:color w:val="auto"/>
          <w:highlight w:val="none"/>
        </w:rPr>
        <w:t>.2承包人采购材料与工程设备</w:t>
      </w:r>
      <w:bookmarkEnd w:id="391"/>
      <w:bookmarkEnd w:id="392"/>
    </w:p>
    <w:bookmarkEnd w:id="393"/>
    <w:bookmarkEnd w:id="394"/>
    <w:bookmarkEnd w:id="395"/>
    <w:p w14:paraId="402CB8D1">
      <w:pPr>
        <w:pStyle w:val="79"/>
        <w:rPr>
          <w:rFonts w:cs="宋体"/>
          <w:color w:val="auto"/>
          <w:sz w:val="21"/>
          <w:highlight w:val="none"/>
        </w:rPr>
      </w:pPr>
      <w:r>
        <w:rPr>
          <w:rFonts w:hint="eastAsia" w:cs="宋体"/>
          <w:color w:val="auto"/>
          <w:sz w:val="21"/>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0EBAFF6C">
      <w:pPr>
        <w:pStyle w:val="321"/>
        <w:rPr>
          <w:rFonts w:ascii="宋体" w:cs="宋体"/>
          <w:color w:val="auto"/>
          <w:highlight w:val="none"/>
        </w:rPr>
      </w:pPr>
      <w:bookmarkStart w:id="396" w:name="_Toc478389093"/>
      <w:bookmarkStart w:id="397" w:name="_Toc351203555"/>
      <w:r>
        <w:rPr>
          <w:rFonts w:hint="eastAsia" w:ascii="宋体" w:cs="宋体"/>
          <w:color w:val="auto"/>
          <w:highlight w:val="none"/>
        </w:rPr>
        <w:t>8</w:t>
      </w:r>
      <w:bookmarkStart w:id="398" w:name="_Toc296346562"/>
      <w:bookmarkStart w:id="399" w:name="_Toc337558779"/>
      <w:bookmarkStart w:id="400" w:name="_Toc296503061"/>
      <w:r>
        <w:rPr>
          <w:rFonts w:hint="eastAsia" w:ascii="宋体" w:cs="宋体"/>
          <w:color w:val="auto"/>
          <w:highlight w:val="none"/>
        </w:rPr>
        <w:t>.3材料与工程设备的接收与拒收</w:t>
      </w:r>
      <w:bookmarkEnd w:id="396"/>
      <w:bookmarkEnd w:id="397"/>
    </w:p>
    <w:bookmarkEnd w:id="398"/>
    <w:bookmarkEnd w:id="399"/>
    <w:bookmarkEnd w:id="400"/>
    <w:p w14:paraId="36E58F60">
      <w:pPr>
        <w:pStyle w:val="79"/>
        <w:rPr>
          <w:rFonts w:cs="宋体"/>
          <w:color w:val="auto"/>
          <w:sz w:val="21"/>
          <w:highlight w:val="none"/>
        </w:rPr>
      </w:pPr>
      <w:r>
        <w:rPr>
          <w:rFonts w:hint="eastAsia" w:cs="宋体"/>
          <w:color w:val="auto"/>
          <w:sz w:val="21"/>
          <w:highlight w:val="none"/>
        </w:rPr>
        <w:t>8.3.1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1FBA381C">
      <w:pPr>
        <w:pStyle w:val="79"/>
        <w:rPr>
          <w:rFonts w:cs="宋体"/>
          <w:color w:val="auto"/>
          <w:sz w:val="21"/>
          <w:highlight w:val="none"/>
        </w:rPr>
      </w:pPr>
      <w:r>
        <w:rPr>
          <w:rFonts w:hint="eastAsia" w:cs="宋体"/>
          <w:color w:val="auto"/>
          <w:sz w:val="21"/>
          <w:highlight w:val="none"/>
        </w:rPr>
        <w:t>发包人提供的材料和工程设备的规格、数量或质量不符合合同约定的，或因发包人原因导致交货日期延误或交货地点变更等情况的，按照第16.1款〔发包人违约〕约定办理。</w:t>
      </w:r>
    </w:p>
    <w:p w14:paraId="460742AB">
      <w:pPr>
        <w:pStyle w:val="79"/>
        <w:rPr>
          <w:rFonts w:cs="宋体"/>
          <w:color w:val="auto"/>
          <w:sz w:val="21"/>
          <w:highlight w:val="none"/>
        </w:rPr>
      </w:pPr>
      <w:r>
        <w:rPr>
          <w:rFonts w:hint="eastAsia" w:cs="宋体"/>
          <w:color w:val="auto"/>
          <w:sz w:val="21"/>
          <w:highlight w:val="none"/>
        </w:rPr>
        <w:t>8.3.2承包人采购的材料和工程设备，应保证产品质量合格，承包人应在材料和工程设备到货前24小时通知监理人检验。承</w:t>
      </w:r>
      <w:bookmarkStart w:id="401" w:name="_Toc250655469"/>
      <w:r>
        <w:rPr>
          <w:rFonts w:hint="eastAsia" w:cs="宋体"/>
          <w:color w:val="auto"/>
          <w:sz w:val="21"/>
          <w:highlight w:val="none"/>
        </w:rPr>
        <w:t>包人进行永久设备、材料的制造和生产的，应符合相关质量标准，并向监理人提交材料的样本以及有关资料，并应在使用该材料或工程设备之前获得监理人同意。</w:t>
      </w:r>
      <w:bookmarkEnd w:id="401"/>
      <w:r>
        <w:rPr>
          <w:rFonts w:hint="eastAsia" w:cs="宋体"/>
          <w:color w:val="auto"/>
          <w:sz w:val="21"/>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1F957250">
      <w:pPr>
        <w:pStyle w:val="321"/>
        <w:rPr>
          <w:rFonts w:ascii="宋体" w:cs="宋体"/>
          <w:color w:val="auto"/>
          <w:highlight w:val="none"/>
        </w:rPr>
      </w:pPr>
      <w:bookmarkStart w:id="402" w:name="_Toc351203556"/>
      <w:bookmarkStart w:id="403" w:name="_Toc478389094"/>
      <w:r>
        <w:rPr>
          <w:rFonts w:hint="eastAsia" w:ascii="宋体" w:cs="宋体"/>
          <w:color w:val="auto"/>
          <w:highlight w:val="none"/>
        </w:rPr>
        <w:t>8</w:t>
      </w:r>
      <w:bookmarkStart w:id="404" w:name="_Toc296503062"/>
      <w:bookmarkStart w:id="405" w:name="_Toc296346563"/>
      <w:bookmarkStart w:id="406" w:name="_Toc337558780"/>
      <w:r>
        <w:rPr>
          <w:rFonts w:hint="eastAsia" w:ascii="宋体" w:cs="宋体"/>
          <w:color w:val="auto"/>
          <w:highlight w:val="none"/>
        </w:rPr>
        <w:t>.4材料与工程设备的保管与使用</w:t>
      </w:r>
      <w:bookmarkEnd w:id="402"/>
      <w:bookmarkEnd w:id="403"/>
    </w:p>
    <w:bookmarkEnd w:id="404"/>
    <w:bookmarkEnd w:id="405"/>
    <w:bookmarkEnd w:id="406"/>
    <w:p w14:paraId="434F38E2">
      <w:pPr>
        <w:pStyle w:val="79"/>
        <w:rPr>
          <w:rFonts w:cs="宋体"/>
          <w:color w:val="auto"/>
          <w:sz w:val="21"/>
          <w:highlight w:val="none"/>
        </w:rPr>
      </w:pPr>
      <w:r>
        <w:rPr>
          <w:rFonts w:hint="eastAsia" w:cs="宋体"/>
          <w:color w:val="auto"/>
          <w:sz w:val="21"/>
          <w:highlight w:val="none"/>
        </w:rPr>
        <w:t>8.4.1 发包人供应材料与工程设备的保管与使用</w:t>
      </w:r>
    </w:p>
    <w:p w14:paraId="51461D6D">
      <w:pPr>
        <w:pStyle w:val="79"/>
        <w:rPr>
          <w:rFonts w:cs="宋体"/>
          <w:color w:val="auto"/>
          <w:sz w:val="21"/>
          <w:highlight w:val="none"/>
        </w:rPr>
      </w:pPr>
      <w:r>
        <w:rPr>
          <w:rFonts w:hint="eastAsia" w:cs="宋体"/>
          <w:color w:val="auto"/>
          <w:sz w:val="21"/>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09E3CAF3">
      <w:pPr>
        <w:pStyle w:val="79"/>
        <w:rPr>
          <w:rFonts w:cs="宋体"/>
          <w:color w:val="auto"/>
          <w:sz w:val="21"/>
          <w:highlight w:val="none"/>
        </w:rPr>
      </w:pPr>
      <w:r>
        <w:rPr>
          <w:rFonts w:hint="eastAsia" w:cs="宋体"/>
          <w:color w:val="auto"/>
          <w:sz w:val="21"/>
          <w:highlight w:val="none"/>
        </w:rPr>
        <w:t>发包人供应的材料和工程设备使用前，由承包人负责检验，检验费用由发包人承担，不合格的不得使用。</w:t>
      </w:r>
    </w:p>
    <w:p w14:paraId="02ED726B">
      <w:pPr>
        <w:pStyle w:val="79"/>
        <w:rPr>
          <w:rFonts w:cs="宋体"/>
          <w:color w:val="auto"/>
          <w:sz w:val="21"/>
          <w:highlight w:val="none"/>
        </w:rPr>
      </w:pPr>
      <w:r>
        <w:rPr>
          <w:rFonts w:hint="eastAsia" w:cs="宋体"/>
          <w:color w:val="auto"/>
          <w:sz w:val="21"/>
          <w:highlight w:val="none"/>
        </w:rPr>
        <w:t>8.4.2 承包人采购材料与工程设备的保管与使用</w:t>
      </w:r>
    </w:p>
    <w:p w14:paraId="6A4B37CE">
      <w:pPr>
        <w:pStyle w:val="79"/>
        <w:rPr>
          <w:rFonts w:cs="宋体"/>
          <w:color w:val="auto"/>
          <w:sz w:val="21"/>
          <w:highlight w:val="none"/>
        </w:rPr>
      </w:pPr>
      <w:r>
        <w:rPr>
          <w:rFonts w:hint="eastAsia" w:cs="宋体"/>
          <w:color w:val="auto"/>
          <w:sz w:val="21"/>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62A8B7DF">
      <w:pPr>
        <w:pStyle w:val="79"/>
        <w:rPr>
          <w:rFonts w:cs="宋体"/>
          <w:color w:val="auto"/>
          <w:sz w:val="21"/>
          <w:highlight w:val="none"/>
        </w:rPr>
      </w:pPr>
      <w:r>
        <w:rPr>
          <w:rFonts w:hint="eastAsia" w:cs="宋体"/>
          <w:color w:val="auto"/>
          <w:sz w:val="21"/>
          <w:highlight w:val="none"/>
        </w:rPr>
        <w:t>发包人或监理人发现承包人使用不符合设计或有关标准要求的材料和工程设备时，有权要求承包人进行修复、拆除或重新采购，由此增加的费用和（或）延误的工期，由承包人承担。</w:t>
      </w:r>
    </w:p>
    <w:p w14:paraId="7DA2D547">
      <w:pPr>
        <w:pStyle w:val="321"/>
        <w:rPr>
          <w:rFonts w:ascii="宋体" w:cs="宋体"/>
          <w:color w:val="auto"/>
          <w:highlight w:val="none"/>
        </w:rPr>
      </w:pPr>
      <w:bookmarkStart w:id="407" w:name="_Toc351203557"/>
      <w:bookmarkStart w:id="408" w:name="_Toc478389095"/>
      <w:r>
        <w:rPr>
          <w:rFonts w:hint="eastAsia" w:ascii="宋体" w:cs="宋体"/>
          <w:color w:val="auto"/>
          <w:highlight w:val="none"/>
        </w:rPr>
        <w:t>8.5禁止使用不合格的材料和工程设备</w:t>
      </w:r>
      <w:bookmarkEnd w:id="407"/>
      <w:bookmarkEnd w:id="408"/>
    </w:p>
    <w:p w14:paraId="6ADCFAE1">
      <w:pPr>
        <w:pStyle w:val="79"/>
        <w:snapToGrid w:val="0"/>
        <w:rPr>
          <w:rFonts w:cs="宋体"/>
          <w:color w:val="auto"/>
          <w:sz w:val="21"/>
          <w:highlight w:val="none"/>
        </w:rPr>
      </w:pPr>
      <w:r>
        <w:rPr>
          <w:rFonts w:hint="eastAsia" w:cs="宋体"/>
          <w:color w:val="auto"/>
          <w:sz w:val="21"/>
          <w:highlight w:val="none"/>
        </w:rPr>
        <w:t>8.5.1监理人有权拒绝承包人提供的不合格材料或工程设备，并要求承包人立即进行更换。监理人应在更换后再次进行检查和检验，由此增加的费用和（或）延误的工期由承包人承担。</w:t>
      </w:r>
    </w:p>
    <w:p w14:paraId="3A916DC5">
      <w:pPr>
        <w:pStyle w:val="79"/>
        <w:rPr>
          <w:rFonts w:cs="宋体"/>
          <w:color w:val="auto"/>
          <w:sz w:val="21"/>
          <w:highlight w:val="none"/>
        </w:rPr>
      </w:pPr>
      <w:r>
        <w:rPr>
          <w:rFonts w:hint="eastAsia" w:cs="宋体"/>
          <w:color w:val="auto"/>
          <w:sz w:val="21"/>
          <w:highlight w:val="none"/>
        </w:rPr>
        <w:t>8.5.2监理人发现承包人使用了不合格的材料和工程设备，承包人应按照监理人的指示立即改正，并禁止在工程中继续使用不合格的材料和工程设备。</w:t>
      </w:r>
    </w:p>
    <w:p w14:paraId="782CE4EC">
      <w:pPr>
        <w:pStyle w:val="79"/>
        <w:rPr>
          <w:rFonts w:cs="宋体"/>
          <w:color w:val="auto"/>
          <w:sz w:val="21"/>
          <w:highlight w:val="none"/>
        </w:rPr>
      </w:pPr>
      <w:r>
        <w:rPr>
          <w:rFonts w:hint="eastAsia" w:cs="宋体"/>
          <w:color w:val="auto"/>
          <w:sz w:val="21"/>
          <w:highlight w:val="none"/>
        </w:rPr>
        <w:t>8.5.3发包人提供的材料或工程设备不符合合同要求的，承包人有权拒绝，并可要求发包人更换，由此增加的费用和（或）延误的工期由发包人承担，并支付承包人合理的利润。</w:t>
      </w:r>
    </w:p>
    <w:p w14:paraId="6D572113">
      <w:pPr>
        <w:pStyle w:val="321"/>
        <w:rPr>
          <w:rFonts w:ascii="宋体" w:cs="宋体"/>
          <w:color w:val="auto"/>
          <w:highlight w:val="none"/>
        </w:rPr>
      </w:pPr>
      <w:bookmarkStart w:id="409" w:name="_Toc351203558"/>
      <w:bookmarkStart w:id="410" w:name="_Toc478389096"/>
      <w:r>
        <w:rPr>
          <w:rFonts w:hint="eastAsia" w:ascii="宋体" w:cs="宋体"/>
          <w:color w:val="auto"/>
          <w:highlight w:val="none"/>
        </w:rPr>
        <w:t>8.6 样品</w:t>
      </w:r>
      <w:bookmarkEnd w:id="409"/>
      <w:bookmarkEnd w:id="410"/>
    </w:p>
    <w:p w14:paraId="429CD31C">
      <w:pPr>
        <w:pStyle w:val="79"/>
        <w:rPr>
          <w:rFonts w:cs="宋体"/>
          <w:color w:val="auto"/>
          <w:sz w:val="21"/>
          <w:highlight w:val="none"/>
        </w:rPr>
      </w:pPr>
      <w:r>
        <w:rPr>
          <w:rFonts w:hint="eastAsia" w:cs="宋体"/>
          <w:color w:val="auto"/>
          <w:sz w:val="21"/>
          <w:highlight w:val="none"/>
        </w:rPr>
        <w:t>8.6.1样品的报送与封存</w:t>
      </w:r>
    </w:p>
    <w:p w14:paraId="155BA0BB">
      <w:pPr>
        <w:pStyle w:val="79"/>
        <w:rPr>
          <w:rFonts w:cs="宋体"/>
          <w:color w:val="auto"/>
          <w:sz w:val="21"/>
          <w:highlight w:val="none"/>
        </w:rPr>
      </w:pPr>
      <w:r>
        <w:rPr>
          <w:rFonts w:hint="eastAsia" w:cs="宋体"/>
          <w:color w:val="auto"/>
          <w:sz w:val="21"/>
          <w:highlight w:val="none"/>
        </w:rPr>
        <w:t>需要承包人报送样品的材料或工程设备，样品的种类、名称、规格、数量等要求均应在专用合同条款中约定。样品的报送程序如下：</w:t>
      </w:r>
    </w:p>
    <w:p w14:paraId="7731EB50">
      <w:pPr>
        <w:pStyle w:val="79"/>
        <w:rPr>
          <w:rFonts w:cs="宋体"/>
          <w:color w:val="auto"/>
          <w:sz w:val="21"/>
          <w:highlight w:val="none"/>
        </w:rPr>
      </w:pPr>
      <w:r>
        <w:rPr>
          <w:rFonts w:hint="eastAsia" w:cs="宋体"/>
          <w:color w:val="auto"/>
          <w:sz w:val="21"/>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511D63E8">
      <w:pPr>
        <w:pStyle w:val="79"/>
        <w:rPr>
          <w:rFonts w:cs="宋体"/>
          <w:color w:val="auto"/>
          <w:sz w:val="21"/>
          <w:highlight w:val="none"/>
        </w:rPr>
      </w:pPr>
      <w:r>
        <w:rPr>
          <w:rFonts w:hint="eastAsia" w:cs="宋体"/>
          <w:color w:val="auto"/>
          <w:sz w:val="21"/>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6F8EA142">
      <w:pPr>
        <w:pStyle w:val="79"/>
        <w:rPr>
          <w:rFonts w:cs="宋体"/>
          <w:color w:val="auto"/>
          <w:sz w:val="21"/>
          <w:highlight w:val="none"/>
        </w:rPr>
      </w:pPr>
      <w:r>
        <w:rPr>
          <w:rFonts w:hint="eastAsia" w:cs="宋体"/>
          <w:color w:val="auto"/>
          <w:sz w:val="21"/>
          <w:highlight w:val="none"/>
        </w:rPr>
        <w:t>（3）经发包人和监理人审批确认的样品应按约定的方法封样，封存的样品作为检验工程相关部分的标准之一。承包人在施工过程中不得使用与样品不符的材料或工程设备。</w:t>
      </w:r>
    </w:p>
    <w:p w14:paraId="4DCD42FB">
      <w:pPr>
        <w:pStyle w:val="79"/>
        <w:rPr>
          <w:rFonts w:cs="宋体"/>
          <w:color w:val="auto"/>
          <w:sz w:val="21"/>
          <w:highlight w:val="none"/>
        </w:rPr>
      </w:pPr>
      <w:r>
        <w:rPr>
          <w:rFonts w:hint="eastAsia" w:cs="宋体"/>
          <w:color w:val="auto"/>
          <w:sz w:val="21"/>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568F8780">
      <w:pPr>
        <w:pStyle w:val="79"/>
        <w:rPr>
          <w:rFonts w:cs="宋体"/>
          <w:color w:val="auto"/>
          <w:sz w:val="21"/>
          <w:highlight w:val="none"/>
        </w:rPr>
      </w:pPr>
      <w:r>
        <w:rPr>
          <w:rFonts w:hint="eastAsia" w:cs="宋体"/>
          <w:color w:val="auto"/>
          <w:sz w:val="21"/>
          <w:highlight w:val="none"/>
        </w:rPr>
        <w:t>8.6.2 样品的保管</w:t>
      </w:r>
    </w:p>
    <w:p w14:paraId="5B4E1E0D">
      <w:pPr>
        <w:pStyle w:val="79"/>
        <w:rPr>
          <w:rFonts w:cs="宋体"/>
          <w:color w:val="auto"/>
          <w:sz w:val="21"/>
          <w:highlight w:val="none"/>
        </w:rPr>
      </w:pPr>
      <w:r>
        <w:rPr>
          <w:rFonts w:hint="eastAsia" w:cs="宋体"/>
          <w:color w:val="auto"/>
          <w:sz w:val="21"/>
          <w:highlight w:val="none"/>
        </w:rPr>
        <w:t>经批准的样品应由监理人负责封存于现场，承包人应在现场为保存样品提供适当和固定的场所并保持适当和良好的存储环境条件。</w:t>
      </w:r>
    </w:p>
    <w:p w14:paraId="5EE3CFC8">
      <w:pPr>
        <w:pStyle w:val="321"/>
        <w:rPr>
          <w:rFonts w:ascii="宋体" w:cs="宋体"/>
          <w:color w:val="auto"/>
          <w:highlight w:val="none"/>
        </w:rPr>
      </w:pPr>
      <w:bookmarkStart w:id="411" w:name="_Toc478389097"/>
      <w:bookmarkStart w:id="412" w:name="_Toc351203559"/>
      <w:r>
        <w:rPr>
          <w:rFonts w:hint="eastAsia" w:ascii="宋体" w:cs="宋体"/>
          <w:color w:val="auto"/>
          <w:highlight w:val="none"/>
        </w:rPr>
        <w:t>8.7材料与工程设备的替代</w:t>
      </w:r>
      <w:bookmarkEnd w:id="411"/>
      <w:bookmarkEnd w:id="412"/>
    </w:p>
    <w:p w14:paraId="64A71D8C">
      <w:pPr>
        <w:pStyle w:val="79"/>
        <w:rPr>
          <w:rFonts w:cs="宋体"/>
          <w:color w:val="auto"/>
          <w:sz w:val="21"/>
          <w:highlight w:val="none"/>
        </w:rPr>
      </w:pPr>
      <w:r>
        <w:rPr>
          <w:rFonts w:hint="eastAsia" w:cs="宋体"/>
          <w:color w:val="auto"/>
          <w:sz w:val="21"/>
          <w:highlight w:val="none"/>
        </w:rPr>
        <w:t>8.7.1出现下列情况需要使用替代材料和工程设备的，承包人应按照第8.7.2项约定的程序执行：</w:t>
      </w:r>
    </w:p>
    <w:p w14:paraId="7A25614B">
      <w:pPr>
        <w:pStyle w:val="79"/>
        <w:rPr>
          <w:rFonts w:cs="宋体"/>
          <w:color w:val="auto"/>
          <w:sz w:val="21"/>
          <w:highlight w:val="none"/>
        </w:rPr>
      </w:pPr>
      <w:r>
        <w:rPr>
          <w:rFonts w:hint="eastAsia" w:cs="宋体"/>
          <w:color w:val="auto"/>
          <w:sz w:val="21"/>
          <w:highlight w:val="none"/>
        </w:rPr>
        <w:t>（1）基准日期后生效的法律规定禁止使用的；</w:t>
      </w:r>
    </w:p>
    <w:p w14:paraId="0712677F">
      <w:pPr>
        <w:pStyle w:val="79"/>
        <w:rPr>
          <w:rFonts w:cs="宋体"/>
          <w:color w:val="auto"/>
          <w:sz w:val="21"/>
          <w:highlight w:val="none"/>
        </w:rPr>
      </w:pPr>
      <w:r>
        <w:rPr>
          <w:rFonts w:hint="eastAsia" w:cs="宋体"/>
          <w:color w:val="auto"/>
          <w:sz w:val="21"/>
          <w:highlight w:val="none"/>
        </w:rPr>
        <w:t>（2）发包人要求使用替代品的；</w:t>
      </w:r>
    </w:p>
    <w:p w14:paraId="68192051">
      <w:pPr>
        <w:pStyle w:val="79"/>
        <w:rPr>
          <w:rFonts w:cs="宋体"/>
          <w:color w:val="auto"/>
          <w:sz w:val="21"/>
          <w:highlight w:val="none"/>
        </w:rPr>
      </w:pPr>
      <w:r>
        <w:rPr>
          <w:rFonts w:hint="eastAsia" w:cs="宋体"/>
          <w:color w:val="auto"/>
          <w:sz w:val="21"/>
          <w:highlight w:val="none"/>
        </w:rPr>
        <w:t>（3）因其他原因必须使用替代品的。</w:t>
      </w:r>
    </w:p>
    <w:p w14:paraId="26F9B192">
      <w:pPr>
        <w:pStyle w:val="79"/>
        <w:rPr>
          <w:rFonts w:cs="宋体"/>
          <w:color w:val="auto"/>
          <w:sz w:val="21"/>
          <w:highlight w:val="none"/>
        </w:rPr>
      </w:pPr>
      <w:r>
        <w:rPr>
          <w:rFonts w:hint="eastAsia" w:cs="宋体"/>
          <w:color w:val="auto"/>
          <w:sz w:val="21"/>
          <w:highlight w:val="none"/>
        </w:rPr>
        <w:t>8.7.2 承包人应在使用替代材料和工程设备28天前书面通知监理人，并附下列文件：</w:t>
      </w:r>
    </w:p>
    <w:p w14:paraId="541E0854">
      <w:pPr>
        <w:pStyle w:val="79"/>
        <w:rPr>
          <w:rFonts w:cs="宋体"/>
          <w:color w:val="auto"/>
          <w:sz w:val="21"/>
          <w:highlight w:val="none"/>
        </w:rPr>
      </w:pPr>
      <w:r>
        <w:rPr>
          <w:rFonts w:hint="eastAsia" w:cs="宋体"/>
          <w:color w:val="auto"/>
          <w:sz w:val="21"/>
          <w:highlight w:val="none"/>
        </w:rPr>
        <w:t>（1）被替代的材料和工程设备的名称、数量、规格、型号、品牌、性能、价格及其他相关资料；</w:t>
      </w:r>
    </w:p>
    <w:p w14:paraId="1F3253A3">
      <w:pPr>
        <w:pStyle w:val="79"/>
        <w:rPr>
          <w:rFonts w:cs="宋体"/>
          <w:color w:val="auto"/>
          <w:sz w:val="21"/>
          <w:highlight w:val="none"/>
        </w:rPr>
      </w:pPr>
      <w:r>
        <w:rPr>
          <w:rFonts w:hint="eastAsia" w:cs="宋体"/>
          <w:color w:val="auto"/>
          <w:sz w:val="21"/>
          <w:highlight w:val="none"/>
        </w:rPr>
        <w:t>（2）替代品的名称、数量、规格、型号、品牌、性能、价格及其他相关资料；</w:t>
      </w:r>
    </w:p>
    <w:p w14:paraId="68BF54E0">
      <w:pPr>
        <w:pStyle w:val="79"/>
        <w:rPr>
          <w:rFonts w:cs="宋体"/>
          <w:color w:val="auto"/>
          <w:sz w:val="21"/>
          <w:highlight w:val="none"/>
        </w:rPr>
      </w:pPr>
      <w:r>
        <w:rPr>
          <w:rFonts w:hint="eastAsia" w:cs="宋体"/>
          <w:color w:val="auto"/>
          <w:sz w:val="21"/>
          <w:highlight w:val="none"/>
        </w:rPr>
        <w:t>（3）替代品与被替代产品之间的差异以及使用替代品可能对工程产生的影响；</w:t>
      </w:r>
    </w:p>
    <w:p w14:paraId="0F280C37">
      <w:pPr>
        <w:pStyle w:val="79"/>
        <w:rPr>
          <w:rFonts w:cs="宋体"/>
          <w:color w:val="auto"/>
          <w:sz w:val="21"/>
          <w:highlight w:val="none"/>
        </w:rPr>
      </w:pPr>
      <w:r>
        <w:rPr>
          <w:rFonts w:hint="eastAsia" w:cs="宋体"/>
          <w:color w:val="auto"/>
          <w:sz w:val="21"/>
          <w:highlight w:val="none"/>
        </w:rPr>
        <w:t>（4）替代品与被替代产品的价格差异；</w:t>
      </w:r>
    </w:p>
    <w:p w14:paraId="0E69509B">
      <w:pPr>
        <w:pStyle w:val="79"/>
        <w:rPr>
          <w:rFonts w:cs="宋体"/>
          <w:color w:val="auto"/>
          <w:sz w:val="21"/>
          <w:highlight w:val="none"/>
        </w:rPr>
      </w:pPr>
      <w:r>
        <w:rPr>
          <w:rFonts w:hint="eastAsia" w:cs="宋体"/>
          <w:color w:val="auto"/>
          <w:sz w:val="21"/>
          <w:highlight w:val="none"/>
        </w:rPr>
        <w:t>（5）使用替代品的理由和原因说明；</w:t>
      </w:r>
    </w:p>
    <w:p w14:paraId="79460DBE">
      <w:pPr>
        <w:pStyle w:val="79"/>
        <w:rPr>
          <w:rFonts w:cs="宋体"/>
          <w:color w:val="auto"/>
          <w:sz w:val="21"/>
          <w:highlight w:val="none"/>
        </w:rPr>
      </w:pPr>
      <w:r>
        <w:rPr>
          <w:rFonts w:hint="eastAsia" w:cs="宋体"/>
          <w:color w:val="auto"/>
          <w:sz w:val="21"/>
          <w:highlight w:val="none"/>
        </w:rPr>
        <w:t>（6）监理人要求的其他文件。</w:t>
      </w:r>
    </w:p>
    <w:p w14:paraId="0F8A1E26">
      <w:pPr>
        <w:pStyle w:val="79"/>
        <w:rPr>
          <w:rFonts w:cs="宋体"/>
          <w:color w:val="auto"/>
          <w:sz w:val="21"/>
          <w:highlight w:val="none"/>
        </w:rPr>
      </w:pPr>
      <w:r>
        <w:rPr>
          <w:rFonts w:hint="eastAsia" w:cs="宋体"/>
          <w:color w:val="auto"/>
          <w:sz w:val="21"/>
          <w:highlight w:val="none"/>
        </w:rPr>
        <w:t>监理人应在收到通知后14天内向承包人发出经发包人签认的书面指示；监理人逾期发出书面指示的，视为发包人和监理人同意使用替代品。</w:t>
      </w:r>
    </w:p>
    <w:p w14:paraId="40B34F7A">
      <w:pPr>
        <w:pStyle w:val="79"/>
        <w:rPr>
          <w:rFonts w:cs="宋体"/>
          <w:color w:val="auto"/>
          <w:sz w:val="21"/>
          <w:highlight w:val="none"/>
        </w:rPr>
      </w:pPr>
      <w:r>
        <w:rPr>
          <w:rFonts w:hint="eastAsia" w:cs="宋体"/>
          <w:color w:val="auto"/>
          <w:sz w:val="21"/>
          <w:highlight w:val="none"/>
        </w:rPr>
        <w:t>8.7.3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39FCD396">
      <w:pPr>
        <w:pStyle w:val="321"/>
        <w:rPr>
          <w:rFonts w:ascii="宋体" w:cs="宋体"/>
          <w:color w:val="auto"/>
          <w:highlight w:val="none"/>
        </w:rPr>
      </w:pPr>
      <w:bookmarkStart w:id="413" w:name="_Toc478389098"/>
      <w:bookmarkStart w:id="414" w:name="_Toc351203560"/>
      <w:r>
        <w:rPr>
          <w:rFonts w:hint="eastAsia" w:ascii="宋体" w:cs="宋体"/>
          <w:color w:val="auto"/>
          <w:highlight w:val="none"/>
        </w:rPr>
        <w:t>8.8施工设备和临时设施</w:t>
      </w:r>
      <w:bookmarkEnd w:id="413"/>
      <w:bookmarkEnd w:id="414"/>
    </w:p>
    <w:p w14:paraId="334DFA49">
      <w:pPr>
        <w:pStyle w:val="79"/>
        <w:rPr>
          <w:rFonts w:cs="宋体"/>
          <w:color w:val="auto"/>
          <w:sz w:val="21"/>
          <w:highlight w:val="none"/>
        </w:rPr>
      </w:pPr>
      <w:r>
        <w:rPr>
          <w:rFonts w:hint="eastAsia" w:cs="宋体"/>
          <w:color w:val="auto"/>
          <w:sz w:val="21"/>
          <w:highlight w:val="none"/>
        </w:rPr>
        <w:t>8.8.1 承包人提供的施工设备和临时设施</w:t>
      </w:r>
    </w:p>
    <w:p w14:paraId="51877F5C">
      <w:pPr>
        <w:pStyle w:val="79"/>
        <w:rPr>
          <w:rFonts w:cs="宋体"/>
          <w:color w:val="auto"/>
          <w:sz w:val="21"/>
          <w:highlight w:val="none"/>
        </w:rPr>
      </w:pPr>
      <w:r>
        <w:rPr>
          <w:rFonts w:hint="eastAsia" w:cs="宋体"/>
          <w:color w:val="auto"/>
          <w:sz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562DD924">
      <w:pPr>
        <w:pStyle w:val="79"/>
        <w:rPr>
          <w:rFonts w:cs="宋体"/>
          <w:color w:val="auto"/>
          <w:sz w:val="21"/>
          <w:highlight w:val="none"/>
        </w:rPr>
      </w:pPr>
      <w:r>
        <w:rPr>
          <w:rFonts w:hint="eastAsia" w:cs="宋体"/>
          <w:color w:val="auto"/>
          <w:sz w:val="21"/>
          <w:highlight w:val="none"/>
        </w:rPr>
        <w:t>除专用合同条款另有约定外，承包人应自行承担修建临时设施的费用，需要临时占地的，应由发包人办理申请手续并承担相应费用。</w:t>
      </w:r>
    </w:p>
    <w:p w14:paraId="37F0296C">
      <w:pPr>
        <w:pStyle w:val="79"/>
        <w:rPr>
          <w:rFonts w:cs="宋体"/>
          <w:color w:val="auto"/>
          <w:sz w:val="21"/>
          <w:highlight w:val="none"/>
        </w:rPr>
      </w:pPr>
      <w:r>
        <w:rPr>
          <w:rFonts w:hint="eastAsia" w:cs="宋体"/>
          <w:color w:val="auto"/>
          <w:sz w:val="21"/>
          <w:highlight w:val="none"/>
        </w:rPr>
        <w:t>8.8.2发包人提供的施工设备和临时设施</w:t>
      </w:r>
    </w:p>
    <w:p w14:paraId="1371EAEE">
      <w:pPr>
        <w:pStyle w:val="79"/>
        <w:rPr>
          <w:rFonts w:cs="宋体"/>
          <w:color w:val="auto"/>
          <w:sz w:val="21"/>
          <w:highlight w:val="none"/>
        </w:rPr>
      </w:pPr>
      <w:r>
        <w:rPr>
          <w:rFonts w:hint="eastAsia" w:cs="宋体"/>
          <w:color w:val="auto"/>
          <w:sz w:val="21"/>
          <w:highlight w:val="none"/>
        </w:rPr>
        <w:t>发包人提供的施工设备或临时设施在专用合同条款中约定。</w:t>
      </w:r>
    </w:p>
    <w:p w14:paraId="144E6602">
      <w:pPr>
        <w:pStyle w:val="79"/>
        <w:rPr>
          <w:rFonts w:cs="宋体"/>
          <w:color w:val="auto"/>
          <w:sz w:val="21"/>
          <w:highlight w:val="none"/>
        </w:rPr>
      </w:pPr>
      <w:r>
        <w:rPr>
          <w:rFonts w:hint="eastAsia" w:cs="宋体"/>
          <w:color w:val="auto"/>
          <w:sz w:val="21"/>
          <w:highlight w:val="none"/>
        </w:rPr>
        <w:t>8.8.3要求承包人增加或更换施工设备</w:t>
      </w:r>
    </w:p>
    <w:p w14:paraId="1EAC2163">
      <w:pPr>
        <w:pStyle w:val="79"/>
        <w:rPr>
          <w:rFonts w:cs="宋体"/>
          <w:color w:val="auto"/>
          <w:sz w:val="21"/>
          <w:highlight w:val="none"/>
        </w:rPr>
      </w:pPr>
      <w:r>
        <w:rPr>
          <w:rFonts w:hint="eastAsia" w:cs="宋体"/>
          <w:color w:val="auto"/>
          <w:sz w:val="21"/>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4C899174">
      <w:pPr>
        <w:pStyle w:val="321"/>
        <w:rPr>
          <w:rFonts w:ascii="宋体" w:cs="宋体"/>
          <w:color w:val="auto"/>
          <w:highlight w:val="none"/>
        </w:rPr>
      </w:pPr>
      <w:bookmarkStart w:id="415" w:name="_Toc351203561"/>
      <w:bookmarkStart w:id="416" w:name="_Toc478389099"/>
      <w:r>
        <w:rPr>
          <w:rFonts w:hint="eastAsia" w:ascii="宋体" w:cs="宋体"/>
          <w:color w:val="auto"/>
          <w:highlight w:val="none"/>
        </w:rPr>
        <w:t>8</w:t>
      </w:r>
      <w:bookmarkStart w:id="417" w:name="_Toc296503063"/>
      <w:bookmarkStart w:id="418" w:name="_Toc337558781"/>
      <w:bookmarkStart w:id="419" w:name="_Toc296346564"/>
      <w:r>
        <w:rPr>
          <w:rFonts w:hint="eastAsia" w:ascii="宋体" w:cs="宋体"/>
          <w:color w:val="auto"/>
          <w:highlight w:val="none"/>
        </w:rPr>
        <w:t>.9材料与设备专用</w:t>
      </w:r>
      <w:bookmarkEnd w:id="415"/>
      <w:r>
        <w:rPr>
          <w:rFonts w:hint="eastAsia" w:ascii="宋体" w:cs="宋体"/>
          <w:color w:val="auto"/>
          <w:highlight w:val="none"/>
        </w:rPr>
        <w:t>要求</w:t>
      </w:r>
      <w:bookmarkEnd w:id="416"/>
    </w:p>
    <w:bookmarkEnd w:id="417"/>
    <w:bookmarkEnd w:id="418"/>
    <w:bookmarkEnd w:id="419"/>
    <w:p w14:paraId="549DFBB6">
      <w:pPr>
        <w:pStyle w:val="79"/>
        <w:rPr>
          <w:rFonts w:cs="宋体"/>
          <w:color w:val="auto"/>
          <w:sz w:val="21"/>
          <w:highlight w:val="none"/>
        </w:rPr>
      </w:pPr>
      <w:r>
        <w:rPr>
          <w:rFonts w:hint="eastAsia" w:cs="宋体"/>
          <w:color w:val="auto"/>
          <w:sz w:val="21"/>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390"/>
      <w:r>
        <w:rPr>
          <w:rFonts w:hint="eastAsia" w:cs="宋体"/>
          <w:color w:val="auto"/>
          <w:sz w:val="21"/>
          <w:highlight w:val="none"/>
        </w:rPr>
        <w:t>经发包人批准，承包人可以根据施工进度计划撤走闲置的施工设备和其他物品。</w:t>
      </w:r>
    </w:p>
    <w:p w14:paraId="4BCE5686">
      <w:pPr>
        <w:pStyle w:val="321"/>
        <w:rPr>
          <w:rFonts w:ascii="宋体" w:cs="宋体"/>
          <w:color w:val="auto"/>
          <w:highlight w:val="none"/>
        </w:rPr>
      </w:pPr>
      <w:bookmarkStart w:id="420" w:name="_Toc478389100"/>
      <w:bookmarkStart w:id="421" w:name="_Toc351203562"/>
      <w:r>
        <w:rPr>
          <w:rFonts w:hint="eastAsia" w:ascii="宋体" w:cs="宋体"/>
          <w:color w:val="auto"/>
          <w:highlight w:val="none"/>
        </w:rPr>
        <w:t>9</w:t>
      </w:r>
      <w:bookmarkStart w:id="422" w:name="_Toc337558782"/>
      <w:bookmarkStart w:id="423" w:name="_Toc296346584"/>
      <w:bookmarkStart w:id="424" w:name="_Toc296503083"/>
      <w:r>
        <w:rPr>
          <w:rFonts w:hint="eastAsia" w:ascii="宋体" w:cs="宋体"/>
          <w:color w:val="auto"/>
          <w:highlight w:val="none"/>
        </w:rPr>
        <w:t>. 试验与检验</w:t>
      </w:r>
      <w:bookmarkEnd w:id="420"/>
      <w:bookmarkEnd w:id="421"/>
    </w:p>
    <w:bookmarkEnd w:id="422"/>
    <w:p w14:paraId="45DA319D">
      <w:pPr>
        <w:pStyle w:val="321"/>
        <w:rPr>
          <w:rFonts w:ascii="宋体" w:cs="宋体"/>
          <w:color w:val="auto"/>
          <w:highlight w:val="none"/>
        </w:rPr>
      </w:pPr>
      <w:bookmarkStart w:id="425" w:name="_Toc351203563"/>
      <w:bookmarkStart w:id="426" w:name="_Toc478389101"/>
      <w:r>
        <w:rPr>
          <w:rFonts w:hint="eastAsia" w:ascii="宋体" w:cs="宋体"/>
          <w:color w:val="auto"/>
          <w:highlight w:val="none"/>
        </w:rPr>
        <w:t>9</w:t>
      </w:r>
      <w:bookmarkStart w:id="427" w:name="_Toc337558783"/>
      <w:r>
        <w:rPr>
          <w:rFonts w:hint="eastAsia" w:ascii="宋体" w:cs="宋体"/>
          <w:color w:val="auto"/>
          <w:highlight w:val="none"/>
        </w:rPr>
        <w:t>.1试验设备与试验人员</w:t>
      </w:r>
      <w:bookmarkEnd w:id="425"/>
      <w:bookmarkEnd w:id="426"/>
    </w:p>
    <w:bookmarkEnd w:id="427"/>
    <w:p w14:paraId="5EAE3331">
      <w:pPr>
        <w:pStyle w:val="79"/>
        <w:rPr>
          <w:rFonts w:cs="宋体"/>
          <w:color w:val="auto"/>
          <w:sz w:val="21"/>
          <w:highlight w:val="none"/>
        </w:rPr>
      </w:pPr>
      <w:r>
        <w:rPr>
          <w:rFonts w:hint="eastAsia" w:cs="宋体"/>
          <w:color w:val="auto"/>
          <w:sz w:val="21"/>
          <w:highlight w:val="none"/>
        </w:rPr>
        <w:t>9.1.1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5BEED2DD">
      <w:pPr>
        <w:pStyle w:val="79"/>
        <w:rPr>
          <w:rFonts w:cs="宋体"/>
          <w:color w:val="auto"/>
          <w:sz w:val="21"/>
          <w:highlight w:val="none"/>
        </w:rPr>
      </w:pPr>
      <w:r>
        <w:rPr>
          <w:rFonts w:hint="eastAsia" w:cs="宋体"/>
          <w:color w:val="auto"/>
          <w:sz w:val="21"/>
          <w:highlight w:val="none"/>
        </w:rPr>
        <w:t>9.1.2承包人应按专用合同条款的约定提供试验设备、取样装置、试验场所和试验条件，并向监理人提交相应进场计划表。</w:t>
      </w:r>
    </w:p>
    <w:p w14:paraId="741C4FFC">
      <w:pPr>
        <w:pStyle w:val="79"/>
        <w:rPr>
          <w:rFonts w:cs="宋体"/>
          <w:color w:val="auto"/>
          <w:sz w:val="21"/>
          <w:highlight w:val="none"/>
        </w:rPr>
      </w:pPr>
      <w:r>
        <w:rPr>
          <w:rFonts w:hint="eastAsia" w:cs="宋体"/>
          <w:color w:val="auto"/>
          <w:sz w:val="21"/>
          <w:highlight w:val="none"/>
        </w:rPr>
        <w:t>承包人配置的试验设备要符合相应试验规程的要求并经过具有资质的检测单位检测，且在正式使用该试验设备前，需要经过监理人与承包人共同校定。</w:t>
      </w:r>
    </w:p>
    <w:p w14:paraId="7D355F5E">
      <w:pPr>
        <w:pStyle w:val="79"/>
        <w:rPr>
          <w:rFonts w:cs="宋体"/>
          <w:color w:val="auto"/>
          <w:sz w:val="21"/>
          <w:highlight w:val="none"/>
        </w:rPr>
      </w:pPr>
      <w:r>
        <w:rPr>
          <w:rFonts w:hint="eastAsia" w:cs="宋体"/>
          <w:color w:val="auto"/>
          <w:sz w:val="21"/>
          <w:highlight w:val="none"/>
        </w:rPr>
        <w:t>9.1.3承包人应向监理人提交试验人员的名单及其岗位、资格等证明资料，试验人员必须能够熟练进行相应的检测试验，承包人对试验人员的试验程序和试验结果的正确性负责。</w:t>
      </w:r>
    </w:p>
    <w:p w14:paraId="03989DDA">
      <w:pPr>
        <w:pStyle w:val="321"/>
        <w:rPr>
          <w:rFonts w:ascii="宋体" w:cs="宋体"/>
          <w:color w:val="auto"/>
          <w:highlight w:val="none"/>
        </w:rPr>
      </w:pPr>
      <w:bookmarkStart w:id="428" w:name="_Toc351203564"/>
      <w:bookmarkStart w:id="429" w:name="_Toc478389102"/>
      <w:r>
        <w:rPr>
          <w:rFonts w:hint="eastAsia" w:ascii="宋体" w:cs="宋体"/>
          <w:color w:val="auto"/>
          <w:highlight w:val="none"/>
        </w:rPr>
        <w:t>9</w:t>
      </w:r>
      <w:bookmarkStart w:id="430" w:name="_Toc337558784"/>
      <w:r>
        <w:rPr>
          <w:rFonts w:hint="eastAsia" w:ascii="宋体" w:cs="宋体"/>
          <w:color w:val="auto"/>
          <w:highlight w:val="none"/>
        </w:rPr>
        <w:t>.2取样</w:t>
      </w:r>
      <w:bookmarkEnd w:id="428"/>
      <w:bookmarkEnd w:id="429"/>
    </w:p>
    <w:bookmarkEnd w:id="430"/>
    <w:p w14:paraId="10EC5BB0">
      <w:pPr>
        <w:pStyle w:val="79"/>
        <w:rPr>
          <w:rFonts w:cs="宋体"/>
          <w:color w:val="auto"/>
          <w:sz w:val="21"/>
          <w:highlight w:val="none"/>
        </w:rPr>
      </w:pPr>
      <w:r>
        <w:rPr>
          <w:rFonts w:hint="eastAsia" w:cs="宋体"/>
          <w:color w:val="auto"/>
          <w:sz w:val="21"/>
          <w:highlight w:val="none"/>
        </w:rPr>
        <w:t>试验属于自检性质的，承包人可以单独取样。试验属于监理人抽检性质的，可由监理人取样，也可由承包人的试验人员在监理人的监督下取样。</w:t>
      </w:r>
    </w:p>
    <w:p w14:paraId="568617D9">
      <w:pPr>
        <w:pStyle w:val="321"/>
        <w:rPr>
          <w:rFonts w:ascii="宋体" w:cs="宋体"/>
          <w:color w:val="auto"/>
          <w:highlight w:val="none"/>
        </w:rPr>
      </w:pPr>
      <w:bookmarkStart w:id="431" w:name="_Toc351203565"/>
      <w:bookmarkStart w:id="432" w:name="_Toc478389103"/>
      <w:r>
        <w:rPr>
          <w:rFonts w:hint="eastAsia" w:ascii="宋体" w:cs="宋体"/>
          <w:color w:val="auto"/>
          <w:highlight w:val="none"/>
        </w:rPr>
        <w:t>9</w:t>
      </w:r>
      <w:bookmarkStart w:id="433" w:name="_Toc337558785"/>
      <w:r>
        <w:rPr>
          <w:rFonts w:hint="eastAsia" w:ascii="宋体" w:cs="宋体"/>
          <w:color w:val="auto"/>
          <w:highlight w:val="none"/>
        </w:rPr>
        <w:t>.3材料、工程设备和工程的试验和检验</w:t>
      </w:r>
      <w:bookmarkEnd w:id="431"/>
      <w:bookmarkEnd w:id="432"/>
    </w:p>
    <w:bookmarkEnd w:id="433"/>
    <w:p w14:paraId="714DC069">
      <w:pPr>
        <w:pStyle w:val="79"/>
        <w:rPr>
          <w:rFonts w:cs="宋体"/>
          <w:color w:val="auto"/>
          <w:sz w:val="21"/>
          <w:highlight w:val="none"/>
        </w:rPr>
      </w:pPr>
      <w:r>
        <w:rPr>
          <w:rFonts w:hint="eastAsia" w:cs="宋体"/>
          <w:color w:val="auto"/>
          <w:sz w:val="21"/>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EDB8184">
      <w:pPr>
        <w:pStyle w:val="79"/>
        <w:rPr>
          <w:rFonts w:cs="宋体"/>
          <w:color w:val="auto"/>
          <w:sz w:val="21"/>
          <w:highlight w:val="none"/>
        </w:rPr>
      </w:pPr>
      <w:r>
        <w:rPr>
          <w:rFonts w:hint="eastAsia" w:cs="宋体"/>
          <w:color w:val="auto"/>
          <w:sz w:val="21"/>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56048B14">
      <w:pPr>
        <w:pStyle w:val="79"/>
        <w:rPr>
          <w:rFonts w:cs="宋体"/>
          <w:color w:val="auto"/>
          <w:sz w:val="21"/>
          <w:highlight w:val="none"/>
        </w:rPr>
      </w:pPr>
      <w:r>
        <w:rPr>
          <w:rFonts w:hint="eastAsia" w:cs="宋体"/>
          <w:color w:val="auto"/>
          <w:sz w:val="21"/>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07586E36">
      <w:pPr>
        <w:pStyle w:val="321"/>
        <w:rPr>
          <w:rFonts w:ascii="宋体" w:cs="宋体"/>
          <w:color w:val="auto"/>
          <w:highlight w:val="none"/>
        </w:rPr>
      </w:pPr>
      <w:bookmarkStart w:id="434" w:name="_Toc478389104"/>
      <w:bookmarkStart w:id="435" w:name="_Toc351203566"/>
      <w:r>
        <w:rPr>
          <w:rFonts w:hint="eastAsia" w:ascii="宋体" w:cs="宋体"/>
          <w:color w:val="auto"/>
          <w:highlight w:val="none"/>
        </w:rPr>
        <w:t>9</w:t>
      </w:r>
      <w:bookmarkStart w:id="436" w:name="_Toc337558786"/>
      <w:r>
        <w:rPr>
          <w:rFonts w:hint="eastAsia" w:ascii="宋体" w:cs="宋体"/>
          <w:color w:val="auto"/>
          <w:highlight w:val="none"/>
        </w:rPr>
        <w:t>.4现场工艺试验</w:t>
      </w:r>
      <w:bookmarkEnd w:id="434"/>
      <w:bookmarkEnd w:id="435"/>
    </w:p>
    <w:bookmarkEnd w:id="436"/>
    <w:p w14:paraId="6688CF54">
      <w:pPr>
        <w:pStyle w:val="79"/>
        <w:rPr>
          <w:rFonts w:cs="宋体"/>
          <w:color w:val="auto"/>
          <w:sz w:val="21"/>
          <w:highlight w:val="none"/>
        </w:rPr>
      </w:pPr>
      <w:r>
        <w:rPr>
          <w:rFonts w:hint="eastAsia" w:cs="宋体"/>
          <w:color w:val="auto"/>
          <w:sz w:val="21"/>
          <w:highlight w:val="none"/>
        </w:rPr>
        <w:t>承包人应按合同约定或监理人指示进行现场工艺试验。对大型的现场工艺试验，监理人认为必要时，承包人应根据监理人提出的工艺试验要求，编制工艺试验措施计划，报送监理人审查。</w:t>
      </w:r>
    </w:p>
    <w:p w14:paraId="2986AED2">
      <w:pPr>
        <w:pStyle w:val="321"/>
        <w:rPr>
          <w:rFonts w:ascii="宋体" w:cs="宋体"/>
          <w:color w:val="auto"/>
          <w:highlight w:val="none"/>
        </w:rPr>
      </w:pPr>
      <w:bookmarkStart w:id="437" w:name="_Toc351203567"/>
      <w:bookmarkStart w:id="438" w:name="_Toc478389105"/>
      <w:r>
        <w:rPr>
          <w:rFonts w:hint="eastAsia" w:ascii="宋体" w:cs="宋体"/>
          <w:color w:val="auto"/>
          <w:highlight w:val="none"/>
        </w:rPr>
        <w:t>1</w:t>
      </w:r>
      <w:bookmarkStart w:id="439" w:name="_Toc337558787"/>
      <w:r>
        <w:rPr>
          <w:rFonts w:hint="eastAsia" w:ascii="宋体" w:cs="宋体"/>
          <w:color w:val="auto"/>
          <w:highlight w:val="none"/>
        </w:rPr>
        <w:t>0. 变更</w:t>
      </w:r>
      <w:bookmarkEnd w:id="423"/>
      <w:bookmarkEnd w:id="424"/>
      <w:bookmarkEnd w:id="437"/>
      <w:bookmarkEnd w:id="438"/>
    </w:p>
    <w:bookmarkEnd w:id="439"/>
    <w:p w14:paraId="2EED77F2">
      <w:pPr>
        <w:pStyle w:val="321"/>
        <w:rPr>
          <w:rFonts w:ascii="宋体" w:cs="宋体"/>
          <w:color w:val="auto"/>
          <w:highlight w:val="none"/>
        </w:rPr>
      </w:pPr>
      <w:bookmarkStart w:id="440" w:name="_Toc478389106"/>
      <w:bookmarkStart w:id="441" w:name="_Toc351203568"/>
      <w:r>
        <w:rPr>
          <w:rFonts w:hint="eastAsia" w:ascii="宋体" w:cs="宋体"/>
          <w:color w:val="auto"/>
          <w:highlight w:val="none"/>
        </w:rPr>
        <w:t>1</w:t>
      </w:r>
      <w:bookmarkStart w:id="442" w:name="_Toc337558788"/>
      <w:bookmarkStart w:id="443" w:name="_Toc296503084"/>
      <w:bookmarkStart w:id="444" w:name="_Toc296346585"/>
      <w:r>
        <w:rPr>
          <w:rFonts w:hint="eastAsia" w:ascii="宋体" w:cs="宋体"/>
          <w:color w:val="auto"/>
          <w:highlight w:val="none"/>
        </w:rPr>
        <w:t>0.1变更的范围</w:t>
      </w:r>
      <w:bookmarkEnd w:id="440"/>
      <w:bookmarkEnd w:id="441"/>
    </w:p>
    <w:bookmarkEnd w:id="442"/>
    <w:bookmarkEnd w:id="443"/>
    <w:bookmarkEnd w:id="444"/>
    <w:p w14:paraId="671F4798">
      <w:pPr>
        <w:pStyle w:val="79"/>
        <w:rPr>
          <w:rFonts w:cs="宋体"/>
          <w:color w:val="auto"/>
          <w:sz w:val="21"/>
          <w:highlight w:val="none"/>
        </w:rPr>
      </w:pPr>
      <w:r>
        <w:rPr>
          <w:rFonts w:hint="eastAsia" w:cs="宋体"/>
          <w:color w:val="auto"/>
          <w:sz w:val="21"/>
          <w:highlight w:val="none"/>
        </w:rPr>
        <w:t>除专用合同条款另有约定外，合同履行过程中发生以下情形的，应按照本条约定进行变更：</w:t>
      </w:r>
    </w:p>
    <w:p w14:paraId="360A7367">
      <w:pPr>
        <w:pStyle w:val="79"/>
        <w:rPr>
          <w:rFonts w:cs="宋体"/>
          <w:color w:val="auto"/>
          <w:sz w:val="21"/>
          <w:highlight w:val="none"/>
        </w:rPr>
      </w:pPr>
      <w:r>
        <w:rPr>
          <w:rFonts w:hint="eastAsia" w:cs="宋体"/>
          <w:color w:val="auto"/>
          <w:sz w:val="21"/>
          <w:highlight w:val="none"/>
        </w:rPr>
        <w:t>（1）增加或减少合同中任何工作，或追加额外的工作；</w:t>
      </w:r>
    </w:p>
    <w:p w14:paraId="49FA0072">
      <w:pPr>
        <w:pStyle w:val="79"/>
        <w:rPr>
          <w:rFonts w:cs="宋体"/>
          <w:color w:val="auto"/>
          <w:sz w:val="21"/>
          <w:highlight w:val="none"/>
        </w:rPr>
      </w:pPr>
      <w:r>
        <w:rPr>
          <w:rFonts w:hint="eastAsia" w:cs="宋体"/>
          <w:color w:val="auto"/>
          <w:sz w:val="21"/>
          <w:highlight w:val="none"/>
        </w:rPr>
        <w:t>（2）取消合同中任何工作，但转由他人实施的工作除外；</w:t>
      </w:r>
    </w:p>
    <w:p w14:paraId="16F000F0">
      <w:pPr>
        <w:pStyle w:val="79"/>
        <w:rPr>
          <w:rFonts w:cs="宋体"/>
          <w:color w:val="auto"/>
          <w:sz w:val="21"/>
          <w:highlight w:val="none"/>
        </w:rPr>
      </w:pPr>
      <w:r>
        <w:rPr>
          <w:rFonts w:hint="eastAsia" w:cs="宋体"/>
          <w:color w:val="auto"/>
          <w:sz w:val="21"/>
          <w:highlight w:val="none"/>
        </w:rPr>
        <w:t>（3）改变合同中任何工作的质量标准或其他特性；</w:t>
      </w:r>
    </w:p>
    <w:p w14:paraId="1060C3C4">
      <w:pPr>
        <w:pStyle w:val="79"/>
        <w:rPr>
          <w:rFonts w:cs="宋体"/>
          <w:color w:val="auto"/>
          <w:sz w:val="21"/>
          <w:highlight w:val="none"/>
        </w:rPr>
      </w:pPr>
      <w:r>
        <w:rPr>
          <w:rFonts w:hint="eastAsia" w:cs="宋体"/>
          <w:color w:val="auto"/>
          <w:sz w:val="21"/>
          <w:highlight w:val="none"/>
        </w:rPr>
        <w:t>（4）改变工程的基线、标高、位置和尺寸；</w:t>
      </w:r>
    </w:p>
    <w:p w14:paraId="6B43021A">
      <w:pPr>
        <w:pStyle w:val="79"/>
        <w:rPr>
          <w:rFonts w:cs="宋体"/>
          <w:color w:val="auto"/>
          <w:sz w:val="21"/>
          <w:highlight w:val="none"/>
        </w:rPr>
      </w:pPr>
      <w:r>
        <w:rPr>
          <w:rFonts w:hint="eastAsia" w:cs="宋体"/>
          <w:color w:val="auto"/>
          <w:sz w:val="21"/>
          <w:highlight w:val="none"/>
        </w:rPr>
        <w:t>（5）改变工程的时间安排或实施顺序。</w:t>
      </w:r>
    </w:p>
    <w:p w14:paraId="04B49FBA">
      <w:pPr>
        <w:pStyle w:val="321"/>
        <w:rPr>
          <w:rFonts w:ascii="宋体" w:cs="宋体"/>
          <w:color w:val="auto"/>
          <w:highlight w:val="none"/>
        </w:rPr>
      </w:pPr>
      <w:bookmarkStart w:id="445" w:name="_Toc478389107"/>
      <w:bookmarkStart w:id="446" w:name="_Toc351203569"/>
      <w:r>
        <w:rPr>
          <w:rFonts w:hint="eastAsia" w:ascii="宋体" w:cs="宋体"/>
          <w:color w:val="auto"/>
          <w:highlight w:val="none"/>
        </w:rPr>
        <w:t>1</w:t>
      </w:r>
      <w:bookmarkStart w:id="447" w:name="_Toc296503085"/>
      <w:bookmarkStart w:id="448" w:name="_Toc337558789"/>
      <w:bookmarkStart w:id="449" w:name="_Toc296346586"/>
      <w:r>
        <w:rPr>
          <w:rFonts w:hint="eastAsia" w:ascii="宋体" w:cs="宋体"/>
          <w:color w:val="auto"/>
          <w:highlight w:val="none"/>
        </w:rPr>
        <w:t>0.2变更权</w:t>
      </w:r>
      <w:bookmarkEnd w:id="445"/>
      <w:bookmarkEnd w:id="446"/>
    </w:p>
    <w:bookmarkEnd w:id="447"/>
    <w:bookmarkEnd w:id="448"/>
    <w:bookmarkEnd w:id="449"/>
    <w:p w14:paraId="206054D9">
      <w:pPr>
        <w:pStyle w:val="79"/>
        <w:rPr>
          <w:rFonts w:cs="宋体"/>
          <w:color w:val="auto"/>
          <w:sz w:val="21"/>
          <w:highlight w:val="none"/>
        </w:rPr>
      </w:pPr>
      <w:r>
        <w:rPr>
          <w:rFonts w:hint="eastAsia" w:cs="宋体"/>
          <w:color w:val="auto"/>
          <w:sz w:val="21"/>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2AA3DE1A">
      <w:pPr>
        <w:pStyle w:val="79"/>
        <w:rPr>
          <w:rFonts w:cs="宋体"/>
          <w:color w:val="auto"/>
          <w:sz w:val="21"/>
          <w:highlight w:val="none"/>
        </w:rPr>
      </w:pPr>
      <w:r>
        <w:rPr>
          <w:rFonts w:hint="eastAsia" w:cs="宋体"/>
          <w:color w:val="auto"/>
          <w:sz w:val="21"/>
          <w:highlight w:val="none"/>
        </w:rPr>
        <w:t>涉及设计变更的，应由设计人提供变更后的图纸和说明。如变更超过原设计标准或批准的建设规模时，发包人应及时办理规划、设计变更等审批手续。</w:t>
      </w:r>
    </w:p>
    <w:p w14:paraId="6B8C5A0B">
      <w:pPr>
        <w:pStyle w:val="321"/>
        <w:rPr>
          <w:rFonts w:ascii="宋体" w:cs="宋体"/>
          <w:color w:val="auto"/>
          <w:highlight w:val="none"/>
        </w:rPr>
      </w:pPr>
      <w:bookmarkStart w:id="450" w:name="_Toc351203570"/>
      <w:bookmarkStart w:id="451" w:name="_Toc478389108"/>
      <w:r>
        <w:rPr>
          <w:rFonts w:hint="eastAsia" w:ascii="宋体" w:cs="宋体"/>
          <w:color w:val="auto"/>
          <w:highlight w:val="none"/>
        </w:rPr>
        <w:t>1</w:t>
      </w:r>
      <w:bookmarkStart w:id="452" w:name="_Toc296503086"/>
      <w:bookmarkStart w:id="453" w:name="_Toc337558790"/>
      <w:bookmarkStart w:id="454" w:name="_Toc296346587"/>
      <w:r>
        <w:rPr>
          <w:rFonts w:hint="eastAsia" w:ascii="宋体" w:cs="宋体"/>
          <w:color w:val="auto"/>
          <w:highlight w:val="none"/>
        </w:rPr>
        <w:t>0.3变更程序</w:t>
      </w:r>
      <w:bookmarkEnd w:id="450"/>
      <w:bookmarkEnd w:id="451"/>
    </w:p>
    <w:bookmarkEnd w:id="452"/>
    <w:bookmarkEnd w:id="453"/>
    <w:bookmarkEnd w:id="454"/>
    <w:p w14:paraId="02674698">
      <w:pPr>
        <w:pStyle w:val="79"/>
        <w:rPr>
          <w:rFonts w:cs="宋体"/>
          <w:color w:val="auto"/>
          <w:sz w:val="21"/>
          <w:highlight w:val="none"/>
        </w:rPr>
      </w:pPr>
      <w:r>
        <w:rPr>
          <w:rFonts w:hint="eastAsia" w:cs="宋体"/>
          <w:color w:val="auto"/>
          <w:sz w:val="21"/>
          <w:highlight w:val="none"/>
        </w:rPr>
        <w:t>10.3.1 发包人提出变更</w:t>
      </w:r>
    </w:p>
    <w:p w14:paraId="4F0BEC97">
      <w:pPr>
        <w:pStyle w:val="79"/>
        <w:rPr>
          <w:rFonts w:cs="宋体"/>
          <w:color w:val="auto"/>
          <w:sz w:val="21"/>
          <w:highlight w:val="none"/>
        </w:rPr>
      </w:pPr>
      <w:r>
        <w:rPr>
          <w:rFonts w:hint="eastAsia" w:cs="宋体"/>
          <w:color w:val="auto"/>
          <w:sz w:val="21"/>
          <w:highlight w:val="none"/>
        </w:rPr>
        <w:t>发包人提出变更的，应通过监理人向承包人发出变更指示，变更指示应说明计划变更的工程范围和变更的内容。</w:t>
      </w:r>
    </w:p>
    <w:p w14:paraId="17803F9E">
      <w:pPr>
        <w:pStyle w:val="79"/>
        <w:rPr>
          <w:rFonts w:cs="宋体"/>
          <w:color w:val="auto"/>
          <w:sz w:val="21"/>
          <w:highlight w:val="none"/>
        </w:rPr>
      </w:pPr>
      <w:r>
        <w:rPr>
          <w:rFonts w:hint="eastAsia" w:cs="宋体"/>
          <w:color w:val="auto"/>
          <w:sz w:val="21"/>
          <w:highlight w:val="none"/>
        </w:rPr>
        <w:t>10.3.2 监理人提出变更建议</w:t>
      </w:r>
    </w:p>
    <w:p w14:paraId="2E1543F3">
      <w:pPr>
        <w:pStyle w:val="79"/>
        <w:rPr>
          <w:rFonts w:cs="宋体"/>
          <w:color w:val="auto"/>
          <w:sz w:val="21"/>
          <w:highlight w:val="none"/>
        </w:rPr>
      </w:pPr>
      <w:r>
        <w:rPr>
          <w:rFonts w:hint="eastAsia" w:cs="宋体"/>
          <w:color w:val="auto"/>
          <w:sz w:val="21"/>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00DC99EC">
      <w:pPr>
        <w:pStyle w:val="79"/>
        <w:rPr>
          <w:rFonts w:cs="宋体"/>
          <w:color w:val="auto"/>
          <w:sz w:val="21"/>
          <w:highlight w:val="none"/>
        </w:rPr>
      </w:pPr>
      <w:r>
        <w:rPr>
          <w:rFonts w:hint="eastAsia" w:cs="宋体"/>
          <w:color w:val="auto"/>
          <w:sz w:val="21"/>
          <w:highlight w:val="none"/>
        </w:rPr>
        <w:t>10.3.3 变更执行</w:t>
      </w:r>
    </w:p>
    <w:p w14:paraId="2A09A1A4">
      <w:pPr>
        <w:pStyle w:val="79"/>
        <w:rPr>
          <w:rFonts w:cs="宋体"/>
          <w:color w:val="auto"/>
          <w:sz w:val="21"/>
          <w:highlight w:val="none"/>
        </w:rPr>
      </w:pPr>
      <w:r>
        <w:rPr>
          <w:rFonts w:hint="eastAsia" w:cs="宋体"/>
          <w:color w:val="auto"/>
          <w:sz w:val="21"/>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4E8ADF2E">
      <w:pPr>
        <w:pStyle w:val="321"/>
        <w:rPr>
          <w:rFonts w:ascii="宋体" w:cs="宋体"/>
          <w:color w:val="auto"/>
          <w:highlight w:val="none"/>
        </w:rPr>
      </w:pPr>
      <w:bookmarkStart w:id="455" w:name="_Toc478389109"/>
      <w:bookmarkStart w:id="456" w:name="_Toc351203571"/>
      <w:r>
        <w:rPr>
          <w:rFonts w:hint="eastAsia" w:ascii="宋体" w:cs="宋体"/>
          <w:color w:val="auto"/>
          <w:highlight w:val="none"/>
        </w:rPr>
        <w:t>1</w:t>
      </w:r>
      <w:bookmarkStart w:id="457" w:name="_Toc296346588"/>
      <w:bookmarkStart w:id="458" w:name="_Toc337558791"/>
      <w:bookmarkStart w:id="459" w:name="_Toc296503087"/>
      <w:r>
        <w:rPr>
          <w:rFonts w:hint="eastAsia" w:ascii="宋体" w:cs="宋体"/>
          <w:color w:val="auto"/>
          <w:highlight w:val="none"/>
        </w:rPr>
        <w:t>0.4变更估价</w:t>
      </w:r>
      <w:bookmarkEnd w:id="455"/>
      <w:bookmarkEnd w:id="456"/>
    </w:p>
    <w:bookmarkEnd w:id="457"/>
    <w:bookmarkEnd w:id="458"/>
    <w:bookmarkEnd w:id="459"/>
    <w:p w14:paraId="40A0BB72">
      <w:pPr>
        <w:pStyle w:val="79"/>
        <w:rPr>
          <w:rFonts w:cs="宋体"/>
          <w:color w:val="auto"/>
          <w:sz w:val="21"/>
          <w:highlight w:val="none"/>
        </w:rPr>
      </w:pPr>
      <w:r>
        <w:rPr>
          <w:rFonts w:hint="eastAsia" w:cs="宋体"/>
          <w:color w:val="auto"/>
          <w:sz w:val="21"/>
          <w:highlight w:val="none"/>
        </w:rPr>
        <w:t>10.4.1 变更估价原则</w:t>
      </w:r>
    </w:p>
    <w:p w14:paraId="7143CA65">
      <w:pPr>
        <w:pStyle w:val="79"/>
        <w:rPr>
          <w:rFonts w:cs="宋体"/>
          <w:color w:val="auto"/>
          <w:sz w:val="21"/>
          <w:highlight w:val="none"/>
        </w:rPr>
      </w:pPr>
      <w:r>
        <w:rPr>
          <w:rFonts w:hint="eastAsia" w:cs="宋体"/>
          <w:color w:val="auto"/>
          <w:sz w:val="21"/>
          <w:highlight w:val="none"/>
        </w:rPr>
        <w:t>除专用合同条款另有约定外，变更估价按照本款约定处理：</w:t>
      </w:r>
    </w:p>
    <w:p w14:paraId="50B8778E">
      <w:pPr>
        <w:pStyle w:val="79"/>
        <w:rPr>
          <w:rFonts w:cs="宋体"/>
          <w:color w:val="auto"/>
          <w:sz w:val="21"/>
          <w:highlight w:val="none"/>
        </w:rPr>
      </w:pPr>
      <w:r>
        <w:rPr>
          <w:rFonts w:hint="eastAsia" w:cs="宋体"/>
          <w:color w:val="auto"/>
          <w:sz w:val="21"/>
          <w:highlight w:val="none"/>
        </w:rPr>
        <w:t>（1）已标价工程量清单或预算书有相同项目的，按照相同项目单价认定；</w:t>
      </w:r>
    </w:p>
    <w:p w14:paraId="4FCF6DF5">
      <w:pPr>
        <w:pStyle w:val="79"/>
        <w:rPr>
          <w:rFonts w:cs="宋体"/>
          <w:color w:val="auto"/>
          <w:sz w:val="21"/>
          <w:highlight w:val="none"/>
        </w:rPr>
      </w:pPr>
      <w:r>
        <w:rPr>
          <w:rFonts w:hint="eastAsia" w:cs="宋体"/>
          <w:color w:val="auto"/>
          <w:sz w:val="21"/>
          <w:highlight w:val="none"/>
        </w:rPr>
        <w:t>（2）已标价工程量清单或预算书中无相同项目，但有类似项目的，参照类似项目的单价认定；</w:t>
      </w:r>
    </w:p>
    <w:p w14:paraId="63BA3501">
      <w:pPr>
        <w:pStyle w:val="79"/>
        <w:rPr>
          <w:rFonts w:cs="宋体"/>
          <w:color w:val="auto"/>
          <w:sz w:val="21"/>
          <w:highlight w:val="none"/>
        </w:rPr>
      </w:pPr>
      <w:r>
        <w:rPr>
          <w:rFonts w:hint="eastAsia" w:cs="宋体"/>
          <w:color w:val="auto"/>
          <w:sz w:val="21"/>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799061DE">
      <w:pPr>
        <w:pStyle w:val="79"/>
        <w:rPr>
          <w:rFonts w:cs="宋体"/>
          <w:color w:val="auto"/>
          <w:sz w:val="21"/>
          <w:highlight w:val="none"/>
        </w:rPr>
      </w:pPr>
      <w:r>
        <w:rPr>
          <w:rFonts w:hint="eastAsia" w:cs="宋体"/>
          <w:color w:val="auto"/>
          <w:sz w:val="21"/>
          <w:highlight w:val="none"/>
        </w:rPr>
        <w:t>10.4.2 变更估价程序</w:t>
      </w:r>
    </w:p>
    <w:p w14:paraId="3307812D">
      <w:pPr>
        <w:pStyle w:val="79"/>
        <w:rPr>
          <w:rFonts w:cs="宋体"/>
          <w:color w:val="auto"/>
          <w:sz w:val="21"/>
          <w:highlight w:val="none"/>
        </w:rPr>
      </w:pPr>
      <w:r>
        <w:rPr>
          <w:rFonts w:hint="eastAsia" w:cs="宋体"/>
          <w:color w:val="auto"/>
          <w:sz w:val="21"/>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41F37B2E">
      <w:pPr>
        <w:pStyle w:val="79"/>
        <w:rPr>
          <w:rFonts w:cs="宋体"/>
          <w:color w:val="auto"/>
          <w:sz w:val="21"/>
          <w:highlight w:val="none"/>
        </w:rPr>
      </w:pPr>
      <w:r>
        <w:rPr>
          <w:rFonts w:hint="eastAsia" w:cs="宋体"/>
          <w:color w:val="auto"/>
          <w:sz w:val="21"/>
          <w:highlight w:val="none"/>
        </w:rPr>
        <w:t>因变更引起的价格调整应计入最近一期的进度款中支付。</w:t>
      </w:r>
    </w:p>
    <w:p w14:paraId="34C979C4">
      <w:pPr>
        <w:pStyle w:val="321"/>
        <w:rPr>
          <w:rFonts w:ascii="宋体" w:cs="宋体"/>
          <w:color w:val="auto"/>
          <w:highlight w:val="none"/>
        </w:rPr>
      </w:pPr>
      <w:bookmarkStart w:id="460" w:name="_Toc351203572"/>
      <w:bookmarkStart w:id="461" w:name="_Toc478389110"/>
      <w:r>
        <w:rPr>
          <w:rFonts w:hint="eastAsia" w:ascii="宋体" w:cs="宋体"/>
          <w:color w:val="auto"/>
          <w:highlight w:val="none"/>
        </w:rPr>
        <w:t>1</w:t>
      </w:r>
      <w:bookmarkStart w:id="462" w:name="_Toc337558792"/>
      <w:bookmarkStart w:id="463" w:name="_Toc296346595"/>
      <w:bookmarkStart w:id="464" w:name="_Toc296503094"/>
      <w:r>
        <w:rPr>
          <w:rFonts w:hint="eastAsia" w:ascii="宋体" w:cs="宋体"/>
          <w:color w:val="auto"/>
          <w:highlight w:val="none"/>
        </w:rPr>
        <w:t>0.5承包人的合理化建议</w:t>
      </w:r>
      <w:bookmarkEnd w:id="460"/>
      <w:bookmarkEnd w:id="461"/>
    </w:p>
    <w:bookmarkEnd w:id="462"/>
    <w:bookmarkEnd w:id="463"/>
    <w:bookmarkEnd w:id="464"/>
    <w:p w14:paraId="305116D1">
      <w:pPr>
        <w:pStyle w:val="79"/>
        <w:rPr>
          <w:rFonts w:cs="宋体"/>
          <w:color w:val="auto"/>
          <w:sz w:val="21"/>
          <w:highlight w:val="none"/>
        </w:rPr>
      </w:pPr>
      <w:r>
        <w:rPr>
          <w:rFonts w:hint="eastAsia" w:cs="宋体"/>
          <w:color w:val="auto"/>
          <w:sz w:val="21"/>
          <w:highlight w:val="none"/>
        </w:rPr>
        <w:t>承包人提出合理化建议的，应向监理人提交合理化建议说明，说明建议的内容和理由，以及实施该建议对合同价格和工期的影响。</w:t>
      </w:r>
    </w:p>
    <w:p w14:paraId="31E515C3">
      <w:pPr>
        <w:pStyle w:val="79"/>
        <w:rPr>
          <w:rFonts w:cs="宋体"/>
          <w:color w:val="auto"/>
          <w:sz w:val="21"/>
          <w:highlight w:val="none"/>
        </w:rPr>
      </w:pPr>
      <w:r>
        <w:rPr>
          <w:rFonts w:hint="eastAsia" w:cs="宋体"/>
          <w:color w:val="auto"/>
          <w:sz w:val="21"/>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3C809868">
      <w:pPr>
        <w:pStyle w:val="79"/>
        <w:rPr>
          <w:rFonts w:cs="宋体"/>
          <w:color w:val="auto"/>
          <w:sz w:val="21"/>
          <w:highlight w:val="none"/>
        </w:rPr>
      </w:pPr>
      <w:r>
        <w:rPr>
          <w:rFonts w:hint="eastAsia" w:cs="宋体"/>
          <w:color w:val="auto"/>
          <w:sz w:val="21"/>
          <w:highlight w:val="none"/>
        </w:rPr>
        <w:t>合理化建议降低了合同价格或者提高了工程经济效益的，发包人可对承包人给予奖励，奖励的方法和金额在专用合同条款中约定。</w:t>
      </w:r>
    </w:p>
    <w:p w14:paraId="2C639AF5">
      <w:pPr>
        <w:pStyle w:val="321"/>
        <w:rPr>
          <w:rFonts w:ascii="宋体" w:cs="宋体"/>
          <w:color w:val="auto"/>
          <w:highlight w:val="none"/>
        </w:rPr>
      </w:pPr>
      <w:bookmarkStart w:id="465" w:name="_Toc351203573"/>
      <w:bookmarkStart w:id="466" w:name="_Toc478389111"/>
      <w:r>
        <w:rPr>
          <w:rFonts w:hint="eastAsia" w:ascii="宋体" w:cs="宋体"/>
          <w:color w:val="auto"/>
          <w:highlight w:val="none"/>
        </w:rPr>
        <w:t>1</w:t>
      </w:r>
      <w:bookmarkStart w:id="467" w:name="_Toc337558793"/>
      <w:r>
        <w:rPr>
          <w:rFonts w:hint="eastAsia" w:ascii="宋体" w:cs="宋体"/>
          <w:color w:val="auto"/>
          <w:highlight w:val="none"/>
        </w:rPr>
        <w:t>0.6变更引起的工期调整</w:t>
      </w:r>
      <w:bookmarkEnd w:id="465"/>
      <w:bookmarkEnd w:id="466"/>
      <w:bookmarkEnd w:id="467"/>
    </w:p>
    <w:p w14:paraId="043C864B">
      <w:pPr>
        <w:pStyle w:val="79"/>
        <w:rPr>
          <w:rFonts w:cs="宋体"/>
          <w:color w:val="auto"/>
          <w:sz w:val="21"/>
          <w:highlight w:val="none"/>
        </w:rPr>
      </w:pPr>
      <w:r>
        <w:rPr>
          <w:rFonts w:hint="eastAsia" w:cs="宋体"/>
          <w:color w:val="auto"/>
          <w:sz w:val="21"/>
          <w:highlight w:val="none"/>
        </w:rPr>
        <w:t>因变更引起工期变化的，合同当事人均可要求调整合同工期，由合同当事人按照第4.4款〔商定或确定〕并参考工程所在地的工期定额标准确定增减工期天数。</w:t>
      </w:r>
    </w:p>
    <w:p w14:paraId="20F8A432">
      <w:pPr>
        <w:pStyle w:val="321"/>
        <w:rPr>
          <w:rFonts w:ascii="宋体" w:cs="宋体"/>
          <w:color w:val="auto"/>
          <w:highlight w:val="none"/>
        </w:rPr>
      </w:pPr>
      <w:bookmarkStart w:id="468" w:name="_Toc351203574"/>
      <w:bookmarkStart w:id="469" w:name="_Toc478389112"/>
      <w:r>
        <w:rPr>
          <w:rFonts w:hint="eastAsia" w:ascii="宋体" w:cs="宋体"/>
          <w:color w:val="auto"/>
          <w:highlight w:val="none"/>
        </w:rPr>
        <w:t>10.7暂估价</w:t>
      </w:r>
      <w:bookmarkEnd w:id="468"/>
      <w:bookmarkEnd w:id="469"/>
    </w:p>
    <w:p w14:paraId="7DBFC76F">
      <w:pPr>
        <w:pStyle w:val="79"/>
        <w:rPr>
          <w:rFonts w:cs="宋体"/>
          <w:color w:val="auto"/>
          <w:sz w:val="21"/>
          <w:highlight w:val="none"/>
        </w:rPr>
      </w:pPr>
      <w:r>
        <w:rPr>
          <w:rFonts w:hint="eastAsia" w:cs="宋体"/>
          <w:color w:val="auto"/>
          <w:sz w:val="21"/>
          <w:highlight w:val="none"/>
        </w:rPr>
        <w:t>暂估价专业分包工程、服务、材料和工程设备的明细由合同当事人在专用合同条款中约定。</w:t>
      </w:r>
    </w:p>
    <w:p w14:paraId="4152F325">
      <w:pPr>
        <w:pStyle w:val="79"/>
        <w:outlineLvl w:val="0"/>
        <w:rPr>
          <w:rFonts w:cs="宋体"/>
          <w:color w:val="auto"/>
          <w:sz w:val="21"/>
          <w:highlight w:val="none"/>
        </w:rPr>
      </w:pPr>
      <w:bookmarkStart w:id="470" w:name="_Toc478389113"/>
      <w:r>
        <w:rPr>
          <w:rFonts w:hint="eastAsia" w:cs="宋体"/>
          <w:color w:val="auto"/>
          <w:sz w:val="21"/>
          <w:highlight w:val="none"/>
        </w:rPr>
        <w:t>10.7.1 依法必须招标的暂估价项目</w:t>
      </w:r>
      <w:bookmarkEnd w:id="470"/>
    </w:p>
    <w:p w14:paraId="2646BC2B">
      <w:pPr>
        <w:pStyle w:val="79"/>
        <w:rPr>
          <w:rFonts w:cs="宋体"/>
          <w:color w:val="auto"/>
          <w:sz w:val="21"/>
          <w:highlight w:val="none"/>
        </w:rPr>
      </w:pPr>
      <w:r>
        <w:rPr>
          <w:rFonts w:hint="eastAsia" w:cs="宋体"/>
          <w:color w:val="auto"/>
          <w:sz w:val="21"/>
          <w:highlight w:val="none"/>
        </w:rPr>
        <w:t>对于依法必须招标的暂估价项目，采取以下第1种方式确定。合同当事人也可以在专用合同条款中选择其他招标方式。</w:t>
      </w:r>
    </w:p>
    <w:p w14:paraId="02AD7C6A">
      <w:pPr>
        <w:pStyle w:val="79"/>
        <w:rPr>
          <w:rFonts w:cs="宋体"/>
          <w:color w:val="auto"/>
          <w:sz w:val="21"/>
          <w:highlight w:val="none"/>
        </w:rPr>
      </w:pPr>
      <w:r>
        <w:rPr>
          <w:rFonts w:hint="eastAsia" w:cs="宋体"/>
          <w:color w:val="auto"/>
          <w:sz w:val="21"/>
          <w:highlight w:val="none"/>
        </w:rPr>
        <w:t>第1种方式：对于依法必须招标的暂估价项目，由承包人招标，对该暂估价项目的确认和批准按照以下约定执行：</w:t>
      </w:r>
    </w:p>
    <w:p w14:paraId="548AAA3A">
      <w:pPr>
        <w:pStyle w:val="79"/>
        <w:rPr>
          <w:rFonts w:cs="宋体"/>
          <w:color w:val="auto"/>
          <w:sz w:val="21"/>
          <w:highlight w:val="none"/>
        </w:rPr>
      </w:pPr>
      <w:r>
        <w:rPr>
          <w:rFonts w:hint="eastAsia" w:cs="宋体"/>
          <w:color w:val="auto"/>
          <w:sz w:val="21"/>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66B143FE">
      <w:pPr>
        <w:pStyle w:val="79"/>
        <w:rPr>
          <w:rFonts w:cs="宋体"/>
          <w:color w:val="auto"/>
          <w:sz w:val="21"/>
          <w:highlight w:val="none"/>
        </w:rPr>
      </w:pPr>
      <w:r>
        <w:rPr>
          <w:rFonts w:hint="eastAsia" w:cs="宋体"/>
          <w:color w:val="auto"/>
          <w:sz w:val="21"/>
          <w:highlight w:val="none"/>
        </w:rPr>
        <w:t>（2）承包人应当根据施工进度计划，提前14天将采购文件通过监理人报送发包人审批，发包人应当在收到承包人报送的相关文件后7天内完成审批或提出修改意见；发包人有权确定最高投标限价并按照法律规定参加评标；</w:t>
      </w:r>
    </w:p>
    <w:p w14:paraId="398A5EB6">
      <w:pPr>
        <w:pStyle w:val="79"/>
        <w:rPr>
          <w:rFonts w:cs="宋体"/>
          <w:color w:val="auto"/>
          <w:sz w:val="21"/>
          <w:highlight w:val="none"/>
        </w:rPr>
      </w:pPr>
      <w:r>
        <w:rPr>
          <w:rFonts w:hint="eastAsia" w:cs="宋体"/>
          <w:color w:val="auto"/>
          <w:sz w:val="21"/>
          <w:highlight w:val="none"/>
        </w:rPr>
        <w:t>（3）承包人与供应商、分包人在签订暂估价合同前，应当提前7天将确定的成交候选人或成交候选分包人的资料报送发包人，发包人应在收到资料后3天内与承包人共同确定成交供应商；承包人应当在签订合同后7天内，将暂估价合同副本报送发包人留存。</w:t>
      </w:r>
    </w:p>
    <w:p w14:paraId="0C603420">
      <w:pPr>
        <w:pStyle w:val="79"/>
        <w:rPr>
          <w:rFonts w:cs="宋体"/>
          <w:color w:val="auto"/>
          <w:sz w:val="21"/>
          <w:highlight w:val="none"/>
        </w:rPr>
      </w:pPr>
      <w:r>
        <w:rPr>
          <w:rFonts w:hint="eastAsia" w:cs="宋体"/>
          <w:color w:val="auto"/>
          <w:sz w:val="21"/>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成交供应商后，由发包人、承包人与成交供应商共同签订暂估价合同。</w:t>
      </w:r>
    </w:p>
    <w:p w14:paraId="61BC7874">
      <w:pPr>
        <w:pStyle w:val="79"/>
        <w:rPr>
          <w:rFonts w:cs="宋体"/>
          <w:color w:val="auto"/>
          <w:sz w:val="21"/>
          <w:highlight w:val="none"/>
        </w:rPr>
      </w:pPr>
      <w:r>
        <w:rPr>
          <w:rFonts w:hint="eastAsia" w:cs="宋体"/>
          <w:color w:val="auto"/>
          <w:sz w:val="21"/>
          <w:highlight w:val="none"/>
        </w:rPr>
        <w:t>10.7.2不属于依法必须招标的暂估价项目</w:t>
      </w:r>
    </w:p>
    <w:p w14:paraId="1665E943">
      <w:pPr>
        <w:pStyle w:val="79"/>
        <w:rPr>
          <w:rFonts w:cs="宋体"/>
          <w:color w:val="auto"/>
          <w:sz w:val="21"/>
          <w:highlight w:val="none"/>
        </w:rPr>
      </w:pPr>
      <w:r>
        <w:rPr>
          <w:rFonts w:hint="eastAsia" w:cs="宋体"/>
          <w:color w:val="auto"/>
          <w:sz w:val="21"/>
          <w:highlight w:val="none"/>
        </w:rPr>
        <w:t xml:space="preserve">除专用合同条款另有约定外，对于不属于依法必须招标的暂估价项目，采取以下第1种方式确定： </w:t>
      </w:r>
    </w:p>
    <w:p w14:paraId="5EB27120">
      <w:pPr>
        <w:pStyle w:val="79"/>
        <w:rPr>
          <w:rFonts w:cs="宋体"/>
          <w:color w:val="auto"/>
          <w:sz w:val="21"/>
          <w:highlight w:val="none"/>
        </w:rPr>
      </w:pPr>
      <w:r>
        <w:rPr>
          <w:rFonts w:hint="eastAsia" w:cs="宋体"/>
          <w:color w:val="auto"/>
          <w:sz w:val="21"/>
          <w:highlight w:val="none"/>
        </w:rPr>
        <w:t>第1种方式：对于不属于依法必须招标的暂估价项目，按本项约定确认和批准：</w:t>
      </w:r>
    </w:p>
    <w:p w14:paraId="7EAAC4E5">
      <w:pPr>
        <w:pStyle w:val="79"/>
        <w:rPr>
          <w:rFonts w:cs="宋体"/>
          <w:color w:val="auto"/>
          <w:sz w:val="21"/>
          <w:highlight w:val="none"/>
        </w:rPr>
      </w:pPr>
      <w:r>
        <w:rPr>
          <w:rFonts w:hint="eastAsia" w:cs="宋体"/>
          <w:color w:val="auto"/>
          <w:sz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78507116">
      <w:pPr>
        <w:pStyle w:val="79"/>
        <w:rPr>
          <w:rFonts w:cs="宋体"/>
          <w:color w:val="auto"/>
          <w:sz w:val="21"/>
          <w:highlight w:val="none"/>
        </w:rPr>
      </w:pPr>
      <w:r>
        <w:rPr>
          <w:rFonts w:hint="eastAsia" w:cs="宋体"/>
          <w:color w:val="auto"/>
          <w:sz w:val="21"/>
          <w:highlight w:val="none"/>
        </w:rPr>
        <w:t>（2）发包人认为承包人确定的供应商、分包人无法满足工程质量或合同要求的，发包人可以要求承包人重新确定暂估价项目的供应商、分包人；</w:t>
      </w:r>
    </w:p>
    <w:p w14:paraId="410F4869">
      <w:pPr>
        <w:pStyle w:val="79"/>
        <w:rPr>
          <w:rFonts w:cs="宋体"/>
          <w:color w:val="auto"/>
          <w:sz w:val="21"/>
          <w:highlight w:val="none"/>
        </w:rPr>
      </w:pPr>
      <w:r>
        <w:rPr>
          <w:rFonts w:hint="eastAsia" w:cs="宋体"/>
          <w:color w:val="auto"/>
          <w:sz w:val="21"/>
          <w:highlight w:val="none"/>
        </w:rPr>
        <w:t>（3）承包人应当在签订暂估价合同后7天内，将暂估价合同副本报送发包人留存。</w:t>
      </w:r>
    </w:p>
    <w:p w14:paraId="0259C1E2">
      <w:pPr>
        <w:pStyle w:val="79"/>
        <w:rPr>
          <w:rFonts w:cs="宋体"/>
          <w:color w:val="auto"/>
          <w:sz w:val="21"/>
          <w:highlight w:val="none"/>
        </w:rPr>
      </w:pPr>
      <w:r>
        <w:rPr>
          <w:rFonts w:hint="eastAsia" w:cs="宋体"/>
          <w:color w:val="auto"/>
          <w:sz w:val="21"/>
          <w:highlight w:val="none"/>
        </w:rPr>
        <w:t>第2种方式：承包人按照第10.7.1项〔依法必须招标的暂估价项目〕约定的第1种方式确定暂估价项目。</w:t>
      </w:r>
    </w:p>
    <w:p w14:paraId="486FB77E">
      <w:pPr>
        <w:pStyle w:val="79"/>
        <w:rPr>
          <w:rFonts w:cs="宋体"/>
          <w:color w:val="auto"/>
          <w:sz w:val="21"/>
          <w:highlight w:val="none"/>
        </w:rPr>
      </w:pPr>
      <w:r>
        <w:rPr>
          <w:rFonts w:hint="eastAsia" w:cs="宋体"/>
          <w:color w:val="auto"/>
          <w:sz w:val="21"/>
          <w:highlight w:val="none"/>
        </w:rPr>
        <w:t>第3种方式：承包人直接实施的暂估价项目</w:t>
      </w:r>
    </w:p>
    <w:p w14:paraId="00DF460E">
      <w:pPr>
        <w:pStyle w:val="79"/>
        <w:rPr>
          <w:rFonts w:cs="宋体"/>
          <w:color w:val="auto"/>
          <w:sz w:val="21"/>
          <w:highlight w:val="none"/>
        </w:rPr>
      </w:pPr>
      <w:r>
        <w:rPr>
          <w:rFonts w:hint="eastAsia" w:cs="宋体"/>
          <w:color w:val="auto"/>
          <w:sz w:val="21"/>
          <w:highlight w:val="none"/>
        </w:rPr>
        <w:t>承包人具备实施暂估价项目的资格和条件的，经发包人和承包人协商一致后，可由承包人自行实施暂估价项目，合同当事人可以在专用合同条款中约定具体事项。</w:t>
      </w:r>
    </w:p>
    <w:p w14:paraId="108F3312">
      <w:pPr>
        <w:pStyle w:val="79"/>
        <w:rPr>
          <w:rFonts w:cs="宋体"/>
          <w:color w:val="auto"/>
          <w:sz w:val="21"/>
          <w:highlight w:val="none"/>
        </w:rPr>
      </w:pPr>
      <w:r>
        <w:rPr>
          <w:rFonts w:hint="eastAsia" w:cs="宋体"/>
          <w:color w:val="auto"/>
          <w:sz w:val="21"/>
          <w:highlight w:val="none"/>
        </w:rPr>
        <w:t>10.7.3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60A704EB">
      <w:pPr>
        <w:pStyle w:val="321"/>
        <w:rPr>
          <w:rFonts w:ascii="宋体" w:cs="宋体"/>
          <w:color w:val="auto"/>
          <w:highlight w:val="none"/>
        </w:rPr>
      </w:pPr>
      <w:bookmarkStart w:id="471" w:name="_Toc351203575"/>
      <w:bookmarkStart w:id="472" w:name="_Toc478389114"/>
      <w:r>
        <w:rPr>
          <w:rFonts w:hint="eastAsia" w:ascii="宋体" w:cs="宋体"/>
          <w:color w:val="auto"/>
          <w:highlight w:val="none"/>
        </w:rPr>
        <w:t>1</w:t>
      </w:r>
      <w:bookmarkStart w:id="473" w:name="_Toc337558794"/>
      <w:bookmarkStart w:id="474" w:name="_Toc322522561"/>
      <w:bookmarkStart w:id="475" w:name="_Toc296346591"/>
      <w:bookmarkStart w:id="476" w:name="_Toc296503090"/>
      <w:r>
        <w:rPr>
          <w:rFonts w:hint="eastAsia" w:ascii="宋体" w:cs="宋体"/>
          <w:color w:val="auto"/>
          <w:highlight w:val="none"/>
        </w:rPr>
        <w:t>0.8暂列金额</w:t>
      </w:r>
      <w:bookmarkEnd w:id="471"/>
      <w:bookmarkEnd w:id="472"/>
    </w:p>
    <w:bookmarkEnd w:id="473"/>
    <w:p w14:paraId="02748660">
      <w:pPr>
        <w:pStyle w:val="79"/>
        <w:rPr>
          <w:rFonts w:cs="宋体"/>
          <w:color w:val="auto"/>
          <w:sz w:val="21"/>
          <w:highlight w:val="none"/>
        </w:rPr>
      </w:pPr>
      <w:r>
        <w:rPr>
          <w:rFonts w:hint="eastAsia" w:cs="宋体"/>
          <w:color w:val="auto"/>
          <w:sz w:val="21"/>
          <w:highlight w:val="none"/>
        </w:rPr>
        <w:t>暂列金额应按照发包人的要求使用，发包人的要求应通过监理人发出。合同当事人可以在专用合同条款中协商确定有关事项。</w:t>
      </w:r>
    </w:p>
    <w:bookmarkEnd w:id="474"/>
    <w:bookmarkEnd w:id="475"/>
    <w:bookmarkEnd w:id="476"/>
    <w:p w14:paraId="4B53C852">
      <w:pPr>
        <w:pStyle w:val="321"/>
        <w:rPr>
          <w:rFonts w:ascii="宋体" w:cs="宋体"/>
          <w:color w:val="auto"/>
          <w:highlight w:val="none"/>
        </w:rPr>
      </w:pPr>
      <w:bookmarkStart w:id="477" w:name="_Toc478389115"/>
      <w:bookmarkStart w:id="478" w:name="_Toc351203576"/>
      <w:r>
        <w:rPr>
          <w:rFonts w:hint="eastAsia" w:ascii="宋体" w:cs="宋体"/>
          <w:color w:val="auto"/>
          <w:highlight w:val="none"/>
        </w:rPr>
        <w:t>1</w:t>
      </w:r>
      <w:bookmarkStart w:id="479" w:name="_Toc296503091"/>
      <w:bookmarkStart w:id="480" w:name="_Toc337558796"/>
      <w:bookmarkStart w:id="481" w:name="_Toc296346592"/>
      <w:r>
        <w:rPr>
          <w:rFonts w:hint="eastAsia" w:ascii="宋体" w:cs="宋体"/>
          <w:color w:val="auto"/>
          <w:highlight w:val="none"/>
        </w:rPr>
        <w:t>0.9计日工</w:t>
      </w:r>
      <w:bookmarkEnd w:id="477"/>
      <w:bookmarkEnd w:id="478"/>
      <w:bookmarkEnd w:id="479"/>
      <w:bookmarkEnd w:id="480"/>
      <w:bookmarkEnd w:id="481"/>
    </w:p>
    <w:p w14:paraId="6838DB83">
      <w:pPr>
        <w:pStyle w:val="79"/>
        <w:rPr>
          <w:rFonts w:cs="宋体"/>
          <w:color w:val="auto"/>
          <w:sz w:val="21"/>
          <w:highlight w:val="none"/>
        </w:rPr>
      </w:pPr>
      <w:r>
        <w:rPr>
          <w:rFonts w:hint="eastAsia" w:cs="宋体"/>
          <w:color w:val="auto"/>
          <w:sz w:val="21"/>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684A2CBE">
      <w:pPr>
        <w:pStyle w:val="79"/>
        <w:rPr>
          <w:rFonts w:cs="宋体"/>
          <w:color w:val="auto"/>
          <w:sz w:val="21"/>
          <w:highlight w:val="none"/>
        </w:rPr>
      </w:pPr>
      <w:r>
        <w:rPr>
          <w:rFonts w:hint="eastAsia" w:cs="宋体"/>
          <w:color w:val="auto"/>
          <w:sz w:val="21"/>
          <w:highlight w:val="none"/>
        </w:rPr>
        <w:t>采用计日工计价的任何一项工作，承包人应在该项工作实施过程中，每天提交以下报表和有关凭证报送监理人审查：</w:t>
      </w:r>
    </w:p>
    <w:p w14:paraId="00A37468">
      <w:pPr>
        <w:pStyle w:val="79"/>
        <w:rPr>
          <w:rFonts w:cs="宋体"/>
          <w:color w:val="auto"/>
          <w:sz w:val="21"/>
          <w:highlight w:val="none"/>
        </w:rPr>
      </w:pPr>
      <w:r>
        <w:rPr>
          <w:rFonts w:hint="eastAsia" w:cs="宋体"/>
          <w:color w:val="auto"/>
          <w:sz w:val="21"/>
          <w:highlight w:val="none"/>
        </w:rPr>
        <w:t>（1）工作名称、内容和数量；</w:t>
      </w:r>
    </w:p>
    <w:p w14:paraId="19B5652B">
      <w:pPr>
        <w:pStyle w:val="79"/>
        <w:rPr>
          <w:rFonts w:cs="宋体"/>
          <w:color w:val="auto"/>
          <w:sz w:val="21"/>
          <w:highlight w:val="none"/>
        </w:rPr>
      </w:pPr>
      <w:r>
        <w:rPr>
          <w:rFonts w:hint="eastAsia" w:cs="宋体"/>
          <w:color w:val="auto"/>
          <w:sz w:val="21"/>
          <w:highlight w:val="none"/>
        </w:rPr>
        <w:t>（2）投入该工作的所有人员的姓名、专业、工种、级别和耗用工时；</w:t>
      </w:r>
    </w:p>
    <w:p w14:paraId="5EF6DC9D">
      <w:pPr>
        <w:pStyle w:val="79"/>
        <w:rPr>
          <w:rFonts w:cs="宋体"/>
          <w:color w:val="auto"/>
          <w:sz w:val="21"/>
          <w:highlight w:val="none"/>
        </w:rPr>
      </w:pPr>
      <w:r>
        <w:rPr>
          <w:rFonts w:hint="eastAsia" w:cs="宋体"/>
          <w:color w:val="auto"/>
          <w:sz w:val="21"/>
          <w:highlight w:val="none"/>
        </w:rPr>
        <w:t>（3）投入该工作的材料类别和数量；</w:t>
      </w:r>
    </w:p>
    <w:p w14:paraId="3F7A6F01">
      <w:pPr>
        <w:pStyle w:val="79"/>
        <w:rPr>
          <w:rFonts w:cs="宋体"/>
          <w:color w:val="auto"/>
          <w:sz w:val="21"/>
          <w:highlight w:val="none"/>
        </w:rPr>
      </w:pPr>
      <w:r>
        <w:rPr>
          <w:rFonts w:hint="eastAsia" w:cs="宋体"/>
          <w:color w:val="auto"/>
          <w:sz w:val="21"/>
          <w:highlight w:val="none"/>
        </w:rPr>
        <w:t>（4）投入该工作的施工设备型号、台数和耗用台时；</w:t>
      </w:r>
    </w:p>
    <w:p w14:paraId="5701542D">
      <w:pPr>
        <w:pStyle w:val="79"/>
        <w:rPr>
          <w:rFonts w:cs="宋体"/>
          <w:color w:val="auto"/>
          <w:sz w:val="21"/>
          <w:highlight w:val="none"/>
        </w:rPr>
      </w:pPr>
      <w:r>
        <w:rPr>
          <w:rFonts w:hint="eastAsia" w:cs="宋体"/>
          <w:color w:val="auto"/>
          <w:sz w:val="21"/>
          <w:highlight w:val="none"/>
        </w:rPr>
        <w:t>（5）其他有关资料和凭证。</w:t>
      </w:r>
    </w:p>
    <w:p w14:paraId="690721E1">
      <w:pPr>
        <w:pStyle w:val="79"/>
        <w:rPr>
          <w:rFonts w:cs="宋体"/>
          <w:color w:val="auto"/>
          <w:sz w:val="21"/>
          <w:highlight w:val="none"/>
        </w:rPr>
      </w:pPr>
      <w:r>
        <w:rPr>
          <w:rFonts w:hint="eastAsia" w:cs="宋体"/>
          <w:color w:val="auto"/>
          <w:sz w:val="21"/>
          <w:highlight w:val="none"/>
        </w:rPr>
        <w:t>计日工由承包人汇总后，列入最近一期进度付款申请单，由监理人审查并经发包人批准后列入进度付款。</w:t>
      </w:r>
    </w:p>
    <w:p w14:paraId="51ABA548">
      <w:pPr>
        <w:pStyle w:val="321"/>
        <w:rPr>
          <w:rFonts w:ascii="宋体" w:cs="宋体"/>
          <w:color w:val="auto"/>
          <w:highlight w:val="none"/>
        </w:rPr>
      </w:pPr>
      <w:bookmarkStart w:id="482" w:name="_Toc351203577"/>
      <w:bookmarkStart w:id="483" w:name="_Toc478389116"/>
      <w:r>
        <w:rPr>
          <w:rFonts w:hint="eastAsia" w:ascii="宋体" w:cs="宋体"/>
          <w:color w:val="auto"/>
          <w:highlight w:val="none"/>
        </w:rPr>
        <w:t>11. 价格调整</w:t>
      </w:r>
      <w:bookmarkEnd w:id="482"/>
      <w:bookmarkEnd w:id="483"/>
    </w:p>
    <w:p w14:paraId="40F08E41">
      <w:pPr>
        <w:pStyle w:val="321"/>
        <w:rPr>
          <w:rFonts w:ascii="宋体" w:cs="宋体"/>
          <w:color w:val="auto"/>
          <w:highlight w:val="none"/>
        </w:rPr>
      </w:pPr>
      <w:bookmarkStart w:id="484" w:name="_Toc351203578"/>
      <w:bookmarkStart w:id="485" w:name="_Toc478389117"/>
      <w:bookmarkStart w:id="486" w:name="_Toc337558797"/>
      <w:bookmarkStart w:id="487" w:name="_Toc296503092"/>
      <w:bookmarkStart w:id="488" w:name="_Toc296346593"/>
      <w:r>
        <w:rPr>
          <w:rFonts w:hint="eastAsia" w:ascii="宋体" w:cs="宋体"/>
          <w:color w:val="auto"/>
          <w:highlight w:val="none"/>
        </w:rPr>
        <w:t>11.1市场价格波动引起的调整</w:t>
      </w:r>
      <w:bookmarkEnd w:id="484"/>
      <w:bookmarkEnd w:id="485"/>
    </w:p>
    <w:bookmarkEnd w:id="486"/>
    <w:bookmarkEnd w:id="487"/>
    <w:bookmarkEnd w:id="488"/>
    <w:p w14:paraId="678E17F2">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除专用合同条款另有约定外，市场价格波动超过合同当事人约定的范围，合同价格应当调整。合同当事人可以在专用合同条款中约定选择以下一种方式对合同价格进行调整：</w:t>
      </w:r>
    </w:p>
    <w:p w14:paraId="513991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第1种方式：采用价格指数进行价格调整。</w:t>
      </w:r>
    </w:p>
    <w:p w14:paraId="28A02A55">
      <w:pPr>
        <w:tabs>
          <w:tab w:val="left" w:pos="0"/>
          <w:tab w:val="left" w:pos="360"/>
          <w:tab w:val="left" w:pos="54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（1）价格调整公式</w:t>
      </w:r>
    </w:p>
    <w:p w14:paraId="2384D4AD">
      <w:pPr>
        <w:tabs>
          <w:tab w:val="left" w:pos="0"/>
          <w:tab w:val="left" w:pos="360"/>
          <w:tab w:val="left" w:pos="54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因人工、材料和设备等价格波动影响合同价格时，根据专用合同条款中约定的数据，按以下公式计算差额并调整合同价格：</w:t>
      </w:r>
    </w:p>
    <w:p w14:paraId="39DFA380">
      <w:pPr>
        <w:tabs>
          <w:tab w:val="left" w:pos="0"/>
          <w:tab w:val="left" w:pos="360"/>
          <w:tab w:val="left" w:pos="540"/>
        </w:tabs>
        <w:spacing w:line="360" w:lineRule="auto"/>
        <w:ind w:firstLine="420" w:firstLineChars="200"/>
        <w:rPr>
          <w:rFonts w:ascii="宋体" w:hAnsi="宋体" w:cs="宋体"/>
          <w:color w:val="auto"/>
          <w:szCs w:val="21"/>
          <w:highlight w:val="none"/>
        </w:rPr>
      </w:pPr>
      <w:r>
        <w:rPr>
          <w:rFonts w:hint="eastAsia" w:ascii="宋体" w:hAnsi="宋体" w:cs="宋体"/>
          <w:color w:val="auto"/>
          <w:position w:val="-30"/>
          <w:szCs w:val="21"/>
          <w:highlight w:val="none"/>
        </w:rPr>
        <w:object>
          <v:shape id="_x0000_i1025" o:spt="75" type="#_x0000_t75" style="height:44.35pt;width:360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p>
    <w:p w14:paraId="5390373F">
      <w:pPr>
        <w:tabs>
          <w:tab w:val="left" w:pos="0"/>
          <w:tab w:val="left" w:pos="360"/>
          <w:tab w:val="left" w:pos="540"/>
        </w:tabs>
        <w:spacing w:line="360" w:lineRule="auto"/>
        <w:ind w:firstLine="640"/>
        <w:rPr>
          <w:rFonts w:ascii="宋体" w:hAnsi="宋体" w:cs="宋体"/>
          <w:color w:val="auto"/>
          <w:szCs w:val="21"/>
          <w:highlight w:val="none"/>
        </w:rPr>
      </w:pPr>
      <w:r>
        <w:rPr>
          <w:rFonts w:hint="eastAsia" w:ascii="宋体" w:hAnsi="宋体" w:cs="宋体"/>
          <w:color w:val="auto"/>
          <w:szCs w:val="21"/>
          <w:highlight w:val="none"/>
        </w:rPr>
        <w:t>公式中：ΔP——需调整的价格差额；</w:t>
      </w:r>
    </w:p>
    <w:p w14:paraId="5EA44C3E">
      <w:pPr>
        <w:tabs>
          <w:tab w:val="left" w:pos="0"/>
          <w:tab w:val="left" w:pos="360"/>
          <w:tab w:val="left" w:pos="540"/>
        </w:tabs>
        <w:spacing w:line="360" w:lineRule="auto"/>
        <w:ind w:firstLine="1260" w:firstLineChars="600"/>
        <w:rPr>
          <w:rFonts w:ascii="宋体" w:hAnsi="宋体" w:cs="宋体"/>
          <w:color w:val="auto"/>
          <w:szCs w:val="21"/>
          <w:highlight w:val="none"/>
        </w:rPr>
      </w:pPr>
      <w:r>
        <w:rPr>
          <w:rFonts w:hint="eastAsia" w:ascii="宋体" w:hAnsi="宋体" w:cs="宋体"/>
          <w:color w:val="auto"/>
          <w:position w:val="-6"/>
          <w:szCs w:val="21"/>
          <w:highlight w:val="none"/>
        </w:rPr>
        <w:object>
          <v:shape id="_x0000_i1026" o:spt="75" type="#_x0000_t75" style="height:17.85pt;width:17.85pt;" o:ole="t" filled="f" o:preferrelative="t" stroked="f" coordsize="21600,21600">
            <v:path/>
            <v:fill on="f" focussize="0,0"/>
            <v:stroke on="f" joinstyle="miter"/>
            <v:imagedata r:id="rId17" o:title=""/>
            <o:lock v:ext="edit" aspectratio="t"/>
            <w10:wrap type="none"/>
            <w10:anchorlock/>
          </v:shape>
          <o:OLEObject Type="Embed" ProgID="Equation.3" ShapeID="_x0000_i1026" DrawAspect="Content" ObjectID="_1468075726" r:id="rId16">
            <o:LockedField>false</o:LockedField>
          </o:OLEObject>
        </w:object>
      </w:r>
      <w:r>
        <w:rPr>
          <w:rFonts w:hint="eastAsia" w:ascii="宋体" w:hAnsi="宋体" w:cs="宋体"/>
          <w:color w:val="auto"/>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600DD6FD">
      <w:pPr>
        <w:tabs>
          <w:tab w:val="left" w:pos="0"/>
          <w:tab w:val="left" w:pos="360"/>
          <w:tab w:val="left" w:pos="54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A——定值权重（即不调部分的权重）；</w:t>
      </w:r>
    </w:p>
    <w:p w14:paraId="0DFD9A67">
      <w:pPr>
        <w:tabs>
          <w:tab w:val="left" w:pos="0"/>
          <w:tab w:val="left" w:pos="360"/>
          <w:tab w:val="left" w:pos="540"/>
        </w:tabs>
        <w:spacing w:line="360" w:lineRule="auto"/>
        <w:ind w:firstLine="420" w:firstLineChars="200"/>
        <w:rPr>
          <w:rFonts w:ascii="宋体" w:hAnsi="宋体" w:cs="宋体"/>
          <w:color w:val="auto"/>
          <w:szCs w:val="21"/>
          <w:highlight w:val="none"/>
        </w:rPr>
      </w:pPr>
      <w:r>
        <w:rPr>
          <w:rFonts w:hint="eastAsia" w:ascii="宋体" w:hAnsi="宋体" w:cs="宋体"/>
          <w:color w:val="auto"/>
          <w:position w:val="-10"/>
          <w:szCs w:val="21"/>
          <w:highlight w:val="none"/>
        </w:rPr>
        <w:object>
          <v:shape id="_x0000_i1027" o:spt="75" type="#_x0000_t75" style="height:20.75pt;width:101.4pt;" o:ole="t" filled="f" o:preferrelative="t" stroked="f" coordsize="21600,21600">
            <v:path/>
            <v:fill on="f" focussize="0,0"/>
            <v:stroke on="f" joinstyle="miter"/>
            <v:imagedata r:id="rId19" o:title=""/>
            <o:lock v:ext="edit" aspectratio="t"/>
            <w10:wrap type="none"/>
            <w10:anchorlock/>
          </v:shape>
          <o:OLEObject Type="Embed" ProgID="Equation.3" ShapeID="_x0000_i1027" DrawAspect="Content" ObjectID="_1468075727" r:id="rId18">
            <o:LockedField>false</o:LockedField>
          </o:OLEObject>
        </w:object>
      </w:r>
      <w:r>
        <w:rPr>
          <w:rFonts w:hint="eastAsia" w:ascii="宋体" w:hAnsi="宋体" w:cs="宋体"/>
          <w:color w:val="auto"/>
          <w:szCs w:val="21"/>
          <w:highlight w:val="none"/>
        </w:rPr>
        <w:t>——各可调因子的变值权重（即可调部分的权重），为各可调因子在签约合同价中所占的比例；</w:t>
      </w:r>
    </w:p>
    <w:p w14:paraId="551929DF">
      <w:pPr>
        <w:tabs>
          <w:tab w:val="left" w:pos="0"/>
          <w:tab w:val="left" w:pos="360"/>
          <w:tab w:val="left" w:pos="540"/>
        </w:tabs>
        <w:spacing w:line="360" w:lineRule="auto"/>
        <w:ind w:firstLine="420" w:firstLineChars="200"/>
        <w:rPr>
          <w:rFonts w:ascii="宋体" w:hAnsi="宋体" w:cs="宋体"/>
          <w:color w:val="auto"/>
          <w:szCs w:val="21"/>
          <w:highlight w:val="none"/>
        </w:rPr>
      </w:pPr>
      <w:r>
        <w:rPr>
          <w:rFonts w:hint="eastAsia" w:ascii="宋体" w:hAnsi="宋体" w:cs="宋体"/>
          <w:color w:val="auto"/>
          <w:position w:val="-10"/>
          <w:szCs w:val="21"/>
          <w:highlight w:val="none"/>
        </w:rPr>
        <w:object>
          <v:shape id="_x0000_i1028" o:spt="75" type="#_x0000_t75" style="height:20.75pt;width:101.4pt;" o:ole="t" filled="f" o:preferrelative="t" stroked="f" coordsize="21600,21600">
            <v:path/>
            <v:fill on="f" focussize="0,0"/>
            <v:stroke on="f" joinstyle="miter"/>
            <v:imagedata r:id="rId21" o:title=""/>
            <o:lock v:ext="edit" aspectratio="t"/>
            <w10:wrap type="none"/>
            <w10:anchorlock/>
          </v:shape>
          <o:OLEObject Type="Embed" ProgID="Equation.3" ShapeID="_x0000_i1028" DrawAspect="Content" ObjectID="_1468075728" r:id="rId20">
            <o:LockedField>false</o:LockedField>
          </o:OLEObject>
        </w:object>
      </w:r>
      <w:r>
        <w:rPr>
          <w:rFonts w:hint="eastAsia" w:ascii="宋体" w:hAnsi="宋体" w:cs="宋体"/>
          <w:color w:val="auto"/>
          <w:szCs w:val="21"/>
          <w:highlight w:val="none"/>
        </w:rPr>
        <w:t>——各可调因子的现行价格指数，指约定的付款证书相关周期最后一天的前42天的各可调因子的价格指数；</w:t>
      </w:r>
    </w:p>
    <w:p w14:paraId="416842A7">
      <w:pPr>
        <w:tabs>
          <w:tab w:val="left" w:pos="0"/>
          <w:tab w:val="left" w:pos="360"/>
          <w:tab w:val="left" w:pos="540"/>
        </w:tabs>
        <w:spacing w:line="360" w:lineRule="auto"/>
        <w:ind w:firstLine="420" w:firstLineChars="200"/>
        <w:rPr>
          <w:rFonts w:ascii="宋体" w:hAnsi="宋体" w:cs="宋体"/>
          <w:color w:val="auto"/>
          <w:szCs w:val="21"/>
          <w:highlight w:val="none"/>
        </w:rPr>
      </w:pPr>
      <w:r>
        <w:rPr>
          <w:rFonts w:hint="eastAsia" w:ascii="宋体" w:hAnsi="宋体" w:cs="宋体"/>
          <w:color w:val="auto"/>
          <w:position w:val="-10"/>
          <w:szCs w:val="21"/>
          <w:highlight w:val="none"/>
        </w:rPr>
        <w:object>
          <v:shape id="_x0000_i1029" o:spt="75" type="#_x0000_t75" style="height:20.75pt;width:107.15pt;" o:ole="t" filled="f" o:preferrelative="t" stroked="f" coordsize="21600,21600">
            <v:path/>
            <v:fill on="f" focussize="0,0"/>
            <v:stroke on="f" joinstyle="miter"/>
            <v:imagedata r:id="rId23" o:title=""/>
            <o:lock v:ext="edit" aspectratio="t"/>
            <w10:wrap type="none"/>
            <w10:anchorlock/>
          </v:shape>
          <o:OLEObject Type="Embed" ProgID="Equation.3" ShapeID="_x0000_i1029" DrawAspect="Content" ObjectID="_1468075729" r:id="rId22">
            <o:LockedField>false</o:LockedField>
          </o:OLEObject>
        </w:object>
      </w:r>
      <w:r>
        <w:rPr>
          <w:rFonts w:hint="eastAsia" w:ascii="宋体" w:hAnsi="宋体" w:cs="宋体"/>
          <w:color w:val="auto"/>
          <w:szCs w:val="21"/>
          <w:highlight w:val="none"/>
        </w:rPr>
        <w:t>——各可调因子的基本价格指数，指基准日期的各可调因子的价格指数。</w:t>
      </w:r>
    </w:p>
    <w:p w14:paraId="57D1D70F">
      <w:pPr>
        <w:tabs>
          <w:tab w:val="left" w:pos="0"/>
          <w:tab w:val="left" w:pos="360"/>
          <w:tab w:val="left" w:pos="54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283444D9">
      <w:pPr>
        <w:tabs>
          <w:tab w:val="left" w:pos="0"/>
          <w:tab w:val="left" w:pos="360"/>
          <w:tab w:val="left" w:pos="54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（2）暂时确定调整差额</w:t>
      </w:r>
    </w:p>
    <w:p w14:paraId="78420FF8">
      <w:pPr>
        <w:tabs>
          <w:tab w:val="left" w:pos="0"/>
          <w:tab w:val="left" w:pos="360"/>
          <w:tab w:val="left" w:pos="54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在计算调整差额时无现行价格指数的，合同当事人同意暂用前次价格指数计算。实际价格指数有调整的，合同当事人进行相应调整。</w:t>
      </w:r>
    </w:p>
    <w:p w14:paraId="196BA6D1">
      <w:pPr>
        <w:tabs>
          <w:tab w:val="left" w:pos="0"/>
          <w:tab w:val="left" w:pos="360"/>
          <w:tab w:val="left" w:pos="54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（3）权重的调整</w:t>
      </w:r>
    </w:p>
    <w:p w14:paraId="51EB4E02">
      <w:pPr>
        <w:tabs>
          <w:tab w:val="left" w:pos="0"/>
          <w:tab w:val="left" w:pos="360"/>
          <w:tab w:val="left" w:pos="54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因变更导致合同约定的权重不合理时，按照第4.4款〔商定或确定〕执行。</w:t>
      </w:r>
    </w:p>
    <w:p w14:paraId="4B1C7167">
      <w:pPr>
        <w:tabs>
          <w:tab w:val="left" w:pos="0"/>
          <w:tab w:val="left" w:pos="360"/>
          <w:tab w:val="left" w:pos="54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（4）因承包人原因工期延误后的价格调整</w:t>
      </w:r>
    </w:p>
    <w:p w14:paraId="1D374B9F">
      <w:pPr>
        <w:tabs>
          <w:tab w:val="left" w:pos="0"/>
          <w:tab w:val="left" w:pos="360"/>
          <w:tab w:val="left" w:pos="54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6D5CC6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第2种方式：采用造价信息进行价格调整。</w:t>
      </w:r>
    </w:p>
    <w:p w14:paraId="1B2544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7FB6FE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人工单价发生变化且符合省级或行业建设主管部门发布的人工费调整规定，合同当事人应按照省级或行业建设主管部门或其授权的工程造价管理机构发布的人工费等文件调整合同价格，但承包人对人工费或人工单价的报价高于发布价格的除外。</w:t>
      </w:r>
    </w:p>
    <w:p w14:paraId="2A41B2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（2）材料、工程设备价格变化的价款调整按照发包人提供的基准价格，按以下风险范围规定执行：</w:t>
      </w:r>
    </w:p>
    <w:p w14:paraId="355895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的材料单价为基础超过5%时，其超过部分据实调整。</w:t>
      </w:r>
    </w:p>
    <w:p w14:paraId="22698E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46945E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③承包人在已标价工程量清单或预算书中载明材料单价等于基准价格的：除专用合同条款另有约定外，合同履行期间材料单价涨跌幅以基准价格为基础超过±5%时，其超过部分据实调整。</w:t>
      </w:r>
    </w:p>
    <w:p w14:paraId="45091F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0A1BA6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前述基准价格是指由发包人在采购文件或专用合同条款中给定的材料、工程设备的价格，该价格原则上应当按照省级或行业建设主管部门或其授权的工程造价管理机构发布的信息价编制。</w:t>
      </w:r>
    </w:p>
    <w:p w14:paraId="61C725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（3）施工机械台班单价或施工机械使用费发生变化超过省级或行业建设主管部门或其授权的工程造价管理机构规定的范围时，按规定调整合同价格。</w:t>
      </w:r>
    </w:p>
    <w:p w14:paraId="3000DB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第3种方式：专用合同条款约定的其他方式。</w:t>
      </w:r>
    </w:p>
    <w:p w14:paraId="2C02A38A">
      <w:pPr>
        <w:pStyle w:val="321"/>
        <w:rPr>
          <w:rFonts w:ascii="宋体" w:cs="宋体"/>
          <w:color w:val="auto"/>
          <w:highlight w:val="none"/>
        </w:rPr>
      </w:pPr>
      <w:bookmarkStart w:id="489" w:name="_Toc478389118"/>
      <w:bookmarkStart w:id="490" w:name="_Toc351203579"/>
      <w:bookmarkStart w:id="491" w:name="_Toc296346594"/>
      <w:bookmarkStart w:id="492" w:name="_Toc337558798"/>
      <w:bookmarkStart w:id="493" w:name="_Toc296503093"/>
      <w:r>
        <w:rPr>
          <w:rFonts w:hint="eastAsia" w:ascii="宋体" w:cs="宋体"/>
          <w:color w:val="auto"/>
          <w:highlight w:val="none"/>
        </w:rPr>
        <w:t>11.2法律变化引起的调整</w:t>
      </w:r>
      <w:bookmarkEnd w:id="489"/>
      <w:bookmarkEnd w:id="490"/>
    </w:p>
    <w:bookmarkEnd w:id="491"/>
    <w:bookmarkEnd w:id="492"/>
    <w:bookmarkEnd w:id="493"/>
    <w:p w14:paraId="7C48A9B0">
      <w:pPr>
        <w:pStyle w:val="79"/>
        <w:rPr>
          <w:rFonts w:cs="宋体"/>
          <w:color w:val="auto"/>
          <w:sz w:val="21"/>
          <w:highlight w:val="none"/>
        </w:rPr>
      </w:pPr>
      <w:r>
        <w:rPr>
          <w:rFonts w:hint="eastAsia" w:cs="宋体"/>
          <w:color w:val="auto"/>
          <w:sz w:val="21"/>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0AA2CCDC">
      <w:pPr>
        <w:pStyle w:val="79"/>
        <w:rPr>
          <w:rFonts w:cs="宋体"/>
          <w:color w:val="auto"/>
          <w:sz w:val="21"/>
          <w:highlight w:val="none"/>
        </w:rPr>
      </w:pPr>
      <w:r>
        <w:rPr>
          <w:rFonts w:hint="eastAsia" w:cs="宋体"/>
          <w:color w:val="auto"/>
          <w:sz w:val="21"/>
          <w:highlight w:val="none"/>
        </w:rPr>
        <w:t>因法律变化引起的合同价格和工期调整，合同当事人无法达成一致的，由总监理工程师按第4.4款〔商定或确定〕的约定处理。</w:t>
      </w:r>
    </w:p>
    <w:p w14:paraId="2299DA95">
      <w:pPr>
        <w:pStyle w:val="79"/>
        <w:rPr>
          <w:rFonts w:cs="宋体"/>
          <w:color w:val="auto"/>
          <w:sz w:val="21"/>
          <w:highlight w:val="none"/>
        </w:rPr>
      </w:pPr>
      <w:r>
        <w:rPr>
          <w:rFonts w:hint="eastAsia" w:cs="宋体"/>
          <w:color w:val="auto"/>
          <w:sz w:val="21"/>
          <w:highlight w:val="none"/>
        </w:rPr>
        <w:t>因承包人原因造成工期延误，在工期延误期间出现法律变化的，由此增加的费用和（或）延误的工期由承包人承担。</w:t>
      </w:r>
    </w:p>
    <w:p w14:paraId="036344A0">
      <w:pPr>
        <w:pStyle w:val="321"/>
        <w:rPr>
          <w:rFonts w:ascii="宋体" w:cs="宋体"/>
          <w:color w:val="auto"/>
          <w:highlight w:val="none"/>
        </w:rPr>
      </w:pPr>
      <w:bookmarkStart w:id="494" w:name="_Toc351203580"/>
      <w:bookmarkStart w:id="495" w:name="_Toc478389119"/>
      <w:bookmarkStart w:id="496" w:name="_Toc337558799"/>
      <w:bookmarkStart w:id="497" w:name="_Toc296346597"/>
      <w:bookmarkStart w:id="498" w:name="_Toc296503096"/>
      <w:r>
        <w:rPr>
          <w:rFonts w:hint="eastAsia" w:ascii="宋体" w:cs="宋体"/>
          <w:color w:val="auto"/>
          <w:highlight w:val="none"/>
        </w:rPr>
        <w:t>12. 合同价格、计量与支付</w:t>
      </w:r>
      <w:bookmarkEnd w:id="494"/>
      <w:bookmarkEnd w:id="495"/>
    </w:p>
    <w:bookmarkEnd w:id="496"/>
    <w:p w14:paraId="124C4DF9">
      <w:pPr>
        <w:pStyle w:val="321"/>
        <w:rPr>
          <w:rFonts w:ascii="宋体" w:cs="宋体"/>
          <w:color w:val="auto"/>
          <w:highlight w:val="none"/>
        </w:rPr>
      </w:pPr>
      <w:bookmarkStart w:id="499" w:name="_Toc351203581"/>
      <w:bookmarkStart w:id="500" w:name="_Toc478389120"/>
      <w:bookmarkStart w:id="501" w:name="_Toc337558800"/>
      <w:r>
        <w:rPr>
          <w:rFonts w:hint="eastAsia" w:ascii="宋体" w:cs="宋体"/>
          <w:color w:val="auto"/>
          <w:highlight w:val="none"/>
        </w:rPr>
        <w:t>12.1 合同价</w:t>
      </w:r>
      <w:bookmarkEnd w:id="497"/>
      <w:bookmarkEnd w:id="498"/>
      <w:r>
        <w:rPr>
          <w:rFonts w:hint="eastAsia" w:ascii="宋体" w:cs="宋体"/>
          <w:color w:val="auto"/>
          <w:highlight w:val="none"/>
        </w:rPr>
        <w:t>格形式</w:t>
      </w:r>
      <w:bookmarkEnd w:id="499"/>
      <w:bookmarkEnd w:id="500"/>
    </w:p>
    <w:bookmarkEnd w:id="501"/>
    <w:p w14:paraId="14580481">
      <w:pPr>
        <w:pStyle w:val="79"/>
        <w:rPr>
          <w:rFonts w:cs="宋体"/>
          <w:color w:val="auto"/>
          <w:sz w:val="21"/>
          <w:highlight w:val="none"/>
        </w:rPr>
      </w:pPr>
      <w:r>
        <w:rPr>
          <w:rFonts w:hint="eastAsia" w:cs="宋体"/>
          <w:color w:val="auto"/>
          <w:sz w:val="21"/>
          <w:highlight w:val="none"/>
        </w:rPr>
        <w:t xml:space="preserve">发包人和承包人应在合同协议书中选择下列一种合同价格形式： </w:t>
      </w:r>
    </w:p>
    <w:p w14:paraId="0FB18170">
      <w:pPr>
        <w:pStyle w:val="79"/>
        <w:rPr>
          <w:rFonts w:cs="宋体"/>
          <w:color w:val="auto"/>
          <w:sz w:val="21"/>
          <w:highlight w:val="none"/>
        </w:rPr>
      </w:pPr>
      <w:r>
        <w:rPr>
          <w:rFonts w:hint="eastAsia" w:cs="宋体"/>
          <w:color w:val="auto"/>
          <w:sz w:val="21"/>
          <w:highlight w:val="none"/>
        </w:rPr>
        <w:t>1.单价合同</w:t>
      </w:r>
    </w:p>
    <w:p w14:paraId="27BF5E7C">
      <w:pPr>
        <w:pStyle w:val="79"/>
        <w:rPr>
          <w:rFonts w:cs="宋体"/>
          <w:color w:val="auto"/>
          <w:sz w:val="21"/>
          <w:highlight w:val="none"/>
        </w:rPr>
      </w:pPr>
      <w:r>
        <w:rPr>
          <w:rFonts w:hint="eastAsia" w:cs="宋体"/>
          <w:color w:val="auto"/>
          <w:sz w:val="21"/>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739888BF">
      <w:pPr>
        <w:pStyle w:val="79"/>
        <w:rPr>
          <w:rFonts w:cs="宋体"/>
          <w:color w:val="auto"/>
          <w:sz w:val="21"/>
          <w:highlight w:val="none"/>
        </w:rPr>
      </w:pPr>
      <w:r>
        <w:rPr>
          <w:rFonts w:hint="eastAsia" w:cs="宋体"/>
          <w:color w:val="auto"/>
          <w:sz w:val="21"/>
          <w:highlight w:val="none"/>
        </w:rPr>
        <w:t>2.总价合同</w:t>
      </w:r>
    </w:p>
    <w:p w14:paraId="3DC2EF17">
      <w:pPr>
        <w:pStyle w:val="79"/>
        <w:rPr>
          <w:rFonts w:cs="宋体"/>
          <w:color w:val="auto"/>
          <w:sz w:val="21"/>
          <w:highlight w:val="none"/>
        </w:rPr>
      </w:pPr>
      <w:r>
        <w:rPr>
          <w:rFonts w:hint="eastAsia" w:cs="宋体"/>
          <w:color w:val="auto"/>
          <w:sz w:val="21"/>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7A5B07D0">
      <w:pPr>
        <w:pStyle w:val="79"/>
        <w:rPr>
          <w:rFonts w:cs="宋体"/>
          <w:color w:val="auto"/>
          <w:sz w:val="21"/>
          <w:highlight w:val="none"/>
        </w:rPr>
      </w:pPr>
      <w:r>
        <w:rPr>
          <w:rFonts w:hint="eastAsia" w:cs="宋体"/>
          <w:color w:val="auto"/>
          <w:sz w:val="21"/>
          <w:highlight w:val="none"/>
        </w:rPr>
        <w:t>3.其他价格形式</w:t>
      </w:r>
    </w:p>
    <w:p w14:paraId="1147BB30">
      <w:pPr>
        <w:pStyle w:val="79"/>
        <w:rPr>
          <w:rFonts w:cs="宋体"/>
          <w:color w:val="auto"/>
          <w:sz w:val="21"/>
          <w:highlight w:val="none"/>
        </w:rPr>
      </w:pPr>
      <w:r>
        <w:rPr>
          <w:rFonts w:hint="eastAsia" w:cs="宋体"/>
          <w:color w:val="auto"/>
          <w:sz w:val="21"/>
          <w:highlight w:val="none"/>
        </w:rPr>
        <w:t>合同当事人可在专用合同条款中约定其他合同价格形式。</w:t>
      </w:r>
    </w:p>
    <w:p w14:paraId="07E4E766">
      <w:pPr>
        <w:pStyle w:val="321"/>
        <w:rPr>
          <w:rFonts w:ascii="宋体" w:cs="宋体"/>
          <w:color w:val="auto"/>
          <w:highlight w:val="none"/>
        </w:rPr>
      </w:pPr>
      <w:bookmarkStart w:id="502" w:name="_Toc296503097"/>
      <w:bookmarkStart w:id="503" w:name="_Toc296346598"/>
      <w:bookmarkStart w:id="504" w:name="_Toc478389121"/>
      <w:bookmarkStart w:id="505" w:name="_Toc351203582"/>
      <w:bookmarkStart w:id="506" w:name="_Toc337558801"/>
      <w:r>
        <w:rPr>
          <w:rFonts w:hint="eastAsia" w:ascii="宋体" w:cs="宋体"/>
          <w:color w:val="auto"/>
          <w:highlight w:val="none"/>
        </w:rPr>
        <w:t>12.2预</w:t>
      </w:r>
      <w:bookmarkEnd w:id="502"/>
      <w:bookmarkEnd w:id="503"/>
      <w:bookmarkStart w:id="507" w:name="_Toc296346601"/>
      <w:bookmarkStart w:id="508" w:name="_Toc296503100"/>
      <w:r>
        <w:rPr>
          <w:rFonts w:hint="eastAsia" w:ascii="宋体" w:cs="宋体"/>
          <w:color w:val="auto"/>
          <w:highlight w:val="none"/>
        </w:rPr>
        <w:t>付款</w:t>
      </w:r>
      <w:bookmarkEnd w:id="504"/>
      <w:bookmarkEnd w:id="505"/>
    </w:p>
    <w:bookmarkEnd w:id="506"/>
    <w:bookmarkEnd w:id="507"/>
    <w:bookmarkEnd w:id="508"/>
    <w:p w14:paraId="738DE80D">
      <w:pPr>
        <w:pStyle w:val="79"/>
        <w:rPr>
          <w:rFonts w:cs="宋体"/>
          <w:color w:val="auto"/>
          <w:sz w:val="21"/>
          <w:highlight w:val="none"/>
        </w:rPr>
      </w:pPr>
      <w:r>
        <w:rPr>
          <w:rFonts w:hint="eastAsia" w:cs="宋体"/>
          <w:color w:val="auto"/>
          <w:sz w:val="21"/>
          <w:highlight w:val="none"/>
        </w:rPr>
        <w:t>12.2.1预付款的支付</w:t>
      </w:r>
    </w:p>
    <w:p w14:paraId="260C3D2D">
      <w:pPr>
        <w:pStyle w:val="79"/>
        <w:rPr>
          <w:rFonts w:cs="宋体"/>
          <w:color w:val="auto"/>
          <w:sz w:val="21"/>
          <w:highlight w:val="none"/>
        </w:rPr>
      </w:pPr>
      <w:r>
        <w:rPr>
          <w:rFonts w:hint="eastAsia" w:cs="宋体"/>
          <w:color w:val="auto"/>
          <w:sz w:val="21"/>
          <w:highlight w:val="none"/>
        </w:rPr>
        <w:t>预付款的支付按照专用合同条款约定执行，但至迟应在开工通知载明的开工日期7天前支付。预付款应当用于材料、工程设备、施工设备的采购及修建临时工程、组织施工队伍进场等。</w:t>
      </w:r>
    </w:p>
    <w:p w14:paraId="3E93A3F7">
      <w:pPr>
        <w:pStyle w:val="79"/>
        <w:rPr>
          <w:rFonts w:cs="宋体"/>
          <w:color w:val="auto"/>
          <w:sz w:val="21"/>
          <w:highlight w:val="none"/>
        </w:rPr>
      </w:pPr>
      <w:r>
        <w:rPr>
          <w:rFonts w:hint="eastAsia" w:cs="宋体"/>
          <w:color w:val="auto"/>
          <w:sz w:val="21"/>
          <w:highlight w:val="none"/>
        </w:rPr>
        <w:t>除专用合同条款另有约定外，预付款在进度付款中同比例扣回。在颁发工程接收证书前，提前解除合同的，尚未扣完的预付款应与合同价款一并结算。</w:t>
      </w:r>
    </w:p>
    <w:p w14:paraId="4106128C">
      <w:pPr>
        <w:pStyle w:val="79"/>
        <w:rPr>
          <w:rFonts w:cs="宋体"/>
          <w:color w:val="auto"/>
          <w:sz w:val="21"/>
          <w:highlight w:val="none"/>
        </w:rPr>
      </w:pPr>
      <w:r>
        <w:rPr>
          <w:rFonts w:hint="eastAsia" w:cs="宋体"/>
          <w:color w:val="auto"/>
          <w:sz w:val="21"/>
          <w:highlight w:val="none"/>
        </w:rPr>
        <w:t>发包人逾期支付预付款超过7天的，承包人有权向发包人发出要求预付的催告通知，发包人收到通知后7天内仍未支付的，承包人有权暂停施工，并按第16.1.1项〔发包人违约的情形〕执行。</w:t>
      </w:r>
    </w:p>
    <w:p w14:paraId="21025A34">
      <w:pPr>
        <w:pStyle w:val="79"/>
        <w:rPr>
          <w:rFonts w:cs="宋体"/>
          <w:color w:val="auto"/>
          <w:sz w:val="21"/>
          <w:highlight w:val="none"/>
        </w:rPr>
      </w:pPr>
      <w:r>
        <w:rPr>
          <w:rFonts w:hint="eastAsia" w:cs="宋体"/>
          <w:color w:val="auto"/>
          <w:sz w:val="21"/>
          <w:highlight w:val="none"/>
        </w:rPr>
        <w:t>12.2.2 预付款担保</w:t>
      </w:r>
    </w:p>
    <w:p w14:paraId="724B5275">
      <w:pPr>
        <w:pStyle w:val="79"/>
        <w:rPr>
          <w:rFonts w:cs="宋体"/>
          <w:color w:val="auto"/>
          <w:sz w:val="21"/>
          <w:highlight w:val="none"/>
        </w:rPr>
      </w:pPr>
      <w:r>
        <w:rPr>
          <w:rFonts w:hint="eastAsia" w:cs="宋体"/>
          <w:color w:val="auto"/>
          <w:sz w:val="21"/>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4EA73CFA">
      <w:pPr>
        <w:pStyle w:val="79"/>
        <w:rPr>
          <w:rFonts w:cs="宋体"/>
          <w:color w:val="auto"/>
          <w:sz w:val="21"/>
          <w:highlight w:val="none"/>
        </w:rPr>
      </w:pPr>
      <w:r>
        <w:rPr>
          <w:rFonts w:hint="eastAsia" w:cs="宋体"/>
          <w:color w:val="auto"/>
          <w:sz w:val="21"/>
          <w:highlight w:val="none"/>
        </w:rPr>
        <w:t>发包人在工程款中逐期扣回预付款后，预付款担保额度应相应减少，但剩余的预付款担保金额不得低于未被扣回的预付款金额。</w:t>
      </w:r>
    </w:p>
    <w:p w14:paraId="00DB2102">
      <w:pPr>
        <w:pStyle w:val="321"/>
        <w:rPr>
          <w:rFonts w:ascii="宋体" w:cs="宋体"/>
          <w:color w:val="auto"/>
          <w:highlight w:val="none"/>
        </w:rPr>
      </w:pPr>
      <w:bookmarkStart w:id="509" w:name="_Toc478389122"/>
      <w:bookmarkStart w:id="510" w:name="_Toc351203583"/>
      <w:bookmarkStart w:id="511" w:name="_Toc337558802"/>
      <w:r>
        <w:rPr>
          <w:rFonts w:hint="eastAsia" w:ascii="宋体" w:cs="宋体"/>
          <w:color w:val="auto"/>
          <w:highlight w:val="none"/>
        </w:rPr>
        <w:t>12.3计量</w:t>
      </w:r>
      <w:bookmarkEnd w:id="509"/>
      <w:bookmarkEnd w:id="510"/>
    </w:p>
    <w:bookmarkEnd w:id="511"/>
    <w:p w14:paraId="718E0990">
      <w:pPr>
        <w:pStyle w:val="79"/>
        <w:outlineLvl w:val="0"/>
        <w:rPr>
          <w:rFonts w:cs="宋体"/>
          <w:color w:val="auto"/>
          <w:sz w:val="21"/>
          <w:highlight w:val="none"/>
        </w:rPr>
      </w:pPr>
      <w:bookmarkStart w:id="512" w:name="_Toc478389123"/>
      <w:bookmarkStart w:id="513" w:name="_Toc406419279"/>
      <w:bookmarkStart w:id="514" w:name="_Toc406522154"/>
      <w:r>
        <w:rPr>
          <w:rFonts w:hint="eastAsia" w:cs="宋体"/>
          <w:color w:val="auto"/>
          <w:sz w:val="21"/>
          <w:highlight w:val="none"/>
        </w:rPr>
        <w:t>12.3.1 计量原则</w:t>
      </w:r>
      <w:bookmarkEnd w:id="512"/>
      <w:bookmarkEnd w:id="513"/>
      <w:bookmarkEnd w:id="514"/>
    </w:p>
    <w:p w14:paraId="7111D039">
      <w:pPr>
        <w:pStyle w:val="79"/>
        <w:rPr>
          <w:rFonts w:cs="宋体"/>
          <w:color w:val="auto"/>
          <w:sz w:val="21"/>
          <w:highlight w:val="none"/>
        </w:rPr>
      </w:pPr>
      <w:r>
        <w:rPr>
          <w:rFonts w:hint="eastAsia" w:cs="宋体"/>
          <w:color w:val="auto"/>
          <w:sz w:val="21"/>
          <w:highlight w:val="none"/>
        </w:rPr>
        <w:t>工程量计量按照合同约定的工程量计算规则、图纸及变更指示等进行计量。工程量计算规则应以相关的国家标准、行业标准等为依据，由合同当事人在专用合同条款中约定。</w:t>
      </w:r>
    </w:p>
    <w:p w14:paraId="536E0A46">
      <w:pPr>
        <w:pStyle w:val="79"/>
        <w:rPr>
          <w:rFonts w:cs="宋体"/>
          <w:color w:val="auto"/>
          <w:sz w:val="21"/>
          <w:highlight w:val="none"/>
        </w:rPr>
      </w:pPr>
      <w:r>
        <w:rPr>
          <w:rFonts w:hint="eastAsia" w:cs="宋体"/>
          <w:color w:val="auto"/>
          <w:sz w:val="21"/>
          <w:highlight w:val="none"/>
        </w:rPr>
        <w:t>12.3.2 计量周期</w:t>
      </w:r>
    </w:p>
    <w:p w14:paraId="3F8D0B1A">
      <w:pPr>
        <w:pStyle w:val="79"/>
        <w:rPr>
          <w:rFonts w:cs="宋体"/>
          <w:color w:val="auto"/>
          <w:sz w:val="21"/>
          <w:highlight w:val="none"/>
        </w:rPr>
      </w:pPr>
      <w:r>
        <w:rPr>
          <w:rFonts w:hint="eastAsia" w:cs="宋体"/>
          <w:color w:val="auto"/>
          <w:sz w:val="21"/>
          <w:highlight w:val="none"/>
        </w:rPr>
        <w:t>除专用合同条款另有约定外，工程量的计量按月进行。</w:t>
      </w:r>
    </w:p>
    <w:p w14:paraId="20EFBEF6">
      <w:pPr>
        <w:pStyle w:val="79"/>
        <w:rPr>
          <w:rFonts w:cs="宋体"/>
          <w:color w:val="auto"/>
          <w:sz w:val="21"/>
          <w:highlight w:val="none"/>
        </w:rPr>
      </w:pPr>
      <w:r>
        <w:rPr>
          <w:rFonts w:hint="eastAsia" w:cs="宋体"/>
          <w:color w:val="auto"/>
          <w:sz w:val="21"/>
          <w:highlight w:val="none"/>
        </w:rPr>
        <w:t>12.3.3 单价合同的计量</w:t>
      </w:r>
    </w:p>
    <w:p w14:paraId="287DA707">
      <w:pPr>
        <w:pStyle w:val="79"/>
        <w:rPr>
          <w:rFonts w:cs="宋体"/>
          <w:color w:val="auto"/>
          <w:sz w:val="21"/>
          <w:highlight w:val="none"/>
        </w:rPr>
      </w:pPr>
      <w:r>
        <w:rPr>
          <w:rFonts w:hint="eastAsia" w:cs="宋体"/>
          <w:color w:val="auto"/>
          <w:sz w:val="21"/>
          <w:highlight w:val="none"/>
        </w:rPr>
        <w:t>除专用合同条款另有约定外，单价合同的计量按照本项约定执行：</w:t>
      </w:r>
    </w:p>
    <w:p w14:paraId="777D9234">
      <w:pPr>
        <w:pStyle w:val="79"/>
        <w:rPr>
          <w:rFonts w:cs="宋体"/>
          <w:color w:val="auto"/>
          <w:sz w:val="21"/>
          <w:highlight w:val="none"/>
        </w:rPr>
      </w:pPr>
      <w:r>
        <w:rPr>
          <w:rFonts w:hint="eastAsia" w:cs="宋体"/>
          <w:color w:val="auto"/>
          <w:sz w:val="21"/>
          <w:highlight w:val="none"/>
        </w:rPr>
        <w:t>（1）承包人应于每月25日向监理人报送上月20日至当月19日已完成的工程量报告，并附具进度付款申请单、已完成工程量报表和有关资料。</w:t>
      </w:r>
    </w:p>
    <w:p w14:paraId="275ECCDA">
      <w:pPr>
        <w:pStyle w:val="79"/>
        <w:rPr>
          <w:rFonts w:cs="宋体"/>
          <w:color w:val="auto"/>
          <w:sz w:val="21"/>
          <w:highlight w:val="none"/>
        </w:rPr>
      </w:pPr>
      <w:r>
        <w:rPr>
          <w:rFonts w:hint="eastAsia" w:cs="宋体"/>
          <w:color w:val="auto"/>
          <w:sz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7AE599B0">
      <w:pPr>
        <w:pStyle w:val="79"/>
        <w:rPr>
          <w:rFonts w:cs="宋体"/>
          <w:color w:val="auto"/>
          <w:sz w:val="21"/>
          <w:highlight w:val="none"/>
        </w:rPr>
      </w:pPr>
      <w:r>
        <w:rPr>
          <w:rFonts w:hint="eastAsia" w:cs="宋体"/>
          <w:color w:val="auto"/>
          <w:sz w:val="21"/>
          <w:highlight w:val="none"/>
        </w:rPr>
        <w:t>（3）监理人未在收到承包人提交的工程量报表后的7天内完成审核的，承包人报送的工程量报告中的工程量视为承包人实际完成的工程量，据此计算工程价款。</w:t>
      </w:r>
    </w:p>
    <w:p w14:paraId="5545F49D">
      <w:pPr>
        <w:pStyle w:val="79"/>
        <w:rPr>
          <w:rFonts w:cs="宋体"/>
          <w:color w:val="auto"/>
          <w:sz w:val="21"/>
          <w:highlight w:val="none"/>
        </w:rPr>
      </w:pPr>
      <w:r>
        <w:rPr>
          <w:rFonts w:hint="eastAsia" w:cs="宋体"/>
          <w:color w:val="auto"/>
          <w:sz w:val="21"/>
          <w:highlight w:val="none"/>
        </w:rPr>
        <w:t>12.3.4 总价合同的计量</w:t>
      </w:r>
    </w:p>
    <w:p w14:paraId="77C618A7">
      <w:pPr>
        <w:pStyle w:val="79"/>
        <w:rPr>
          <w:rFonts w:cs="宋体"/>
          <w:color w:val="auto"/>
          <w:sz w:val="21"/>
          <w:highlight w:val="none"/>
        </w:rPr>
      </w:pPr>
      <w:r>
        <w:rPr>
          <w:rFonts w:hint="eastAsia" w:cs="宋体"/>
          <w:color w:val="auto"/>
          <w:sz w:val="21"/>
          <w:highlight w:val="none"/>
        </w:rPr>
        <w:t>除专用合同条款另有约定外，按月计量支付的总价合同，按照本项约定执行：</w:t>
      </w:r>
    </w:p>
    <w:p w14:paraId="05ACB4E9">
      <w:pPr>
        <w:pStyle w:val="79"/>
        <w:rPr>
          <w:rFonts w:cs="宋体"/>
          <w:color w:val="auto"/>
          <w:sz w:val="21"/>
          <w:highlight w:val="none"/>
        </w:rPr>
      </w:pPr>
      <w:r>
        <w:rPr>
          <w:rFonts w:hint="eastAsia" w:cs="宋体"/>
          <w:color w:val="auto"/>
          <w:sz w:val="21"/>
          <w:highlight w:val="none"/>
        </w:rPr>
        <w:t>（1）承包人应于每月25日向监理人报送上月20日至当月19日已完成的工程量报告，并附具进度付款申请单、已完成工程量报表和有关资料。</w:t>
      </w:r>
    </w:p>
    <w:p w14:paraId="4DA4F409">
      <w:pPr>
        <w:pStyle w:val="79"/>
        <w:rPr>
          <w:rFonts w:cs="宋体"/>
          <w:color w:val="auto"/>
          <w:sz w:val="21"/>
          <w:highlight w:val="none"/>
        </w:rPr>
      </w:pPr>
      <w:r>
        <w:rPr>
          <w:rFonts w:hint="eastAsia" w:cs="宋体"/>
          <w:color w:val="auto"/>
          <w:sz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4C32C93F">
      <w:pPr>
        <w:pStyle w:val="79"/>
        <w:rPr>
          <w:rFonts w:cs="宋体"/>
          <w:color w:val="auto"/>
          <w:sz w:val="21"/>
          <w:highlight w:val="none"/>
        </w:rPr>
      </w:pPr>
      <w:r>
        <w:rPr>
          <w:rFonts w:hint="eastAsia" w:cs="宋体"/>
          <w:color w:val="auto"/>
          <w:sz w:val="21"/>
          <w:highlight w:val="none"/>
        </w:rPr>
        <w:t>（3）监理人未在收到承包人提交的工程量报表后的7天内完成复核的，承包人提交的工程量报告中的工程量视为承包人实际完成的工程量。</w:t>
      </w:r>
    </w:p>
    <w:p w14:paraId="535F56C5">
      <w:pPr>
        <w:pStyle w:val="79"/>
        <w:outlineLvl w:val="0"/>
        <w:rPr>
          <w:rFonts w:cs="宋体"/>
          <w:color w:val="auto"/>
          <w:sz w:val="21"/>
          <w:highlight w:val="none"/>
        </w:rPr>
      </w:pPr>
      <w:bookmarkStart w:id="515" w:name="_Toc406522155"/>
      <w:bookmarkStart w:id="516" w:name="_Toc478389124"/>
      <w:bookmarkStart w:id="517" w:name="_Toc406419280"/>
      <w:r>
        <w:rPr>
          <w:rFonts w:hint="eastAsia" w:cs="宋体"/>
          <w:color w:val="auto"/>
          <w:sz w:val="21"/>
          <w:highlight w:val="none"/>
        </w:rPr>
        <w:t>12.3.5总价合同采用支付分解表计量支付的，可以按照第12.3.4项〔总价合同的计量〕约定进行计量，但合同价款按照支付分解表进行支付。</w:t>
      </w:r>
      <w:bookmarkEnd w:id="515"/>
      <w:bookmarkEnd w:id="516"/>
      <w:bookmarkEnd w:id="517"/>
    </w:p>
    <w:p w14:paraId="0B909817">
      <w:pPr>
        <w:pStyle w:val="79"/>
        <w:rPr>
          <w:rFonts w:cs="宋体"/>
          <w:color w:val="auto"/>
          <w:sz w:val="21"/>
          <w:highlight w:val="none"/>
        </w:rPr>
      </w:pPr>
      <w:r>
        <w:rPr>
          <w:rFonts w:hint="eastAsia" w:cs="宋体"/>
          <w:color w:val="auto"/>
          <w:sz w:val="21"/>
          <w:highlight w:val="none"/>
        </w:rPr>
        <w:t>12.3.6 其他价格形式合同的计量</w:t>
      </w:r>
    </w:p>
    <w:p w14:paraId="452759A3">
      <w:pPr>
        <w:pStyle w:val="79"/>
        <w:rPr>
          <w:rFonts w:cs="宋体"/>
          <w:color w:val="auto"/>
          <w:sz w:val="21"/>
          <w:highlight w:val="none"/>
        </w:rPr>
      </w:pPr>
      <w:r>
        <w:rPr>
          <w:rFonts w:hint="eastAsia" w:cs="宋体"/>
          <w:color w:val="auto"/>
          <w:sz w:val="21"/>
          <w:highlight w:val="none"/>
        </w:rPr>
        <w:t>合同当事人可在专用合同条款中约定其他价格形式合同的计量方式和程序。</w:t>
      </w:r>
    </w:p>
    <w:p w14:paraId="11A68D4C">
      <w:pPr>
        <w:pStyle w:val="321"/>
        <w:rPr>
          <w:rFonts w:ascii="宋体" w:cs="宋体"/>
          <w:color w:val="auto"/>
          <w:highlight w:val="none"/>
        </w:rPr>
      </w:pPr>
      <w:bookmarkStart w:id="518" w:name="_Toc296346602"/>
      <w:bookmarkStart w:id="519" w:name="_Toc296503101"/>
      <w:bookmarkStart w:id="520" w:name="_Toc351203584"/>
      <w:bookmarkStart w:id="521" w:name="_Toc478389125"/>
      <w:bookmarkStart w:id="522" w:name="_Toc337558803"/>
      <w:r>
        <w:rPr>
          <w:rFonts w:hint="eastAsia" w:ascii="宋体" w:cs="宋体"/>
          <w:color w:val="auto"/>
          <w:highlight w:val="none"/>
        </w:rPr>
        <w:t>12.4工程进度款支</w:t>
      </w:r>
      <w:bookmarkEnd w:id="518"/>
      <w:bookmarkEnd w:id="519"/>
      <w:r>
        <w:rPr>
          <w:rFonts w:hint="eastAsia" w:ascii="宋体" w:cs="宋体"/>
          <w:color w:val="auto"/>
          <w:highlight w:val="none"/>
        </w:rPr>
        <w:t>付</w:t>
      </w:r>
      <w:bookmarkEnd w:id="520"/>
      <w:bookmarkEnd w:id="521"/>
    </w:p>
    <w:bookmarkEnd w:id="522"/>
    <w:p w14:paraId="3D87503C">
      <w:pPr>
        <w:pStyle w:val="79"/>
        <w:outlineLvl w:val="0"/>
        <w:rPr>
          <w:rFonts w:cs="宋体"/>
          <w:color w:val="auto"/>
          <w:sz w:val="21"/>
          <w:highlight w:val="none"/>
        </w:rPr>
      </w:pPr>
      <w:bookmarkStart w:id="523" w:name="_Toc406419282"/>
      <w:bookmarkStart w:id="524" w:name="_Toc406522157"/>
      <w:bookmarkStart w:id="525" w:name="_Toc478389126"/>
      <w:r>
        <w:rPr>
          <w:rFonts w:hint="eastAsia" w:cs="宋体"/>
          <w:color w:val="auto"/>
          <w:sz w:val="21"/>
          <w:highlight w:val="none"/>
        </w:rPr>
        <w:t>12.4.1 付款周期</w:t>
      </w:r>
      <w:bookmarkEnd w:id="523"/>
      <w:bookmarkEnd w:id="524"/>
      <w:bookmarkEnd w:id="525"/>
    </w:p>
    <w:p w14:paraId="0B1DED69">
      <w:pPr>
        <w:pStyle w:val="79"/>
        <w:rPr>
          <w:rFonts w:cs="宋体"/>
          <w:color w:val="auto"/>
          <w:sz w:val="21"/>
          <w:highlight w:val="none"/>
        </w:rPr>
      </w:pPr>
      <w:r>
        <w:rPr>
          <w:rFonts w:hint="eastAsia" w:cs="宋体"/>
          <w:color w:val="auto"/>
          <w:sz w:val="21"/>
          <w:highlight w:val="none"/>
        </w:rPr>
        <w:t>除专用合同条款另有约定外，付款周期应按照第12.3.2项〔计量周期〕的约定与计量周期保持一致。</w:t>
      </w:r>
    </w:p>
    <w:p w14:paraId="16297FEE">
      <w:pPr>
        <w:pStyle w:val="79"/>
        <w:rPr>
          <w:rFonts w:cs="宋体"/>
          <w:color w:val="auto"/>
          <w:sz w:val="21"/>
          <w:highlight w:val="none"/>
        </w:rPr>
      </w:pPr>
      <w:r>
        <w:rPr>
          <w:rFonts w:hint="eastAsia" w:cs="宋体"/>
          <w:color w:val="auto"/>
          <w:sz w:val="21"/>
          <w:highlight w:val="none"/>
        </w:rPr>
        <w:t>12.4.2 进度付款申请单的编制</w:t>
      </w:r>
    </w:p>
    <w:p w14:paraId="511D9C6F">
      <w:pPr>
        <w:pStyle w:val="79"/>
        <w:rPr>
          <w:rFonts w:cs="宋体"/>
          <w:color w:val="auto"/>
          <w:sz w:val="21"/>
          <w:highlight w:val="none"/>
        </w:rPr>
      </w:pPr>
      <w:r>
        <w:rPr>
          <w:rFonts w:hint="eastAsia" w:cs="宋体"/>
          <w:color w:val="auto"/>
          <w:sz w:val="21"/>
          <w:highlight w:val="none"/>
        </w:rPr>
        <w:t>除专用合同条款另有约定外，进度付款申请单应包括下列内容：</w:t>
      </w:r>
    </w:p>
    <w:p w14:paraId="78073965">
      <w:pPr>
        <w:pStyle w:val="79"/>
        <w:rPr>
          <w:rFonts w:cs="宋体"/>
          <w:color w:val="auto"/>
          <w:sz w:val="21"/>
          <w:highlight w:val="none"/>
        </w:rPr>
      </w:pPr>
      <w:r>
        <w:rPr>
          <w:rFonts w:hint="eastAsia" w:cs="宋体"/>
          <w:color w:val="auto"/>
          <w:sz w:val="21"/>
          <w:highlight w:val="none"/>
        </w:rPr>
        <w:t>（1）截至本次付款周期已完成工作对应的金额；</w:t>
      </w:r>
    </w:p>
    <w:p w14:paraId="4831C72F">
      <w:pPr>
        <w:pStyle w:val="79"/>
        <w:rPr>
          <w:rFonts w:cs="宋体"/>
          <w:color w:val="auto"/>
          <w:sz w:val="21"/>
          <w:highlight w:val="none"/>
        </w:rPr>
      </w:pPr>
      <w:r>
        <w:rPr>
          <w:rFonts w:hint="eastAsia" w:cs="宋体"/>
          <w:color w:val="auto"/>
          <w:sz w:val="21"/>
          <w:highlight w:val="none"/>
        </w:rPr>
        <w:t>（2）根据第10条〔变更〕应增加和扣减的变更金额；</w:t>
      </w:r>
    </w:p>
    <w:p w14:paraId="38B33AB4">
      <w:pPr>
        <w:pStyle w:val="79"/>
        <w:rPr>
          <w:rFonts w:cs="宋体"/>
          <w:color w:val="auto"/>
          <w:sz w:val="21"/>
          <w:highlight w:val="none"/>
        </w:rPr>
      </w:pPr>
      <w:r>
        <w:rPr>
          <w:rFonts w:hint="eastAsia" w:cs="宋体"/>
          <w:color w:val="auto"/>
          <w:sz w:val="21"/>
          <w:highlight w:val="none"/>
        </w:rPr>
        <w:t>（3）根据第12.2款〔预付款〕约定应支付的预付款和扣减的返还预付款；</w:t>
      </w:r>
    </w:p>
    <w:p w14:paraId="4EDFE30E">
      <w:pPr>
        <w:pStyle w:val="79"/>
        <w:rPr>
          <w:rFonts w:cs="宋体"/>
          <w:color w:val="auto"/>
          <w:sz w:val="21"/>
          <w:highlight w:val="none"/>
        </w:rPr>
      </w:pPr>
      <w:r>
        <w:rPr>
          <w:rFonts w:hint="eastAsia" w:cs="宋体"/>
          <w:color w:val="auto"/>
          <w:sz w:val="21"/>
          <w:highlight w:val="none"/>
        </w:rPr>
        <w:t>（4）根据第15.3款〔质量保证金〕约定应扣减的质量保证金；</w:t>
      </w:r>
    </w:p>
    <w:p w14:paraId="7E167DDA">
      <w:pPr>
        <w:pStyle w:val="79"/>
        <w:rPr>
          <w:rFonts w:cs="宋体"/>
          <w:color w:val="auto"/>
          <w:sz w:val="21"/>
          <w:highlight w:val="none"/>
        </w:rPr>
      </w:pPr>
      <w:r>
        <w:rPr>
          <w:rFonts w:hint="eastAsia" w:cs="宋体"/>
          <w:color w:val="auto"/>
          <w:sz w:val="21"/>
          <w:highlight w:val="none"/>
        </w:rPr>
        <w:t>（5）根据第19条〔索赔〕应增加和扣减的索赔金额；</w:t>
      </w:r>
    </w:p>
    <w:p w14:paraId="3FE7185F">
      <w:pPr>
        <w:pStyle w:val="79"/>
        <w:rPr>
          <w:rFonts w:cs="宋体"/>
          <w:color w:val="auto"/>
          <w:sz w:val="21"/>
          <w:highlight w:val="none"/>
        </w:rPr>
      </w:pPr>
      <w:r>
        <w:rPr>
          <w:rFonts w:hint="eastAsia" w:cs="宋体"/>
          <w:color w:val="auto"/>
          <w:sz w:val="21"/>
          <w:highlight w:val="none"/>
        </w:rPr>
        <w:t>（6）对已签发的进度款支付证书中出现错误的修正，应在本次进度付款中支付或扣除的金额；</w:t>
      </w:r>
    </w:p>
    <w:p w14:paraId="1F9EB7E0">
      <w:pPr>
        <w:pStyle w:val="79"/>
        <w:rPr>
          <w:rFonts w:cs="宋体"/>
          <w:color w:val="auto"/>
          <w:sz w:val="21"/>
          <w:highlight w:val="none"/>
        </w:rPr>
      </w:pPr>
      <w:r>
        <w:rPr>
          <w:rFonts w:hint="eastAsia" w:cs="宋体"/>
          <w:color w:val="auto"/>
          <w:sz w:val="21"/>
          <w:highlight w:val="none"/>
        </w:rPr>
        <w:t>（7）根据合同约定应增加和扣减的其他金额。</w:t>
      </w:r>
    </w:p>
    <w:p w14:paraId="2700CB2B">
      <w:pPr>
        <w:pStyle w:val="79"/>
        <w:rPr>
          <w:rFonts w:cs="宋体"/>
          <w:color w:val="auto"/>
          <w:sz w:val="21"/>
          <w:highlight w:val="none"/>
        </w:rPr>
      </w:pPr>
      <w:r>
        <w:rPr>
          <w:rFonts w:hint="eastAsia" w:cs="宋体"/>
          <w:color w:val="auto"/>
          <w:sz w:val="21"/>
          <w:highlight w:val="none"/>
        </w:rPr>
        <w:t>12.4.3 进度付款申请单的提交</w:t>
      </w:r>
    </w:p>
    <w:p w14:paraId="647EEC56">
      <w:pPr>
        <w:pStyle w:val="79"/>
        <w:rPr>
          <w:rFonts w:cs="宋体"/>
          <w:color w:val="auto"/>
          <w:sz w:val="21"/>
          <w:highlight w:val="none"/>
        </w:rPr>
      </w:pPr>
      <w:r>
        <w:rPr>
          <w:rFonts w:hint="eastAsia" w:cs="宋体"/>
          <w:color w:val="auto"/>
          <w:sz w:val="21"/>
          <w:highlight w:val="none"/>
        </w:rPr>
        <w:t>（1）单价合同进度付款申请单的提交</w:t>
      </w:r>
    </w:p>
    <w:p w14:paraId="743D9686">
      <w:pPr>
        <w:pStyle w:val="79"/>
        <w:rPr>
          <w:rFonts w:cs="宋体"/>
          <w:color w:val="auto"/>
          <w:sz w:val="21"/>
          <w:highlight w:val="none"/>
        </w:rPr>
      </w:pPr>
      <w:r>
        <w:rPr>
          <w:rFonts w:hint="eastAsia" w:cs="宋体"/>
          <w:color w:val="auto"/>
          <w:sz w:val="21"/>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79C49979">
      <w:pPr>
        <w:pStyle w:val="79"/>
        <w:rPr>
          <w:rFonts w:cs="宋体"/>
          <w:color w:val="auto"/>
          <w:sz w:val="21"/>
          <w:highlight w:val="none"/>
        </w:rPr>
      </w:pPr>
      <w:r>
        <w:rPr>
          <w:rFonts w:hint="eastAsia" w:cs="宋体"/>
          <w:color w:val="auto"/>
          <w:sz w:val="21"/>
          <w:highlight w:val="none"/>
        </w:rPr>
        <w:t>（2）总价合同进度付款申请单的提交</w:t>
      </w:r>
    </w:p>
    <w:p w14:paraId="0640AE79">
      <w:pPr>
        <w:pStyle w:val="79"/>
        <w:rPr>
          <w:rFonts w:cs="宋体"/>
          <w:color w:val="auto"/>
          <w:sz w:val="21"/>
          <w:highlight w:val="none"/>
        </w:rPr>
      </w:pPr>
      <w:r>
        <w:rPr>
          <w:rFonts w:hint="eastAsia" w:cs="宋体"/>
          <w:color w:val="auto"/>
          <w:sz w:val="21"/>
          <w:highlight w:val="none"/>
        </w:rPr>
        <w:t>总价合同按月计量支付的，承包人按照第12.3.4项〔总价合同的计量〕约定的时间按月向监理人提交进度付款申请单，并附上已完成工程量报表和有关资料。</w:t>
      </w:r>
    </w:p>
    <w:p w14:paraId="7A7200A4">
      <w:pPr>
        <w:pStyle w:val="79"/>
        <w:rPr>
          <w:rFonts w:cs="宋体"/>
          <w:color w:val="auto"/>
          <w:sz w:val="21"/>
          <w:highlight w:val="none"/>
        </w:rPr>
      </w:pPr>
      <w:r>
        <w:rPr>
          <w:rFonts w:hint="eastAsia" w:cs="宋体"/>
          <w:color w:val="auto"/>
          <w:sz w:val="21"/>
          <w:highlight w:val="none"/>
        </w:rPr>
        <w:t>总价合同按支付分解表支付的，承包人应按照第12.4.6项〔支付分解表〕及第12.4.2项〔进度付款申请单的编制〕的约定向监理人提交进度付款申请单。</w:t>
      </w:r>
    </w:p>
    <w:p w14:paraId="028F85A0">
      <w:pPr>
        <w:pStyle w:val="79"/>
        <w:rPr>
          <w:rFonts w:cs="宋体"/>
          <w:color w:val="auto"/>
          <w:sz w:val="21"/>
          <w:highlight w:val="none"/>
        </w:rPr>
      </w:pPr>
      <w:r>
        <w:rPr>
          <w:rFonts w:hint="eastAsia" w:cs="宋体"/>
          <w:color w:val="auto"/>
          <w:sz w:val="21"/>
          <w:highlight w:val="none"/>
        </w:rPr>
        <w:t>（3）其他价格形式合同的进度付款申请单的提交</w:t>
      </w:r>
    </w:p>
    <w:p w14:paraId="5705E9EB">
      <w:pPr>
        <w:pStyle w:val="79"/>
        <w:rPr>
          <w:rFonts w:cs="宋体"/>
          <w:color w:val="auto"/>
          <w:sz w:val="21"/>
          <w:highlight w:val="none"/>
        </w:rPr>
      </w:pPr>
      <w:r>
        <w:rPr>
          <w:rFonts w:hint="eastAsia" w:cs="宋体"/>
          <w:color w:val="auto"/>
          <w:sz w:val="21"/>
          <w:highlight w:val="none"/>
        </w:rPr>
        <w:t>合同当事人可在专用合同条款中约定其他价格形式合同的进度付款申请单的编制和提交程序。</w:t>
      </w:r>
    </w:p>
    <w:p w14:paraId="18EBCF51">
      <w:pPr>
        <w:pStyle w:val="79"/>
        <w:rPr>
          <w:rFonts w:cs="宋体"/>
          <w:color w:val="auto"/>
          <w:sz w:val="21"/>
          <w:highlight w:val="none"/>
        </w:rPr>
      </w:pPr>
      <w:r>
        <w:rPr>
          <w:rFonts w:hint="eastAsia" w:cs="宋体"/>
          <w:color w:val="auto"/>
          <w:sz w:val="21"/>
          <w:highlight w:val="none"/>
        </w:rPr>
        <w:t>12.4.4 进度款审核和支付</w:t>
      </w:r>
    </w:p>
    <w:p w14:paraId="297D12F8">
      <w:pPr>
        <w:pStyle w:val="79"/>
        <w:rPr>
          <w:rFonts w:cs="宋体"/>
          <w:color w:val="auto"/>
          <w:sz w:val="21"/>
          <w:highlight w:val="none"/>
        </w:rPr>
      </w:pPr>
      <w:r>
        <w:rPr>
          <w:rFonts w:hint="eastAsia" w:cs="宋体"/>
          <w:color w:val="auto"/>
          <w:sz w:val="21"/>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3E4D84F1">
      <w:pPr>
        <w:pStyle w:val="79"/>
        <w:rPr>
          <w:rFonts w:cs="宋体"/>
          <w:color w:val="auto"/>
          <w:sz w:val="21"/>
          <w:highlight w:val="none"/>
        </w:rPr>
      </w:pPr>
      <w:r>
        <w:rPr>
          <w:rFonts w:hint="eastAsia" w:cs="宋体"/>
          <w:color w:val="auto"/>
          <w:sz w:val="21"/>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3EF1EB04">
      <w:pPr>
        <w:pStyle w:val="79"/>
        <w:rPr>
          <w:rFonts w:cs="宋体"/>
          <w:color w:val="auto"/>
          <w:sz w:val="21"/>
          <w:highlight w:val="none"/>
        </w:rPr>
      </w:pPr>
      <w:r>
        <w:rPr>
          <w:rFonts w:hint="eastAsia" w:cs="宋体"/>
          <w:color w:val="auto"/>
          <w:sz w:val="21"/>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61D1CDA5">
      <w:pPr>
        <w:pStyle w:val="79"/>
        <w:rPr>
          <w:rFonts w:cs="宋体"/>
          <w:color w:val="auto"/>
          <w:sz w:val="21"/>
          <w:highlight w:val="none"/>
        </w:rPr>
      </w:pPr>
      <w:r>
        <w:rPr>
          <w:rFonts w:hint="eastAsia" w:cs="宋体"/>
          <w:color w:val="auto"/>
          <w:sz w:val="21"/>
          <w:highlight w:val="none"/>
        </w:rPr>
        <w:t>（3）发包人签发进度款支付证书或临时进度款支付证书，不表明发包人已同意、批准或接受了承包人完成的相应部分的工作。</w:t>
      </w:r>
    </w:p>
    <w:p w14:paraId="48CB20F0">
      <w:pPr>
        <w:pStyle w:val="79"/>
        <w:outlineLvl w:val="0"/>
        <w:rPr>
          <w:rFonts w:cs="宋体"/>
          <w:color w:val="auto"/>
          <w:sz w:val="21"/>
          <w:highlight w:val="none"/>
        </w:rPr>
      </w:pPr>
      <w:bookmarkStart w:id="526" w:name="_Toc478389127"/>
      <w:bookmarkStart w:id="527" w:name="_Toc406419283"/>
      <w:bookmarkStart w:id="528" w:name="_Toc406522158"/>
      <w:r>
        <w:rPr>
          <w:rFonts w:hint="eastAsia" w:cs="宋体"/>
          <w:color w:val="auto"/>
          <w:sz w:val="21"/>
          <w:highlight w:val="none"/>
        </w:rPr>
        <w:t>12.4.5 进度付款的修正</w:t>
      </w:r>
      <w:bookmarkEnd w:id="526"/>
      <w:bookmarkEnd w:id="527"/>
      <w:bookmarkEnd w:id="528"/>
    </w:p>
    <w:p w14:paraId="33BB638A">
      <w:pPr>
        <w:pStyle w:val="79"/>
        <w:rPr>
          <w:rFonts w:cs="宋体"/>
          <w:color w:val="auto"/>
          <w:sz w:val="21"/>
          <w:highlight w:val="none"/>
        </w:rPr>
      </w:pPr>
      <w:r>
        <w:rPr>
          <w:rFonts w:hint="eastAsia" w:cs="宋体"/>
          <w:color w:val="auto"/>
          <w:sz w:val="21"/>
          <w:highlight w:val="none"/>
        </w:rPr>
        <w:t>在对已签发的进度款支付证书进行阶段汇总和复核中发现错误、遗漏或重复的，发包人和承包人均有权提出修正申请。经发包人和承包人同意的修正，应在下期进度付款中支付或扣除。</w:t>
      </w:r>
    </w:p>
    <w:p w14:paraId="36E6827F">
      <w:pPr>
        <w:pStyle w:val="79"/>
        <w:rPr>
          <w:rFonts w:cs="宋体"/>
          <w:color w:val="auto"/>
          <w:sz w:val="21"/>
          <w:highlight w:val="none"/>
        </w:rPr>
      </w:pPr>
      <w:r>
        <w:rPr>
          <w:rFonts w:hint="eastAsia" w:cs="宋体"/>
          <w:color w:val="auto"/>
          <w:sz w:val="21"/>
          <w:highlight w:val="none"/>
        </w:rPr>
        <w:t>12.4.6 支付分解表</w:t>
      </w:r>
    </w:p>
    <w:p w14:paraId="4429020D">
      <w:pPr>
        <w:pStyle w:val="79"/>
        <w:rPr>
          <w:rFonts w:cs="宋体"/>
          <w:color w:val="auto"/>
          <w:sz w:val="21"/>
          <w:highlight w:val="none"/>
        </w:rPr>
      </w:pPr>
      <w:r>
        <w:rPr>
          <w:rFonts w:hint="eastAsia" w:cs="宋体"/>
          <w:color w:val="auto"/>
          <w:sz w:val="21"/>
          <w:highlight w:val="none"/>
        </w:rPr>
        <w:t>1.支付分解表的编制要求</w:t>
      </w:r>
    </w:p>
    <w:p w14:paraId="7440843C">
      <w:pPr>
        <w:pStyle w:val="79"/>
        <w:rPr>
          <w:rFonts w:cs="宋体"/>
          <w:color w:val="auto"/>
          <w:sz w:val="21"/>
          <w:highlight w:val="none"/>
        </w:rPr>
      </w:pPr>
      <w:r>
        <w:rPr>
          <w:rFonts w:hint="eastAsia" w:cs="宋体"/>
          <w:color w:val="auto"/>
          <w:sz w:val="21"/>
          <w:highlight w:val="none"/>
        </w:rPr>
        <w:t>（1）支付分解表中所列的每期付款金额，应为第12.4.2项〔进度付款申请单的编制〕第（1）项目的估算金额；</w:t>
      </w:r>
    </w:p>
    <w:p w14:paraId="6A1DF7FE">
      <w:pPr>
        <w:pStyle w:val="79"/>
        <w:rPr>
          <w:rFonts w:cs="宋体"/>
          <w:color w:val="auto"/>
          <w:sz w:val="21"/>
          <w:highlight w:val="none"/>
        </w:rPr>
      </w:pPr>
      <w:r>
        <w:rPr>
          <w:rFonts w:hint="eastAsia" w:cs="宋体"/>
          <w:color w:val="auto"/>
          <w:sz w:val="21"/>
          <w:highlight w:val="none"/>
        </w:rPr>
        <w:t>（2）实际进度与施工进度计划不一致的，合同当事人可按照第4.4款〔商定或确定〕修改支付分解表；</w:t>
      </w:r>
    </w:p>
    <w:p w14:paraId="1ABFB167">
      <w:pPr>
        <w:pStyle w:val="79"/>
        <w:rPr>
          <w:rFonts w:cs="宋体"/>
          <w:color w:val="auto"/>
          <w:sz w:val="21"/>
          <w:highlight w:val="none"/>
        </w:rPr>
      </w:pPr>
      <w:r>
        <w:rPr>
          <w:rFonts w:hint="eastAsia" w:cs="宋体"/>
          <w:color w:val="auto"/>
          <w:sz w:val="21"/>
          <w:highlight w:val="none"/>
        </w:rPr>
        <w:t>（3）不采用支付分解表的，承包人应向发包人和监理人提交按季度编制的支付估算分解表，用于支付参考。</w:t>
      </w:r>
    </w:p>
    <w:p w14:paraId="470585FF">
      <w:pPr>
        <w:pStyle w:val="79"/>
        <w:rPr>
          <w:rFonts w:cs="宋体"/>
          <w:color w:val="auto"/>
          <w:sz w:val="21"/>
          <w:highlight w:val="none"/>
        </w:rPr>
      </w:pPr>
      <w:r>
        <w:rPr>
          <w:rFonts w:hint="eastAsia" w:cs="宋体"/>
          <w:color w:val="auto"/>
          <w:sz w:val="21"/>
          <w:highlight w:val="none"/>
        </w:rPr>
        <w:t>2.总价合同支付分解表的编制与审批</w:t>
      </w:r>
    </w:p>
    <w:p w14:paraId="39F26FB6">
      <w:pPr>
        <w:pStyle w:val="79"/>
        <w:rPr>
          <w:rFonts w:cs="宋体"/>
          <w:color w:val="auto"/>
          <w:sz w:val="21"/>
          <w:highlight w:val="none"/>
        </w:rPr>
      </w:pPr>
      <w:r>
        <w:rPr>
          <w:rFonts w:hint="eastAsia" w:cs="宋体"/>
          <w:color w:val="auto"/>
          <w:sz w:val="21"/>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24B47E6C">
      <w:pPr>
        <w:pStyle w:val="79"/>
        <w:rPr>
          <w:rFonts w:cs="宋体"/>
          <w:color w:val="auto"/>
          <w:sz w:val="21"/>
          <w:highlight w:val="none"/>
        </w:rPr>
      </w:pPr>
      <w:r>
        <w:rPr>
          <w:rFonts w:hint="eastAsia" w:cs="宋体"/>
          <w:color w:val="auto"/>
          <w:sz w:val="21"/>
          <w:highlight w:val="none"/>
        </w:rPr>
        <w:t>（2）监理人应在收到支付分解表后7天内完成审核并报送发包人。发包人应在收到经监理人审核的支付分解表后7天内完成审批，经发包人批准的支付分解表为有约束力的支付分解表。</w:t>
      </w:r>
    </w:p>
    <w:p w14:paraId="3B62BEE4">
      <w:pPr>
        <w:pStyle w:val="79"/>
        <w:rPr>
          <w:rFonts w:cs="宋体"/>
          <w:color w:val="auto"/>
          <w:sz w:val="21"/>
          <w:highlight w:val="none"/>
        </w:rPr>
      </w:pPr>
      <w:r>
        <w:rPr>
          <w:rFonts w:hint="eastAsia" w:cs="宋体"/>
          <w:color w:val="auto"/>
          <w:sz w:val="21"/>
          <w:highlight w:val="none"/>
        </w:rPr>
        <w:t>（3）发包人逾期未完成支付分解表审批的，也未及时要求承包人进行修正和提供补充资料的，则承包人提交的支付分解表视为已经获得发包人批准。</w:t>
      </w:r>
    </w:p>
    <w:p w14:paraId="5641F982">
      <w:pPr>
        <w:pStyle w:val="79"/>
        <w:rPr>
          <w:rFonts w:cs="宋体"/>
          <w:color w:val="auto"/>
          <w:sz w:val="21"/>
          <w:highlight w:val="none"/>
        </w:rPr>
      </w:pPr>
      <w:r>
        <w:rPr>
          <w:rFonts w:hint="eastAsia" w:cs="宋体"/>
          <w:color w:val="auto"/>
          <w:sz w:val="21"/>
          <w:highlight w:val="none"/>
        </w:rPr>
        <w:t>3.单价合同的总价项目支付分解表的编制与审批</w:t>
      </w:r>
    </w:p>
    <w:p w14:paraId="3C0DD169">
      <w:pPr>
        <w:pStyle w:val="79"/>
        <w:rPr>
          <w:rFonts w:cs="宋体"/>
          <w:color w:val="auto"/>
          <w:sz w:val="21"/>
          <w:highlight w:val="none"/>
        </w:rPr>
      </w:pPr>
      <w:r>
        <w:rPr>
          <w:rFonts w:hint="eastAsia" w:cs="宋体"/>
          <w:color w:val="auto"/>
          <w:sz w:val="21"/>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7927732C">
      <w:pPr>
        <w:pStyle w:val="321"/>
        <w:rPr>
          <w:rFonts w:ascii="宋体" w:cs="宋体"/>
          <w:color w:val="auto"/>
          <w:highlight w:val="none"/>
        </w:rPr>
      </w:pPr>
      <w:bookmarkStart w:id="529" w:name="_Toc478389128"/>
      <w:bookmarkStart w:id="530" w:name="_Toc351203585"/>
      <w:r>
        <w:rPr>
          <w:rFonts w:hint="eastAsia" w:ascii="宋体" w:cs="宋体"/>
          <w:color w:val="auto"/>
          <w:highlight w:val="none"/>
        </w:rPr>
        <w:t>12.5支付账户</w:t>
      </w:r>
      <w:bookmarkEnd w:id="529"/>
      <w:bookmarkEnd w:id="530"/>
    </w:p>
    <w:p w14:paraId="797A4A81">
      <w:pPr>
        <w:pStyle w:val="79"/>
        <w:rPr>
          <w:rFonts w:cs="宋体"/>
          <w:color w:val="auto"/>
          <w:sz w:val="21"/>
          <w:highlight w:val="none"/>
        </w:rPr>
      </w:pPr>
      <w:r>
        <w:rPr>
          <w:rFonts w:hint="eastAsia" w:cs="宋体"/>
          <w:color w:val="auto"/>
          <w:sz w:val="21"/>
          <w:highlight w:val="none"/>
        </w:rPr>
        <w:t>发包人应将合同价款支付至合同协议书中约定的承包人账户。</w:t>
      </w:r>
    </w:p>
    <w:p w14:paraId="638929E0">
      <w:pPr>
        <w:pStyle w:val="321"/>
        <w:rPr>
          <w:rFonts w:ascii="宋体" w:cs="宋体"/>
          <w:color w:val="auto"/>
          <w:highlight w:val="none"/>
        </w:rPr>
      </w:pPr>
      <w:bookmarkStart w:id="531" w:name="_Toc351203586"/>
      <w:bookmarkStart w:id="532" w:name="_Toc478389129"/>
      <w:bookmarkStart w:id="533" w:name="_Toc296346607"/>
      <w:bookmarkStart w:id="534" w:name="_Toc322522574"/>
      <w:bookmarkStart w:id="535" w:name="_Toc337558804"/>
      <w:bookmarkStart w:id="536" w:name="_Toc296503106"/>
      <w:r>
        <w:rPr>
          <w:rFonts w:hint="eastAsia" w:ascii="宋体" w:cs="宋体"/>
          <w:color w:val="auto"/>
          <w:highlight w:val="none"/>
        </w:rPr>
        <w:t>13. 验收和工程试车</w:t>
      </w:r>
      <w:bookmarkEnd w:id="531"/>
      <w:bookmarkEnd w:id="532"/>
    </w:p>
    <w:bookmarkEnd w:id="533"/>
    <w:bookmarkEnd w:id="534"/>
    <w:bookmarkEnd w:id="535"/>
    <w:bookmarkEnd w:id="536"/>
    <w:p w14:paraId="20186FB0">
      <w:pPr>
        <w:pStyle w:val="321"/>
        <w:rPr>
          <w:rFonts w:ascii="宋体" w:cs="宋体"/>
          <w:color w:val="auto"/>
          <w:highlight w:val="none"/>
        </w:rPr>
      </w:pPr>
      <w:bookmarkStart w:id="537" w:name="_Toc351203587"/>
      <w:bookmarkStart w:id="538" w:name="_Toc478389130"/>
      <w:bookmarkStart w:id="539" w:name="_Toc337558805"/>
      <w:bookmarkStart w:id="540" w:name="_Toc296503110"/>
      <w:bookmarkStart w:id="541" w:name="_Toc296346611"/>
      <w:r>
        <w:rPr>
          <w:rFonts w:hint="eastAsia" w:ascii="宋体" w:cs="宋体"/>
          <w:color w:val="auto"/>
          <w:highlight w:val="none"/>
        </w:rPr>
        <w:t>13.1分部分项工程验收</w:t>
      </w:r>
      <w:bookmarkEnd w:id="537"/>
      <w:bookmarkEnd w:id="538"/>
    </w:p>
    <w:bookmarkEnd w:id="539"/>
    <w:p w14:paraId="64816955">
      <w:pPr>
        <w:pStyle w:val="79"/>
        <w:rPr>
          <w:rFonts w:cs="宋体"/>
          <w:color w:val="auto"/>
          <w:sz w:val="21"/>
          <w:highlight w:val="none"/>
        </w:rPr>
      </w:pPr>
      <w:r>
        <w:rPr>
          <w:rFonts w:hint="eastAsia" w:cs="宋体"/>
          <w:color w:val="auto"/>
          <w:sz w:val="21"/>
          <w:highlight w:val="none"/>
        </w:rPr>
        <w:t>13.1.1分部分项工程质量应符合国家有关工程施工验收规范、标准及合同约定，承包人应按照施工组织设计的要求完成分部分项工程施工。</w:t>
      </w:r>
    </w:p>
    <w:p w14:paraId="53B2DD23">
      <w:pPr>
        <w:pStyle w:val="79"/>
        <w:rPr>
          <w:rFonts w:cs="宋体"/>
          <w:color w:val="auto"/>
          <w:sz w:val="21"/>
          <w:highlight w:val="none"/>
        </w:rPr>
      </w:pPr>
      <w:r>
        <w:rPr>
          <w:rFonts w:hint="eastAsia" w:cs="宋体"/>
          <w:color w:val="auto"/>
          <w:sz w:val="21"/>
          <w:highlight w:val="none"/>
        </w:rPr>
        <w:t>13.1.2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0FDA59D7">
      <w:pPr>
        <w:pStyle w:val="79"/>
        <w:rPr>
          <w:rFonts w:cs="宋体"/>
          <w:color w:val="auto"/>
          <w:sz w:val="21"/>
          <w:highlight w:val="none"/>
        </w:rPr>
      </w:pPr>
      <w:r>
        <w:rPr>
          <w:rFonts w:hint="eastAsia" w:cs="宋体"/>
          <w:color w:val="auto"/>
          <w:sz w:val="21"/>
          <w:highlight w:val="none"/>
        </w:rPr>
        <w:t>分部分项工程的验收资料应当作为竣工资料的组成部分。</w:t>
      </w:r>
    </w:p>
    <w:p w14:paraId="46B54394">
      <w:pPr>
        <w:pStyle w:val="321"/>
        <w:rPr>
          <w:rFonts w:ascii="宋体" w:cs="宋体"/>
          <w:color w:val="auto"/>
          <w:highlight w:val="none"/>
        </w:rPr>
      </w:pPr>
      <w:bookmarkStart w:id="542" w:name="_Toc478389131"/>
      <w:bookmarkStart w:id="543" w:name="_Toc351203588"/>
      <w:bookmarkStart w:id="544" w:name="_Toc337558806"/>
      <w:r>
        <w:rPr>
          <w:rFonts w:hint="eastAsia" w:ascii="宋体" w:cs="宋体"/>
          <w:color w:val="auto"/>
          <w:highlight w:val="none"/>
        </w:rPr>
        <w:t>13.2竣工验收</w:t>
      </w:r>
      <w:bookmarkEnd w:id="542"/>
      <w:bookmarkEnd w:id="543"/>
    </w:p>
    <w:bookmarkEnd w:id="540"/>
    <w:bookmarkEnd w:id="541"/>
    <w:bookmarkEnd w:id="544"/>
    <w:p w14:paraId="32EE60A1">
      <w:pPr>
        <w:pStyle w:val="79"/>
        <w:outlineLvl w:val="0"/>
        <w:rPr>
          <w:rFonts w:cs="宋体"/>
          <w:color w:val="auto"/>
          <w:sz w:val="21"/>
          <w:highlight w:val="none"/>
        </w:rPr>
      </w:pPr>
      <w:bookmarkStart w:id="545" w:name="_Toc406522163"/>
      <w:bookmarkStart w:id="546" w:name="_Toc478389132"/>
      <w:bookmarkStart w:id="547" w:name="_Toc406419288"/>
      <w:r>
        <w:rPr>
          <w:rFonts w:hint="eastAsia" w:cs="宋体"/>
          <w:color w:val="auto"/>
          <w:sz w:val="21"/>
          <w:highlight w:val="none"/>
        </w:rPr>
        <w:t>13.2.1竣工验收条件</w:t>
      </w:r>
      <w:bookmarkEnd w:id="545"/>
      <w:bookmarkEnd w:id="546"/>
      <w:bookmarkEnd w:id="547"/>
    </w:p>
    <w:p w14:paraId="7DFDCE7C">
      <w:pPr>
        <w:pStyle w:val="79"/>
        <w:rPr>
          <w:rFonts w:cs="宋体"/>
          <w:color w:val="auto"/>
          <w:sz w:val="21"/>
          <w:highlight w:val="none"/>
        </w:rPr>
      </w:pPr>
      <w:r>
        <w:rPr>
          <w:rFonts w:hint="eastAsia" w:cs="宋体"/>
          <w:color w:val="auto"/>
          <w:sz w:val="21"/>
          <w:highlight w:val="none"/>
        </w:rPr>
        <w:t>工程具备以下条件的，承包人可以申请竣工验收：</w:t>
      </w:r>
    </w:p>
    <w:p w14:paraId="0CE76EA0">
      <w:pPr>
        <w:pStyle w:val="79"/>
        <w:rPr>
          <w:rFonts w:cs="宋体"/>
          <w:color w:val="auto"/>
          <w:sz w:val="21"/>
          <w:highlight w:val="none"/>
        </w:rPr>
      </w:pPr>
      <w:r>
        <w:rPr>
          <w:rFonts w:hint="eastAsia" w:cs="宋体"/>
          <w:color w:val="auto"/>
          <w:sz w:val="21"/>
          <w:highlight w:val="none"/>
        </w:rPr>
        <w:t>（1）除发包人同意的甩项工作和缺陷修补工作外，合同范围内的全部工程以及有关工作，包括合同要求的试验、试运行以及检验均已完成，并符合合同要求；</w:t>
      </w:r>
    </w:p>
    <w:p w14:paraId="258BA21B">
      <w:pPr>
        <w:pStyle w:val="79"/>
        <w:rPr>
          <w:rFonts w:cs="宋体"/>
          <w:color w:val="auto"/>
          <w:sz w:val="21"/>
          <w:highlight w:val="none"/>
        </w:rPr>
      </w:pPr>
      <w:r>
        <w:rPr>
          <w:rFonts w:hint="eastAsia" w:cs="宋体"/>
          <w:color w:val="auto"/>
          <w:sz w:val="21"/>
          <w:highlight w:val="none"/>
        </w:rPr>
        <w:t>（2）已按合同约定编制了甩项工作和缺陷修补工作清单以及相应的施工计划；</w:t>
      </w:r>
    </w:p>
    <w:p w14:paraId="78D69F33">
      <w:pPr>
        <w:pStyle w:val="79"/>
        <w:rPr>
          <w:rFonts w:cs="宋体"/>
          <w:color w:val="auto"/>
          <w:sz w:val="21"/>
          <w:highlight w:val="none"/>
        </w:rPr>
      </w:pPr>
      <w:r>
        <w:rPr>
          <w:rFonts w:hint="eastAsia" w:cs="宋体"/>
          <w:color w:val="auto"/>
          <w:sz w:val="21"/>
          <w:highlight w:val="none"/>
        </w:rPr>
        <w:t>（3）已按合同约定的内容和份数备齐竣工资料。</w:t>
      </w:r>
    </w:p>
    <w:p w14:paraId="5CA66CF9">
      <w:pPr>
        <w:pStyle w:val="79"/>
        <w:rPr>
          <w:rFonts w:cs="宋体"/>
          <w:color w:val="auto"/>
          <w:sz w:val="21"/>
          <w:highlight w:val="none"/>
        </w:rPr>
      </w:pPr>
      <w:r>
        <w:rPr>
          <w:rFonts w:hint="eastAsia" w:cs="宋体"/>
          <w:color w:val="auto"/>
          <w:sz w:val="21"/>
          <w:highlight w:val="none"/>
        </w:rPr>
        <w:t>13.2.2竣工验收程序</w:t>
      </w:r>
    </w:p>
    <w:p w14:paraId="77AF79A0">
      <w:pPr>
        <w:pStyle w:val="79"/>
        <w:rPr>
          <w:rFonts w:cs="宋体"/>
          <w:color w:val="auto"/>
          <w:sz w:val="21"/>
          <w:highlight w:val="none"/>
        </w:rPr>
      </w:pPr>
      <w:r>
        <w:rPr>
          <w:rFonts w:hint="eastAsia" w:cs="宋体"/>
          <w:color w:val="auto"/>
          <w:sz w:val="21"/>
          <w:highlight w:val="none"/>
        </w:rPr>
        <w:t>除专用合同条款另有约定外，承包人申请竣工验收的，应当按照以下程序进行：</w:t>
      </w:r>
    </w:p>
    <w:p w14:paraId="21D9E1EB">
      <w:pPr>
        <w:pStyle w:val="79"/>
        <w:rPr>
          <w:rFonts w:cs="宋体"/>
          <w:color w:val="auto"/>
          <w:sz w:val="21"/>
          <w:highlight w:val="none"/>
        </w:rPr>
      </w:pPr>
      <w:r>
        <w:rPr>
          <w:rFonts w:hint="eastAsia" w:cs="宋体"/>
          <w:color w:val="auto"/>
          <w:sz w:val="21"/>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3EBCB256">
      <w:pPr>
        <w:pStyle w:val="79"/>
        <w:rPr>
          <w:rFonts w:cs="宋体"/>
          <w:color w:val="auto"/>
          <w:sz w:val="21"/>
          <w:highlight w:val="none"/>
        </w:rPr>
      </w:pPr>
      <w:r>
        <w:rPr>
          <w:rFonts w:hint="eastAsia" w:cs="宋体"/>
          <w:color w:val="auto"/>
          <w:sz w:val="21"/>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68126F65">
      <w:pPr>
        <w:pStyle w:val="79"/>
        <w:rPr>
          <w:rFonts w:cs="宋体"/>
          <w:color w:val="auto"/>
          <w:sz w:val="21"/>
          <w:highlight w:val="none"/>
        </w:rPr>
      </w:pPr>
      <w:r>
        <w:rPr>
          <w:rFonts w:hint="eastAsia" w:cs="宋体"/>
          <w:color w:val="auto"/>
          <w:sz w:val="21"/>
          <w:highlight w:val="none"/>
        </w:rPr>
        <w:t>（3）竣工验收合格的，发包人应在验收合格后14天内向承包人签发工程接收证书。发包人无正当理由逾期不颁发工程接收证书的，自验收合格后第15天起视为已颁发工程接收证书。</w:t>
      </w:r>
    </w:p>
    <w:p w14:paraId="264873F3">
      <w:pPr>
        <w:pStyle w:val="79"/>
        <w:rPr>
          <w:rFonts w:cs="宋体"/>
          <w:color w:val="auto"/>
          <w:sz w:val="21"/>
          <w:highlight w:val="none"/>
        </w:rPr>
      </w:pPr>
      <w:r>
        <w:rPr>
          <w:rFonts w:hint="eastAsia" w:cs="宋体"/>
          <w:color w:val="auto"/>
          <w:sz w:val="21"/>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4494E73A">
      <w:pPr>
        <w:pStyle w:val="79"/>
        <w:rPr>
          <w:rFonts w:cs="宋体"/>
          <w:color w:val="auto"/>
          <w:sz w:val="21"/>
          <w:highlight w:val="none"/>
        </w:rPr>
      </w:pPr>
      <w:r>
        <w:rPr>
          <w:rFonts w:hint="eastAsia" w:cs="宋体"/>
          <w:color w:val="auto"/>
          <w:sz w:val="21"/>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1F776D85">
      <w:pPr>
        <w:pStyle w:val="79"/>
        <w:rPr>
          <w:rFonts w:cs="宋体"/>
          <w:color w:val="auto"/>
          <w:sz w:val="21"/>
          <w:highlight w:val="none"/>
        </w:rPr>
      </w:pPr>
      <w:r>
        <w:rPr>
          <w:rFonts w:hint="eastAsia" w:cs="宋体"/>
          <w:color w:val="auto"/>
          <w:sz w:val="21"/>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43B14BCD">
      <w:pPr>
        <w:pStyle w:val="79"/>
        <w:rPr>
          <w:rFonts w:cs="宋体"/>
          <w:color w:val="auto"/>
          <w:sz w:val="21"/>
          <w:highlight w:val="none"/>
        </w:rPr>
      </w:pPr>
      <w:r>
        <w:rPr>
          <w:rFonts w:hint="eastAsia" w:cs="宋体"/>
          <w:color w:val="auto"/>
          <w:sz w:val="21"/>
          <w:highlight w:val="none"/>
        </w:rPr>
        <w:t>13.2.3竣工日期</w:t>
      </w:r>
    </w:p>
    <w:p w14:paraId="03B5D211">
      <w:pPr>
        <w:pStyle w:val="79"/>
        <w:rPr>
          <w:rFonts w:cs="宋体"/>
          <w:color w:val="auto"/>
          <w:sz w:val="21"/>
          <w:highlight w:val="none"/>
        </w:rPr>
      </w:pPr>
      <w:r>
        <w:rPr>
          <w:rFonts w:hint="eastAsia" w:cs="宋体"/>
          <w:color w:val="auto"/>
          <w:sz w:val="21"/>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548" w:name="#go14"/>
      <w:bookmarkEnd w:id="548"/>
      <w:r>
        <w:rPr>
          <w:rFonts w:hint="eastAsia" w:cs="宋体"/>
          <w:color w:val="auto"/>
          <w:sz w:val="21"/>
          <w:highlight w:val="none"/>
        </w:rPr>
        <w:t>收申请报告的日期为实际竣工日期；工程未经竣工验收，发包人擅自使用的，以转移占有工程之日为实际竣工日期。</w:t>
      </w:r>
    </w:p>
    <w:p w14:paraId="71487A70">
      <w:pPr>
        <w:pStyle w:val="79"/>
        <w:rPr>
          <w:rFonts w:cs="宋体"/>
          <w:color w:val="auto"/>
          <w:sz w:val="21"/>
          <w:highlight w:val="none"/>
        </w:rPr>
      </w:pPr>
      <w:r>
        <w:rPr>
          <w:rFonts w:hint="eastAsia" w:cs="宋体"/>
          <w:color w:val="auto"/>
          <w:sz w:val="21"/>
          <w:highlight w:val="none"/>
        </w:rPr>
        <w:t>13.2.4 拒绝接收全部或部分工程</w:t>
      </w:r>
    </w:p>
    <w:p w14:paraId="048E1799">
      <w:pPr>
        <w:pStyle w:val="79"/>
        <w:rPr>
          <w:rFonts w:cs="宋体"/>
          <w:color w:val="auto"/>
          <w:sz w:val="21"/>
          <w:highlight w:val="none"/>
        </w:rPr>
      </w:pPr>
      <w:r>
        <w:rPr>
          <w:rFonts w:hint="eastAsia" w:cs="宋体"/>
          <w:color w:val="auto"/>
          <w:sz w:val="21"/>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A2BF444">
      <w:pPr>
        <w:pStyle w:val="79"/>
        <w:outlineLvl w:val="0"/>
        <w:rPr>
          <w:rFonts w:cs="宋体"/>
          <w:color w:val="auto"/>
          <w:sz w:val="21"/>
          <w:highlight w:val="none"/>
        </w:rPr>
      </w:pPr>
      <w:bookmarkStart w:id="549" w:name="_Toc406522164"/>
      <w:bookmarkStart w:id="550" w:name="_Toc478389133"/>
      <w:bookmarkStart w:id="551" w:name="_Toc406419289"/>
      <w:r>
        <w:rPr>
          <w:rFonts w:hint="eastAsia" w:cs="宋体"/>
          <w:color w:val="auto"/>
          <w:sz w:val="21"/>
          <w:highlight w:val="none"/>
        </w:rPr>
        <w:t>13.2.5 移交、接收全部与部分工程</w:t>
      </w:r>
      <w:bookmarkEnd w:id="549"/>
      <w:bookmarkEnd w:id="550"/>
      <w:bookmarkEnd w:id="551"/>
    </w:p>
    <w:p w14:paraId="6346AA92">
      <w:pPr>
        <w:pStyle w:val="79"/>
        <w:rPr>
          <w:rFonts w:cs="宋体"/>
          <w:color w:val="auto"/>
          <w:sz w:val="21"/>
          <w:highlight w:val="none"/>
        </w:rPr>
      </w:pPr>
      <w:r>
        <w:rPr>
          <w:rFonts w:hint="eastAsia" w:cs="宋体"/>
          <w:color w:val="auto"/>
          <w:sz w:val="21"/>
          <w:highlight w:val="none"/>
        </w:rPr>
        <w:t>除专用合同条款另有约定外，合同当事人应当在颁发工程接收证书后7天内完成工程的移交。</w:t>
      </w:r>
    </w:p>
    <w:p w14:paraId="290A8306">
      <w:pPr>
        <w:pStyle w:val="79"/>
        <w:rPr>
          <w:rFonts w:cs="宋体"/>
          <w:color w:val="auto"/>
          <w:sz w:val="21"/>
          <w:highlight w:val="none"/>
        </w:rPr>
      </w:pPr>
      <w:r>
        <w:rPr>
          <w:rFonts w:hint="eastAsia" w:cs="宋体"/>
          <w:color w:val="auto"/>
          <w:sz w:val="21"/>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13514ACF">
      <w:pPr>
        <w:pStyle w:val="79"/>
        <w:rPr>
          <w:rFonts w:cs="宋体"/>
          <w:color w:val="auto"/>
          <w:sz w:val="21"/>
          <w:highlight w:val="none"/>
        </w:rPr>
      </w:pPr>
      <w:r>
        <w:rPr>
          <w:rFonts w:hint="eastAsia" w:cs="宋体"/>
          <w:color w:val="auto"/>
          <w:sz w:val="21"/>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30AFA192">
      <w:pPr>
        <w:pStyle w:val="321"/>
        <w:rPr>
          <w:rFonts w:ascii="宋体" w:cs="宋体"/>
          <w:color w:val="auto"/>
          <w:highlight w:val="none"/>
        </w:rPr>
      </w:pPr>
      <w:bookmarkStart w:id="552" w:name="_Toc478389134"/>
      <w:bookmarkStart w:id="553" w:name="_Toc351203589"/>
      <w:bookmarkStart w:id="554" w:name="_Toc337558807"/>
      <w:bookmarkStart w:id="555" w:name="_Toc296503111"/>
      <w:bookmarkStart w:id="556" w:name="_Toc296346612"/>
      <w:r>
        <w:rPr>
          <w:rFonts w:hint="eastAsia" w:ascii="宋体" w:cs="宋体"/>
          <w:color w:val="auto"/>
          <w:highlight w:val="none"/>
        </w:rPr>
        <w:t>13.3工程试车</w:t>
      </w:r>
      <w:bookmarkEnd w:id="552"/>
      <w:bookmarkEnd w:id="553"/>
    </w:p>
    <w:bookmarkEnd w:id="554"/>
    <w:bookmarkEnd w:id="555"/>
    <w:bookmarkEnd w:id="556"/>
    <w:p w14:paraId="5CD6249F">
      <w:pPr>
        <w:pStyle w:val="79"/>
        <w:rPr>
          <w:rFonts w:cs="宋体"/>
          <w:color w:val="auto"/>
          <w:sz w:val="21"/>
          <w:highlight w:val="none"/>
        </w:rPr>
      </w:pPr>
      <w:r>
        <w:rPr>
          <w:rFonts w:hint="eastAsia" w:cs="宋体"/>
          <w:color w:val="auto"/>
          <w:sz w:val="21"/>
          <w:highlight w:val="none"/>
        </w:rPr>
        <w:t>13.3.1试车程序</w:t>
      </w:r>
    </w:p>
    <w:p w14:paraId="1E47C5A6">
      <w:pPr>
        <w:pStyle w:val="79"/>
        <w:rPr>
          <w:rFonts w:cs="宋体"/>
          <w:color w:val="auto"/>
          <w:sz w:val="21"/>
          <w:highlight w:val="none"/>
        </w:rPr>
      </w:pPr>
      <w:r>
        <w:rPr>
          <w:rFonts w:hint="eastAsia" w:cs="宋体"/>
          <w:color w:val="auto"/>
          <w:sz w:val="21"/>
          <w:highlight w:val="none"/>
        </w:rPr>
        <w:t>工程需要试车的，除专用合同条款另有约定外，试车内容应与承包人承包范围相一致，试车费用由承包人承担。工程试车应按如下程序进行：</w:t>
      </w:r>
    </w:p>
    <w:p w14:paraId="42763BA2">
      <w:pPr>
        <w:pStyle w:val="79"/>
        <w:rPr>
          <w:rFonts w:cs="宋体"/>
          <w:color w:val="auto"/>
          <w:sz w:val="21"/>
          <w:highlight w:val="none"/>
        </w:rPr>
      </w:pPr>
      <w:r>
        <w:rPr>
          <w:rFonts w:hint="eastAsia" w:cs="宋体"/>
          <w:color w:val="auto"/>
          <w:sz w:val="21"/>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4CDA96E2">
      <w:pPr>
        <w:pStyle w:val="79"/>
        <w:rPr>
          <w:rFonts w:cs="宋体"/>
          <w:color w:val="auto"/>
          <w:sz w:val="21"/>
          <w:highlight w:val="none"/>
        </w:rPr>
      </w:pPr>
      <w:r>
        <w:rPr>
          <w:rFonts w:hint="eastAsia" w:cs="宋体"/>
          <w:color w:val="auto"/>
          <w:sz w:val="21"/>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78DB3E8E">
      <w:pPr>
        <w:pStyle w:val="79"/>
        <w:rPr>
          <w:rFonts w:cs="宋体"/>
          <w:color w:val="auto"/>
          <w:sz w:val="21"/>
          <w:highlight w:val="none"/>
        </w:rPr>
      </w:pPr>
      <w:r>
        <w:rPr>
          <w:rFonts w:hint="eastAsia" w:cs="宋体"/>
          <w:color w:val="auto"/>
          <w:sz w:val="21"/>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0DFBC15B">
      <w:pPr>
        <w:pStyle w:val="79"/>
        <w:rPr>
          <w:rFonts w:cs="宋体"/>
          <w:color w:val="auto"/>
          <w:sz w:val="21"/>
          <w:highlight w:val="none"/>
        </w:rPr>
      </w:pPr>
      <w:r>
        <w:rPr>
          <w:rFonts w:hint="eastAsia" w:cs="宋体"/>
          <w:color w:val="auto"/>
          <w:sz w:val="21"/>
          <w:highlight w:val="none"/>
        </w:rPr>
        <w:t>13.3.2 试车中的责任</w:t>
      </w:r>
    </w:p>
    <w:p w14:paraId="0E35659A">
      <w:pPr>
        <w:pStyle w:val="79"/>
        <w:rPr>
          <w:rFonts w:cs="宋体"/>
          <w:color w:val="auto"/>
          <w:sz w:val="21"/>
          <w:highlight w:val="none"/>
        </w:rPr>
      </w:pPr>
      <w:r>
        <w:rPr>
          <w:rFonts w:hint="eastAsia" w:cs="宋体"/>
          <w:color w:val="auto"/>
          <w:sz w:val="21"/>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3187787F">
      <w:pPr>
        <w:pStyle w:val="79"/>
        <w:rPr>
          <w:rFonts w:cs="宋体"/>
          <w:color w:val="auto"/>
          <w:sz w:val="21"/>
          <w:highlight w:val="none"/>
        </w:rPr>
      </w:pPr>
      <w:r>
        <w:rPr>
          <w:rFonts w:hint="eastAsia" w:cs="宋体"/>
          <w:color w:val="auto"/>
          <w:sz w:val="21"/>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352678C7">
      <w:pPr>
        <w:pStyle w:val="79"/>
        <w:rPr>
          <w:rFonts w:cs="宋体"/>
          <w:color w:val="auto"/>
          <w:sz w:val="21"/>
          <w:highlight w:val="none"/>
        </w:rPr>
      </w:pPr>
      <w:r>
        <w:rPr>
          <w:rFonts w:hint="eastAsia" w:cs="宋体"/>
          <w:color w:val="auto"/>
          <w:sz w:val="21"/>
          <w:highlight w:val="none"/>
        </w:rPr>
        <w:t>13.3.3 投料试车</w:t>
      </w:r>
    </w:p>
    <w:p w14:paraId="1FF43F90">
      <w:pPr>
        <w:pStyle w:val="79"/>
        <w:rPr>
          <w:rFonts w:cs="宋体"/>
          <w:color w:val="auto"/>
          <w:sz w:val="21"/>
          <w:highlight w:val="none"/>
        </w:rPr>
      </w:pPr>
      <w:r>
        <w:rPr>
          <w:rFonts w:hint="eastAsia" w:cs="宋体"/>
          <w:color w:val="auto"/>
          <w:sz w:val="21"/>
          <w:highlight w:val="none"/>
        </w:rPr>
        <w:t>如需进行投料试车的，发包人应在工程竣工验收后组织投料试车。发包人要求在工程竣工验收前进行或需要承包人配合时，应征得承包人同意，并在专用合同条款中约定有关事项。</w:t>
      </w:r>
    </w:p>
    <w:p w14:paraId="783745E9">
      <w:pPr>
        <w:pStyle w:val="79"/>
        <w:rPr>
          <w:rFonts w:cs="宋体"/>
          <w:color w:val="auto"/>
          <w:sz w:val="21"/>
          <w:highlight w:val="none"/>
        </w:rPr>
      </w:pPr>
      <w:r>
        <w:rPr>
          <w:rFonts w:hint="eastAsia" w:cs="宋体"/>
          <w:color w:val="auto"/>
          <w:sz w:val="21"/>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7B81EA3C">
      <w:pPr>
        <w:pStyle w:val="321"/>
        <w:rPr>
          <w:rFonts w:ascii="宋体" w:cs="宋体"/>
          <w:color w:val="auto"/>
          <w:highlight w:val="none"/>
        </w:rPr>
      </w:pPr>
      <w:bookmarkStart w:id="557" w:name="_Toc351203590"/>
      <w:bookmarkStart w:id="558" w:name="_Toc478389135"/>
      <w:bookmarkStart w:id="559" w:name="_Toc337558808"/>
      <w:r>
        <w:rPr>
          <w:rFonts w:hint="eastAsia" w:ascii="宋体" w:cs="宋体"/>
          <w:color w:val="auto"/>
          <w:highlight w:val="none"/>
        </w:rPr>
        <w:t>13.4提前交付单位工程的验收</w:t>
      </w:r>
      <w:bookmarkEnd w:id="557"/>
      <w:bookmarkEnd w:id="558"/>
    </w:p>
    <w:bookmarkEnd w:id="559"/>
    <w:p w14:paraId="420403E5">
      <w:pPr>
        <w:pStyle w:val="79"/>
        <w:rPr>
          <w:rFonts w:cs="宋体"/>
          <w:color w:val="auto"/>
          <w:sz w:val="21"/>
          <w:highlight w:val="none"/>
        </w:rPr>
      </w:pPr>
      <w:r>
        <w:rPr>
          <w:rFonts w:hint="eastAsia" w:cs="宋体"/>
          <w:color w:val="auto"/>
          <w:sz w:val="21"/>
          <w:highlight w:val="none"/>
        </w:rPr>
        <w:t>13.4.1 发包人需要在工程竣工前使用单位工程的，或承包人提出提前交付已经竣工的单位工程且经发包人同意的，可进行单位工程验收，验收的程序按照第13.2款〔竣工验收〕的约定进行。</w:t>
      </w:r>
    </w:p>
    <w:p w14:paraId="2F164B06">
      <w:pPr>
        <w:pStyle w:val="79"/>
        <w:rPr>
          <w:rFonts w:cs="宋体"/>
          <w:color w:val="auto"/>
          <w:sz w:val="21"/>
          <w:highlight w:val="none"/>
        </w:rPr>
      </w:pPr>
      <w:r>
        <w:rPr>
          <w:rFonts w:hint="eastAsia" w:cs="宋体"/>
          <w:color w:val="auto"/>
          <w:sz w:val="21"/>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0548EF10">
      <w:pPr>
        <w:pStyle w:val="79"/>
        <w:rPr>
          <w:rFonts w:cs="宋体"/>
          <w:color w:val="auto"/>
          <w:sz w:val="21"/>
          <w:highlight w:val="none"/>
        </w:rPr>
      </w:pPr>
      <w:r>
        <w:rPr>
          <w:rFonts w:hint="eastAsia" w:cs="宋体"/>
          <w:color w:val="auto"/>
          <w:sz w:val="21"/>
          <w:highlight w:val="none"/>
        </w:rPr>
        <w:t>13.4.2 发包人要求在工程竣工前交付单位工程，由此导致承包人费用增加和（或）工期延误的，由发包人承担由此增加的费用和（或）延误的工期，并支付承包人合理的利润。</w:t>
      </w:r>
    </w:p>
    <w:p w14:paraId="5A07F009">
      <w:pPr>
        <w:pStyle w:val="321"/>
        <w:rPr>
          <w:rFonts w:ascii="宋体" w:cs="宋体"/>
          <w:color w:val="auto"/>
          <w:highlight w:val="none"/>
        </w:rPr>
      </w:pPr>
      <w:bookmarkStart w:id="560" w:name="_Toc478389136"/>
      <w:bookmarkStart w:id="561" w:name="_Toc351203591"/>
      <w:r>
        <w:rPr>
          <w:rFonts w:hint="eastAsia" w:ascii="宋体" w:cs="宋体"/>
          <w:color w:val="auto"/>
          <w:highlight w:val="none"/>
        </w:rPr>
        <w:t>13.5 施工期运行</w:t>
      </w:r>
      <w:bookmarkEnd w:id="560"/>
      <w:bookmarkEnd w:id="561"/>
    </w:p>
    <w:p w14:paraId="7D905E16">
      <w:pPr>
        <w:pStyle w:val="79"/>
        <w:rPr>
          <w:rFonts w:cs="宋体"/>
          <w:color w:val="auto"/>
          <w:sz w:val="21"/>
          <w:highlight w:val="none"/>
        </w:rPr>
      </w:pPr>
      <w:r>
        <w:rPr>
          <w:rFonts w:hint="eastAsia" w:cs="宋体"/>
          <w:color w:val="auto"/>
          <w:sz w:val="21"/>
          <w:highlight w:val="none"/>
        </w:rPr>
        <w:t>13.5.1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26766383">
      <w:pPr>
        <w:pStyle w:val="79"/>
        <w:rPr>
          <w:rFonts w:cs="宋体"/>
          <w:color w:val="auto"/>
          <w:sz w:val="21"/>
          <w:highlight w:val="none"/>
        </w:rPr>
      </w:pPr>
      <w:r>
        <w:rPr>
          <w:rFonts w:hint="eastAsia" w:cs="宋体"/>
          <w:color w:val="auto"/>
          <w:sz w:val="21"/>
          <w:highlight w:val="none"/>
        </w:rPr>
        <w:t>13.5.2在施工期运行中发现工程或工程设备损坏或存在缺陷的，由承包人按第15.2款〔缺陷责任期〕约定进行修复。</w:t>
      </w:r>
    </w:p>
    <w:p w14:paraId="26D45343">
      <w:pPr>
        <w:pStyle w:val="321"/>
        <w:rPr>
          <w:rFonts w:ascii="宋体" w:cs="宋体"/>
          <w:color w:val="auto"/>
          <w:highlight w:val="none"/>
        </w:rPr>
      </w:pPr>
      <w:bookmarkStart w:id="562" w:name="_Toc296346613"/>
      <w:bookmarkStart w:id="563" w:name="_Toc296503112"/>
      <w:bookmarkStart w:id="564" w:name="_Toc351203592"/>
      <w:bookmarkStart w:id="565" w:name="_Toc478389137"/>
      <w:bookmarkStart w:id="566" w:name="_Toc337558809"/>
      <w:r>
        <w:rPr>
          <w:rFonts w:hint="eastAsia" w:ascii="宋体" w:cs="宋体"/>
          <w:color w:val="auto"/>
          <w:highlight w:val="none"/>
        </w:rPr>
        <w:t>13.6 竣工退</w:t>
      </w:r>
      <w:bookmarkEnd w:id="562"/>
      <w:bookmarkEnd w:id="563"/>
      <w:r>
        <w:rPr>
          <w:rFonts w:hint="eastAsia" w:ascii="宋体" w:cs="宋体"/>
          <w:color w:val="auto"/>
          <w:highlight w:val="none"/>
        </w:rPr>
        <w:t>场</w:t>
      </w:r>
      <w:bookmarkEnd w:id="564"/>
      <w:bookmarkEnd w:id="565"/>
    </w:p>
    <w:bookmarkEnd w:id="566"/>
    <w:p w14:paraId="3A8AED6F">
      <w:pPr>
        <w:pStyle w:val="79"/>
        <w:rPr>
          <w:rFonts w:cs="宋体"/>
          <w:color w:val="auto"/>
          <w:sz w:val="21"/>
          <w:highlight w:val="none"/>
        </w:rPr>
      </w:pPr>
      <w:r>
        <w:rPr>
          <w:rFonts w:hint="eastAsia" w:cs="宋体"/>
          <w:color w:val="auto"/>
          <w:sz w:val="21"/>
          <w:highlight w:val="none"/>
        </w:rPr>
        <w:t>13.6.1 竣工退场</w:t>
      </w:r>
    </w:p>
    <w:p w14:paraId="7EC388B9">
      <w:pPr>
        <w:pStyle w:val="79"/>
        <w:rPr>
          <w:rFonts w:cs="宋体"/>
          <w:color w:val="auto"/>
          <w:sz w:val="21"/>
          <w:highlight w:val="none"/>
        </w:rPr>
      </w:pPr>
      <w:r>
        <w:rPr>
          <w:rFonts w:hint="eastAsia" w:cs="宋体"/>
          <w:color w:val="auto"/>
          <w:sz w:val="21"/>
          <w:highlight w:val="none"/>
        </w:rPr>
        <w:t>颁发工程接收证书后，承包人应按以下要求对施工现场进行清理：</w:t>
      </w:r>
    </w:p>
    <w:p w14:paraId="2E611366">
      <w:pPr>
        <w:pStyle w:val="79"/>
        <w:rPr>
          <w:rFonts w:cs="宋体"/>
          <w:color w:val="auto"/>
          <w:sz w:val="21"/>
          <w:highlight w:val="none"/>
        </w:rPr>
      </w:pPr>
      <w:r>
        <w:rPr>
          <w:rFonts w:hint="eastAsia" w:cs="宋体"/>
          <w:color w:val="auto"/>
          <w:sz w:val="21"/>
          <w:highlight w:val="none"/>
        </w:rPr>
        <w:t>（1）施工现场内残留的垃圾已全部清除出场；</w:t>
      </w:r>
    </w:p>
    <w:p w14:paraId="5D320300">
      <w:pPr>
        <w:pStyle w:val="79"/>
        <w:rPr>
          <w:rFonts w:cs="宋体"/>
          <w:color w:val="auto"/>
          <w:sz w:val="21"/>
          <w:highlight w:val="none"/>
        </w:rPr>
      </w:pPr>
      <w:r>
        <w:rPr>
          <w:rFonts w:hint="eastAsia" w:cs="宋体"/>
          <w:color w:val="auto"/>
          <w:sz w:val="21"/>
          <w:highlight w:val="none"/>
        </w:rPr>
        <w:t>（2）临时工程已拆除，场地已进行清理、平整或复原；</w:t>
      </w:r>
    </w:p>
    <w:p w14:paraId="62A9F3C2">
      <w:pPr>
        <w:pStyle w:val="79"/>
        <w:rPr>
          <w:rFonts w:cs="宋体"/>
          <w:color w:val="auto"/>
          <w:sz w:val="21"/>
          <w:highlight w:val="none"/>
        </w:rPr>
      </w:pPr>
      <w:r>
        <w:rPr>
          <w:rFonts w:hint="eastAsia" w:cs="宋体"/>
          <w:color w:val="auto"/>
          <w:sz w:val="21"/>
          <w:highlight w:val="none"/>
        </w:rPr>
        <w:t>（3）按合同约定应撤离的人员、承包人施工设备和剩余的材料，包括废弃的施工设备和材料，已按计划撤离施工现场；</w:t>
      </w:r>
    </w:p>
    <w:p w14:paraId="2CF954BC">
      <w:pPr>
        <w:pStyle w:val="79"/>
        <w:rPr>
          <w:rFonts w:cs="宋体"/>
          <w:color w:val="auto"/>
          <w:sz w:val="21"/>
          <w:highlight w:val="none"/>
        </w:rPr>
      </w:pPr>
      <w:r>
        <w:rPr>
          <w:rFonts w:hint="eastAsia" w:cs="宋体"/>
          <w:color w:val="auto"/>
          <w:sz w:val="21"/>
          <w:highlight w:val="none"/>
        </w:rPr>
        <w:t>（4）施工现场周边及其附近道路、河道的施工堆积物，已全部清理；</w:t>
      </w:r>
    </w:p>
    <w:p w14:paraId="7434826A">
      <w:pPr>
        <w:pStyle w:val="79"/>
        <w:rPr>
          <w:rFonts w:cs="宋体"/>
          <w:color w:val="auto"/>
          <w:sz w:val="21"/>
          <w:highlight w:val="none"/>
        </w:rPr>
      </w:pPr>
      <w:r>
        <w:rPr>
          <w:rFonts w:hint="eastAsia" w:cs="宋体"/>
          <w:color w:val="auto"/>
          <w:sz w:val="21"/>
          <w:highlight w:val="none"/>
        </w:rPr>
        <w:t>（5）施工现场其他场地清理工作已全部完成。</w:t>
      </w:r>
    </w:p>
    <w:p w14:paraId="1D7C1FB6">
      <w:pPr>
        <w:pStyle w:val="79"/>
        <w:rPr>
          <w:rFonts w:cs="宋体"/>
          <w:color w:val="auto"/>
          <w:sz w:val="21"/>
          <w:highlight w:val="none"/>
        </w:rPr>
      </w:pPr>
      <w:r>
        <w:rPr>
          <w:rFonts w:hint="eastAsia" w:cs="宋体"/>
          <w:color w:val="auto"/>
          <w:sz w:val="21"/>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3DD93EB1">
      <w:pPr>
        <w:pStyle w:val="79"/>
        <w:rPr>
          <w:rFonts w:cs="宋体"/>
          <w:color w:val="auto"/>
          <w:sz w:val="21"/>
          <w:highlight w:val="none"/>
        </w:rPr>
      </w:pPr>
      <w:r>
        <w:rPr>
          <w:rFonts w:hint="eastAsia" w:cs="宋体"/>
          <w:color w:val="auto"/>
          <w:sz w:val="21"/>
          <w:highlight w:val="none"/>
        </w:rPr>
        <w:t>13.6.2 地表还原</w:t>
      </w:r>
    </w:p>
    <w:p w14:paraId="5246E145">
      <w:pPr>
        <w:pStyle w:val="79"/>
        <w:rPr>
          <w:rFonts w:cs="宋体"/>
          <w:color w:val="auto"/>
          <w:sz w:val="21"/>
          <w:highlight w:val="none"/>
        </w:rPr>
      </w:pPr>
      <w:r>
        <w:rPr>
          <w:rFonts w:hint="eastAsia" w:cs="宋体"/>
          <w:color w:val="auto"/>
          <w:sz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043CED29">
      <w:pPr>
        <w:pStyle w:val="321"/>
        <w:rPr>
          <w:rFonts w:ascii="宋体" w:cs="宋体"/>
          <w:color w:val="auto"/>
          <w:highlight w:val="none"/>
        </w:rPr>
      </w:pPr>
      <w:bookmarkStart w:id="567" w:name="_Toc351203593"/>
      <w:bookmarkStart w:id="568" w:name="_Toc478389138"/>
      <w:bookmarkStart w:id="569" w:name="_Toc337558810"/>
      <w:bookmarkStart w:id="570" w:name="_Toc296503113"/>
      <w:bookmarkStart w:id="571" w:name="_Toc296346614"/>
      <w:r>
        <w:rPr>
          <w:rFonts w:hint="eastAsia" w:ascii="宋体" w:cs="宋体"/>
          <w:color w:val="auto"/>
          <w:highlight w:val="none"/>
        </w:rPr>
        <w:t>14. 竣工结算</w:t>
      </w:r>
      <w:bookmarkEnd w:id="567"/>
      <w:bookmarkEnd w:id="568"/>
    </w:p>
    <w:bookmarkEnd w:id="569"/>
    <w:p w14:paraId="3062F03F">
      <w:pPr>
        <w:pStyle w:val="321"/>
        <w:rPr>
          <w:rFonts w:ascii="宋体" w:cs="宋体"/>
          <w:color w:val="auto"/>
          <w:highlight w:val="none"/>
        </w:rPr>
      </w:pPr>
      <w:bookmarkStart w:id="572" w:name="_Toc478389139"/>
      <w:bookmarkStart w:id="573" w:name="_Toc351203594"/>
      <w:bookmarkStart w:id="574" w:name="_Toc337558811"/>
      <w:r>
        <w:rPr>
          <w:rFonts w:hint="eastAsia" w:ascii="宋体" w:cs="宋体"/>
          <w:color w:val="auto"/>
          <w:highlight w:val="none"/>
        </w:rPr>
        <w:t>14.1 竣工结算申请</w:t>
      </w:r>
      <w:bookmarkEnd w:id="572"/>
      <w:bookmarkEnd w:id="573"/>
    </w:p>
    <w:bookmarkEnd w:id="574"/>
    <w:p w14:paraId="5EA77D1F">
      <w:pPr>
        <w:pStyle w:val="79"/>
        <w:rPr>
          <w:rFonts w:cs="宋体"/>
          <w:color w:val="auto"/>
          <w:sz w:val="21"/>
          <w:highlight w:val="none"/>
        </w:rPr>
      </w:pPr>
      <w:r>
        <w:rPr>
          <w:rFonts w:hint="eastAsia" w:cs="宋体"/>
          <w:color w:val="auto"/>
          <w:sz w:val="21"/>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5A77FF1A">
      <w:pPr>
        <w:pStyle w:val="79"/>
        <w:rPr>
          <w:rFonts w:cs="宋体"/>
          <w:color w:val="auto"/>
          <w:sz w:val="21"/>
          <w:highlight w:val="none"/>
        </w:rPr>
      </w:pPr>
      <w:r>
        <w:rPr>
          <w:rFonts w:hint="eastAsia" w:cs="宋体"/>
          <w:color w:val="auto"/>
          <w:sz w:val="21"/>
          <w:highlight w:val="none"/>
        </w:rPr>
        <w:t>除专用合同条款另有约定外，竣工结算申请单应包括以下内容：</w:t>
      </w:r>
    </w:p>
    <w:p w14:paraId="4882776A">
      <w:pPr>
        <w:pStyle w:val="79"/>
        <w:rPr>
          <w:rFonts w:cs="宋体"/>
          <w:color w:val="auto"/>
          <w:sz w:val="21"/>
          <w:highlight w:val="none"/>
        </w:rPr>
      </w:pPr>
      <w:r>
        <w:rPr>
          <w:rFonts w:hint="eastAsia" w:cs="宋体"/>
          <w:color w:val="auto"/>
          <w:sz w:val="21"/>
          <w:highlight w:val="none"/>
        </w:rPr>
        <w:t>（1）竣工结算合同价格；</w:t>
      </w:r>
    </w:p>
    <w:p w14:paraId="502BF7B9">
      <w:pPr>
        <w:pStyle w:val="79"/>
        <w:rPr>
          <w:rFonts w:cs="宋体"/>
          <w:color w:val="auto"/>
          <w:sz w:val="21"/>
          <w:highlight w:val="none"/>
        </w:rPr>
      </w:pPr>
      <w:r>
        <w:rPr>
          <w:rFonts w:hint="eastAsia" w:cs="宋体"/>
          <w:color w:val="auto"/>
          <w:sz w:val="21"/>
          <w:highlight w:val="none"/>
        </w:rPr>
        <w:t>（2）发包人已支付承包人的款项；</w:t>
      </w:r>
    </w:p>
    <w:p w14:paraId="41CB425C">
      <w:pPr>
        <w:pStyle w:val="79"/>
        <w:rPr>
          <w:rFonts w:cs="宋体"/>
          <w:color w:val="auto"/>
          <w:sz w:val="21"/>
          <w:highlight w:val="none"/>
        </w:rPr>
      </w:pPr>
      <w:r>
        <w:rPr>
          <w:rFonts w:hint="eastAsia" w:cs="宋体"/>
          <w:color w:val="auto"/>
          <w:sz w:val="21"/>
          <w:highlight w:val="none"/>
        </w:rPr>
        <w:t xml:space="preserve">（3）应扣留的质量保证金； </w:t>
      </w:r>
    </w:p>
    <w:p w14:paraId="2DBD8835">
      <w:pPr>
        <w:pStyle w:val="79"/>
        <w:rPr>
          <w:rFonts w:cs="宋体"/>
          <w:color w:val="auto"/>
          <w:sz w:val="21"/>
          <w:highlight w:val="none"/>
        </w:rPr>
      </w:pPr>
      <w:r>
        <w:rPr>
          <w:rFonts w:hint="eastAsia" w:cs="宋体"/>
          <w:color w:val="auto"/>
          <w:sz w:val="21"/>
          <w:highlight w:val="none"/>
        </w:rPr>
        <w:t>（4）发包人应支付承包人的合同价款。</w:t>
      </w:r>
    </w:p>
    <w:p w14:paraId="5B1F295A">
      <w:pPr>
        <w:pStyle w:val="321"/>
        <w:rPr>
          <w:rFonts w:ascii="宋体" w:cs="宋体"/>
          <w:color w:val="auto"/>
          <w:highlight w:val="none"/>
        </w:rPr>
      </w:pPr>
      <w:bookmarkStart w:id="575" w:name="_Toc351203595"/>
      <w:bookmarkStart w:id="576" w:name="_Toc478389140"/>
      <w:bookmarkStart w:id="577" w:name="_Toc337558812"/>
      <w:r>
        <w:rPr>
          <w:rFonts w:hint="eastAsia" w:ascii="宋体" w:cs="宋体"/>
          <w:color w:val="auto"/>
          <w:highlight w:val="none"/>
        </w:rPr>
        <w:t>14.2 竣工结算审核</w:t>
      </w:r>
      <w:bookmarkEnd w:id="575"/>
      <w:bookmarkEnd w:id="576"/>
    </w:p>
    <w:bookmarkEnd w:id="577"/>
    <w:p w14:paraId="55824234">
      <w:pPr>
        <w:pStyle w:val="79"/>
        <w:rPr>
          <w:rFonts w:cs="宋体"/>
          <w:color w:val="auto"/>
          <w:sz w:val="21"/>
          <w:highlight w:val="none"/>
        </w:rPr>
      </w:pPr>
      <w:r>
        <w:rPr>
          <w:rFonts w:hint="eastAsia" w:cs="宋体"/>
          <w:color w:val="auto"/>
          <w:sz w:val="21"/>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01329CEF">
      <w:pPr>
        <w:pStyle w:val="79"/>
        <w:rPr>
          <w:rFonts w:cs="宋体"/>
          <w:color w:val="auto"/>
          <w:sz w:val="21"/>
          <w:highlight w:val="none"/>
        </w:rPr>
      </w:pPr>
      <w:r>
        <w:rPr>
          <w:rFonts w:hint="eastAsia" w:cs="宋体"/>
          <w:color w:val="auto"/>
          <w:sz w:val="21"/>
          <w:highlight w:val="none"/>
        </w:rPr>
        <w:t>发包人在收到承包人提交的竣工结算申请书后28天内未完成审批且未提出异议的，视为发包人认可承包人提交的竣工结算申请单，并自发包人收到承包人提交的竣工结算申请单后第29天起视为已签发竣工付款证书。</w:t>
      </w:r>
    </w:p>
    <w:p w14:paraId="0DBB40B6">
      <w:pPr>
        <w:pStyle w:val="79"/>
        <w:rPr>
          <w:rFonts w:cs="宋体"/>
          <w:color w:val="auto"/>
          <w:sz w:val="21"/>
          <w:highlight w:val="none"/>
        </w:rPr>
      </w:pPr>
      <w:r>
        <w:rPr>
          <w:rFonts w:hint="eastAsia" w:cs="宋体"/>
          <w:color w:val="auto"/>
          <w:sz w:val="21"/>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63AE4F52">
      <w:pPr>
        <w:pStyle w:val="79"/>
        <w:rPr>
          <w:rFonts w:cs="宋体"/>
          <w:color w:val="auto"/>
          <w:sz w:val="21"/>
          <w:highlight w:val="none"/>
        </w:rPr>
      </w:pPr>
      <w:r>
        <w:rPr>
          <w:rFonts w:hint="eastAsia" w:cs="宋体"/>
          <w:color w:val="auto"/>
          <w:sz w:val="21"/>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3125F3E4">
      <w:pPr>
        <w:pStyle w:val="321"/>
        <w:rPr>
          <w:rFonts w:ascii="宋体" w:cs="宋体"/>
          <w:color w:val="auto"/>
          <w:highlight w:val="none"/>
        </w:rPr>
      </w:pPr>
      <w:bookmarkStart w:id="578" w:name="_Toc478389141"/>
      <w:bookmarkStart w:id="579" w:name="_Toc351203596"/>
      <w:bookmarkStart w:id="580" w:name="_Toc337558813"/>
      <w:r>
        <w:rPr>
          <w:rFonts w:hint="eastAsia" w:ascii="宋体" w:cs="宋体"/>
          <w:color w:val="auto"/>
          <w:highlight w:val="none"/>
        </w:rPr>
        <w:t>14.3 甩项竣工协议</w:t>
      </w:r>
      <w:bookmarkEnd w:id="578"/>
      <w:bookmarkEnd w:id="579"/>
    </w:p>
    <w:bookmarkEnd w:id="580"/>
    <w:p w14:paraId="180A2DA0">
      <w:pPr>
        <w:pStyle w:val="79"/>
        <w:rPr>
          <w:rFonts w:cs="宋体"/>
          <w:color w:val="auto"/>
          <w:sz w:val="21"/>
          <w:highlight w:val="none"/>
        </w:rPr>
      </w:pPr>
      <w:r>
        <w:rPr>
          <w:rFonts w:hint="eastAsia" w:cs="宋体"/>
          <w:color w:val="auto"/>
          <w:sz w:val="21"/>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598504A7">
      <w:pPr>
        <w:pStyle w:val="321"/>
        <w:rPr>
          <w:rFonts w:ascii="宋体" w:cs="宋体"/>
          <w:color w:val="auto"/>
          <w:highlight w:val="none"/>
        </w:rPr>
      </w:pPr>
      <w:bookmarkStart w:id="581" w:name="_Toc478389142"/>
      <w:bookmarkStart w:id="582" w:name="_Toc351203597"/>
      <w:bookmarkStart w:id="583" w:name="_Toc337558814"/>
      <w:r>
        <w:rPr>
          <w:rFonts w:hint="eastAsia" w:ascii="宋体" w:cs="宋体"/>
          <w:color w:val="auto"/>
          <w:highlight w:val="none"/>
        </w:rPr>
        <w:t>14.4 最终结清</w:t>
      </w:r>
      <w:bookmarkEnd w:id="581"/>
      <w:bookmarkEnd w:id="582"/>
    </w:p>
    <w:bookmarkEnd w:id="583"/>
    <w:p w14:paraId="5F1056FA">
      <w:pPr>
        <w:pStyle w:val="79"/>
        <w:rPr>
          <w:rFonts w:cs="宋体"/>
          <w:color w:val="auto"/>
          <w:sz w:val="21"/>
          <w:highlight w:val="none"/>
        </w:rPr>
      </w:pPr>
      <w:r>
        <w:rPr>
          <w:rFonts w:hint="eastAsia" w:cs="宋体"/>
          <w:color w:val="auto"/>
          <w:sz w:val="21"/>
          <w:highlight w:val="none"/>
        </w:rPr>
        <w:t>14.4.1 最终结清申请单</w:t>
      </w:r>
    </w:p>
    <w:p w14:paraId="10E5ACA2">
      <w:pPr>
        <w:pStyle w:val="79"/>
        <w:rPr>
          <w:rFonts w:cs="宋体"/>
          <w:color w:val="auto"/>
          <w:sz w:val="21"/>
          <w:highlight w:val="none"/>
        </w:rPr>
      </w:pPr>
      <w:r>
        <w:rPr>
          <w:rFonts w:hint="eastAsia" w:cs="宋体"/>
          <w:color w:val="auto"/>
          <w:sz w:val="21"/>
          <w:highlight w:val="none"/>
        </w:rPr>
        <w:t>（1）除专用合同条款另有约定外，承包人应在缺陷责任期终止证书颁发后7天内，按专用合同条款约定的份数向发包人提交最终结清申请单，并提供相关证明材料。</w:t>
      </w:r>
    </w:p>
    <w:p w14:paraId="561C8756">
      <w:pPr>
        <w:pStyle w:val="79"/>
        <w:rPr>
          <w:rFonts w:cs="宋体"/>
          <w:color w:val="auto"/>
          <w:sz w:val="21"/>
          <w:highlight w:val="none"/>
        </w:rPr>
      </w:pPr>
      <w:r>
        <w:rPr>
          <w:rFonts w:hint="eastAsia" w:cs="宋体"/>
          <w:color w:val="auto"/>
          <w:sz w:val="21"/>
          <w:highlight w:val="none"/>
        </w:rPr>
        <w:t>除专用合同条款另有约定外，最终结清申请单应列明质量保证金、应扣除的质量保证金、缺陷责任期内发生的增减费用。</w:t>
      </w:r>
    </w:p>
    <w:p w14:paraId="1F80C8D5">
      <w:pPr>
        <w:pStyle w:val="79"/>
        <w:rPr>
          <w:rFonts w:cs="宋体"/>
          <w:color w:val="auto"/>
          <w:sz w:val="21"/>
          <w:highlight w:val="none"/>
        </w:rPr>
      </w:pPr>
      <w:r>
        <w:rPr>
          <w:rFonts w:hint="eastAsia" w:cs="宋体"/>
          <w:color w:val="auto"/>
          <w:sz w:val="21"/>
          <w:highlight w:val="none"/>
        </w:rPr>
        <w:t>（2）发包人对最终结清申请单内容有异议的，有权要求承包人进行修正和提供补充资料，承包人应向发包人提交修正后的最终结清申请单。</w:t>
      </w:r>
    </w:p>
    <w:p w14:paraId="2AA55E02">
      <w:pPr>
        <w:pStyle w:val="79"/>
        <w:rPr>
          <w:rFonts w:cs="宋体"/>
          <w:color w:val="auto"/>
          <w:sz w:val="21"/>
          <w:highlight w:val="none"/>
        </w:rPr>
      </w:pPr>
      <w:r>
        <w:rPr>
          <w:rFonts w:hint="eastAsia" w:cs="宋体"/>
          <w:color w:val="auto"/>
          <w:sz w:val="21"/>
          <w:highlight w:val="none"/>
        </w:rPr>
        <w:t>14.4.2 最终结清证书和支付</w:t>
      </w:r>
    </w:p>
    <w:p w14:paraId="25144945">
      <w:pPr>
        <w:pStyle w:val="79"/>
        <w:rPr>
          <w:rFonts w:cs="宋体"/>
          <w:color w:val="auto"/>
          <w:sz w:val="21"/>
          <w:highlight w:val="none"/>
        </w:rPr>
      </w:pPr>
      <w:r>
        <w:rPr>
          <w:rFonts w:hint="eastAsia" w:cs="宋体"/>
          <w:color w:val="auto"/>
          <w:sz w:val="21"/>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164BAE0A">
      <w:pPr>
        <w:pStyle w:val="79"/>
        <w:rPr>
          <w:rFonts w:cs="宋体"/>
          <w:color w:val="auto"/>
          <w:sz w:val="21"/>
          <w:highlight w:val="none"/>
        </w:rPr>
      </w:pPr>
      <w:r>
        <w:rPr>
          <w:rFonts w:hint="eastAsia" w:cs="宋体"/>
          <w:color w:val="auto"/>
          <w:sz w:val="21"/>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70608488">
      <w:pPr>
        <w:pStyle w:val="79"/>
        <w:rPr>
          <w:rFonts w:cs="宋体"/>
          <w:color w:val="auto"/>
          <w:sz w:val="21"/>
          <w:highlight w:val="none"/>
        </w:rPr>
      </w:pPr>
      <w:r>
        <w:rPr>
          <w:rFonts w:hint="eastAsia" w:cs="宋体"/>
          <w:color w:val="auto"/>
          <w:sz w:val="21"/>
          <w:highlight w:val="none"/>
        </w:rPr>
        <w:t>（3）承包人对发包人颁发的最终结清证书有异议的，按第20条〔争议解决〕的约定办理。</w:t>
      </w:r>
    </w:p>
    <w:p w14:paraId="41C93983">
      <w:pPr>
        <w:pStyle w:val="321"/>
        <w:rPr>
          <w:rFonts w:ascii="宋体" w:cs="宋体"/>
          <w:color w:val="auto"/>
          <w:highlight w:val="none"/>
        </w:rPr>
      </w:pPr>
      <w:bookmarkStart w:id="584" w:name="_Toc478389143"/>
      <w:bookmarkStart w:id="585" w:name="_Toc351203598"/>
      <w:bookmarkStart w:id="586" w:name="_Toc337558815"/>
      <w:r>
        <w:rPr>
          <w:rFonts w:hint="eastAsia" w:ascii="宋体" w:cs="宋体"/>
          <w:color w:val="auto"/>
          <w:highlight w:val="none"/>
        </w:rPr>
        <w:t>15. 缺陷责任与保修</w:t>
      </w:r>
      <w:bookmarkEnd w:id="584"/>
      <w:bookmarkEnd w:id="585"/>
    </w:p>
    <w:bookmarkEnd w:id="570"/>
    <w:bookmarkEnd w:id="571"/>
    <w:bookmarkEnd w:id="586"/>
    <w:p w14:paraId="5FB023D7">
      <w:pPr>
        <w:pStyle w:val="321"/>
        <w:rPr>
          <w:rFonts w:ascii="宋体" w:cs="宋体"/>
          <w:color w:val="auto"/>
          <w:highlight w:val="none"/>
        </w:rPr>
      </w:pPr>
      <w:bookmarkStart w:id="587" w:name="_Toc351203599"/>
      <w:bookmarkStart w:id="588" w:name="_Toc478389144"/>
      <w:bookmarkStart w:id="589" w:name="_Toc337558816"/>
      <w:bookmarkStart w:id="590" w:name="_Toc296346615"/>
      <w:bookmarkStart w:id="591" w:name="_Toc296503114"/>
      <w:r>
        <w:rPr>
          <w:rFonts w:hint="eastAsia" w:ascii="宋体" w:cs="宋体"/>
          <w:color w:val="auto"/>
          <w:highlight w:val="none"/>
        </w:rPr>
        <w:t>15.1 工程保修的原则</w:t>
      </w:r>
      <w:bookmarkEnd w:id="587"/>
      <w:bookmarkEnd w:id="588"/>
    </w:p>
    <w:bookmarkEnd w:id="589"/>
    <w:p w14:paraId="035BD35D">
      <w:pPr>
        <w:pStyle w:val="79"/>
        <w:rPr>
          <w:rFonts w:cs="宋体"/>
          <w:color w:val="auto"/>
          <w:sz w:val="21"/>
          <w:highlight w:val="none"/>
        </w:rPr>
      </w:pPr>
      <w:r>
        <w:rPr>
          <w:rFonts w:hint="eastAsia" w:cs="宋体"/>
          <w:color w:val="auto"/>
          <w:sz w:val="21"/>
          <w:highlight w:val="none"/>
        </w:rPr>
        <w:t>在工程移交发包人后，因承包人原因产生的质量缺陷，承包人应承担质量缺陷责任和保修义务。缺陷责任期届满，承包人仍应按合同约定的工程各部位保修年限承担保修义务。</w:t>
      </w:r>
    </w:p>
    <w:p w14:paraId="74C84B9B">
      <w:pPr>
        <w:pStyle w:val="321"/>
        <w:rPr>
          <w:rFonts w:ascii="宋体" w:cs="宋体"/>
          <w:color w:val="auto"/>
          <w:highlight w:val="none"/>
        </w:rPr>
      </w:pPr>
      <w:bookmarkStart w:id="592" w:name="_Toc478389145"/>
      <w:bookmarkStart w:id="593" w:name="_Toc351203600"/>
      <w:bookmarkStart w:id="594" w:name="_Toc337558817"/>
      <w:r>
        <w:rPr>
          <w:rFonts w:hint="eastAsia" w:ascii="宋体" w:cs="宋体"/>
          <w:color w:val="auto"/>
          <w:highlight w:val="none"/>
        </w:rPr>
        <w:t>15.2 缺陷责任期</w:t>
      </w:r>
      <w:bookmarkEnd w:id="590"/>
      <w:bookmarkEnd w:id="591"/>
      <w:bookmarkEnd w:id="592"/>
      <w:bookmarkEnd w:id="593"/>
    </w:p>
    <w:bookmarkEnd w:id="594"/>
    <w:p w14:paraId="43097BAF">
      <w:pPr>
        <w:pStyle w:val="79"/>
        <w:rPr>
          <w:rFonts w:cs="宋体"/>
          <w:color w:val="auto"/>
          <w:sz w:val="21"/>
          <w:highlight w:val="none"/>
        </w:rPr>
      </w:pPr>
      <w:r>
        <w:rPr>
          <w:rFonts w:hint="eastAsia" w:cs="宋体"/>
          <w:color w:val="auto"/>
          <w:sz w:val="21"/>
          <w:highlight w:val="none"/>
        </w:rPr>
        <w:t>15.2.1缺陷责任期自实际竣工日期起计算，合同当事人应在专用合同条款约定缺陷责任期的具体期限，但该期限最长不超过24个月。</w:t>
      </w:r>
    </w:p>
    <w:p w14:paraId="5DDAC482">
      <w:pPr>
        <w:pStyle w:val="79"/>
        <w:rPr>
          <w:rFonts w:cs="宋体"/>
          <w:color w:val="auto"/>
          <w:sz w:val="21"/>
          <w:highlight w:val="none"/>
        </w:rPr>
      </w:pPr>
      <w:r>
        <w:rPr>
          <w:rFonts w:hint="eastAsia" w:cs="宋体"/>
          <w:color w:val="auto"/>
          <w:sz w:val="21"/>
          <w:highlight w:val="none"/>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14:paraId="2CB1AA8F">
      <w:pPr>
        <w:pStyle w:val="79"/>
        <w:rPr>
          <w:rFonts w:cs="宋体"/>
          <w:color w:val="auto"/>
          <w:sz w:val="21"/>
          <w:highlight w:val="none"/>
        </w:rPr>
      </w:pPr>
      <w:r>
        <w:rPr>
          <w:rFonts w:hint="eastAsia" w:cs="宋体"/>
          <w:color w:val="auto"/>
          <w:sz w:val="21"/>
          <w:highlight w:val="none"/>
        </w:rPr>
        <w:t>15.2.2工程竣工验收合格后，因承包人原因导致的缺陷或损坏致使工程、单位工程或某项主要设备不能按原定目的使用的，则发包人有权要求承</w:t>
      </w:r>
      <w:r>
        <w:rPr>
          <w:rFonts w:hint="eastAsia" w:cs="宋体"/>
          <w:bCs/>
          <w:color w:val="auto"/>
          <w:sz w:val="21"/>
          <w:highlight w:val="none"/>
        </w:rPr>
        <w:t>包人延长缺陷责任期，</w:t>
      </w:r>
      <w:r>
        <w:rPr>
          <w:rFonts w:hint="eastAsia" w:cs="宋体"/>
          <w:color w:val="auto"/>
          <w:sz w:val="21"/>
          <w:highlight w:val="none"/>
        </w:rPr>
        <w:t>并应在原缺陷责任期届满前发出延长通知，</w:t>
      </w:r>
      <w:r>
        <w:rPr>
          <w:rFonts w:hint="eastAsia" w:cs="宋体"/>
          <w:bCs/>
          <w:color w:val="auto"/>
          <w:sz w:val="21"/>
          <w:highlight w:val="none"/>
        </w:rPr>
        <w:t>但缺陷责任期最长</w:t>
      </w:r>
      <w:r>
        <w:rPr>
          <w:rFonts w:hint="eastAsia" w:cs="宋体"/>
          <w:color w:val="auto"/>
          <w:sz w:val="21"/>
          <w:highlight w:val="none"/>
        </w:rPr>
        <w:t>不能超过24个月。</w:t>
      </w:r>
    </w:p>
    <w:p w14:paraId="36E9090A">
      <w:pPr>
        <w:pStyle w:val="79"/>
        <w:rPr>
          <w:rFonts w:cs="宋体"/>
          <w:color w:val="auto"/>
          <w:sz w:val="21"/>
          <w:highlight w:val="none"/>
        </w:rPr>
      </w:pPr>
      <w:r>
        <w:rPr>
          <w:rFonts w:hint="eastAsia" w:cs="宋体"/>
          <w:color w:val="auto"/>
          <w:sz w:val="21"/>
          <w:highlight w:val="none"/>
        </w:rPr>
        <w:t>15.2.3任何一项缺陷或损坏修复后，经检查证明其影响了工程或工程设备的使用性能，承包人应重新进行合同约定的试验和试运行，试验和试运行的全部费用应由责任方承担。</w:t>
      </w:r>
    </w:p>
    <w:p w14:paraId="250C9D5A">
      <w:pPr>
        <w:pStyle w:val="79"/>
        <w:rPr>
          <w:rFonts w:cs="宋体"/>
          <w:color w:val="auto"/>
          <w:sz w:val="21"/>
          <w:highlight w:val="none"/>
        </w:rPr>
      </w:pPr>
      <w:r>
        <w:rPr>
          <w:rFonts w:hint="eastAsia" w:cs="宋体"/>
          <w:color w:val="auto"/>
          <w:sz w:val="21"/>
          <w:highlight w:val="none"/>
        </w:rPr>
        <w:t>15.2.4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6FFD3B91">
      <w:pPr>
        <w:pStyle w:val="321"/>
        <w:rPr>
          <w:rFonts w:ascii="宋体" w:cs="宋体"/>
          <w:color w:val="auto"/>
          <w:highlight w:val="none"/>
        </w:rPr>
      </w:pPr>
      <w:bookmarkStart w:id="595" w:name="_Toc351203601"/>
      <w:bookmarkStart w:id="596" w:name="_Toc478389146"/>
      <w:bookmarkStart w:id="597" w:name="_Toc337558818"/>
      <w:bookmarkStart w:id="598" w:name="_Toc296346616"/>
      <w:bookmarkStart w:id="599" w:name="_Toc296503115"/>
      <w:r>
        <w:rPr>
          <w:rFonts w:hint="eastAsia" w:ascii="宋体" w:cs="宋体"/>
          <w:color w:val="auto"/>
          <w:highlight w:val="none"/>
        </w:rPr>
        <w:t>15.3 质量保证金</w:t>
      </w:r>
      <w:bookmarkEnd w:id="595"/>
      <w:bookmarkEnd w:id="596"/>
    </w:p>
    <w:bookmarkEnd w:id="597"/>
    <w:p w14:paraId="60E31A84">
      <w:pPr>
        <w:pStyle w:val="79"/>
        <w:rPr>
          <w:rFonts w:cs="宋体"/>
          <w:color w:val="auto"/>
          <w:sz w:val="21"/>
          <w:highlight w:val="none"/>
        </w:rPr>
      </w:pPr>
      <w:r>
        <w:rPr>
          <w:rFonts w:hint="eastAsia" w:cs="宋体"/>
          <w:color w:val="auto"/>
          <w:sz w:val="21"/>
          <w:highlight w:val="none"/>
        </w:rPr>
        <w:t>经合同当事人协商一致扣留质量保证金的，应在专用合同条款中予以明确。</w:t>
      </w:r>
    </w:p>
    <w:p w14:paraId="037D2913">
      <w:pPr>
        <w:pStyle w:val="79"/>
        <w:outlineLvl w:val="0"/>
        <w:rPr>
          <w:rFonts w:cs="宋体"/>
          <w:color w:val="auto"/>
          <w:sz w:val="21"/>
          <w:highlight w:val="none"/>
        </w:rPr>
      </w:pPr>
      <w:bookmarkStart w:id="600" w:name="_Toc406522178"/>
      <w:bookmarkStart w:id="601" w:name="_Toc406419303"/>
      <w:bookmarkStart w:id="602" w:name="_Toc478389147"/>
      <w:r>
        <w:rPr>
          <w:rFonts w:hint="eastAsia" w:cs="宋体"/>
          <w:color w:val="auto"/>
          <w:sz w:val="21"/>
          <w:highlight w:val="none"/>
        </w:rPr>
        <w:t>15.3.1 承包人提供质量保证金的方式</w:t>
      </w:r>
      <w:bookmarkEnd w:id="600"/>
      <w:bookmarkEnd w:id="601"/>
      <w:bookmarkEnd w:id="602"/>
    </w:p>
    <w:p w14:paraId="739D7FB0">
      <w:pPr>
        <w:pStyle w:val="79"/>
        <w:rPr>
          <w:rFonts w:cs="宋体"/>
          <w:color w:val="auto"/>
          <w:sz w:val="21"/>
          <w:highlight w:val="none"/>
        </w:rPr>
      </w:pPr>
      <w:r>
        <w:rPr>
          <w:rFonts w:hint="eastAsia" w:cs="宋体"/>
          <w:color w:val="auto"/>
          <w:sz w:val="21"/>
          <w:highlight w:val="none"/>
        </w:rPr>
        <w:t>承包人提供质量保证金有以下三种方式：</w:t>
      </w:r>
    </w:p>
    <w:p w14:paraId="7C386F35">
      <w:pPr>
        <w:pStyle w:val="79"/>
        <w:rPr>
          <w:rFonts w:cs="宋体"/>
          <w:color w:val="auto"/>
          <w:sz w:val="21"/>
          <w:highlight w:val="none"/>
        </w:rPr>
      </w:pPr>
      <w:r>
        <w:rPr>
          <w:rFonts w:hint="eastAsia" w:cs="宋体"/>
          <w:color w:val="auto"/>
          <w:sz w:val="21"/>
          <w:highlight w:val="none"/>
        </w:rPr>
        <w:t xml:space="preserve">（1）质量保证金保函； </w:t>
      </w:r>
    </w:p>
    <w:p w14:paraId="1C0F303A">
      <w:pPr>
        <w:pStyle w:val="79"/>
        <w:rPr>
          <w:rFonts w:cs="宋体"/>
          <w:color w:val="auto"/>
          <w:sz w:val="21"/>
          <w:highlight w:val="none"/>
        </w:rPr>
      </w:pPr>
      <w:r>
        <w:rPr>
          <w:rFonts w:hint="eastAsia" w:cs="宋体"/>
          <w:color w:val="auto"/>
          <w:sz w:val="21"/>
          <w:highlight w:val="none"/>
        </w:rPr>
        <w:t>（2）相应比例的工程款；</w:t>
      </w:r>
    </w:p>
    <w:p w14:paraId="0DB9F12C">
      <w:pPr>
        <w:pStyle w:val="79"/>
        <w:rPr>
          <w:rFonts w:cs="宋体"/>
          <w:color w:val="auto"/>
          <w:sz w:val="21"/>
          <w:highlight w:val="none"/>
        </w:rPr>
      </w:pPr>
      <w:r>
        <w:rPr>
          <w:rFonts w:hint="eastAsia" w:cs="宋体"/>
          <w:color w:val="auto"/>
          <w:sz w:val="21"/>
          <w:highlight w:val="none"/>
        </w:rPr>
        <w:t>（3）双方约定的其他方式。</w:t>
      </w:r>
    </w:p>
    <w:p w14:paraId="3165DF21">
      <w:pPr>
        <w:pStyle w:val="79"/>
        <w:rPr>
          <w:rFonts w:cs="宋体"/>
          <w:color w:val="auto"/>
          <w:sz w:val="21"/>
          <w:highlight w:val="none"/>
        </w:rPr>
      </w:pPr>
      <w:r>
        <w:rPr>
          <w:rFonts w:hint="eastAsia" w:cs="宋体"/>
          <w:color w:val="auto"/>
          <w:sz w:val="21"/>
          <w:highlight w:val="none"/>
        </w:rPr>
        <w:t>除专用合同条款另有约定外，质量保证金原则上采用上述第（1）种方式。</w:t>
      </w:r>
    </w:p>
    <w:p w14:paraId="2C2DCD08">
      <w:pPr>
        <w:pStyle w:val="79"/>
        <w:outlineLvl w:val="0"/>
        <w:rPr>
          <w:rFonts w:cs="宋体"/>
          <w:color w:val="auto"/>
          <w:sz w:val="21"/>
          <w:highlight w:val="none"/>
        </w:rPr>
      </w:pPr>
      <w:bookmarkStart w:id="603" w:name="_Toc478389148"/>
      <w:bookmarkStart w:id="604" w:name="_Toc406522179"/>
      <w:bookmarkStart w:id="605" w:name="_Toc406419304"/>
      <w:r>
        <w:rPr>
          <w:rFonts w:hint="eastAsia" w:cs="宋体"/>
          <w:color w:val="auto"/>
          <w:sz w:val="21"/>
          <w:highlight w:val="none"/>
        </w:rPr>
        <w:t>15.3.2 质量保证金的扣留</w:t>
      </w:r>
      <w:bookmarkEnd w:id="603"/>
      <w:bookmarkEnd w:id="604"/>
      <w:bookmarkEnd w:id="605"/>
    </w:p>
    <w:p w14:paraId="741F6FCA">
      <w:pPr>
        <w:pStyle w:val="79"/>
        <w:rPr>
          <w:rFonts w:cs="宋体"/>
          <w:color w:val="auto"/>
          <w:sz w:val="21"/>
          <w:highlight w:val="none"/>
        </w:rPr>
      </w:pPr>
      <w:r>
        <w:rPr>
          <w:rFonts w:hint="eastAsia" w:cs="宋体"/>
          <w:color w:val="auto"/>
          <w:sz w:val="21"/>
          <w:highlight w:val="none"/>
        </w:rPr>
        <w:t>质量保证金的扣留有以下三种方式：</w:t>
      </w:r>
    </w:p>
    <w:p w14:paraId="751087F3">
      <w:pPr>
        <w:pStyle w:val="79"/>
        <w:rPr>
          <w:rFonts w:cs="宋体"/>
          <w:color w:val="auto"/>
          <w:sz w:val="21"/>
          <w:highlight w:val="none"/>
        </w:rPr>
      </w:pPr>
      <w:r>
        <w:rPr>
          <w:rFonts w:hint="eastAsia" w:cs="宋体"/>
          <w:color w:val="auto"/>
          <w:sz w:val="21"/>
          <w:highlight w:val="none"/>
        </w:rPr>
        <w:t>（1）在支付工程进度款时逐次扣留，在此情形下，质量保证金的计算基数不包括预付款的支付、扣回以及价格调整的金额；</w:t>
      </w:r>
    </w:p>
    <w:p w14:paraId="163C60F4">
      <w:pPr>
        <w:pStyle w:val="79"/>
        <w:rPr>
          <w:rFonts w:cs="宋体"/>
          <w:color w:val="auto"/>
          <w:sz w:val="21"/>
          <w:highlight w:val="none"/>
        </w:rPr>
      </w:pPr>
      <w:r>
        <w:rPr>
          <w:rFonts w:hint="eastAsia" w:cs="宋体"/>
          <w:color w:val="auto"/>
          <w:sz w:val="21"/>
          <w:highlight w:val="none"/>
        </w:rPr>
        <w:t>（2）工</w:t>
      </w:r>
      <w:bookmarkStart w:id="606" w:name="#go6"/>
      <w:bookmarkEnd w:id="606"/>
      <w:r>
        <w:rPr>
          <w:rFonts w:hint="eastAsia" w:cs="宋体"/>
          <w:color w:val="auto"/>
          <w:sz w:val="21"/>
          <w:highlight w:val="none"/>
        </w:rPr>
        <w:t>程竣工结算时一次性扣留质量保证金；</w:t>
      </w:r>
    </w:p>
    <w:p w14:paraId="256024DE">
      <w:pPr>
        <w:pStyle w:val="79"/>
        <w:rPr>
          <w:rFonts w:cs="宋体"/>
          <w:color w:val="auto"/>
          <w:sz w:val="21"/>
          <w:highlight w:val="none"/>
        </w:rPr>
      </w:pPr>
      <w:r>
        <w:rPr>
          <w:rFonts w:hint="eastAsia" w:cs="宋体"/>
          <w:color w:val="auto"/>
          <w:sz w:val="21"/>
          <w:highlight w:val="none"/>
        </w:rPr>
        <w:t>（3）双方约定的其他扣留方式。</w:t>
      </w:r>
    </w:p>
    <w:p w14:paraId="74732346">
      <w:pPr>
        <w:pStyle w:val="79"/>
        <w:rPr>
          <w:rFonts w:cs="宋体"/>
          <w:color w:val="auto"/>
          <w:sz w:val="21"/>
          <w:highlight w:val="none"/>
        </w:rPr>
      </w:pPr>
      <w:r>
        <w:rPr>
          <w:rFonts w:hint="eastAsia" w:cs="宋体"/>
          <w:color w:val="auto"/>
          <w:sz w:val="21"/>
          <w:highlight w:val="none"/>
        </w:rPr>
        <w:t>除专用合同条款另有约定外，质量保证金的扣留原则上采用上述第（1）种方式。</w:t>
      </w:r>
    </w:p>
    <w:p w14:paraId="001D3157">
      <w:pPr>
        <w:pStyle w:val="79"/>
        <w:rPr>
          <w:rFonts w:cs="宋体"/>
          <w:color w:val="auto"/>
          <w:sz w:val="21"/>
          <w:highlight w:val="none"/>
        </w:rPr>
      </w:pPr>
      <w:r>
        <w:rPr>
          <w:rFonts w:hint="eastAsia" w:cs="宋体"/>
          <w:color w:val="auto"/>
          <w:sz w:val="21"/>
          <w:highlight w:val="none"/>
        </w:rPr>
        <w:t>发</w:t>
      </w:r>
      <w:bookmarkStart w:id="607" w:name="#go4"/>
      <w:bookmarkEnd w:id="607"/>
      <w:r>
        <w:rPr>
          <w:rFonts w:hint="eastAsia" w:cs="宋体"/>
          <w:color w:val="auto"/>
          <w:sz w:val="21"/>
          <w:highlight w:val="none"/>
        </w:rPr>
        <w:t>包人累计扣留的质量保证金不得超过结算合同价格的5%，如承包人在发包人签发竣工付款证书后28天内提交质量保证金保函，发包人应同时退还扣留的作为质量保证金的工程价款。</w:t>
      </w:r>
    </w:p>
    <w:p w14:paraId="7AFA8249">
      <w:pPr>
        <w:pStyle w:val="79"/>
        <w:rPr>
          <w:rFonts w:cs="宋体"/>
          <w:color w:val="auto"/>
          <w:sz w:val="21"/>
          <w:highlight w:val="none"/>
        </w:rPr>
      </w:pPr>
      <w:r>
        <w:rPr>
          <w:rFonts w:hint="eastAsia" w:cs="宋体"/>
          <w:color w:val="auto"/>
          <w:sz w:val="21"/>
          <w:highlight w:val="none"/>
        </w:rPr>
        <w:t>15.3.3 质量保证金的退还</w:t>
      </w:r>
    </w:p>
    <w:p w14:paraId="776526C0">
      <w:pPr>
        <w:pStyle w:val="79"/>
        <w:rPr>
          <w:rFonts w:cs="宋体"/>
          <w:color w:val="auto"/>
          <w:sz w:val="21"/>
          <w:highlight w:val="none"/>
        </w:rPr>
      </w:pPr>
      <w:r>
        <w:rPr>
          <w:rFonts w:hint="eastAsia" w:cs="宋体"/>
          <w:color w:val="auto"/>
          <w:sz w:val="21"/>
          <w:highlight w:val="none"/>
        </w:rPr>
        <w:t>发包人应按14.4款〔最终结清〕的约定退还质量保证金。</w:t>
      </w:r>
    </w:p>
    <w:p w14:paraId="7E8C821E">
      <w:pPr>
        <w:pStyle w:val="321"/>
        <w:rPr>
          <w:rFonts w:ascii="宋体" w:cs="宋体"/>
          <w:color w:val="auto"/>
          <w:highlight w:val="none"/>
        </w:rPr>
      </w:pPr>
      <w:bookmarkStart w:id="608" w:name="_Toc351203602"/>
      <w:bookmarkStart w:id="609" w:name="_Toc478389149"/>
      <w:bookmarkStart w:id="610" w:name="_Toc337558819"/>
      <w:r>
        <w:rPr>
          <w:rFonts w:hint="eastAsia" w:ascii="宋体" w:cs="宋体"/>
          <w:color w:val="auto"/>
          <w:highlight w:val="none"/>
        </w:rPr>
        <w:t>15.4 保修</w:t>
      </w:r>
      <w:bookmarkEnd w:id="608"/>
      <w:bookmarkEnd w:id="609"/>
    </w:p>
    <w:bookmarkEnd w:id="598"/>
    <w:bookmarkEnd w:id="599"/>
    <w:bookmarkEnd w:id="610"/>
    <w:p w14:paraId="6F68A82A">
      <w:pPr>
        <w:pStyle w:val="79"/>
        <w:rPr>
          <w:rFonts w:cs="宋体"/>
          <w:color w:val="auto"/>
          <w:sz w:val="21"/>
          <w:highlight w:val="none"/>
        </w:rPr>
      </w:pPr>
      <w:r>
        <w:rPr>
          <w:rFonts w:hint="eastAsia" w:cs="宋体"/>
          <w:color w:val="auto"/>
          <w:sz w:val="21"/>
          <w:highlight w:val="none"/>
        </w:rPr>
        <w:t>15.4.1保修责任</w:t>
      </w:r>
    </w:p>
    <w:p w14:paraId="1D08496C">
      <w:pPr>
        <w:pStyle w:val="79"/>
        <w:rPr>
          <w:rFonts w:cs="宋体"/>
          <w:color w:val="auto"/>
          <w:sz w:val="21"/>
          <w:highlight w:val="none"/>
        </w:rPr>
      </w:pPr>
      <w:r>
        <w:rPr>
          <w:rFonts w:hint="eastAsia" w:cs="宋体"/>
          <w:color w:val="auto"/>
          <w:sz w:val="21"/>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61F578F1">
      <w:pPr>
        <w:pStyle w:val="79"/>
        <w:rPr>
          <w:rFonts w:cs="宋体"/>
          <w:color w:val="auto"/>
          <w:sz w:val="21"/>
          <w:highlight w:val="none"/>
        </w:rPr>
      </w:pPr>
      <w:r>
        <w:rPr>
          <w:rFonts w:hint="eastAsia" w:cs="宋体"/>
          <w:color w:val="auto"/>
          <w:sz w:val="21"/>
          <w:highlight w:val="none"/>
        </w:rPr>
        <w:t>发包人未经竣工验收擅自使用工程的，保修期自转移占有之日起算。</w:t>
      </w:r>
    </w:p>
    <w:p w14:paraId="212DA50C">
      <w:pPr>
        <w:pStyle w:val="79"/>
        <w:outlineLvl w:val="0"/>
        <w:rPr>
          <w:rFonts w:cs="宋体"/>
          <w:color w:val="auto"/>
          <w:sz w:val="21"/>
          <w:highlight w:val="none"/>
        </w:rPr>
      </w:pPr>
      <w:bookmarkStart w:id="611" w:name="_Toc478389150"/>
      <w:r>
        <w:rPr>
          <w:rFonts w:hint="eastAsia" w:cs="宋体"/>
          <w:color w:val="auto"/>
          <w:sz w:val="21"/>
          <w:highlight w:val="none"/>
        </w:rPr>
        <w:t>15.4.2 修复费用</w:t>
      </w:r>
      <w:bookmarkEnd w:id="611"/>
    </w:p>
    <w:p w14:paraId="6F217B9F">
      <w:pPr>
        <w:pStyle w:val="79"/>
        <w:rPr>
          <w:rFonts w:cs="宋体"/>
          <w:color w:val="auto"/>
          <w:sz w:val="21"/>
          <w:highlight w:val="none"/>
        </w:rPr>
      </w:pPr>
      <w:r>
        <w:rPr>
          <w:rFonts w:hint="eastAsia" w:cs="宋体"/>
          <w:color w:val="auto"/>
          <w:sz w:val="21"/>
          <w:highlight w:val="none"/>
        </w:rPr>
        <w:t>保修期内，修复的费用按照以下约定处理：</w:t>
      </w:r>
    </w:p>
    <w:p w14:paraId="729080CA">
      <w:pPr>
        <w:pStyle w:val="79"/>
        <w:rPr>
          <w:rFonts w:cs="宋体"/>
          <w:color w:val="auto"/>
          <w:sz w:val="21"/>
          <w:highlight w:val="none"/>
        </w:rPr>
      </w:pPr>
      <w:r>
        <w:rPr>
          <w:rFonts w:hint="eastAsia" w:cs="宋体"/>
          <w:color w:val="auto"/>
          <w:sz w:val="21"/>
          <w:highlight w:val="none"/>
        </w:rPr>
        <w:t>（1）保修期内，因承包人原因造成工程的缺陷、损坏，承包人应负责修复，并承担修复的费用以及因工程的缺陷、损坏造成的人身伤害和财产损失；</w:t>
      </w:r>
    </w:p>
    <w:p w14:paraId="2CA9B34E">
      <w:pPr>
        <w:pStyle w:val="79"/>
        <w:rPr>
          <w:rFonts w:cs="宋体"/>
          <w:color w:val="auto"/>
          <w:sz w:val="21"/>
          <w:highlight w:val="none"/>
        </w:rPr>
      </w:pPr>
      <w:r>
        <w:rPr>
          <w:rFonts w:hint="eastAsia" w:cs="宋体"/>
          <w:color w:val="auto"/>
          <w:sz w:val="21"/>
          <w:highlight w:val="none"/>
        </w:rPr>
        <w:t>（2）保修期内，因发包人使用不当造成工程的缺陷、损坏，可以委托承包人修复，但发包人应承担修复的费用，并支付承包人合理利润；</w:t>
      </w:r>
    </w:p>
    <w:p w14:paraId="05507CCC">
      <w:pPr>
        <w:pStyle w:val="79"/>
        <w:rPr>
          <w:rFonts w:cs="宋体"/>
          <w:color w:val="auto"/>
          <w:sz w:val="21"/>
          <w:highlight w:val="none"/>
        </w:rPr>
      </w:pPr>
      <w:r>
        <w:rPr>
          <w:rFonts w:hint="eastAsia" w:cs="宋体"/>
          <w:color w:val="auto"/>
          <w:sz w:val="21"/>
          <w:highlight w:val="none"/>
        </w:rPr>
        <w:t>（3）因其他原因造成工程的缺陷、损坏，可以委托承包人修复，发包人应承担修复的费用，并支付承包人合理的利润，因工程的缺陷、损坏造成的人身伤害和财产损失由责任方承担。</w:t>
      </w:r>
    </w:p>
    <w:p w14:paraId="7BD06031">
      <w:pPr>
        <w:pStyle w:val="79"/>
        <w:rPr>
          <w:rFonts w:cs="宋体"/>
          <w:color w:val="auto"/>
          <w:sz w:val="21"/>
          <w:highlight w:val="none"/>
        </w:rPr>
      </w:pPr>
      <w:r>
        <w:rPr>
          <w:rFonts w:hint="eastAsia" w:cs="宋体"/>
          <w:color w:val="auto"/>
          <w:sz w:val="21"/>
          <w:highlight w:val="none"/>
        </w:rPr>
        <w:t>15.4.3 修复通知</w:t>
      </w:r>
    </w:p>
    <w:p w14:paraId="04073FF3">
      <w:pPr>
        <w:pStyle w:val="79"/>
        <w:rPr>
          <w:rFonts w:cs="宋体"/>
          <w:color w:val="auto"/>
          <w:sz w:val="21"/>
          <w:highlight w:val="none"/>
        </w:rPr>
      </w:pPr>
      <w:r>
        <w:rPr>
          <w:rFonts w:hint="eastAsia" w:cs="宋体"/>
          <w:color w:val="auto"/>
          <w:sz w:val="21"/>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252D0267">
      <w:pPr>
        <w:pStyle w:val="79"/>
        <w:outlineLvl w:val="0"/>
        <w:rPr>
          <w:rFonts w:cs="宋体"/>
          <w:color w:val="auto"/>
          <w:sz w:val="21"/>
          <w:highlight w:val="none"/>
        </w:rPr>
      </w:pPr>
      <w:bookmarkStart w:id="612" w:name="_Toc478389151"/>
      <w:r>
        <w:rPr>
          <w:rFonts w:hint="eastAsia" w:cs="宋体"/>
          <w:color w:val="auto"/>
          <w:sz w:val="21"/>
          <w:highlight w:val="none"/>
        </w:rPr>
        <w:t>15.4.4 未能修复</w:t>
      </w:r>
      <w:bookmarkEnd w:id="612"/>
    </w:p>
    <w:p w14:paraId="4AC1FAF1">
      <w:pPr>
        <w:pStyle w:val="79"/>
        <w:rPr>
          <w:rFonts w:cs="宋体"/>
          <w:color w:val="auto"/>
          <w:sz w:val="21"/>
          <w:highlight w:val="none"/>
        </w:rPr>
      </w:pPr>
      <w:r>
        <w:rPr>
          <w:rFonts w:hint="eastAsia" w:cs="宋体"/>
          <w:color w:val="auto"/>
          <w:sz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0EC4BB02">
      <w:pPr>
        <w:pStyle w:val="79"/>
        <w:rPr>
          <w:rFonts w:cs="宋体"/>
          <w:color w:val="auto"/>
          <w:sz w:val="21"/>
          <w:highlight w:val="none"/>
        </w:rPr>
      </w:pPr>
      <w:r>
        <w:rPr>
          <w:rFonts w:hint="eastAsia" w:cs="宋体"/>
          <w:color w:val="auto"/>
          <w:sz w:val="21"/>
          <w:highlight w:val="none"/>
        </w:rPr>
        <w:t>15.4.5 承包人出入权</w:t>
      </w:r>
    </w:p>
    <w:p w14:paraId="2C46EBD5">
      <w:pPr>
        <w:pStyle w:val="79"/>
        <w:rPr>
          <w:rFonts w:cs="宋体"/>
          <w:color w:val="auto"/>
          <w:sz w:val="21"/>
          <w:highlight w:val="none"/>
        </w:rPr>
      </w:pPr>
      <w:r>
        <w:rPr>
          <w:rFonts w:hint="eastAsia" w:cs="宋体"/>
          <w:color w:val="auto"/>
          <w:sz w:val="21"/>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37D21562">
      <w:pPr>
        <w:pStyle w:val="321"/>
        <w:rPr>
          <w:rFonts w:ascii="宋体" w:cs="宋体"/>
          <w:color w:val="auto"/>
          <w:highlight w:val="none"/>
        </w:rPr>
      </w:pPr>
      <w:bookmarkStart w:id="613" w:name="_Toc478389152"/>
      <w:bookmarkStart w:id="614" w:name="_Toc351203603"/>
      <w:bookmarkStart w:id="615" w:name="_Toc337558820"/>
      <w:r>
        <w:rPr>
          <w:rFonts w:hint="eastAsia" w:ascii="宋体" w:cs="宋体"/>
          <w:color w:val="auto"/>
          <w:highlight w:val="none"/>
        </w:rPr>
        <w:t>16. 违约</w:t>
      </w:r>
      <w:bookmarkEnd w:id="613"/>
      <w:bookmarkEnd w:id="614"/>
    </w:p>
    <w:bookmarkEnd w:id="615"/>
    <w:p w14:paraId="118B23A0">
      <w:pPr>
        <w:pStyle w:val="321"/>
        <w:rPr>
          <w:rFonts w:ascii="宋体" w:cs="宋体"/>
          <w:color w:val="auto"/>
          <w:highlight w:val="none"/>
        </w:rPr>
      </w:pPr>
      <w:bookmarkStart w:id="616" w:name="_Toc296503129"/>
      <w:bookmarkStart w:id="617" w:name="_Toc296346630"/>
      <w:bookmarkStart w:id="618" w:name="_Toc478389153"/>
      <w:bookmarkStart w:id="619" w:name="_Toc351203604"/>
      <w:bookmarkStart w:id="620" w:name="_Toc337558821"/>
      <w:r>
        <w:rPr>
          <w:rFonts w:hint="eastAsia" w:ascii="宋体" w:cs="宋体"/>
          <w:color w:val="auto"/>
          <w:highlight w:val="none"/>
        </w:rPr>
        <w:t>16.1 发</w:t>
      </w:r>
      <w:bookmarkEnd w:id="616"/>
      <w:bookmarkEnd w:id="617"/>
      <w:r>
        <w:rPr>
          <w:rFonts w:hint="eastAsia" w:ascii="宋体" w:cs="宋体"/>
          <w:color w:val="auto"/>
          <w:highlight w:val="none"/>
        </w:rPr>
        <w:t>包人违约</w:t>
      </w:r>
      <w:bookmarkEnd w:id="618"/>
      <w:bookmarkEnd w:id="619"/>
    </w:p>
    <w:bookmarkEnd w:id="620"/>
    <w:p w14:paraId="21E26E7E">
      <w:pPr>
        <w:pStyle w:val="79"/>
        <w:rPr>
          <w:rFonts w:cs="宋体"/>
          <w:color w:val="auto"/>
          <w:sz w:val="21"/>
          <w:highlight w:val="none"/>
        </w:rPr>
      </w:pPr>
      <w:r>
        <w:rPr>
          <w:rFonts w:hint="eastAsia" w:cs="宋体"/>
          <w:color w:val="auto"/>
          <w:sz w:val="21"/>
          <w:highlight w:val="none"/>
        </w:rPr>
        <w:t>16.1.1 发包人违约的情形</w:t>
      </w:r>
    </w:p>
    <w:p w14:paraId="06B5A88D">
      <w:pPr>
        <w:pStyle w:val="79"/>
        <w:rPr>
          <w:rFonts w:cs="宋体"/>
          <w:color w:val="auto"/>
          <w:sz w:val="21"/>
          <w:highlight w:val="none"/>
        </w:rPr>
      </w:pPr>
      <w:r>
        <w:rPr>
          <w:rFonts w:hint="eastAsia" w:cs="宋体"/>
          <w:color w:val="auto"/>
          <w:sz w:val="21"/>
          <w:highlight w:val="none"/>
        </w:rPr>
        <w:t>在合同履行过程中发生的下列情形，属于发包人违约：</w:t>
      </w:r>
    </w:p>
    <w:p w14:paraId="020FD55C">
      <w:pPr>
        <w:pStyle w:val="79"/>
        <w:rPr>
          <w:rFonts w:cs="宋体"/>
          <w:color w:val="auto"/>
          <w:sz w:val="21"/>
          <w:highlight w:val="none"/>
        </w:rPr>
      </w:pPr>
      <w:r>
        <w:rPr>
          <w:rFonts w:hint="eastAsia" w:cs="宋体"/>
          <w:color w:val="auto"/>
          <w:sz w:val="21"/>
          <w:highlight w:val="none"/>
        </w:rPr>
        <w:t>（1）因发包人原因未能在计划开工日期前7天内下达开工通知的；</w:t>
      </w:r>
    </w:p>
    <w:p w14:paraId="3478DD60">
      <w:pPr>
        <w:pStyle w:val="79"/>
        <w:rPr>
          <w:rFonts w:cs="宋体"/>
          <w:color w:val="auto"/>
          <w:sz w:val="21"/>
          <w:highlight w:val="none"/>
        </w:rPr>
      </w:pPr>
      <w:r>
        <w:rPr>
          <w:rFonts w:hint="eastAsia" w:cs="宋体"/>
          <w:color w:val="auto"/>
          <w:sz w:val="21"/>
          <w:highlight w:val="none"/>
        </w:rPr>
        <w:t>（2）因发包人原因未能按合同约定支付合同价款的；</w:t>
      </w:r>
    </w:p>
    <w:p w14:paraId="1BD17323">
      <w:pPr>
        <w:pStyle w:val="79"/>
        <w:rPr>
          <w:rFonts w:cs="宋体"/>
          <w:color w:val="auto"/>
          <w:sz w:val="21"/>
          <w:highlight w:val="none"/>
        </w:rPr>
      </w:pPr>
      <w:r>
        <w:rPr>
          <w:rFonts w:hint="eastAsia" w:cs="宋体"/>
          <w:color w:val="auto"/>
          <w:sz w:val="21"/>
          <w:highlight w:val="none"/>
        </w:rPr>
        <w:t>（3）发包人违反第10.1款〔变更的范围〕第（2）项约定，自行实施被取消的工作或转由他人实施的；</w:t>
      </w:r>
    </w:p>
    <w:p w14:paraId="4D3AC63A">
      <w:pPr>
        <w:pStyle w:val="79"/>
        <w:rPr>
          <w:rFonts w:cs="宋体"/>
          <w:color w:val="auto"/>
          <w:sz w:val="21"/>
          <w:highlight w:val="none"/>
        </w:rPr>
      </w:pPr>
      <w:r>
        <w:rPr>
          <w:rFonts w:hint="eastAsia" w:cs="宋体"/>
          <w:color w:val="auto"/>
          <w:sz w:val="21"/>
          <w:highlight w:val="none"/>
        </w:rPr>
        <w:t>（4）发包人提供的材料、工程设备的规格、数量或质量不符合合同约定，或因发包人原因导致交货日期延误或交货地点变更等情况的；</w:t>
      </w:r>
    </w:p>
    <w:p w14:paraId="62D387F8">
      <w:pPr>
        <w:pStyle w:val="79"/>
        <w:rPr>
          <w:rFonts w:cs="宋体"/>
          <w:color w:val="auto"/>
          <w:sz w:val="21"/>
          <w:highlight w:val="none"/>
        </w:rPr>
      </w:pPr>
      <w:r>
        <w:rPr>
          <w:rFonts w:hint="eastAsia" w:cs="宋体"/>
          <w:color w:val="auto"/>
          <w:sz w:val="21"/>
          <w:highlight w:val="none"/>
        </w:rPr>
        <w:t>（5）因发包人违反合同约定造成暂停施工的；</w:t>
      </w:r>
    </w:p>
    <w:p w14:paraId="68141A52">
      <w:pPr>
        <w:pStyle w:val="79"/>
        <w:rPr>
          <w:rFonts w:cs="宋体"/>
          <w:color w:val="auto"/>
          <w:sz w:val="21"/>
          <w:highlight w:val="none"/>
        </w:rPr>
      </w:pPr>
      <w:r>
        <w:rPr>
          <w:rFonts w:hint="eastAsia" w:cs="宋体"/>
          <w:color w:val="auto"/>
          <w:sz w:val="21"/>
          <w:highlight w:val="none"/>
        </w:rPr>
        <w:t>（6）发包人无正当理由没有在约定期限内发出复工指示，导致承包人无法复工的；</w:t>
      </w:r>
    </w:p>
    <w:p w14:paraId="6642A4D6">
      <w:pPr>
        <w:pStyle w:val="79"/>
        <w:rPr>
          <w:rFonts w:cs="宋体"/>
          <w:color w:val="auto"/>
          <w:sz w:val="21"/>
          <w:highlight w:val="none"/>
        </w:rPr>
      </w:pPr>
      <w:r>
        <w:rPr>
          <w:rFonts w:hint="eastAsia" w:cs="宋体"/>
          <w:color w:val="auto"/>
          <w:sz w:val="21"/>
          <w:highlight w:val="none"/>
        </w:rPr>
        <w:t>（7）发包人明确表示或者以其行为表明不履行合同主要义务的；</w:t>
      </w:r>
    </w:p>
    <w:p w14:paraId="25BA98E9">
      <w:pPr>
        <w:pStyle w:val="79"/>
        <w:rPr>
          <w:rFonts w:cs="宋体"/>
          <w:color w:val="auto"/>
          <w:sz w:val="21"/>
          <w:highlight w:val="none"/>
        </w:rPr>
      </w:pPr>
      <w:r>
        <w:rPr>
          <w:rFonts w:hint="eastAsia" w:cs="宋体"/>
          <w:color w:val="auto"/>
          <w:sz w:val="21"/>
          <w:highlight w:val="none"/>
        </w:rPr>
        <w:t>（8）发包人未能按照合同约定履行其他义务的。</w:t>
      </w:r>
    </w:p>
    <w:p w14:paraId="0288DD18">
      <w:pPr>
        <w:pStyle w:val="79"/>
        <w:rPr>
          <w:rFonts w:cs="宋体"/>
          <w:color w:val="auto"/>
          <w:sz w:val="21"/>
          <w:highlight w:val="none"/>
        </w:rPr>
      </w:pPr>
      <w:r>
        <w:rPr>
          <w:rFonts w:hint="eastAsia" w:cs="宋体"/>
          <w:color w:val="auto"/>
          <w:sz w:val="21"/>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579688E8">
      <w:pPr>
        <w:pStyle w:val="79"/>
        <w:rPr>
          <w:rFonts w:cs="宋体"/>
          <w:color w:val="auto"/>
          <w:sz w:val="21"/>
          <w:highlight w:val="none"/>
        </w:rPr>
      </w:pPr>
      <w:r>
        <w:rPr>
          <w:rFonts w:hint="eastAsia" w:cs="宋体"/>
          <w:color w:val="auto"/>
          <w:sz w:val="21"/>
          <w:highlight w:val="none"/>
        </w:rPr>
        <w:t>16.1.2 发包人违约的责任</w:t>
      </w:r>
    </w:p>
    <w:p w14:paraId="450F060C">
      <w:pPr>
        <w:pStyle w:val="79"/>
        <w:rPr>
          <w:rFonts w:cs="宋体"/>
          <w:color w:val="auto"/>
          <w:sz w:val="21"/>
          <w:highlight w:val="none"/>
        </w:rPr>
      </w:pPr>
      <w:r>
        <w:rPr>
          <w:rFonts w:hint="eastAsia" w:cs="宋体"/>
          <w:color w:val="auto"/>
          <w:sz w:val="21"/>
          <w:highlight w:val="none"/>
        </w:rPr>
        <w:t>发包人应承担因其违约给承包人增加的费用和（或）延误的工期，并支付承包人合理的利润。此外，合同当事人可在专用合同条款中另行约定发包人违约责任的承担方式和计算方法。</w:t>
      </w:r>
    </w:p>
    <w:p w14:paraId="6C67DC10">
      <w:pPr>
        <w:pStyle w:val="79"/>
        <w:rPr>
          <w:rFonts w:cs="宋体"/>
          <w:color w:val="auto"/>
          <w:sz w:val="21"/>
          <w:highlight w:val="none"/>
        </w:rPr>
      </w:pPr>
      <w:r>
        <w:rPr>
          <w:rFonts w:hint="eastAsia" w:cs="宋体"/>
          <w:color w:val="auto"/>
          <w:sz w:val="21"/>
          <w:highlight w:val="none"/>
        </w:rPr>
        <w:t>16.1.3 因发包人违约解除合同</w:t>
      </w:r>
    </w:p>
    <w:p w14:paraId="67724C9E">
      <w:pPr>
        <w:pStyle w:val="79"/>
        <w:rPr>
          <w:rFonts w:cs="宋体"/>
          <w:color w:val="auto"/>
          <w:sz w:val="21"/>
          <w:highlight w:val="none"/>
        </w:rPr>
      </w:pPr>
      <w:r>
        <w:rPr>
          <w:rFonts w:hint="eastAsia" w:cs="宋体"/>
          <w:color w:val="auto"/>
          <w:sz w:val="21"/>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26F23E83">
      <w:pPr>
        <w:pStyle w:val="79"/>
        <w:rPr>
          <w:rFonts w:cs="宋体"/>
          <w:color w:val="auto"/>
          <w:sz w:val="21"/>
          <w:highlight w:val="none"/>
        </w:rPr>
      </w:pPr>
      <w:r>
        <w:rPr>
          <w:rFonts w:hint="eastAsia" w:cs="宋体"/>
          <w:color w:val="auto"/>
          <w:sz w:val="21"/>
          <w:highlight w:val="none"/>
        </w:rPr>
        <w:t>16.1.4 因发包人违约解除合同后的付款</w:t>
      </w:r>
    </w:p>
    <w:p w14:paraId="3654FDC2">
      <w:pPr>
        <w:pStyle w:val="79"/>
        <w:rPr>
          <w:rFonts w:cs="宋体"/>
          <w:color w:val="auto"/>
          <w:sz w:val="21"/>
          <w:highlight w:val="none"/>
        </w:rPr>
      </w:pPr>
      <w:r>
        <w:rPr>
          <w:rFonts w:hint="eastAsia" w:cs="宋体"/>
          <w:color w:val="auto"/>
          <w:sz w:val="21"/>
          <w:highlight w:val="none"/>
        </w:rPr>
        <w:t>承包人按照本款约定解除合同的，发包人应在解除合同后28天内支付下列款项，并解除履约保证金：</w:t>
      </w:r>
    </w:p>
    <w:p w14:paraId="7597D0F8">
      <w:pPr>
        <w:pStyle w:val="79"/>
        <w:rPr>
          <w:rFonts w:cs="宋体"/>
          <w:color w:val="auto"/>
          <w:sz w:val="21"/>
          <w:highlight w:val="none"/>
        </w:rPr>
      </w:pPr>
      <w:r>
        <w:rPr>
          <w:rFonts w:hint="eastAsia" w:cs="宋体"/>
          <w:color w:val="auto"/>
          <w:sz w:val="21"/>
          <w:highlight w:val="none"/>
        </w:rPr>
        <w:t>（1）合同解除前所完成工作的价款；</w:t>
      </w:r>
    </w:p>
    <w:p w14:paraId="5C389D99">
      <w:pPr>
        <w:pStyle w:val="79"/>
        <w:rPr>
          <w:rFonts w:cs="宋体"/>
          <w:color w:val="auto"/>
          <w:sz w:val="21"/>
          <w:highlight w:val="none"/>
        </w:rPr>
      </w:pPr>
      <w:r>
        <w:rPr>
          <w:rFonts w:hint="eastAsia" w:cs="宋体"/>
          <w:color w:val="auto"/>
          <w:sz w:val="21"/>
          <w:highlight w:val="none"/>
        </w:rPr>
        <w:t>（2）承包人为工程施工订购并已付款的材料、工程设备和其他物品的价款；</w:t>
      </w:r>
    </w:p>
    <w:p w14:paraId="0302D8D1">
      <w:pPr>
        <w:pStyle w:val="79"/>
        <w:rPr>
          <w:rFonts w:cs="宋体"/>
          <w:color w:val="auto"/>
          <w:sz w:val="21"/>
          <w:highlight w:val="none"/>
        </w:rPr>
      </w:pPr>
      <w:r>
        <w:rPr>
          <w:rFonts w:hint="eastAsia" w:cs="宋体"/>
          <w:color w:val="auto"/>
          <w:sz w:val="21"/>
          <w:highlight w:val="none"/>
        </w:rPr>
        <w:t>（3）承包人撤离施工现场以及遣散承包人人员的款项；</w:t>
      </w:r>
    </w:p>
    <w:p w14:paraId="1F44826D">
      <w:pPr>
        <w:pStyle w:val="79"/>
        <w:rPr>
          <w:rFonts w:cs="宋体"/>
          <w:color w:val="auto"/>
          <w:sz w:val="21"/>
          <w:highlight w:val="none"/>
        </w:rPr>
      </w:pPr>
      <w:r>
        <w:rPr>
          <w:rFonts w:hint="eastAsia" w:cs="宋体"/>
          <w:color w:val="auto"/>
          <w:sz w:val="21"/>
          <w:highlight w:val="none"/>
        </w:rPr>
        <w:t>（4）按照合同约定在合同解除前应支付的违约金；</w:t>
      </w:r>
    </w:p>
    <w:p w14:paraId="224C416E">
      <w:pPr>
        <w:pStyle w:val="79"/>
        <w:rPr>
          <w:rFonts w:cs="宋体"/>
          <w:color w:val="auto"/>
          <w:sz w:val="21"/>
          <w:highlight w:val="none"/>
        </w:rPr>
      </w:pPr>
      <w:r>
        <w:rPr>
          <w:rFonts w:hint="eastAsia" w:cs="宋体"/>
          <w:color w:val="auto"/>
          <w:sz w:val="21"/>
          <w:highlight w:val="none"/>
        </w:rPr>
        <w:t>（5）按照合同约定应当支付给承包人的其他款项；</w:t>
      </w:r>
    </w:p>
    <w:p w14:paraId="6276DB6C">
      <w:pPr>
        <w:pStyle w:val="79"/>
        <w:rPr>
          <w:rFonts w:cs="宋体"/>
          <w:color w:val="auto"/>
          <w:sz w:val="21"/>
          <w:highlight w:val="none"/>
        </w:rPr>
      </w:pPr>
      <w:r>
        <w:rPr>
          <w:rFonts w:hint="eastAsia" w:cs="宋体"/>
          <w:color w:val="auto"/>
          <w:sz w:val="21"/>
          <w:highlight w:val="none"/>
        </w:rPr>
        <w:t>（6）按照合同约定应退还的质量保证金；</w:t>
      </w:r>
    </w:p>
    <w:p w14:paraId="04CC9C80">
      <w:pPr>
        <w:pStyle w:val="79"/>
        <w:rPr>
          <w:rFonts w:cs="宋体"/>
          <w:color w:val="auto"/>
          <w:sz w:val="21"/>
          <w:highlight w:val="none"/>
        </w:rPr>
      </w:pPr>
      <w:r>
        <w:rPr>
          <w:rFonts w:hint="eastAsia" w:cs="宋体"/>
          <w:color w:val="auto"/>
          <w:sz w:val="21"/>
          <w:highlight w:val="none"/>
        </w:rPr>
        <w:t>（7）因解除合同给承包人造成的损失。</w:t>
      </w:r>
    </w:p>
    <w:p w14:paraId="389C7AF2">
      <w:pPr>
        <w:pStyle w:val="79"/>
        <w:rPr>
          <w:rFonts w:cs="宋体"/>
          <w:color w:val="auto"/>
          <w:sz w:val="21"/>
          <w:highlight w:val="none"/>
        </w:rPr>
      </w:pPr>
      <w:r>
        <w:rPr>
          <w:rFonts w:hint="eastAsia" w:cs="宋体"/>
          <w:color w:val="auto"/>
          <w:sz w:val="21"/>
          <w:highlight w:val="none"/>
        </w:rPr>
        <w:t>合同当事人未能就解除合同后的结清达成一致的，按照第20条〔争议解决〕的约定处理。</w:t>
      </w:r>
    </w:p>
    <w:p w14:paraId="66256257">
      <w:pPr>
        <w:pStyle w:val="79"/>
        <w:rPr>
          <w:rFonts w:cs="宋体"/>
          <w:color w:val="auto"/>
          <w:sz w:val="21"/>
          <w:highlight w:val="none"/>
        </w:rPr>
      </w:pPr>
      <w:r>
        <w:rPr>
          <w:rFonts w:hint="eastAsia" w:cs="宋体"/>
          <w:color w:val="auto"/>
          <w:sz w:val="21"/>
          <w:highlight w:val="none"/>
        </w:rPr>
        <w:t>承包人应妥善做好已完成工程和与工程有关的已购材料、工程设备的保护和移交工作，并将施工设备和人员撤出施工现场，发包人应为承包人撤出提供必要条件。</w:t>
      </w:r>
    </w:p>
    <w:p w14:paraId="433A87EF">
      <w:pPr>
        <w:pStyle w:val="321"/>
        <w:rPr>
          <w:rFonts w:ascii="宋体" w:cs="宋体"/>
          <w:color w:val="auto"/>
          <w:highlight w:val="none"/>
        </w:rPr>
      </w:pPr>
      <w:bookmarkStart w:id="621" w:name="_Toc351203605"/>
      <w:bookmarkStart w:id="622" w:name="_Toc478389154"/>
      <w:bookmarkStart w:id="623" w:name="_Toc296346632"/>
      <w:bookmarkStart w:id="624" w:name="_Toc337558822"/>
      <w:bookmarkStart w:id="625" w:name="_Toc296503131"/>
      <w:r>
        <w:rPr>
          <w:rFonts w:hint="eastAsia" w:ascii="宋体" w:cs="宋体"/>
          <w:color w:val="auto"/>
          <w:highlight w:val="none"/>
        </w:rPr>
        <w:t>16.2 承包人违约</w:t>
      </w:r>
      <w:bookmarkEnd w:id="621"/>
      <w:bookmarkEnd w:id="622"/>
    </w:p>
    <w:bookmarkEnd w:id="623"/>
    <w:bookmarkEnd w:id="624"/>
    <w:bookmarkEnd w:id="625"/>
    <w:p w14:paraId="377DBDFB">
      <w:pPr>
        <w:pStyle w:val="79"/>
        <w:rPr>
          <w:rFonts w:cs="宋体"/>
          <w:color w:val="auto"/>
          <w:sz w:val="21"/>
          <w:highlight w:val="none"/>
        </w:rPr>
      </w:pPr>
      <w:r>
        <w:rPr>
          <w:rFonts w:hint="eastAsia" w:cs="宋体"/>
          <w:color w:val="auto"/>
          <w:sz w:val="21"/>
          <w:highlight w:val="none"/>
        </w:rPr>
        <w:t>16.2.1 承包人违约的情形</w:t>
      </w:r>
    </w:p>
    <w:p w14:paraId="6DEE1E12">
      <w:pPr>
        <w:pStyle w:val="79"/>
        <w:rPr>
          <w:rFonts w:cs="宋体"/>
          <w:color w:val="auto"/>
          <w:sz w:val="21"/>
          <w:highlight w:val="none"/>
        </w:rPr>
      </w:pPr>
      <w:r>
        <w:rPr>
          <w:rFonts w:hint="eastAsia" w:cs="宋体"/>
          <w:color w:val="auto"/>
          <w:sz w:val="21"/>
          <w:highlight w:val="none"/>
        </w:rPr>
        <w:t>在合同履行过程中发生的下列情形，属于承包人违约：</w:t>
      </w:r>
    </w:p>
    <w:p w14:paraId="63049B36">
      <w:pPr>
        <w:pStyle w:val="79"/>
        <w:rPr>
          <w:rFonts w:cs="宋体"/>
          <w:color w:val="auto"/>
          <w:sz w:val="21"/>
          <w:highlight w:val="none"/>
        </w:rPr>
      </w:pPr>
      <w:r>
        <w:rPr>
          <w:rFonts w:hint="eastAsia" w:cs="宋体"/>
          <w:color w:val="auto"/>
          <w:sz w:val="21"/>
          <w:highlight w:val="none"/>
        </w:rPr>
        <w:t>（1）承包人违反合同约定进行转包或违法分包的；</w:t>
      </w:r>
    </w:p>
    <w:p w14:paraId="42C35E6D">
      <w:pPr>
        <w:pStyle w:val="79"/>
        <w:rPr>
          <w:rFonts w:cs="宋体"/>
          <w:color w:val="auto"/>
          <w:sz w:val="21"/>
          <w:highlight w:val="none"/>
        </w:rPr>
      </w:pPr>
      <w:r>
        <w:rPr>
          <w:rFonts w:hint="eastAsia" w:cs="宋体"/>
          <w:color w:val="auto"/>
          <w:sz w:val="21"/>
          <w:highlight w:val="none"/>
        </w:rPr>
        <w:t>（2）承包人违反合同约定采购和使用不合格的材料和工程设备的；</w:t>
      </w:r>
    </w:p>
    <w:p w14:paraId="5C0A6672">
      <w:pPr>
        <w:pStyle w:val="79"/>
        <w:rPr>
          <w:rFonts w:cs="宋体"/>
          <w:color w:val="auto"/>
          <w:sz w:val="21"/>
          <w:highlight w:val="none"/>
        </w:rPr>
      </w:pPr>
      <w:r>
        <w:rPr>
          <w:rFonts w:hint="eastAsia" w:cs="宋体"/>
          <w:color w:val="auto"/>
          <w:sz w:val="21"/>
          <w:highlight w:val="none"/>
        </w:rPr>
        <w:t xml:space="preserve">（3）因承包人原因导致工程质量不符合合同要求的； </w:t>
      </w:r>
    </w:p>
    <w:p w14:paraId="1608FE01">
      <w:pPr>
        <w:pStyle w:val="79"/>
        <w:rPr>
          <w:rFonts w:cs="宋体"/>
          <w:color w:val="auto"/>
          <w:sz w:val="21"/>
          <w:highlight w:val="none"/>
        </w:rPr>
      </w:pPr>
      <w:r>
        <w:rPr>
          <w:rFonts w:hint="eastAsia" w:cs="宋体"/>
          <w:color w:val="auto"/>
          <w:sz w:val="21"/>
          <w:highlight w:val="none"/>
        </w:rPr>
        <w:t>（4）承包人违反第8.9款〔材料与设备专用要求〕的约定，未经批准，私自将已按照合同约定进入施工现场的材料或设备撤离施工现场的；</w:t>
      </w:r>
    </w:p>
    <w:p w14:paraId="720536FD">
      <w:pPr>
        <w:pStyle w:val="79"/>
        <w:rPr>
          <w:rFonts w:cs="宋体"/>
          <w:color w:val="auto"/>
          <w:sz w:val="21"/>
          <w:highlight w:val="none"/>
        </w:rPr>
      </w:pPr>
      <w:r>
        <w:rPr>
          <w:rFonts w:hint="eastAsia" w:cs="宋体"/>
          <w:color w:val="auto"/>
          <w:sz w:val="21"/>
          <w:highlight w:val="none"/>
        </w:rPr>
        <w:t>（5）承包人未能按施工进度计划及时完成合同约定的工作，造成工期延误的；</w:t>
      </w:r>
    </w:p>
    <w:p w14:paraId="4D1B84D1">
      <w:pPr>
        <w:pStyle w:val="79"/>
        <w:rPr>
          <w:rFonts w:cs="宋体"/>
          <w:color w:val="auto"/>
          <w:sz w:val="21"/>
          <w:highlight w:val="none"/>
        </w:rPr>
      </w:pPr>
      <w:r>
        <w:rPr>
          <w:rFonts w:hint="eastAsia" w:cs="宋体"/>
          <w:color w:val="auto"/>
          <w:sz w:val="21"/>
          <w:highlight w:val="none"/>
        </w:rPr>
        <w:t>（6）承包人在缺陷责任期及保修期内，未能在合理期限对工程缺陷进行修复，或拒绝按发包人要求进行修复的；</w:t>
      </w:r>
    </w:p>
    <w:p w14:paraId="33C317F9">
      <w:pPr>
        <w:pStyle w:val="79"/>
        <w:rPr>
          <w:rFonts w:cs="宋体"/>
          <w:color w:val="auto"/>
          <w:sz w:val="21"/>
          <w:highlight w:val="none"/>
        </w:rPr>
      </w:pPr>
      <w:r>
        <w:rPr>
          <w:rFonts w:hint="eastAsia" w:cs="宋体"/>
          <w:color w:val="auto"/>
          <w:sz w:val="21"/>
          <w:highlight w:val="none"/>
        </w:rPr>
        <w:t>（7）承包人明确表示或者以其行为表明不履行合同主要义务的；</w:t>
      </w:r>
    </w:p>
    <w:p w14:paraId="5E7B8153">
      <w:pPr>
        <w:pStyle w:val="79"/>
        <w:rPr>
          <w:rFonts w:cs="宋体"/>
          <w:color w:val="auto"/>
          <w:sz w:val="21"/>
          <w:highlight w:val="none"/>
        </w:rPr>
      </w:pPr>
      <w:r>
        <w:rPr>
          <w:rFonts w:hint="eastAsia" w:cs="宋体"/>
          <w:color w:val="auto"/>
          <w:sz w:val="21"/>
          <w:highlight w:val="none"/>
        </w:rPr>
        <w:t>（8）承包人未能按照合同约定履行其他义务的。</w:t>
      </w:r>
    </w:p>
    <w:p w14:paraId="431D2D23">
      <w:pPr>
        <w:pStyle w:val="79"/>
        <w:rPr>
          <w:rFonts w:cs="宋体"/>
          <w:color w:val="auto"/>
          <w:sz w:val="21"/>
          <w:highlight w:val="none"/>
        </w:rPr>
      </w:pPr>
      <w:r>
        <w:rPr>
          <w:rFonts w:hint="eastAsia" w:cs="宋体"/>
          <w:color w:val="auto"/>
          <w:sz w:val="21"/>
          <w:highlight w:val="none"/>
        </w:rPr>
        <w:t>承包人发生除本项第（7）目约定以外的其他违约情况时，监理人可向承包人发出整改通知，要求其在指定的期限内改正。</w:t>
      </w:r>
    </w:p>
    <w:p w14:paraId="51596557">
      <w:pPr>
        <w:pStyle w:val="79"/>
        <w:rPr>
          <w:rFonts w:cs="宋体"/>
          <w:color w:val="auto"/>
          <w:sz w:val="21"/>
          <w:highlight w:val="none"/>
        </w:rPr>
      </w:pPr>
      <w:r>
        <w:rPr>
          <w:rFonts w:hint="eastAsia" w:cs="宋体"/>
          <w:color w:val="auto"/>
          <w:sz w:val="21"/>
          <w:highlight w:val="none"/>
        </w:rPr>
        <w:t>16.2.2 承包人违约的责任</w:t>
      </w:r>
    </w:p>
    <w:p w14:paraId="6D919B56">
      <w:pPr>
        <w:pStyle w:val="79"/>
        <w:rPr>
          <w:rFonts w:cs="宋体"/>
          <w:color w:val="auto"/>
          <w:sz w:val="21"/>
          <w:highlight w:val="none"/>
        </w:rPr>
      </w:pPr>
      <w:r>
        <w:rPr>
          <w:rFonts w:hint="eastAsia" w:cs="宋体"/>
          <w:color w:val="auto"/>
          <w:sz w:val="21"/>
          <w:highlight w:val="none"/>
        </w:rPr>
        <w:t>承包人应承担因其违约行为而增加的费用和（或）延误的工期。此外，合同当事人可在专用合同条款中另行约定承包人违约责任的承担方式和计算方法。</w:t>
      </w:r>
    </w:p>
    <w:p w14:paraId="06011F31">
      <w:pPr>
        <w:pStyle w:val="79"/>
        <w:rPr>
          <w:rFonts w:cs="宋体"/>
          <w:color w:val="auto"/>
          <w:sz w:val="21"/>
          <w:highlight w:val="none"/>
        </w:rPr>
      </w:pPr>
      <w:r>
        <w:rPr>
          <w:rFonts w:hint="eastAsia" w:cs="宋体"/>
          <w:color w:val="auto"/>
          <w:sz w:val="21"/>
          <w:highlight w:val="none"/>
        </w:rPr>
        <w:t>16.2.3 因承包人违约解除合同</w:t>
      </w:r>
    </w:p>
    <w:p w14:paraId="74165278">
      <w:pPr>
        <w:pStyle w:val="79"/>
        <w:rPr>
          <w:rFonts w:cs="宋体"/>
          <w:color w:val="auto"/>
          <w:sz w:val="21"/>
          <w:highlight w:val="none"/>
        </w:rPr>
      </w:pPr>
      <w:r>
        <w:rPr>
          <w:rFonts w:hint="eastAsia" w:cs="宋体"/>
          <w:color w:val="auto"/>
          <w:sz w:val="21"/>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1766C43A">
      <w:pPr>
        <w:pStyle w:val="79"/>
        <w:rPr>
          <w:rFonts w:cs="宋体"/>
          <w:color w:val="auto"/>
          <w:sz w:val="21"/>
          <w:highlight w:val="none"/>
        </w:rPr>
      </w:pPr>
      <w:r>
        <w:rPr>
          <w:rFonts w:hint="eastAsia" w:cs="宋体"/>
          <w:color w:val="auto"/>
          <w:sz w:val="21"/>
          <w:highlight w:val="none"/>
        </w:rPr>
        <w:t>16.2.4因承包人违约解除合同后的处理</w:t>
      </w:r>
    </w:p>
    <w:p w14:paraId="5C8297A5">
      <w:pPr>
        <w:pStyle w:val="79"/>
        <w:rPr>
          <w:rFonts w:cs="宋体"/>
          <w:color w:val="auto"/>
          <w:sz w:val="21"/>
          <w:highlight w:val="none"/>
        </w:rPr>
      </w:pPr>
      <w:r>
        <w:rPr>
          <w:rFonts w:hint="eastAsia" w:cs="宋体"/>
          <w:color w:val="auto"/>
          <w:sz w:val="21"/>
          <w:highlight w:val="none"/>
        </w:rPr>
        <w:t>因承包人原因导致合同解除的，则合同当事人应在合同解除后28天内完成估价、付款和清算，并按以下约定执行：</w:t>
      </w:r>
    </w:p>
    <w:p w14:paraId="19008616">
      <w:pPr>
        <w:pStyle w:val="79"/>
        <w:rPr>
          <w:rFonts w:cs="宋体"/>
          <w:color w:val="auto"/>
          <w:sz w:val="21"/>
          <w:highlight w:val="none"/>
        </w:rPr>
      </w:pPr>
      <w:r>
        <w:rPr>
          <w:rFonts w:hint="eastAsia" w:cs="宋体"/>
          <w:color w:val="auto"/>
          <w:sz w:val="21"/>
          <w:highlight w:val="none"/>
        </w:rPr>
        <w:t>（1）合同解除后，按第4.4款〔商定或确定〕商定或确定承包人实际完成工作对应的合同价款，以及承包人已提供的材料、工程设备、施工设备和临时工程等的价值；</w:t>
      </w:r>
    </w:p>
    <w:p w14:paraId="4424B81C">
      <w:pPr>
        <w:pStyle w:val="79"/>
        <w:rPr>
          <w:rFonts w:cs="宋体"/>
          <w:color w:val="auto"/>
          <w:sz w:val="21"/>
          <w:highlight w:val="none"/>
        </w:rPr>
      </w:pPr>
      <w:r>
        <w:rPr>
          <w:rFonts w:hint="eastAsia" w:cs="宋体"/>
          <w:color w:val="auto"/>
          <w:sz w:val="21"/>
          <w:highlight w:val="none"/>
        </w:rPr>
        <w:t>（2）合同解除后，承包人应支付的违约金；</w:t>
      </w:r>
    </w:p>
    <w:p w14:paraId="4FB7D3E7">
      <w:pPr>
        <w:pStyle w:val="79"/>
        <w:rPr>
          <w:rFonts w:cs="宋体"/>
          <w:color w:val="auto"/>
          <w:sz w:val="21"/>
          <w:highlight w:val="none"/>
        </w:rPr>
      </w:pPr>
      <w:r>
        <w:rPr>
          <w:rFonts w:hint="eastAsia" w:cs="宋体"/>
          <w:color w:val="auto"/>
          <w:sz w:val="21"/>
          <w:highlight w:val="none"/>
        </w:rPr>
        <w:t>（3）合同解除后，因解除合同给发包人造成的损失；</w:t>
      </w:r>
    </w:p>
    <w:p w14:paraId="5A491491">
      <w:pPr>
        <w:pStyle w:val="79"/>
        <w:rPr>
          <w:rFonts w:cs="宋体"/>
          <w:color w:val="auto"/>
          <w:sz w:val="21"/>
          <w:highlight w:val="none"/>
        </w:rPr>
      </w:pPr>
      <w:r>
        <w:rPr>
          <w:rFonts w:hint="eastAsia" w:cs="宋体"/>
          <w:color w:val="auto"/>
          <w:sz w:val="21"/>
          <w:highlight w:val="none"/>
        </w:rPr>
        <w:t>（4）合同解除后，承包人应按照发包人要求和监理人的指示完成现场的清理和撤离；</w:t>
      </w:r>
    </w:p>
    <w:p w14:paraId="40A6DBBD">
      <w:pPr>
        <w:pStyle w:val="79"/>
        <w:rPr>
          <w:rFonts w:cs="宋体"/>
          <w:color w:val="auto"/>
          <w:sz w:val="21"/>
          <w:highlight w:val="none"/>
        </w:rPr>
      </w:pPr>
      <w:r>
        <w:rPr>
          <w:rFonts w:hint="eastAsia" w:cs="宋体"/>
          <w:color w:val="auto"/>
          <w:sz w:val="21"/>
          <w:highlight w:val="none"/>
        </w:rPr>
        <w:t>（5）发包人和承包人应在合同解除后进行清算，出具最终结清付款证书，结清全部款项。</w:t>
      </w:r>
    </w:p>
    <w:p w14:paraId="5C48AC10">
      <w:pPr>
        <w:pStyle w:val="79"/>
        <w:rPr>
          <w:rFonts w:cs="宋体"/>
          <w:color w:val="auto"/>
          <w:sz w:val="21"/>
          <w:highlight w:val="none"/>
        </w:rPr>
      </w:pPr>
      <w:r>
        <w:rPr>
          <w:rFonts w:hint="eastAsia" w:cs="宋体"/>
          <w:color w:val="auto"/>
          <w:sz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6AFDC9D0">
      <w:pPr>
        <w:pStyle w:val="79"/>
        <w:rPr>
          <w:rFonts w:cs="宋体"/>
          <w:color w:val="auto"/>
          <w:sz w:val="21"/>
          <w:highlight w:val="none"/>
        </w:rPr>
      </w:pPr>
      <w:r>
        <w:rPr>
          <w:rFonts w:hint="eastAsia" w:cs="宋体"/>
          <w:color w:val="auto"/>
          <w:sz w:val="21"/>
          <w:highlight w:val="none"/>
        </w:rPr>
        <w:t>16.2.5采购合同权益转让</w:t>
      </w:r>
    </w:p>
    <w:p w14:paraId="25340EE6">
      <w:pPr>
        <w:pStyle w:val="79"/>
        <w:rPr>
          <w:rFonts w:cs="宋体"/>
          <w:color w:val="auto"/>
          <w:sz w:val="21"/>
          <w:highlight w:val="none"/>
        </w:rPr>
      </w:pPr>
      <w:r>
        <w:rPr>
          <w:rFonts w:hint="eastAsia" w:cs="宋体"/>
          <w:color w:val="auto"/>
          <w:sz w:val="21"/>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592C5B67">
      <w:pPr>
        <w:pStyle w:val="321"/>
        <w:rPr>
          <w:rFonts w:ascii="宋体" w:cs="宋体"/>
          <w:color w:val="auto"/>
          <w:highlight w:val="none"/>
        </w:rPr>
      </w:pPr>
      <w:bookmarkStart w:id="626" w:name="_Toc478389155"/>
      <w:bookmarkStart w:id="627" w:name="_Toc351203606"/>
      <w:r>
        <w:rPr>
          <w:rFonts w:hint="eastAsia" w:ascii="宋体" w:cs="宋体"/>
          <w:color w:val="auto"/>
          <w:highlight w:val="none"/>
        </w:rPr>
        <w:t>16.3 第三人造成的违约</w:t>
      </w:r>
      <w:bookmarkEnd w:id="626"/>
      <w:bookmarkEnd w:id="627"/>
    </w:p>
    <w:p w14:paraId="15BB740F">
      <w:pPr>
        <w:pStyle w:val="79"/>
        <w:rPr>
          <w:rFonts w:cs="宋体"/>
          <w:color w:val="auto"/>
          <w:sz w:val="21"/>
          <w:highlight w:val="none"/>
        </w:rPr>
      </w:pPr>
      <w:r>
        <w:rPr>
          <w:rFonts w:hint="eastAsia" w:cs="宋体"/>
          <w:color w:val="auto"/>
          <w:sz w:val="21"/>
          <w:highlight w:val="none"/>
        </w:rPr>
        <w:t>在履行合同过程中，一方当事人因第三人的原因造成违约的，应当向对方当事人承担违约责任。一方当事人和第三人之间的纠纷，依照法律规定或者按照约定解决。</w:t>
      </w:r>
    </w:p>
    <w:p w14:paraId="53601DAB">
      <w:pPr>
        <w:pStyle w:val="321"/>
        <w:rPr>
          <w:rFonts w:ascii="宋体" w:cs="宋体"/>
          <w:color w:val="auto"/>
          <w:highlight w:val="none"/>
        </w:rPr>
      </w:pPr>
      <w:bookmarkStart w:id="628" w:name="_Toc296346617"/>
      <w:bookmarkStart w:id="629" w:name="_Toc337558823"/>
      <w:bookmarkStart w:id="630" w:name="_Toc478389156"/>
      <w:bookmarkStart w:id="631" w:name="_Toc351203607"/>
      <w:bookmarkStart w:id="632" w:name="_Toc296503116"/>
      <w:r>
        <w:rPr>
          <w:rFonts w:hint="eastAsia" w:ascii="宋体" w:cs="宋体"/>
          <w:color w:val="auto"/>
          <w:highlight w:val="none"/>
        </w:rPr>
        <w:t>17. 不可抗力</w:t>
      </w:r>
      <w:bookmarkEnd w:id="628"/>
      <w:bookmarkEnd w:id="629"/>
      <w:bookmarkEnd w:id="630"/>
      <w:bookmarkEnd w:id="631"/>
      <w:bookmarkEnd w:id="632"/>
    </w:p>
    <w:p w14:paraId="295F0822">
      <w:pPr>
        <w:pStyle w:val="321"/>
        <w:rPr>
          <w:rFonts w:ascii="宋体" w:cs="宋体"/>
          <w:color w:val="auto"/>
          <w:highlight w:val="none"/>
        </w:rPr>
      </w:pPr>
      <w:bookmarkStart w:id="633" w:name="_Toc351203608"/>
      <w:bookmarkStart w:id="634" w:name="_Toc478389157"/>
      <w:bookmarkStart w:id="635" w:name="_Toc296346618"/>
      <w:bookmarkStart w:id="636" w:name="_Toc296503117"/>
      <w:bookmarkStart w:id="637" w:name="_Toc337558824"/>
      <w:r>
        <w:rPr>
          <w:rFonts w:hint="eastAsia" w:ascii="宋体" w:cs="宋体"/>
          <w:color w:val="auto"/>
          <w:highlight w:val="none"/>
        </w:rPr>
        <w:t>17.1 不可抗力的确认</w:t>
      </w:r>
      <w:bookmarkEnd w:id="633"/>
      <w:bookmarkEnd w:id="634"/>
    </w:p>
    <w:bookmarkEnd w:id="635"/>
    <w:bookmarkEnd w:id="636"/>
    <w:bookmarkEnd w:id="637"/>
    <w:p w14:paraId="3DC7C01E">
      <w:pPr>
        <w:pStyle w:val="79"/>
        <w:rPr>
          <w:rFonts w:cs="宋体"/>
          <w:color w:val="auto"/>
          <w:sz w:val="21"/>
          <w:highlight w:val="none"/>
        </w:rPr>
      </w:pPr>
      <w:r>
        <w:rPr>
          <w:rFonts w:hint="eastAsia" w:cs="宋体"/>
          <w:color w:val="auto"/>
          <w:sz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3322087B">
      <w:pPr>
        <w:pStyle w:val="79"/>
        <w:rPr>
          <w:rFonts w:cs="宋体"/>
          <w:color w:val="auto"/>
          <w:sz w:val="21"/>
          <w:highlight w:val="none"/>
        </w:rPr>
      </w:pPr>
      <w:r>
        <w:rPr>
          <w:rFonts w:hint="eastAsia" w:cs="宋体"/>
          <w:color w:val="auto"/>
          <w:sz w:val="21"/>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3BAC1865">
      <w:pPr>
        <w:pStyle w:val="321"/>
        <w:rPr>
          <w:rFonts w:ascii="宋体" w:cs="宋体"/>
          <w:color w:val="auto"/>
          <w:highlight w:val="none"/>
        </w:rPr>
      </w:pPr>
      <w:bookmarkStart w:id="638" w:name="_Toc478389158"/>
      <w:bookmarkStart w:id="639" w:name="_Toc351203609"/>
      <w:bookmarkStart w:id="640" w:name="_Toc296503118"/>
      <w:bookmarkStart w:id="641" w:name="_Toc337558825"/>
      <w:bookmarkStart w:id="642" w:name="_Toc296346619"/>
      <w:r>
        <w:rPr>
          <w:rFonts w:hint="eastAsia" w:ascii="宋体" w:cs="宋体"/>
          <w:color w:val="auto"/>
          <w:highlight w:val="none"/>
        </w:rPr>
        <w:t>17.2 不可抗力的通知</w:t>
      </w:r>
      <w:bookmarkEnd w:id="638"/>
      <w:bookmarkEnd w:id="639"/>
    </w:p>
    <w:bookmarkEnd w:id="640"/>
    <w:bookmarkEnd w:id="641"/>
    <w:bookmarkEnd w:id="642"/>
    <w:p w14:paraId="5430BFFE">
      <w:pPr>
        <w:pStyle w:val="79"/>
        <w:rPr>
          <w:rFonts w:cs="宋体"/>
          <w:color w:val="auto"/>
          <w:sz w:val="21"/>
          <w:highlight w:val="none"/>
        </w:rPr>
      </w:pPr>
      <w:r>
        <w:rPr>
          <w:rFonts w:hint="eastAsia" w:cs="宋体"/>
          <w:color w:val="auto"/>
          <w:sz w:val="21"/>
          <w:highlight w:val="none"/>
        </w:rPr>
        <w:t>合同一方当事人遇到不可抗力事件，使其履行合同义务受到阻碍时，应立即通知合同另一方当事人和监理人，书面说明不可抗力和受阻碍的详细情况，并提供必要的证明。</w:t>
      </w:r>
    </w:p>
    <w:p w14:paraId="6D42634A">
      <w:pPr>
        <w:pStyle w:val="79"/>
        <w:ind w:firstLine="315" w:firstLineChars="150"/>
        <w:rPr>
          <w:rFonts w:cs="宋体"/>
          <w:color w:val="auto"/>
          <w:sz w:val="21"/>
          <w:highlight w:val="none"/>
        </w:rPr>
      </w:pPr>
      <w:r>
        <w:rPr>
          <w:rFonts w:hint="eastAsia" w:cs="宋体"/>
          <w:color w:val="auto"/>
          <w:sz w:val="21"/>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26E7FCEE">
      <w:pPr>
        <w:pStyle w:val="321"/>
        <w:rPr>
          <w:rFonts w:ascii="宋体" w:cs="宋体"/>
          <w:color w:val="auto"/>
          <w:highlight w:val="none"/>
        </w:rPr>
      </w:pPr>
      <w:bookmarkStart w:id="643" w:name="_Toc351203610"/>
      <w:bookmarkStart w:id="644" w:name="_Toc478389159"/>
      <w:bookmarkStart w:id="645" w:name="_Toc296503119"/>
      <w:bookmarkStart w:id="646" w:name="_Toc296346620"/>
      <w:bookmarkStart w:id="647" w:name="_Toc337558826"/>
      <w:r>
        <w:rPr>
          <w:rFonts w:hint="eastAsia" w:ascii="宋体" w:cs="宋体"/>
          <w:color w:val="auto"/>
          <w:highlight w:val="none"/>
        </w:rPr>
        <w:t>17.3 不可抗力后果的承担</w:t>
      </w:r>
      <w:bookmarkEnd w:id="643"/>
      <w:bookmarkEnd w:id="644"/>
    </w:p>
    <w:bookmarkEnd w:id="645"/>
    <w:bookmarkEnd w:id="646"/>
    <w:bookmarkEnd w:id="647"/>
    <w:p w14:paraId="2CDEF16E">
      <w:pPr>
        <w:pStyle w:val="79"/>
        <w:rPr>
          <w:rFonts w:cs="宋体"/>
          <w:color w:val="auto"/>
          <w:sz w:val="21"/>
          <w:highlight w:val="none"/>
        </w:rPr>
      </w:pPr>
      <w:r>
        <w:rPr>
          <w:rFonts w:hint="eastAsia" w:cs="宋体"/>
          <w:color w:val="auto"/>
          <w:sz w:val="21"/>
          <w:highlight w:val="none"/>
        </w:rPr>
        <w:t>17.3.1不可抗力引起的后果及造成的损失由合同当事人按照法律规定及合同约定各自承担。不可抗力发生前已完成的工程应当按照合同约定进行计量支付。</w:t>
      </w:r>
    </w:p>
    <w:p w14:paraId="7FE0E0EC">
      <w:pPr>
        <w:pStyle w:val="79"/>
        <w:rPr>
          <w:rFonts w:cs="宋体"/>
          <w:color w:val="auto"/>
          <w:sz w:val="21"/>
          <w:highlight w:val="none"/>
        </w:rPr>
      </w:pPr>
      <w:r>
        <w:rPr>
          <w:rFonts w:hint="eastAsia" w:cs="宋体"/>
          <w:color w:val="auto"/>
          <w:sz w:val="21"/>
          <w:highlight w:val="none"/>
        </w:rPr>
        <w:t>17.3.2不可抗力导致的人员伤亡、财产损失、费用增加和（或）工期延误等后果，由合同当事人按以下原则承担：</w:t>
      </w:r>
    </w:p>
    <w:p w14:paraId="7121C760">
      <w:pPr>
        <w:pStyle w:val="79"/>
        <w:rPr>
          <w:rFonts w:cs="宋体"/>
          <w:color w:val="auto"/>
          <w:sz w:val="21"/>
          <w:highlight w:val="none"/>
        </w:rPr>
      </w:pPr>
      <w:r>
        <w:rPr>
          <w:rFonts w:hint="eastAsia" w:cs="宋体"/>
          <w:color w:val="auto"/>
          <w:sz w:val="21"/>
          <w:highlight w:val="none"/>
        </w:rPr>
        <w:t>（1）永久工程、已运至施工现场的材料和工程设备的损坏，以及因工程损坏造成的第三人人员伤亡和财产损失由发包人承担；</w:t>
      </w:r>
    </w:p>
    <w:p w14:paraId="37EAA1A4">
      <w:pPr>
        <w:pStyle w:val="79"/>
        <w:rPr>
          <w:rFonts w:cs="宋体"/>
          <w:color w:val="auto"/>
          <w:sz w:val="21"/>
          <w:highlight w:val="none"/>
        </w:rPr>
      </w:pPr>
      <w:r>
        <w:rPr>
          <w:rFonts w:hint="eastAsia" w:cs="宋体"/>
          <w:color w:val="auto"/>
          <w:sz w:val="21"/>
          <w:highlight w:val="none"/>
        </w:rPr>
        <w:t>（2）承包人施工设备的损坏由承包人承担；</w:t>
      </w:r>
    </w:p>
    <w:p w14:paraId="3F47DC7B">
      <w:pPr>
        <w:pStyle w:val="79"/>
        <w:rPr>
          <w:rFonts w:cs="宋体"/>
          <w:color w:val="auto"/>
          <w:sz w:val="21"/>
          <w:highlight w:val="none"/>
        </w:rPr>
      </w:pPr>
      <w:r>
        <w:rPr>
          <w:rFonts w:hint="eastAsia" w:cs="宋体"/>
          <w:color w:val="auto"/>
          <w:sz w:val="21"/>
          <w:highlight w:val="none"/>
        </w:rPr>
        <w:t>（3）发包人和承包人承担各自人员伤亡和财产的损失；</w:t>
      </w:r>
    </w:p>
    <w:p w14:paraId="42E23499">
      <w:pPr>
        <w:pStyle w:val="79"/>
        <w:rPr>
          <w:rFonts w:cs="宋体"/>
          <w:color w:val="auto"/>
          <w:sz w:val="21"/>
          <w:highlight w:val="none"/>
        </w:rPr>
      </w:pPr>
      <w:r>
        <w:rPr>
          <w:rFonts w:hint="eastAsia" w:cs="宋体"/>
          <w:color w:val="auto"/>
          <w:sz w:val="21"/>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7B08AA38">
      <w:pPr>
        <w:pStyle w:val="79"/>
        <w:rPr>
          <w:rFonts w:cs="宋体"/>
          <w:color w:val="auto"/>
          <w:sz w:val="21"/>
          <w:highlight w:val="none"/>
        </w:rPr>
      </w:pPr>
      <w:r>
        <w:rPr>
          <w:rFonts w:hint="eastAsia" w:cs="宋体"/>
          <w:color w:val="auto"/>
          <w:sz w:val="21"/>
          <w:highlight w:val="none"/>
        </w:rPr>
        <w:t>（5）因不可抗力引起或将引起工期延误，发包人要求赶工的，由此增加的赶工费用由发包人承担；</w:t>
      </w:r>
    </w:p>
    <w:p w14:paraId="167721FA">
      <w:pPr>
        <w:pStyle w:val="79"/>
        <w:rPr>
          <w:rFonts w:cs="宋体"/>
          <w:color w:val="auto"/>
          <w:sz w:val="21"/>
          <w:highlight w:val="none"/>
        </w:rPr>
      </w:pPr>
      <w:r>
        <w:rPr>
          <w:rFonts w:hint="eastAsia" w:cs="宋体"/>
          <w:color w:val="auto"/>
          <w:sz w:val="21"/>
          <w:highlight w:val="none"/>
        </w:rPr>
        <w:t>（6）承包人在停工期间按照发包人要求照管、清理和修复工程的费用由发包人承担。</w:t>
      </w:r>
    </w:p>
    <w:p w14:paraId="735F4291">
      <w:pPr>
        <w:pStyle w:val="79"/>
        <w:rPr>
          <w:rFonts w:cs="宋体"/>
          <w:color w:val="auto"/>
          <w:sz w:val="21"/>
          <w:highlight w:val="none"/>
        </w:rPr>
      </w:pPr>
      <w:r>
        <w:rPr>
          <w:rFonts w:hint="eastAsia" w:cs="宋体"/>
          <w:color w:val="auto"/>
          <w:sz w:val="21"/>
          <w:highlight w:val="none"/>
        </w:rPr>
        <w:t>不可抗力发生后，合同当事人均应采取措施尽量避免和减少损失的扩大，任何一方当事人没有采取有效措施导致损失扩大的，应对扩大的损失承担责任。</w:t>
      </w:r>
    </w:p>
    <w:p w14:paraId="2889B135">
      <w:pPr>
        <w:pStyle w:val="79"/>
        <w:rPr>
          <w:rFonts w:cs="宋体"/>
          <w:color w:val="auto"/>
          <w:sz w:val="21"/>
          <w:highlight w:val="none"/>
        </w:rPr>
      </w:pPr>
      <w:r>
        <w:rPr>
          <w:rFonts w:hint="eastAsia" w:cs="宋体"/>
          <w:color w:val="auto"/>
          <w:sz w:val="21"/>
          <w:highlight w:val="none"/>
        </w:rPr>
        <w:t>因合同一方迟延履行合同义务，在迟延履行期间遭遇不可抗力的，不免除其违约责任。</w:t>
      </w:r>
    </w:p>
    <w:p w14:paraId="456013E6">
      <w:pPr>
        <w:pStyle w:val="321"/>
        <w:rPr>
          <w:rFonts w:ascii="宋体" w:cs="宋体"/>
          <w:color w:val="auto"/>
          <w:highlight w:val="none"/>
        </w:rPr>
      </w:pPr>
      <w:bookmarkStart w:id="648" w:name="_Toc478389160"/>
      <w:bookmarkStart w:id="649" w:name="_Toc351203611"/>
      <w:bookmarkStart w:id="650" w:name="_Toc337558827"/>
      <w:r>
        <w:rPr>
          <w:rFonts w:hint="eastAsia" w:ascii="宋体" w:cs="宋体"/>
          <w:color w:val="auto"/>
          <w:highlight w:val="none"/>
        </w:rPr>
        <w:t>17.4 因不可抗力解除合同</w:t>
      </w:r>
      <w:bookmarkEnd w:id="648"/>
      <w:bookmarkEnd w:id="649"/>
    </w:p>
    <w:bookmarkEnd w:id="650"/>
    <w:p w14:paraId="11E829A3">
      <w:pPr>
        <w:pStyle w:val="79"/>
        <w:rPr>
          <w:rFonts w:cs="宋体"/>
          <w:color w:val="auto"/>
          <w:sz w:val="21"/>
          <w:highlight w:val="none"/>
        </w:rPr>
      </w:pPr>
      <w:r>
        <w:rPr>
          <w:rFonts w:hint="eastAsia" w:cs="宋体"/>
          <w:color w:val="auto"/>
          <w:sz w:val="21"/>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129205D8">
      <w:pPr>
        <w:pStyle w:val="79"/>
        <w:rPr>
          <w:rFonts w:cs="宋体"/>
          <w:color w:val="auto"/>
          <w:sz w:val="21"/>
          <w:highlight w:val="none"/>
        </w:rPr>
      </w:pPr>
      <w:r>
        <w:rPr>
          <w:rFonts w:hint="eastAsia" w:cs="宋体"/>
          <w:color w:val="auto"/>
          <w:sz w:val="21"/>
          <w:highlight w:val="none"/>
        </w:rPr>
        <w:t>（1）合同解除前承包人已完成工作的价款；</w:t>
      </w:r>
    </w:p>
    <w:p w14:paraId="06F6E8B8">
      <w:pPr>
        <w:pStyle w:val="79"/>
        <w:rPr>
          <w:rFonts w:cs="宋体"/>
          <w:color w:val="auto"/>
          <w:sz w:val="21"/>
          <w:highlight w:val="none"/>
        </w:rPr>
      </w:pPr>
      <w:r>
        <w:rPr>
          <w:rFonts w:hint="eastAsia" w:cs="宋体"/>
          <w:color w:val="auto"/>
          <w:sz w:val="21"/>
          <w:highlight w:val="none"/>
        </w:rPr>
        <w:t>（2）承包人为工程订购的并已交付给承包人，或承包人有责任接受交付的材料、工程设备和其他物品的价款；</w:t>
      </w:r>
    </w:p>
    <w:p w14:paraId="494A85A1">
      <w:pPr>
        <w:pStyle w:val="79"/>
        <w:rPr>
          <w:rFonts w:cs="宋体"/>
          <w:color w:val="auto"/>
          <w:sz w:val="21"/>
          <w:highlight w:val="none"/>
        </w:rPr>
      </w:pPr>
      <w:r>
        <w:rPr>
          <w:rFonts w:hint="eastAsia" w:cs="宋体"/>
          <w:color w:val="auto"/>
          <w:sz w:val="21"/>
          <w:highlight w:val="none"/>
        </w:rPr>
        <w:t>（3）发包人要求承包人退货或解除订货合同而产生的费用，或因不能退货或解除合同而产生的损失；</w:t>
      </w:r>
    </w:p>
    <w:p w14:paraId="4AF54076">
      <w:pPr>
        <w:pStyle w:val="79"/>
        <w:rPr>
          <w:rFonts w:cs="宋体"/>
          <w:color w:val="auto"/>
          <w:sz w:val="21"/>
          <w:highlight w:val="none"/>
        </w:rPr>
      </w:pPr>
      <w:r>
        <w:rPr>
          <w:rFonts w:hint="eastAsia" w:cs="宋体"/>
          <w:color w:val="auto"/>
          <w:sz w:val="21"/>
          <w:highlight w:val="none"/>
        </w:rPr>
        <w:t>（4）承包人撤离施工现场以及遣散承包人人员的费用；</w:t>
      </w:r>
    </w:p>
    <w:p w14:paraId="3DB6D9F1">
      <w:pPr>
        <w:pStyle w:val="79"/>
        <w:rPr>
          <w:rFonts w:cs="宋体"/>
          <w:color w:val="auto"/>
          <w:sz w:val="21"/>
          <w:highlight w:val="none"/>
        </w:rPr>
      </w:pPr>
      <w:r>
        <w:rPr>
          <w:rFonts w:hint="eastAsia" w:cs="宋体"/>
          <w:color w:val="auto"/>
          <w:sz w:val="21"/>
          <w:highlight w:val="none"/>
        </w:rPr>
        <w:t>（5）按照合同约定在合同解除前应支付给承包人的其他款项；</w:t>
      </w:r>
    </w:p>
    <w:p w14:paraId="2AD3BBAF">
      <w:pPr>
        <w:pStyle w:val="79"/>
        <w:rPr>
          <w:rFonts w:cs="宋体"/>
          <w:color w:val="auto"/>
          <w:sz w:val="21"/>
          <w:highlight w:val="none"/>
        </w:rPr>
      </w:pPr>
      <w:r>
        <w:rPr>
          <w:rFonts w:hint="eastAsia" w:cs="宋体"/>
          <w:color w:val="auto"/>
          <w:sz w:val="21"/>
          <w:highlight w:val="none"/>
        </w:rPr>
        <w:t>（6）扣减承包人按照合同约定应向发包人支付的款项；</w:t>
      </w:r>
    </w:p>
    <w:p w14:paraId="17D3E6D8">
      <w:pPr>
        <w:pStyle w:val="79"/>
        <w:rPr>
          <w:rFonts w:cs="宋体"/>
          <w:color w:val="auto"/>
          <w:sz w:val="21"/>
          <w:highlight w:val="none"/>
        </w:rPr>
      </w:pPr>
      <w:r>
        <w:rPr>
          <w:rFonts w:hint="eastAsia" w:cs="宋体"/>
          <w:color w:val="auto"/>
          <w:sz w:val="21"/>
          <w:highlight w:val="none"/>
        </w:rPr>
        <w:t>（7）双方商定或确定的其他款项。</w:t>
      </w:r>
    </w:p>
    <w:p w14:paraId="374B9DC6">
      <w:pPr>
        <w:pStyle w:val="79"/>
        <w:rPr>
          <w:rFonts w:cs="宋体"/>
          <w:color w:val="auto"/>
          <w:sz w:val="21"/>
          <w:highlight w:val="none"/>
        </w:rPr>
      </w:pPr>
      <w:r>
        <w:rPr>
          <w:rFonts w:hint="eastAsia" w:cs="宋体"/>
          <w:color w:val="auto"/>
          <w:sz w:val="21"/>
          <w:highlight w:val="none"/>
        </w:rPr>
        <w:t>除专用合同条款另有约定外，合同解除后，发包人应在商定或确定上述款项后28天内完成上述款项的支付。</w:t>
      </w:r>
    </w:p>
    <w:p w14:paraId="6AF07C56">
      <w:pPr>
        <w:pStyle w:val="321"/>
        <w:rPr>
          <w:rFonts w:ascii="宋体" w:cs="宋体"/>
          <w:color w:val="auto"/>
          <w:highlight w:val="none"/>
        </w:rPr>
      </w:pPr>
      <w:bookmarkStart w:id="651" w:name="_Toc351203612"/>
      <w:bookmarkStart w:id="652" w:name="_Toc478389161"/>
      <w:bookmarkStart w:id="653" w:name="_Toc337558828"/>
      <w:bookmarkStart w:id="654" w:name="_Toc296346621"/>
      <w:bookmarkStart w:id="655" w:name="_Toc296503120"/>
      <w:r>
        <w:rPr>
          <w:rFonts w:hint="eastAsia" w:ascii="宋体" w:cs="宋体"/>
          <w:color w:val="auto"/>
          <w:highlight w:val="none"/>
        </w:rPr>
        <w:t>18. 保险</w:t>
      </w:r>
      <w:bookmarkEnd w:id="651"/>
      <w:bookmarkEnd w:id="652"/>
    </w:p>
    <w:bookmarkEnd w:id="653"/>
    <w:bookmarkEnd w:id="654"/>
    <w:bookmarkEnd w:id="655"/>
    <w:p w14:paraId="26DECD0E">
      <w:pPr>
        <w:pStyle w:val="321"/>
        <w:rPr>
          <w:rFonts w:ascii="宋体" w:cs="宋体"/>
          <w:color w:val="auto"/>
          <w:highlight w:val="none"/>
        </w:rPr>
      </w:pPr>
      <w:bookmarkStart w:id="656" w:name="_Toc478389162"/>
      <w:bookmarkStart w:id="657" w:name="_Toc351203613"/>
      <w:bookmarkStart w:id="658" w:name="_Toc337558829"/>
      <w:bookmarkStart w:id="659" w:name="_Toc296346622"/>
      <w:bookmarkStart w:id="660" w:name="_Toc296503121"/>
      <w:r>
        <w:rPr>
          <w:rFonts w:hint="eastAsia" w:ascii="宋体" w:cs="宋体"/>
          <w:color w:val="auto"/>
          <w:highlight w:val="none"/>
        </w:rPr>
        <w:t>18.1 工程保险</w:t>
      </w:r>
      <w:bookmarkEnd w:id="656"/>
      <w:bookmarkEnd w:id="657"/>
    </w:p>
    <w:bookmarkEnd w:id="658"/>
    <w:bookmarkEnd w:id="659"/>
    <w:bookmarkEnd w:id="660"/>
    <w:p w14:paraId="4C6D5572">
      <w:pPr>
        <w:pStyle w:val="79"/>
        <w:rPr>
          <w:rFonts w:cs="宋体"/>
          <w:color w:val="auto"/>
          <w:sz w:val="21"/>
          <w:highlight w:val="none"/>
        </w:rPr>
      </w:pPr>
      <w:r>
        <w:rPr>
          <w:rFonts w:hint="eastAsia" w:cs="宋体"/>
          <w:color w:val="auto"/>
          <w:sz w:val="21"/>
          <w:highlight w:val="none"/>
        </w:rPr>
        <w:t>除专用合同条款另有约定外，发包人应投保建筑工程一切险或安装工程一切险；发包人委托承包人投保的，因投保产生的保险费和其他相关费用由发包人承担。</w:t>
      </w:r>
    </w:p>
    <w:p w14:paraId="1973DB92">
      <w:pPr>
        <w:pStyle w:val="321"/>
        <w:rPr>
          <w:rFonts w:ascii="宋体" w:cs="宋体"/>
          <w:color w:val="auto"/>
          <w:highlight w:val="none"/>
        </w:rPr>
      </w:pPr>
      <w:bookmarkStart w:id="661" w:name="_Toc478389163"/>
      <w:bookmarkStart w:id="662" w:name="_Toc351203614"/>
      <w:bookmarkStart w:id="663" w:name="_Toc337558830"/>
      <w:bookmarkStart w:id="664" w:name="_Toc296346623"/>
      <w:bookmarkStart w:id="665" w:name="_Toc296503122"/>
      <w:r>
        <w:rPr>
          <w:rFonts w:hint="eastAsia" w:ascii="宋体" w:cs="宋体"/>
          <w:color w:val="auto"/>
          <w:highlight w:val="none"/>
        </w:rPr>
        <w:t>18.2 工伤保险</w:t>
      </w:r>
      <w:bookmarkEnd w:id="661"/>
      <w:bookmarkEnd w:id="662"/>
    </w:p>
    <w:bookmarkEnd w:id="663"/>
    <w:bookmarkEnd w:id="664"/>
    <w:bookmarkEnd w:id="665"/>
    <w:p w14:paraId="0CBB2BC3">
      <w:pPr>
        <w:pStyle w:val="79"/>
        <w:rPr>
          <w:rFonts w:cs="宋体"/>
          <w:color w:val="auto"/>
          <w:sz w:val="21"/>
          <w:highlight w:val="none"/>
        </w:rPr>
      </w:pPr>
      <w:r>
        <w:rPr>
          <w:rFonts w:hint="eastAsia" w:cs="宋体"/>
          <w:color w:val="auto"/>
          <w:sz w:val="21"/>
          <w:highlight w:val="none"/>
        </w:rPr>
        <w:t>18.2.1发包人应依照法律规定参加工伤保险，并为在施工现场的全部员工办理工伤保险，缴纳工伤保险费，并要求监理人及由发包人为履行合同聘请的第三方依法参加工伤保险。</w:t>
      </w:r>
    </w:p>
    <w:p w14:paraId="038A8267">
      <w:pPr>
        <w:pStyle w:val="79"/>
        <w:rPr>
          <w:rFonts w:cs="宋体"/>
          <w:color w:val="auto"/>
          <w:sz w:val="21"/>
          <w:highlight w:val="none"/>
        </w:rPr>
      </w:pPr>
      <w:r>
        <w:rPr>
          <w:rFonts w:hint="eastAsia" w:cs="宋体"/>
          <w:color w:val="auto"/>
          <w:sz w:val="21"/>
          <w:highlight w:val="none"/>
        </w:rPr>
        <w:t>18.2.2承包人应依照法律规定参加工伤保险，并为其履行合同的全部员工办理工伤保险，缴纳工伤保险费，并要求分包人及由承包人为履行合同聘请的第三方依法参加工伤保险。</w:t>
      </w:r>
    </w:p>
    <w:p w14:paraId="73B9637C">
      <w:pPr>
        <w:pStyle w:val="321"/>
        <w:rPr>
          <w:rFonts w:ascii="宋体" w:cs="宋体"/>
          <w:color w:val="auto"/>
          <w:highlight w:val="none"/>
        </w:rPr>
      </w:pPr>
      <w:bookmarkStart w:id="666" w:name="_Toc351203615"/>
      <w:bookmarkStart w:id="667" w:name="_Toc478389164"/>
      <w:bookmarkStart w:id="668" w:name="_Toc296503125"/>
      <w:bookmarkStart w:id="669" w:name="_Toc337558831"/>
      <w:bookmarkStart w:id="670" w:name="_Toc296346626"/>
      <w:r>
        <w:rPr>
          <w:rFonts w:hint="eastAsia" w:ascii="宋体" w:cs="宋体"/>
          <w:color w:val="auto"/>
          <w:highlight w:val="none"/>
        </w:rPr>
        <w:t>18.3其他保险</w:t>
      </w:r>
      <w:bookmarkEnd w:id="666"/>
      <w:bookmarkEnd w:id="667"/>
    </w:p>
    <w:bookmarkEnd w:id="668"/>
    <w:bookmarkEnd w:id="669"/>
    <w:bookmarkEnd w:id="670"/>
    <w:p w14:paraId="2A2A837C">
      <w:pPr>
        <w:pStyle w:val="79"/>
        <w:rPr>
          <w:rFonts w:cs="宋体"/>
          <w:color w:val="auto"/>
          <w:sz w:val="21"/>
          <w:highlight w:val="none"/>
        </w:rPr>
      </w:pPr>
      <w:r>
        <w:rPr>
          <w:rFonts w:hint="eastAsia" w:cs="宋体"/>
          <w:color w:val="auto"/>
          <w:sz w:val="21"/>
          <w:highlight w:val="none"/>
        </w:rPr>
        <w:t>发包人和承包人可以为其施工现场的全部人员办理意外伤害保险并支付保险费，包括其员工及为履行合同聘请的第三方的人员，具体事项由合同当事人在专用合同条款约定。</w:t>
      </w:r>
    </w:p>
    <w:p w14:paraId="3C02F434">
      <w:pPr>
        <w:pStyle w:val="79"/>
        <w:rPr>
          <w:rFonts w:cs="宋体"/>
          <w:color w:val="auto"/>
          <w:sz w:val="21"/>
          <w:highlight w:val="none"/>
        </w:rPr>
      </w:pPr>
      <w:r>
        <w:rPr>
          <w:rFonts w:hint="eastAsia" w:cs="宋体"/>
          <w:color w:val="auto"/>
          <w:sz w:val="21"/>
          <w:highlight w:val="none"/>
        </w:rPr>
        <w:t>除专用合同条款另有约定外，承包人应为其施工设备等办理财产保险。</w:t>
      </w:r>
    </w:p>
    <w:p w14:paraId="585F45A8">
      <w:pPr>
        <w:pStyle w:val="321"/>
        <w:rPr>
          <w:rFonts w:ascii="宋体" w:cs="宋体"/>
          <w:color w:val="auto"/>
          <w:highlight w:val="none"/>
        </w:rPr>
      </w:pPr>
      <w:bookmarkStart w:id="671" w:name="_Toc478389165"/>
      <w:bookmarkStart w:id="672" w:name="_Toc351203616"/>
      <w:r>
        <w:rPr>
          <w:rFonts w:hint="eastAsia" w:ascii="宋体" w:cs="宋体"/>
          <w:color w:val="auto"/>
          <w:highlight w:val="none"/>
        </w:rPr>
        <w:t>18.4持续保险</w:t>
      </w:r>
      <w:bookmarkEnd w:id="671"/>
      <w:bookmarkEnd w:id="672"/>
    </w:p>
    <w:p w14:paraId="5A0024E8">
      <w:pPr>
        <w:pStyle w:val="79"/>
        <w:rPr>
          <w:rFonts w:cs="宋体"/>
          <w:color w:val="auto"/>
          <w:sz w:val="21"/>
          <w:highlight w:val="none"/>
        </w:rPr>
      </w:pPr>
      <w:r>
        <w:rPr>
          <w:rFonts w:hint="eastAsia" w:cs="宋体"/>
          <w:color w:val="auto"/>
          <w:sz w:val="21"/>
          <w:highlight w:val="none"/>
        </w:rPr>
        <w:t>合同当事人应与保险人保持联系，使保险人能够随时了解工程实施中的变动，并确保按保险合同条款要求持续保险。</w:t>
      </w:r>
    </w:p>
    <w:p w14:paraId="5294C12E">
      <w:pPr>
        <w:pStyle w:val="321"/>
        <w:rPr>
          <w:rFonts w:ascii="宋体" w:cs="宋体"/>
          <w:color w:val="auto"/>
          <w:highlight w:val="none"/>
        </w:rPr>
      </w:pPr>
      <w:bookmarkStart w:id="673" w:name="_Toc351203617"/>
      <w:bookmarkStart w:id="674" w:name="_Toc478389166"/>
      <w:bookmarkStart w:id="675" w:name="_Toc337558832"/>
      <w:bookmarkStart w:id="676" w:name="_Toc296503126"/>
      <w:bookmarkStart w:id="677" w:name="_Toc296346627"/>
      <w:r>
        <w:rPr>
          <w:rFonts w:hint="eastAsia" w:ascii="宋体" w:cs="宋体"/>
          <w:color w:val="auto"/>
          <w:highlight w:val="none"/>
        </w:rPr>
        <w:t>18.5 保险凭证</w:t>
      </w:r>
      <w:bookmarkEnd w:id="673"/>
      <w:bookmarkEnd w:id="674"/>
    </w:p>
    <w:bookmarkEnd w:id="675"/>
    <w:bookmarkEnd w:id="676"/>
    <w:bookmarkEnd w:id="677"/>
    <w:p w14:paraId="2FC3E6F1">
      <w:pPr>
        <w:pStyle w:val="79"/>
        <w:rPr>
          <w:rFonts w:cs="宋体"/>
          <w:color w:val="auto"/>
          <w:sz w:val="21"/>
          <w:highlight w:val="none"/>
        </w:rPr>
      </w:pPr>
      <w:r>
        <w:rPr>
          <w:rFonts w:hint="eastAsia" w:cs="宋体"/>
          <w:color w:val="auto"/>
          <w:sz w:val="21"/>
          <w:highlight w:val="none"/>
        </w:rPr>
        <w:t>合同当事人应及时向另一方当事人提交其已投保的各项保险的凭证和保险单复印件。</w:t>
      </w:r>
    </w:p>
    <w:p w14:paraId="097F6E3E">
      <w:pPr>
        <w:pStyle w:val="321"/>
        <w:rPr>
          <w:rFonts w:ascii="宋体" w:cs="宋体"/>
          <w:color w:val="auto"/>
          <w:highlight w:val="none"/>
        </w:rPr>
      </w:pPr>
      <w:bookmarkStart w:id="678" w:name="_Toc351203618"/>
      <w:bookmarkStart w:id="679" w:name="_Toc478389167"/>
      <w:bookmarkStart w:id="680" w:name="_Toc296346628"/>
      <w:bookmarkStart w:id="681" w:name="_Toc337558833"/>
      <w:bookmarkStart w:id="682" w:name="_Toc296503127"/>
      <w:r>
        <w:rPr>
          <w:rFonts w:hint="eastAsia" w:ascii="宋体" w:cs="宋体"/>
          <w:color w:val="auto"/>
          <w:highlight w:val="none"/>
        </w:rPr>
        <w:t>18.6 未按约定投保的补救</w:t>
      </w:r>
      <w:bookmarkEnd w:id="678"/>
      <w:bookmarkEnd w:id="679"/>
    </w:p>
    <w:bookmarkEnd w:id="680"/>
    <w:bookmarkEnd w:id="681"/>
    <w:bookmarkEnd w:id="682"/>
    <w:p w14:paraId="78B4E6F5">
      <w:pPr>
        <w:pStyle w:val="79"/>
        <w:rPr>
          <w:rFonts w:cs="宋体"/>
          <w:color w:val="auto"/>
          <w:sz w:val="21"/>
          <w:highlight w:val="none"/>
        </w:rPr>
      </w:pPr>
      <w:r>
        <w:rPr>
          <w:rFonts w:hint="eastAsia" w:cs="宋体"/>
          <w:color w:val="auto"/>
          <w:sz w:val="21"/>
          <w:highlight w:val="none"/>
        </w:rPr>
        <w:t>18.6.1发包人未按合同约定办理保险，或未能使保险持续有效的，则承包人可代为办理，所需费用由发包人承担。发包人未按合同约定办理保险，导致未能得到足额赔偿的，由发包人负责补足。</w:t>
      </w:r>
    </w:p>
    <w:p w14:paraId="4F0D4C2D">
      <w:pPr>
        <w:pStyle w:val="79"/>
        <w:rPr>
          <w:rFonts w:cs="宋体"/>
          <w:color w:val="auto"/>
          <w:sz w:val="21"/>
          <w:highlight w:val="none"/>
        </w:rPr>
      </w:pPr>
      <w:r>
        <w:rPr>
          <w:rFonts w:hint="eastAsia" w:cs="宋体"/>
          <w:color w:val="auto"/>
          <w:sz w:val="21"/>
          <w:highlight w:val="none"/>
        </w:rPr>
        <w:t>18.6.2承包人未按合同约定办理保险，或未能使保险持续有效的，则发包人可代为办理，所需费用由承包人承担。承包人未按合同约定办理保险，导致未能得到足额赔偿的，由承包人负责补足。</w:t>
      </w:r>
    </w:p>
    <w:p w14:paraId="4C3027E6">
      <w:pPr>
        <w:pStyle w:val="321"/>
        <w:rPr>
          <w:rFonts w:ascii="宋体" w:cs="宋体"/>
          <w:color w:val="auto"/>
          <w:highlight w:val="none"/>
        </w:rPr>
      </w:pPr>
      <w:bookmarkStart w:id="683" w:name="_Toc478389168"/>
      <w:bookmarkStart w:id="684" w:name="_Toc351203619"/>
      <w:bookmarkStart w:id="685" w:name="_Toc337558834"/>
      <w:r>
        <w:rPr>
          <w:rFonts w:hint="eastAsia" w:ascii="宋体" w:cs="宋体"/>
          <w:color w:val="auto"/>
          <w:highlight w:val="none"/>
        </w:rPr>
        <w:t>18.7 通知义务</w:t>
      </w:r>
      <w:bookmarkEnd w:id="683"/>
      <w:bookmarkEnd w:id="684"/>
    </w:p>
    <w:bookmarkEnd w:id="685"/>
    <w:p w14:paraId="6E777C51">
      <w:pPr>
        <w:pStyle w:val="79"/>
        <w:rPr>
          <w:rFonts w:cs="宋体"/>
          <w:color w:val="auto"/>
          <w:sz w:val="21"/>
          <w:highlight w:val="none"/>
        </w:rPr>
      </w:pPr>
      <w:r>
        <w:rPr>
          <w:rFonts w:hint="eastAsia" w:cs="宋体"/>
          <w:color w:val="auto"/>
          <w:sz w:val="21"/>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78E9207D">
      <w:pPr>
        <w:pStyle w:val="79"/>
        <w:rPr>
          <w:rFonts w:cs="宋体"/>
          <w:color w:val="auto"/>
          <w:sz w:val="21"/>
          <w:highlight w:val="none"/>
        </w:rPr>
      </w:pPr>
      <w:r>
        <w:rPr>
          <w:rFonts w:hint="eastAsia" w:cs="宋体"/>
          <w:color w:val="auto"/>
          <w:sz w:val="21"/>
          <w:highlight w:val="none"/>
        </w:rPr>
        <w:t>保险事故发生时，投保人应按照保险合同规定的条件和期限及时向保险人报告。发包人和承包人应当在知道保险事故发生后及时通知对方。</w:t>
      </w:r>
    </w:p>
    <w:p w14:paraId="22905F5C">
      <w:pPr>
        <w:pStyle w:val="321"/>
        <w:rPr>
          <w:rFonts w:ascii="宋体" w:cs="宋体"/>
          <w:color w:val="auto"/>
          <w:highlight w:val="none"/>
        </w:rPr>
      </w:pPr>
      <w:bookmarkStart w:id="686" w:name="_Toc351203620"/>
      <w:bookmarkStart w:id="687" w:name="_Toc478389169"/>
      <w:bookmarkStart w:id="688" w:name="_Toc296503140"/>
      <w:bookmarkStart w:id="689" w:name="_Toc296346641"/>
      <w:bookmarkStart w:id="690" w:name="_Toc337558835"/>
      <w:r>
        <w:rPr>
          <w:rFonts w:hint="eastAsia" w:ascii="宋体" w:cs="宋体"/>
          <w:color w:val="auto"/>
          <w:highlight w:val="none"/>
        </w:rPr>
        <w:t>19. 索赔</w:t>
      </w:r>
      <w:bookmarkEnd w:id="686"/>
      <w:bookmarkEnd w:id="687"/>
    </w:p>
    <w:bookmarkEnd w:id="688"/>
    <w:bookmarkEnd w:id="689"/>
    <w:bookmarkEnd w:id="690"/>
    <w:p w14:paraId="17A72152">
      <w:pPr>
        <w:pStyle w:val="321"/>
        <w:rPr>
          <w:rFonts w:ascii="宋体" w:cs="宋体"/>
          <w:color w:val="auto"/>
          <w:highlight w:val="none"/>
        </w:rPr>
      </w:pPr>
      <w:bookmarkStart w:id="691" w:name="_Toc478389170"/>
      <w:bookmarkStart w:id="692" w:name="_Toc351203621"/>
      <w:bookmarkStart w:id="693" w:name="_Toc296503141"/>
      <w:bookmarkStart w:id="694" w:name="_Toc337558836"/>
      <w:bookmarkStart w:id="695" w:name="_Toc296346642"/>
      <w:r>
        <w:rPr>
          <w:rFonts w:hint="eastAsia" w:ascii="宋体" w:cs="宋体"/>
          <w:color w:val="auto"/>
          <w:highlight w:val="none"/>
        </w:rPr>
        <w:t>19.1承包人的索赔</w:t>
      </w:r>
      <w:bookmarkEnd w:id="691"/>
      <w:bookmarkEnd w:id="692"/>
    </w:p>
    <w:bookmarkEnd w:id="693"/>
    <w:bookmarkEnd w:id="694"/>
    <w:bookmarkEnd w:id="695"/>
    <w:p w14:paraId="01B5F28D">
      <w:pPr>
        <w:pStyle w:val="79"/>
        <w:rPr>
          <w:rFonts w:cs="宋体"/>
          <w:color w:val="auto"/>
          <w:sz w:val="21"/>
          <w:highlight w:val="none"/>
        </w:rPr>
      </w:pPr>
      <w:r>
        <w:rPr>
          <w:rFonts w:hint="eastAsia" w:cs="宋体"/>
          <w:color w:val="auto"/>
          <w:sz w:val="21"/>
          <w:highlight w:val="none"/>
        </w:rPr>
        <w:t>根据合同约定，承包人认为有权得到追加付款和（或）延长工期的，应按以下程序向发包人提出索赔：</w:t>
      </w:r>
    </w:p>
    <w:p w14:paraId="3C26C1B2">
      <w:pPr>
        <w:pStyle w:val="79"/>
        <w:rPr>
          <w:rFonts w:cs="宋体"/>
          <w:color w:val="auto"/>
          <w:sz w:val="21"/>
          <w:highlight w:val="none"/>
        </w:rPr>
      </w:pPr>
      <w:r>
        <w:rPr>
          <w:rFonts w:hint="eastAsia" w:cs="宋体"/>
          <w:color w:val="auto"/>
          <w:sz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35E1A588">
      <w:pPr>
        <w:pStyle w:val="79"/>
        <w:rPr>
          <w:rFonts w:cs="宋体"/>
          <w:color w:val="auto"/>
          <w:sz w:val="21"/>
          <w:highlight w:val="none"/>
        </w:rPr>
      </w:pPr>
      <w:r>
        <w:rPr>
          <w:rFonts w:hint="eastAsia" w:cs="宋体"/>
          <w:color w:val="auto"/>
          <w:sz w:val="21"/>
          <w:highlight w:val="none"/>
        </w:rPr>
        <w:t>（2）承包人应在发出索赔意向通知书后28天内，向监理人正式递交索赔报告；索赔报告应详细说明索赔理由以及要求追加的付款金额和（或）延长的工期，并附必要的记录和证明材料；</w:t>
      </w:r>
    </w:p>
    <w:p w14:paraId="2C98110C">
      <w:pPr>
        <w:pStyle w:val="79"/>
        <w:rPr>
          <w:rFonts w:cs="宋体"/>
          <w:color w:val="auto"/>
          <w:sz w:val="21"/>
          <w:highlight w:val="none"/>
        </w:rPr>
      </w:pPr>
      <w:r>
        <w:rPr>
          <w:rFonts w:hint="eastAsia" w:cs="宋体"/>
          <w:color w:val="auto"/>
          <w:sz w:val="21"/>
          <w:highlight w:val="none"/>
        </w:rPr>
        <w:t>（3）索赔事件具有持续影响的，承包人应按合理时间间隔继续递交延续索赔通知，说明持续影响的实际情况和记录，列出累计的追加付款金额和（或）工期延长天数；</w:t>
      </w:r>
    </w:p>
    <w:p w14:paraId="60D2CD81">
      <w:pPr>
        <w:pStyle w:val="79"/>
        <w:rPr>
          <w:rFonts w:cs="宋体"/>
          <w:color w:val="auto"/>
          <w:sz w:val="21"/>
          <w:highlight w:val="none"/>
        </w:rPr>
      </w:pPr>
      <w:r>
        <w:rPr>
          <w:rFonts w:hint="eastAsia" w:cs="宋体"/>
          <w:color w:val="auto"/>
          <w:sz w:val="21"/>
          <w:highlight w:val="none"/>
        </w:rPr>
        <w:t>（4）在索赔事件影响结束后28天内，承包人应向监理人递交最终索赔报告，说明最终要求索赔的追加付款金额和（或）延长的工期，并附必要的记录和证明材料。</w:t>
      </w:r>
    </w:p>
    <w:p w14:paraId="1222A708">
      <w:pPr>
        <w:pStyle w:val="321"/>
        <w:rPr>
          <w:rFonts w:ascii="宋体" w:cs="宋体"/>
          <w:color w:val="auto"/>
          <w:highlight w:val="none"/>
        </w:rPr>
      </w:pPr>
      <w:bookmarkStart w:id="696" w:name="_Toc478389171"/>
      <w:bookmarkStart w:id="697" w:name="_Toc351203622"/>
      <w:bookmarkStart w:id="698" w:name="_Toc296503142"/>
      <w:bookmarkStart w:id="699" w:name="_Toc296346643"/>
      <w:bookmarkStart w:id="700" w:name="_Toc337558837"/>
      <w:r>
        <w:rPr>
          <w:rFonts w:hint="eastAsia" w:ascii="宋体" w:cs="宋体"/>
          <w:color w:val="auto"/>
          <w:highlight w:val="none"/>
        </w:rPr>
        <w:t>19.2 对承包人索赔的处理</w:t>
      </w:r>
      <w:bookmarkEnd w:id="696"/>
      <w:bookmarkEnd w:id="697"/>
    </w:p>
    <w:bookmarkEnd w:id="698"/>
    <w:bookmarkEnd w:id="699"/>
    <w:bookmarkEnd w:id="700"/>
    <w:p w14:paraId="566E973A">
      <w:pPr>
        <w:pStyle w:val="79"/>
        <w:rPr>
          <w:rFonts w:cs="宋体"/>
          <w:color w:val="auto"/>
          <w:sz w:val="21"/>
          <w:highlight w:val="none"/>
        </w:rPr>
      </w:pPr>
      <w:r>
        <w:rPr>
          <w:rFonts w:hint="eastAsia" w:cs="宋体"/>
          <w:color w:val="auto"/>
          <w:sz w:val="21"/>
          <w:highlight w:val="none"/>
        </w:rPr>
        <w:t>对承包人索赔的处理如下：</w:t>
      </w:r>
    </w:p>
    <w:p w14:paraId="6BAC642F">
      <w:pPr>
        <w:pStyle w:val="79"/>
        <w:rPr>
          <w:rFonts w:cs="宋体"/>
          <w:color w:val="auto"/>
          <w:sz w:val="21"/>
          <w:highlight w:val="none"/>
        </w:rPr>
      </w:pPr>
      <w:r>
        <w:rPr>
          <w:rFonts w:hint="eastAsia" w:cs="宋体"/>
          <w:color w:val="auto"/>
          <w:sz w:val="21"/>
          <w:highlight w:val="none"/>
        </w:rPr>
        <w:t>（1）监理人应在收到索赔报告后14天内完成审查并报送发包人。监理人对索赔报告存在异议的，有权要求承包人提交全部原始记录副本；</w:t>
      </w:r>
    </w:p>
    <w:p w14:paraId="4F8C504A">
      <w:pPr>
        <w:pStyle w:val="79"/>
        <w:rPr>
          <w:rFonts w:cs="宋体"/>
          <w:color w:val="auto"/>
          <w:sz w:val="21"/>
          <w:highlight w:val="none"/>
        </w:rPr>
      </w:pPr>
      <w:r>
        <w:rPr>
          <w:rFonts w:hint="eastAsia" w:cs="宋体"/>
          <w:color w:val="auto"/>
          <w:sz w:val="21"/>
          <w:highlight w:val="none"/>
        </w:rPr>
        <w:t>（2）发包人应在监理人收到索赔报告或有关索赔的进一步证明材料后的28天内，由监理人向承包人出具经发包人签认的索赔处理结果。发包人逾期答复的，则视为认可承包人的索赔要求；</w:t>
      </w:r>
    </w:p>
    <w:p w14:paraId="54F11267">
      <w:pPr>
        <w:pStyle w:val="79"/>
        <w:rPr>
          <w:rFonts w:cs="宋体"/>
          <w:color w:val="auto"/>
          <w:sz w:val="21"/>
          <w:highlight w:val="none"/>
        </w:rPr>
      </w:pPr>
      <w:r>
        <w:rPr>
          <w:rFonts w:hint="eastAsia" w:cs="宋体"/>
          <w:color w:val="auto"/>
          <w:sz w:val="21"/>
          <w:highlight w:val="none"/>
        </w:rPr>
        <w:t>（3）承包人接受索赔处理结果的，索赔款项在当期进度款中进行支付；承包人不接受索赔处理结果的，按照第20条〔争议解决〕约定处理。</w:t>
      </w:r>
    </w:p>
    <w:p w14:paraId="3F5BEC5C">
      <w:pPr>
        <w:pStyle w:val="321"/>
        <w:rPr>
          <w:rFonts w:ascii="宋体" w:cs="宋体"/>
          <w:color w:val="auto"/>
          <w:highlight w:val="none"/>
        </w:rPr>
      </w:pPr>
      <w:bookmarkStart w:id="701" w:name="_Toc351203623"/>
      <w:bookmarkStart w:id="702" w:name="_Toc478389172"/>
      <w:bookmarkStart w:id="703" w:name="_Toc337558838"/>
      <w:bookmarkStart w:id="704" w:name="_Toc296346644"/>
      <w:bookmarkStart w:id="705" w:name="_Toc296503143"/>
      <w:r>
        <w:rPr>
          <w:rFonts w:hint="eastAsia" w:ascii="宋体" w:cs="宋体"/>
          <w:color w:val="auto"/>
          <w:highlight w:val="none"/>
        </w:rPr>
        <w:t>19.3发包人的索赔</w:t>
      </w:r>
      <w:bookmarkEnd w:id="701"/>
      <w:bookmarkEnd w:id="702"/>
    </w:p>
    <w:bookmarkEnd w:id="703"/>
    <w:bookmarkEnd w:id="704"/>
    <w:bookmarkEnd w:id="705"/>
    <w:p w14:paraId="44875153">
      <w:pPr>
        <w:pStyle w:val="79"/>
        <w:rPr>
          <w:rFonts w:cs="宋体"/>
          <w:color w:val="auto"/>
          <w:sz w:val="21"/>
          <w:highlight w:val="none"/>
        </w:rPr>
      </w:pPr>
      <w:r>
        <w:rPr>
          <w:rFonts w:hint="eastAsia" w:cs="宋体"/>
          <w:color w:val="auto"/>
          <w:sz w:val="21"/>
          <w:highlight w:val="none"/>
        </w:rPr>
        <w:t>根据合同约定，发包人认为有权得到赔付金额和（或）延长缺陷责任期的，监理人应向承包人发出通知并附有详细的证明。</w:t>
      </w:r>
    </w:p>
    <w:p w14:paraId="1647B712">
      <w:pPr>
        <w:pStyle w:val="79"/>
        <w:rPr>
          <w:rFonts w:cs="宋体"/>
          <w:color w:val="auto"/>
          <w:sz w:val="21"/>
          <w:highlight w:val="none"/>
        </w:rPr>
      </w:pPr>
      <w:r>
        <w:rPr>
          <w:rFonts w:hint="eastAsia" w:cs="宋体"/>
          <w:color w:val="auto"/>
          <w:sz w:val="21"/>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5846DFD1">
      <w:pPr>
        <w:pStyle w:val="321"/>
        <w:rPr>
          <w:rFonts w:ascii="宋体" w:cs="宋体"/>
          <w:color w:val="auto"/>
          <w:highlight w:val="none"/>
        </w:rPr>
      </w:pPr>
      <w:bookmarkStart w:id="706" w:name="_Toc351203624"/>
      <w:bookmarkStart w:id="707" w:name="_Toc478389173"/>
      <w:bookmarkStart w:id="708" w:name="_Toc296346645"/>
      <w:bookmarkStart w:id="709" w:name="_Toc337558839"/>
      <w:bookmarkStart w:id="710" w:name="_Toc296503144"/>
      <w:r>
        <w:rPr>
          <w:rFonts w:hint="eastAsia" w:ascii="宋体" w:cs="宋体"/>
          <w:color w:val="auto"/>
          <w:highlight w:val="none"/>
        </w:rPr>
        <w:t>19.4 对发包人索赔的处理</w:t>
      </w:r>
      <w:bookmarkEnd w:id="706"/>
      <w:bookmarkEnd w:id="707"/>
    </w:p>
    <w:bookmarkEnd w:id="708"/>
    <w:bookmarkEnd w:id="709"/>
    <w:bookmarkEnd w:id="710"/>
    <w:p w14:paraId="32052A32">
      <w:pPr>
        <w:pStyle w:val="79"/>
        <w:rPr>
          <w:rFonts w:cs="宋体"/>
          <w:color w:val="auto"/>
          <w:sz w:val="21"/>
          <w:highlight w:val="none"/>
        </w:rPr>
      </w:pPr>
      <w:r>
        <w:rPr>
          <w:rFonts w:hint="eastAsia" w:cs="宋体"/>
          <w:color w:val="auto"/>
          <w:sz w:val="21"/>
          <w:highlight w:val="none"/>
        </w:rPr>
        <w:t>对发包人索赔的处理如下：</w:t>
      </w:r>
    </w:p>
    <w:p w14:paraId="0B308EC4">
      <w:pPr>
        <w:pStyle w:val="79"/>
        <w:rPr>
          <w:rFonts w:cs="宋体"/>
          <w:color w:val="auto"/>
          <w:sz w:val="21"/>
          <w:highlight w:val="none"/>
        </w:rPr>
      </w:pPr>
      <w:r>
        <w:rPr>
          <w:rFonts w:hint="eastAsia" w:cs="宋体"/>
          <w:color w:val="auto"/>
          <w:sz w:val="21"/>
          <w:highlight w:val="none"/>
        </w:rPr>
        <w:t>（1）承包人收到发包人提交的索赔报告后，应及时审查索赔报告的内容、查验发包人证明材料；</w:t>
      </w:r>
    </w:p>
    <w:p w14:paraId="60E1BD6F">
      <w:pPr>
        <w:pStyle w:val="79"/>
        <w:rPr>
          <w:rFonts w:cs="宋体"/>
          <w:color w:val="auto"/>
          <w:sz w:val="21"/>
          <w:highlight w:val="none"/>
        </w:rPr>
      </w:pPr>
      <w:r>
        <w:rPr>
          <w:rFonts w:hint="eastAsia" w:cs="宋体"/>
          <w:color w:val="auto"/>
          <w:sz w:val="21"/>
          <w:highlight w:val="none"/>
        </w:rPr>
        <w:t>（2）承包人应在收到索赔报告或有关索赔的进一步证明材料后28天内，将索赔处理结果答复发包人。如果承包人未在上述期限内作出答复的，则视为对发包人索赔要求的认可；</w:t>
      </w:r>
    </w:p>
    <w:p w14:paraId="4F2D290F">
      <w:pPr>
        <w:pStyle w:val="79"/>
        <w:rPr>
          <w:rFonts w:cs="宋体"/>
          <w:color w:val="auto"/>
          <w:sz w:val="21"/>
          <w:highlight w:val="none"/>
        </w:rPr>
      </w:pPr>
      <w:r>
        <w:rPr>
          <w:rFonts w:hint="eastAsia" w:cs="宋体"/>
          <w:color w:val="auto"/>
          <w:sz w:val="21"/>
          <w:highlight w:val="none"/>
        </w:rPr>
        <w:t>（3）承包人接受索赔处理结果的，发包人可从应支付给承包人的合同价款中扣除赔付的金额或延长缺陷责任期；发包人不接受索赔处理结果的，按第20条〔争议解决〕约定处理。</w:t>
      </w:r>
    </w:p>
    <w:p w14:paraId="128D0735">
      <w:pPr>
        <w:pStyle w:val="321"/>
        <w:rPr>
          <w:rFonts w:ascii="宋体" w:cs="宋体"/>
          <w:color w:val="auto"/>
          <w:highlight w:val="none"/>
        </w:rPr>
      </w:pPr>
      <w:bookmarkStart w:id="711" w:name="_Toc478389174"/>
      <w:bookmarkStart w:id="712" w:name="_Toc351203625"/>
      <w:r>
        <w:rPr>
          <w:rFonts w:hint="eastAsia" w:ascii="宋体" w:cs="宋体"/>
          <w:color w:val="auto"/>
          <w:highlight w:val="none"/>
        </w:rPr>
        <w:t>19.5 提出索赔的期限</w:t>
      </w:r>
      <w:bookmarkEnd w:id="711"/>
      <w:bookmarkEnd w:id="712"/>
    </w:p>
    <w:p w14:paraId="475A3F2A">
      <w:pPr>
        <w:pStyle w:val="79"/>
        <w:rPr>
          <w:rFonts w:cs="宋体"/>
          <w:color w:val="auto"/>
          <w:sz w:val="21"/>
          <w:highlight w:val="none"/>
        </w:rPr>
      </w:pPr>
      <w:r>
        <w:rPr>
          <w:rFonts w:hint="eastAsia" w:cs="宋体"/>
          <w:color w:val="auto"/>
          <w:sz w:val="21"/>
          <w:highlight w:val="none"/>
        </w:rPr>
        <w:t>（1）承包人按第14.2款〔竣工结算审核〕约定接收竣工付款证书后，应被视为已无权再提出在工程接收证书颁发前所发生的任何索赔。</w:t>
      </w:r>
    </w:p>
    <w:p w14:paraId="6C360FF6">
      <w:pPr>
        <w:pStyle w:val="79"/>
        <w:rPr>
          <w:rFonts w:cs="宋体"/>
          <w:color w:val="auto"/>
          <w:sz w:val="21"/>
          <w:highlight w:val="none"/>
        </w:rPr>
      </w:pPr>
      <w:r>
        <w:rPr>
          <w:rFonts w:hint="eastAsia" w:cs="宋体"/>
          <w:color w:val="auto"/>
          <w:sz w:val="21"/>
          <w:highlight w:val="none"/>
        </w:rPr>
        <w:t>（2）承包人按第14.4款〔最终结清〕提交的最终结清申请单中，只限于提出工程接收证书颁发后发生的索赔。提出索赔的期限自接受最终结清证书时终止。</w:t>
      </w:r>
    </w:p>
    <w:p w14:paraId="710F4B2C">
      <w:pPr>
        <w:pStyle w:val="321"/>
        <w:spacing w:line="380" w:lineRule="exact"/>
        <w:rPr>
          <w:rFonts w:ascii="宋体" w:cs="宋体"/>
          <w:color w:val="auto"/>
          <w:highlight w:val="none"/>
        </w:rPr>
      </w:pPr>
      <w:bookmarkStart w:id="713" w:name="_Toc478389175"/>
      <w:bookmarkStart w:id="714" w:name="_Toc351203626"/>
      <w:r>
        <w:rPr>
          <w:rFonts w:hint="eastAsia" w:ascii="宋体" w:cs="宋体"/>
          <w:color w:val="auto"/>
          <w:highlight w:val="none"/>
        </w:rPr>
        <w:t>20</w:t>
      </w:r>
      <w:bookmarkStart w:id="715" w:name="_Toc337558840"/>
      <w:bookmarkStart w:id="716" w:name="_Toc296346647"/>
      <w:bookmarkStart w:id="717" w:name="_Toc296503146"/>
      <w:r>
        <w:rPr>
          <w:rFonts w:hint="eastAsia" w:ascii="宋体" w:cs="宋体"/>
          <w:color w:val="auto"/>
          <w:highlight w:val="none"/>
        </w:rPr>
        <w:t>. 争议解决</w:t>
      </w:r>
      <w:bookmarkEnd w:id="713"/>
      <w:bookmarkEnd w:id="714"/>
    </w:p>
    <w:bookmarkEnd w:id="715"/>
    <w:bookmarkEnd w:id="716"/>
    <w:bookmarkEnd w:id="717"/>
    <w:p w14:paraId="72C3CC18">
      <w:pPr>
        <w:pStyle w:val="321"/>
        <w:spacing w:line="380" w:lineRule="exact"/>
        <w:rPr>
          <w:rFonts w:ascii="宋体" w:cs="宋体"/>
          <w:color w:val="auto"/>
          <w:highlight w:val="none"/>
        </w:rPr>
      </w:pPr>
      <w:bookmarkStart w:id="718" w:name="_Toc351203627"/>
      <w:bookmarkStart w:id="719" w:name="_Toc478389176"/>
      <w:bookmarkStart w:id="720" w:name="_Toc296503147"/>
      <w:bookmarkStart w:id="721" w:name="_Toc337558841"/>
      <w:bookmarkStart w:id="722" w:name="_Toc296346648"/>
      <w:r>
        <w:rPr>
          <w:rFonts w:hint="eastAsia" w:ascii="宋体" w:cs="宋体"/>
          <w:color w:val="auto"/>
          <w:highlight w:val="none"/>
        </w:rPr>
        <w:t>20.1和解</w:t>
      </w:r>
      <w:bookmarkEnd w:id="718"/>
      <w:bookmarkEnd w:id="719"/>
    </w:p>
    <w:bookmarkEnd w:id="720"/>
    <w:bookmarkEnd w:id="721"/>
    <w:bookmarkEnd w:id="722"/>
    <w:p w14:paraId="5C79B153">
      <w:pPr>
        <w:pStyle w:val="79"/>
        <w:spacing w:line="380" w:lineRule="exact"/>
        <w:rPr>
          <w:rFonts w:cs="宋体"/>
          <w:color w:val="auto"/>
          <w:sz w:val="21"/>
          <w:highlight w:val="none"/>
        </w:rPr>
      </w:pPr>
      <w:r>
        <w:rPr>
          <w:rFonts w:hint="eastAsia" w:cs="宋体"/>
          <w:color w:val="auto"/>
          <w:sz w:val="21"/>
          <w:highlight w:val="none"/>
        </w:rPr>
        <w:t>合同当事人可以就争议自行和解，自行和解达成协议的经双方签字并盖章后作为合同补充文件，双方均应遵照执行。</w:t>
      </w:r>
    </w:p>
    <w:p w14:paraId="439499B0">
      <w:pPr>
        <w:pStyle w:val="321"/>
        <w:spacing w:line="380" w:lineRule="exact"/>
        <w:rPr>
          <w:rFonts w:ascii="宋体" w:cs="宋体"/>
          <w:color w:val="auto"/>
          <w:highlight w:val="none"/>
        </w:rPr>
      </w:pPr>
      <w:bookmarkStart w:id="723" w:name="_Toc478389177"/>
      <w:bookmarkStart w:id="724" w:name="_Toc351203628"/>
      <w:r>
        <w:rPr>
          <w:rFonts w:hint="eastAsia" w:ascii="宋体" w:cs="宋体"/>
          <w:color w:val="auto"/>
          <w:highlight w:val="none"/>
        </w:rPr>
        <w:t>20</w:t>
      </w:r>
      <w:bookmarkStart w:id="725" w:name="_Toc337558842"/>
      <w:bookmarkStart w:id="726" w:name="_Toc296346649"/>
      <w:bookmarkStart w:id="727" w:name="_Toc296503148"/>
      <w:r>
        <w:rPr>
          <w:rFonts w:hint="eastAsia" w:ascii="宋体" w:cs="宋体"/>
          <w:color w:val="auto"/>
          <w:highlight w:val="none"/>
        </w:rPr>
        <w:t>.2调解</w:t>
      </w:r>
      <w:bookmarkEnd w:id="723"/>
      <w:bookmarkEnd w:id="724"/>
    </w:p>
    <w:bookmarkEnd w:id="725"/>
    <w:bookmarkEnd w:id="726"/>
    <w:bookmarkEnd w:id="727"/>
    <w:p w14:paraId="36D8DB4A">
      <w:pPr>
        <w:pStyle w:val="79"/>
        <w:spacing w:line="380" w:lineRule="exact"/>
        <w:rPr>
          <w:rFonts w:cs="宋体"/>
          <w:color w:val="auto"/>
          <w:sz w:val="21"/>
          <w:highlight w:val="none"/>
        </w:rPr>
      </w:pPr>
      <w:r>
        <w:rPr>
          <w:rFonts w:hint="eastAsia" w:cs="宋体"/>
          <w:color w:val="auto"/>
          <w:sz w:val="21"/>
          <w:highlight w:val="none"/>
        </w:rPr>
        <w:t>合同当事人可以就争议请求建设行政主管部门、行业协会或其他第三方进行调解，调解达成协议的，经双方签字并盖章后作为合同补充文件，双方均应遵照执行。</w:t>
      </w:r>
    </w:p>
    <w:p w14:paraId="3861845E">
      <w:pPr>
        <w:pStyle w:val="321"/>
        <w:spacing w:line="380" w:lineRule="exact"/>
        <w:rPr>
          <w:rFonts w:ascii="宋体" w:cs="宋体"/>
          <w:color w:val="auto"/>
          <w:highlight w:val="none"/>
        </w:rPr>
      </w:pPr>
      <w:bookmarkStart w:id="728" w:name="_Toc478389178"/>
      <w:bookmarkStart w:id="729" w:name="_Toc351203629"/>
      <w:bookmarkStart w:id="730" w:name="_Toc296503149"/>
      <w:bookmarkStart w:id="731" w:name="_Toc296346650"/>
      <w:bookmarkStart w:id="732" w:name="_Toc337558843"/>
      <w:r>
        <w:rPr>
          <w:rFonts w:hint="eastAsia" w:ascii="宋体" w:cs="宋体"/>
          <w:color w:val="auto"/>
          <w:highlight w:val="none"/>
        </w:rPr>
        <w:t>20.3争议评审</w:t>
      </w:r>
      <w:bookmarkEnd w:id="728"/>
      <w:bookmarkEnd w:id="729"/>
    </w:p>
    <w:bookmarkEnd w:id="730"/>
    <w:bookmarkEnd w:id="731"/>
    <w:bookmarkEnd w:id="732"/>
    <w:p w14:paraId="101FE5DD">
      <w:pPr>
        <w:pStyle w:val="79"/>
        <w:spacing w:line="380" w:lineRule="exact"/>
        <w:rPr>
          <w:rFonts w:cs="宋体"/>
          <w:color w:val="auto"/>
          <w:sz w:val="21"/>
          <w:highlight w:val="none"/>
        </w:rPr>
      </w:pPr>
      <w:r>
        <w:rPr>
          <w:rFonts w:hint="eastAsia" w:cs="宋体"/>
          <w:color w:val="auto"/>
          <w:sz w:val="21"/>
          <w:highlight w:val="none"/>
        </w:rPr>
        <w:t xml:space="preserve">合同当事人在专用合同条款中约定采取争议评审方式解决争议以及评审规则，并按下列约定执行： </w:t>
      </w:r>
    </w:p>
    <w:p w14:paraId="32C20F5A">
      <w:pPr>
        <w:pStyle w:val="79"/>
        <w:spacing w:line="380" w:lineRule="exact"/>
        <w:rPr>
          <w:rFonts w:cs="宋体"/>
          <w:color w:val="auto"/>
          <w:sz w:val="21"/>
          <w:highlight w:val="none"/>
        </w:rPr>
      </w:pPr>
      <w:r>
        <w:rPr>
          <w:rFonts w:hint="eastAsia" w:cs="宋体"/>
          <w:color w:val="auto"/>
          <w:sz w:val="21"/>
          <w:highlight w:val="none"/>
        </w:rPr>
        <w:t>20.3.1 争议评审小组的确定</w:t>
      </w:r>
    </w:p>
    <w:p w14:paraId="59D3AEC9">
      <w:pPr>
        <w:pStyle w:val="79"/>
        <w:spacing w:line="380" w:lineRule="exact"/>
        <w:rPr>
          <w:rFonts w:cs="宋体"/>
          <w:color w:val="auto"/>
          <w:sz w:val="21"/>
          <w:highlight w:val="none"/>
        </w:rPr>
      </w:pPr>
      <w:r>
        <w:rPr>
          <w:rFonts w:hint="eastAsia" w:cs="宋体"/>
          <w:color w:val="auto"/>
          <w:sz w:val="21"/>
          <w:highlight w:val="none"/>
        </w:rPr>
        <w:t>合同当事人可以共同选择一名或三名争议评审员，组成争议评审小组。除专用合同条款另有约定外，合同当事人应当自合同签订后28天内，或者争议发生后14天内，选定争议评审员。</w:t>
      </w:r>
    </w:p>
    <w:p w14:paraId="28E52C9D">
      <w:pPr>
        <w:pStyle w:val="79"/>
        <w:spacing w:line="380" w:lineRule="exact"/>
        <w:rPr>
          <w:rFonts w:cs="宋体"/>
          <w:color w:val="auto"/>
          <w:sz w:val="21"/>
          <w:highlight w:val="none"/>
        </w:rPr>
      </w:pPr>
      <w:r>
        <w:rPr>
          <w:rFonts w:hint="eastAsia" w:cs="宋体"/>
          <w:color w:val="auto"/>
          <w:sz w:val="21"/>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7AED4378">
      <w:pPr>
        <w:pStyle w:val="79"/>
        <w:spacing w:line="380" w:lineRule="exact"/>
        <w:rPr>
          <w:rFonts w:cs="宋体"/>
          <w:color w:val="auto"/>
          <w:sz w:val="21"/>
          <w:highlight w:val="none"/>
        </w:rPr>
      </w:pPr>
      <w:r>
        <w:rPr>
          <w:rFonts w:hint="eastAsia" w:cs="宋体"/>
          <w:color w:val="auto"/>
          <w:sz w:val="21"/>
          <w:highlight w:val="none"/>
        </w:rPr>
        <w:t>除专用合同条款另有约定外，评审员报酬由发包人和承包人各承担一半。</w:t>
      </w:r>
    </w:p>
    <w:p w14:paraId="7B425AE3">
      <w:pPr>
        <w:pStyle w:val="79"/>
        <w:spacing w:line="380" w:lineRule="exact"/>
        <w:rPr>
          <w:rFonts w:cs="宋体"/>
          <w:color w:val="auto"/>
          <w:sz w:val="21"/>
          <w:highlight w:val="none"/>
        </w:rPr>
      </w:pPr>
      <w:r>
        <w:rPr>
          <w:rFonts w:hint="eastAsia" w:cs="宋体"/>
          <w:color w:val="auto"/>
          <w:sz w:val="21"/>
          <w:highlight w:val="none"/>
        </w:rPr>
        <w:t>20.3.2 争议评审小组的决定</w:t>
      </w:r>
    </w:p>
    <w:p w14:paraId="3BA59FE4">
      <w:pPr>
        <w:pStyle w:val="79"/>
        <w:spacing w:line="380" w:lineRule="exact"/>
        <w:rPr>
          <w:rFonts w:cs="宋体"/>
          <w:color w:val="auto"/>
          <w:sz w:val="21"/>
          <w:highlight w:val="none"/>
        </w:rPr>
      </w:pPr>
      <w:r>
        <w:rPr>
          <w:rFonts w:hint="eastAsia" w:cs="宋体"/>
          <w:color w:val="auto"/>
          <w:sz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5BF3B72E">
      <w:pPr>
        <w:pStyle w:val="79"/>
        <w:spacing w:line="380" w:lineRule="exact"/>
        <w:rPr>
          <w:rFonts w:cs="宋体"/>
          <w:color w:val="auto"/>
          <w:sz w:val="21"/>
          <w:highlight w:val="none"/>
        </w:rPr>
      </w:pPr>
      <w:r>
        <w:rPr>
          <w:rFonts w:hint="eastAsia" w:cs="宋体"/>
          <w:color w:val="auto"/>
          <w:sz w:val="21"/>
          <w:highlight w:val="none"/>
        </w:rPr>
        <w:t>20.3.3 争议评审小组决定的效力</w:t>
      </w:r>
    </w:p>
    <w:p w14:paraId="2FC7593F">
      <w:pPr>
        <w:pStyle w:val="79"/>
        <w:spacing w:line="380" w:lineRule="exact"/>
        <w:rPr>
          <w:rFonts w:cs="宋体"/>
          <w:color w:val="auto"/>
          <w:sz w:val="21"/>
          <w:highlight w:val="none"/>
        </w:rPr>
      </w:pPr>
      <w:r>
        <w:rPr>
          <w:rFonts w:hint="eastAsia" w:cs="宋体"/>
          <w:color w:val="auto"/>
          <w:sz w:val="21"/>
          <w:highlight w:val="none"/>
        </w:rPr>
        <w:t>争议评审小组作出的书面决定经合同当事人签字确认后，对双方具有约束力，双方应遵照执行。</w:t>
      </w:r>
    </w:p>
    <w:p w14:paraId="0DB79131">
      <w:pPr>
        <w:pStyle w:val="79"/>
        <w:spacing w:line="380" w:lineRule="exact"/>
        <w:rPr>
          <w:rFonts w:cs="宋体"/>
          <w:color w:val="auto"/>
          <w:sz w:val="21"/>
          <w:highlight w:val="none"/>
        </w:rPr>
      </w:pPr>
      <w:r>
        <w:rPr>
          <w:rFonts w:hint="eastAsia" w:cs="宋体"/>
          <w:color w:val="auto"/>
          <w:sz w:val="21"/>
          <w:highlight w:val="none"/>
        </w:rPr>
        <w:t>任何一方当事人不接受争议评审小组决定或不履行争议评审小组决定的，双方可选择采用其他争议解决方式。</w:t>
      </w:r>
    </w:p>
    <w:p w14:paraId="5649CD55">
      <w:pPr>
        <w:pStyle w:val="321"/>
        <w:spacing w:line="380" w:lineRule="exact"/>
        <w:rPr>
          <w:rFonts w:ascii="宋体" w:cs="宋体"/>
          <w:color w:val="auto"/>
          <w:highlight w:val="none"/>
        </w:rPr>
      </w:pPr>
      <w:bookmarkStart w:id="733" w:name="_Toc351203630"/>
      <w:bookmarkStart w:id="734" w:name="_Toc478389179"/>
      <w:bookmarkStart w:id="735" w:name="_Toc337558844"/>
      <w:bookmarkStart w:id="736" w:name="_Toc296503150"/>
      <w:bookmarkStart w:id="737" w:name="_Toc296346651"/>
      <w:r>
        <w:rPr>
          <w:rFonts w:hint="eastAsia" w:ascii="宋体" w:cs="宋体"/>
          <w:color w:val="auto"/>
          <w:highlight w:val="none"/>
        </w:rPr>
        <w:t>20.4仲裁或诉讼</w:t>
      </w:r>
      <w:bookmarkEnd w:id="733"/>
      <w:bookmarkEnd w:id="734"/>
    </w:p>
    <w:bookmarkEnd w:id="735"/>
    <w:bookmarkEnd w:id="736"/>
    <w:bookmarkEnd w:id="737"/>
    <w:p w14:paraId="6857091F">
      <w:pPr>
        <w:pStyle w:val="79"/>
        <w:spacing w:line="380" w:lineRule="exact"/>
        <w:rPr>
          <w:rFonts w:cs="宋体"/>
          <w:color w:val="auto"/>
          <w:sz w:val="21"/>
          <w:highlight w:val="none"/>
        </w:rPr>
      </w:pPr>
      <w:r>
        <w:rPr>
          <w:rFonts w:hint="eastAsia" w:cs="宋体"/>
          <w:color w:val="auto"/>
          <w:sz w:val="21"/>
          <w:highlight w:val="none"/>
        </w:rPr>
        <w:t>因合同及合同有关事项产生的争议，合同当事人可以在专用合同条款中约定以下一种方式解决争议：</w:t>
      </w:r>
    </w:p>
    <w:p w14:paraId="6E05E2E5">
      <w:pPr>
        <w:pStyle w:val="79"/>
        <w:spacing w:line="380" w:lineRule="exact"/>
        <w:rPr>
          <w:rFonts w:cs="宋体"/>
          <w:color w:val="auto"/>
          <w:sz w:val="21"/>
          <w:highlight w:val="none"/>
        </w:rPr>
      </w:pPr>
      <w:r>
        <w:rPr>
          <w:rFonts w:hint="eastAsia" w:cs="宋体"/>
          <w:color w:val="auto"/>
          <w:sz w:val="21"/>
          <w:highlight w:val="none"/>
        </w:rPr>
        <w:t>（1）向约定的仲裁委员会申请仲裁；</w:t>
      </w:r>
    </w:p>
    <w:p w14:paraId="72DE55F6">
      <w:pPr>
        <w:pStyle w:val="79"/>
        <w:spacing w:line="380" w:lineRule="exact"/>
        <w:rPr>
          <w:rFonts w:cs="宋体"/>
          <w:color w:val="auto"/>
          <w:sz w:val="21"/>
          <w:highlight w:val="none"/>
        </w:rPr>
      </w:pPr>
      <w:r>
        <w:rPr>
          <w:rFonts w:hint="eastAsia" w:cs="宋体"/>
          <w:color w:val="auto"/>
          <w:sz w:val="21"/>
          <w:highlight w:val="none"/>
        </w:rPr>
        <w:t>（2）向有管辖权的人民法院起诉。</w:t>
      </w:r>
    </w:p>
    <w:p w14:paraId="5694B86D">
      <w:pPr>
        <w:pStyle w:val="321"/>
        <w:spacing w:line="320" w:lineRule="exact"/>
        <w:rPr>
          <w:rFonts w:ascii="宋体" w:cs="宋体"/>
          <w:color w:val="auto"/>
          <w:highlight w:val="none"/>
        </w:rPr>
      </w:pPr>
      <w:bookmarkStart w:id="738" w:name="_Toc351203631"/>
      <w:bookmarkStart w:id="739" w:name="_Toc478389180"/>
      <w:bookmarkStart w:id="740" w:name="_Toc337558845"/>
      <w:bookmarkStart w:id="741" w:name="_Toc296346653"/>
      <w:bookmarkStart w:id="742" w:name="_Toc296503152"/>
      <w:r>
        <w:rPr>
          <w:rFonts w:hint="eastAsia" w:ascii="宋体" w:cs="宋体"/>
          <w:color w:val="auto"/>
          <w:highlight w:val="none"/>
        </w:rPr>
        <w:t>20.5争议解决条款效力</w:t>
      </w:r>
      <w:bookmarkEnd w:id="738"/>
      <w:bookmarkEnd w:id="739"/>
    </w:p>
    <w:bookmarkEnd w:id="740"/>
    <w:bookmarkEnd w:id="741"/>
    <w:bookmarkEnd w:id="742"/>
    <w:p w14:paraId="22740365">
      <w:pPr>
        <w:pStyle w:val="79"/>
        <w:spacing w:line="320" w:lineRule="exact"/>
        <w:rPr>
          <w:rFonts w:cs="宋体"/>
          <w:color w:val="auto"/>
          <w:sz w:val="21"/>
          <w:highlight w:val="none"/>
        </w:rPr>
      </w:pPr>
      <w:r>
        <w:rPr>
          <w:rFonts w:hint="eastAsia" w:cs="宋体"/>
          <w:color w:val="auto"/>
          <w:sz w:val="21"/>
          <w:highlight w:val="none"/>
        </w:rPr>
        <w:t xml:space="preserve">合同有关争议解决的条款独立存在，合同的变更、解除、终止、无效或者被撤销均不影响其效力。 </w:t>
      </w:r>
      <w:bookmarkEnd w:id="99"/>
      <w:bookmarkEnd w:id="100"/>
      <w:bookmarkEnd w:id="101"/>
      <w:bookmarkStart w:id="743" w:name="_Toc478389181"/>
    </w:p>
    <w:p w14:paraId="57B2EC58">
      <w:pPr>
        <w:pStyle w:val="2"/>
        <w:jc w:val="center"/>
        <w:rPr>
          <w:rFonts w:ascii="宋体" w:hAnsi="宋体" w:cs="宋体"/>
          <w:color w:val="auto"/>
          <w:highlight w:val="none"/>
        </w:rPr>
      </w:pPr>
    </w:p>
    <w:p w14:paraId="0621BDB8">
      <w:pPr>
        <w:rPr>
          <w:rFonts w:ascii="宋体" w:hAnsi="宋体" w:cs="宋体"/>
          <w:color w:val="auto"/>
          <w:highlight w:val="none"/>
        </w:rPr>
      </w:pPr>
    </w:p>
    <w:p w14:paraId="5777F5D6">
      <w:pPr>
        <w:rPr>
          <w:rFonts w:ascii="宋体" w:hAnsi="宋体" w:cs="宋体"/>
          <w:color w:val="auto"/>
          <w:highlight w:val="none"/>
        </w:rPr>
      </w:pPr>
    </w:p>
    <w:p w14:paraId="301F0336">
      <w:pPr>
        <w:rPr>
          <w:rFonts w:ascii="宋体" w:hAnsi="宋体" w:cs="宋体"/>
          <w:color w:val="auto"/>
          <w:highlight w:val="none"/>
        </w:rPr>
      </w:pPr>
    </w:p>
    <w:p w14:paraId="30CAFABF">
      <w:pPr>
        <w:rPr>
          <w:rFonts w:ascii="宋体" w:hAnsi="宋体" w:cs="宋体"/>
          <w:color w:val="auto"/>
          <w:highlight w:val="none"/>
        </w:rPr>
      </w:pPr>
    </w:p>
    <w:p w14:paraId="760239D7">
      <w:pPr>
        <w:rPr>
          <w:rFonts w:ascii="宋体" w:hAnsi="宋体" w:cs="宋体"/>
          <w:color w:val="auto"/>
          <w:highlight w:val="none"/>
        </w:rPr>
      </w:pPr>
    </w:p>
    <w:p w14:paraId="4E71DFBF">
      <w:pPr>
        <w:rPr>
          <w:rFonts w:ascii="宋体" w:hAnsi="宋体" w:cs="宋体"/>
          <w:color w:val="auto"/>
          <w:highlight w:val="none"/>
        </w:rPr>
      </w:pPr>
    </w:p>
    <w:p w14:paraId="01A178EF">
      <w:pPr>
        <w:rPr>
          <w:rFonts w:ascii="宋体" w:hAnsi="宋体" w:cs="宋体"/>
          <w:color w:val="auto"/>
          <w:highlight w:val="none"/>
        </w:rPr>
      </w:pPr>
    </w:p>
    <w:p w14:paraId="2AA9146F">
      <w:pPr>
        <w:rPr>
          <w:rFonts w:ascii="宋体" w:hAnsi="宋体" w:cs="宋体"/>
          <w:color w:val="auto"/>
          <w:highlight w:val="none"/>
        </w:rPr>
      </w:pPr>
    </w:p>
    <w:p w14:paraId="3381B53A">
      <w:pPr>
        <w:rPr>
          <w:rFonts w:ascii="宋体" w:hAnsi="宋体" w:cs="宋体"/>
          <w:color w:val="auto"/>
          <w:highlight w:val="none"/>
        </w:rPr>
      </w:pPr>
    </w:p>
    <w:p w14:paraId="12123B51">
      <w:pPr>
        <w:rPr>
          <w:rFonts w:ascii="宋体" w:hAnsi="宋体" w:cs="宋体"/>
          <w:color w:val="auto"/>
          <w:highlight w:val="none"/>
        </w:rPr>
      </w:pPr>
    </w:p>
    <w:p w14:paraId="607A47F6">
      <w:pPr>
        <w:rPr>
          <w:rFonts w:ascii="宋体" w:hAnsi="宋体" w:cs="宋体"/>
          <w:color w:val="auto"/>
          <w:highlight w:val="none"/>
        </w:rPr>
      </w:pPr>
    </w:p>
    <w:p w14:paraId="4E278D08">
      <w:pPr>
        <w:rPr>
          <w:rFonts w:ascii="宋体" w:hAnsi="宋体" w:cs="宋体"/>
          <w:color w:val="auto"/>
          <w:highlight w:val="none"/>
        </w:rPr>
      </w:pPr>
    </w:p>
    <w:p w14:paraId="5E5A5A33">
      <w:pPr>
        <w:rPr>
          <w:rFonts w:ascii="宋体" w:hAnsi="宋体" w:cs="宋体"/>
          <w:color w:val="auto"/>
          <w:highlight w:val="none"/>
        </w:rPr>
      </w:pPr>
    </w:p>
    <w:p w14:paraId="4B433EC1">
      <w:pPr>
        <w:rPr>
          <w:rFonts w:ascii="宋体" w:hAnsi="宋体" w:cs="宋体"/>
          <w:color w:val="auto"/>
          <w:highlight w:val="none"/>
        </w:rPr>
      </w:pPr>
    </w:p>
    <w:p w14:paraId="6DCB3EFD">
      <w:pPr>
        <w:rPr>
          <w:rFonts w:ascii="宋体" w:hAnsi="宋体" w:cs="宋体"/>
          <w:color w:val="auto"/>
          <w:highlight w:val="none"/>
        </w:rPr>
      </w:pPr>
    </w:p>
    <w:p w14:paraId="293C57B0">
      <w:pPr>
        <w:rPr>
          <w:rFonts w:ascii="宋体" w:hAnsi="宋体" w:cs="宋体"/>
          <w:color w:val="auto"/>
          <w:highlight w:val="none"/>
        </w:rPr>
      </w:pPr>
    </w:p>
    <w:p w14:paraId="0AFCC472">
      <w:pPr>
        <w:rPr>
          <w:rFonts w:ascii="宋体" w:hAnsi="宋体" w:cs="宋体"/>
          <w:color w:val="auto"/>
          <w:highlight w:val="none"/>
        </w:rPr>
      </w:pPr>
    </w:p>
    <w:p w14:paraId="1E090429">
      <w:pPr>
        <w:rPr>
          <w:rFonts w:ascii="宋体" w:hAnsi="宋体" w:cs="宋体"/>
          <w:color w:val="auto"/>
          <w:highlight w:val="none"/>
        </w:rPr>
      </w:pPr>
    </w:p>
    <w:p w14:paraId="5AF15BF4">
      <w:pPr>
        <w:rPr>
          <w:rFonts w:ascii="宋体" w:hAnsi="宋体" w:cs="宋体"/>
          <w:color w:val="auto"/>
          <w:highlight w:val="none"/>
        </w:rPr>
      </w:pPr>
    </w:p>
    <w:p w14:paraId="78618F48">
      <w:pPr>
        <w:rPr>
          <w:rFonts w:ascii="宋体" w:hAnsi="宋体" w:cs="宋体"/>
          <w:color w:val="auto"/>
          <w:highlight w:val="none"/>
        </w:rPr>
      </w:pPr>
    </w:p>
    <w:p w14:paraId="51C2AFB9">
      <w:pPr>
        <w:rPr>
          <w:rFonts w:ascii="宋体" w:hAnsi="宋体" w:cs="宋体"/>
          <w:color w:val="auto"/>
          <w:highlight w:val="none"/>
        </w:rPr>
      </w:pPr>
    </w:p>
    <w:p w14:paraId="34DC1BB5">
      <w:pPr>
        <w:rPr>
          <w:rFonts w:ascii="宋体" w:hAnsi="宋体" w:cs="宋体"/>
          <w:color w:val="auto"/>
          <w:highlight w:val="none"/>
        </w:rPr>
      </w:pPr>
    </w:p>
    <w:p w14:paraId="7B1FBDE0">
      <w:pPr>
        <w:pStyle w:val="2"/>
        <w:jc w:val="center"/>
        <w:rPr>
          <w:rFonts w:ascii="宋体" w:hAnsi="宋体" w:cs="宋体"/>
          <w:color w:val="auto"/>
          <w:highlight w:val="none"/>
        </w:rPr>
      </w:pPr>
      <w:r>
        <w:rPr>
          <w:rFonts w:hint="eastAsia" w:ascii="宋体" w:hAnsi="宋体" w:cs="宋体"/>
          <w:color w:val="auto"/>
          <w:highlight w:val="none"/>
        </w:rPr>
        <w:t>第三部分 专用合同条款</w:t>
      </w:r>
    </w:p>
    <w:bookmarkEnd w:id="743"/>
    <w:p w14:paraId="0BC43363">
      <w:pPr>
        <w:pStyle w:val="3"/>
        <w:widowControl/>
        <w:rPr>
          <w:rFonts w:ascii="宋体" w:hAnsi="宋体" w:cs="宋体"/>
          <w:color w:val="auto"/>
          <w:sz w:val="21"/>
          <w:szCs w:val="21"/>
          <w:highlight w:val="none"/>
        </w:rPr>
      </w:pPr>
      <w:bookmarkStart w:id="744" w:name="_Toc1013968286"/>
      <w:bookmarkEnd w:id="744"/>
      <w:bookmarkStart w:id="745" w:name="_Toc78449780"/>
      <w:bookmarkEnd w:id="745"/>
      <w:bookmarkStart w:id="746" w:name="_Toc373227692"/>
      <w:bookmarkEnd w:id="746"/>
      <w:bookmarkStart w:id="747" w:name="_Toc389065258"/>
      <w:bookmarkEnd w:id="747"/>
      <w:bookmarkStart w:id="748" w:name="_Toc373478339"/>
      <w:bookmarkEnd w:id="748"/>
      <w:bookmarkStart w:id="749" w:name="_Toc1516097295"/>
      <w:bookmarkEnd w:id="749"/>
      <w:bookmarkStart w:id="750" w:name="_Toc351203633"/>
      <w:bookmarkEnd w:id="750"/>
      <w:bookmarkStart w:id="751" w:name="_Toc407135194"/>
      <w:r>
        <w:rPr>
          <w:rFonts w:hint="eastAsia" w:ascii="宋体" w:hAnsi="宋体" w:cs="宋体"/>
          <w:color w:val="auto"/>
          <w:sz w:val="21"/>
          <w:szCs w:val="21"/>
          <w:highlight w:val="none"/>
        </w:rPr>
        <w:t>1</w:t>
      </w:r>
      <w:bookmarkEnd w:id="751"/>
      <w:bookmarkStart w:id="752" w:name="_Toc296346657"/>
      <w:bookmarkEnd w:id="752"/>
      <w:bookmarkStart w:id="753" w:name="_Toc296890984"/>
      <w:bookmarkEnd w:id="753"/>
      <w:bookmarkStart w:id="754" w:name="_Toc297048342"/>
      <w:bookmarkEnd w:id="754"/>
      <w:bookmarkStart w:id="755" w:name="_Toc297120456"/>
      <w:bookmarkEnd w:id="755"/>
      <w:bookmarkStart w:id="756" w:name="_Toc296944495"/>
      <w:bookmarkEnd w:id="756"/>
      <w:bookmarkStart w:id="757" w:name="_Toc296503156"/>
      <w:bookmarkEnd w:id="757"/>
      <w:bookmarkStart w:id="758" w:name="_Toc296347155"/>
      <w:bookmarkEnd w:id="758"/>
      <w:bookmarkStart w:id="759" w:name="_Toc292559361"/>
      <w:bookmarkEnd w:id="759"/>
      <w:bookmarkStart w:id="760" w:name="_Toc292559866"/>
      <w:bookmarkEnd w:id="760"/>
      <w:bookmarkStart w:id="761" w:name="_Toc296891196"/>
      <w:r>
        <w:rPr>
          <w:rFonts w:hint="eastAsia" w:ascii="宋体" w:hAnsi="宋体" w:cs="宋体"/>
          <w:color w:val="auto"/>
          <w:sz w:val="21"/>
          <w:szCs w:val="21"/>
          <w:highlight w:val="none"/>
        </w:rPr>
        <w:t>. 一般约定</w:t>
      </w:r>
      <w:bookmarkEnd w:id="761"/>
    </w:p>
    <w:p w14:paraId="00F41DEF">
      <w:pPr>
        <w:pStyle w:val="4"/>
        <w:widowControl/>
        <w:rPr>
          <w:rFonts w:ascii="宋体" w:hAnsi="宋体" w:cs="宋体"/>
          <w:color w:val="auto"/>
          <w:sz w:val="21"/>
          <w:szCs w:val="21"/>
          <w:highlight w:val="none"/>
        </w:rPr>
      </w:pPr>
      <w:bookmarkStart w:id="762" w:name="_Toc78449781"/>
      <w:bookmarkEnd w:id="762"/>
      <w:bookmarkStart w:id="763" w:name="_Toc155697041"/>
      <w:bookmarkEnd w:id="763"/>
      <w:bookmarkStart w:id="764" w:name="_Toc373227693"/>
      <w:bookmarkEnd w:id="764"/>
      <w:bookmarkStart w:id="765" w:name="_Toc389065259"/>
      <w:bookmarkEnd w:id="765"/>
      <w:bookmarkStart w:id="766" w:name="_Toc1618220701"/>
      <w:bookmarkEnd w:id="766"/>
      <w:bookmarkStart w:id="767" w:name="_Toc373478340"/>
      <w:bookmarkEnd w:id="767"/>
      <w:bookmarkStart w:id="768" w:name="_Toc407135195"/>
      <w:bookmarkEnd w:id="768"/>
      <w:r>
        <w:rPr>
          <w:rFonts w:hint="eastAsia" w:ascii="宋体" w:hAnsi="宋体" w:cs="宋体"/>
          <w:color w:val="auto"/>
          <w:sz w:val="21"/>
          <w:szCs w:val="21"/>
          <w:highlight w:val="none"/>
        </w:rPr>
        <w:t>1.1 词语定义</w:t>
      </w:r>
    </w:p>
    <w:p w14:paraId="302CF972">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1.1.1 合同</w:t>
      </w:r>
    </w:p>
    <w:p w14:paraId="486A56EB">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lang w:bidi="ar"/>
        </w:rPr>
        <w:t>1.1.1.10 其他合同文件包括：</w:t>
      </w:r>
      <w:r>
        <w:rPr>
          <w:rFonts w:hint="eastAsia" w:ascii="宋体" w:hAnsi="宋体" w:cs="宋体"/>
          <w:color w:val="auto"/>
          <w:spacing w:val="-7"/>
          <w:szCs w:val="21"/>
          <w:highlight w:val="none"/>
          <w:lang w:bidi="ar"/>
        </w:rPr>
        <w:t>：</w:t>
      </w:r>
      <w:r>
        <w:rPr>
          <w:rFonts w:hint="eastAsia" w:ascii="宋体" w:hAnsi="宋体" w:cs="宋体"/>
          <w:color w:val="auto"/>
          <w:spacing w:val="-7"/>
          <w:szCs w:val="21"/>
          <w:highlight w:val="none"/>
          <w:u w:val="single"/>
          <w:lang w:bidi="ar"/>
        </w:rPr>
        <w:t>(1)本合同协议书；(2)中标通知书；(3)投标书及其附件；</w:t>
      </w:r>
      <w:r>
        <w:rPr>
          <w:rFonts w:hint="eastAsia" w:ascii="宋体" w:hAnsi="宋体" w:cs="宋体"/>
          <w:color w:val="auto"/>
          <w:szCs w:val="21"/>
          <w:highlight w:val="none"/>
          <w:u w:val="single"/>
          <w:lang w:bidi="ar"/>
        </w:rPr>
        <w:tab/>
      </w:r>
      <w:r>
        <w:rPr>
          <w:rFonts w:hint="eastAsia" w:ascii="宋体" w:hAnsi="宋体" w:cs="宋体"/>
          <w:color w:val="auto"/>
          <w:spacing w:val="-6"/>
          <w:szCs w:val="21"/>
          <w:highlight w:val="none"/>
          <w:u w:val="single"/>
          <w:lang w:bidi="ar"/>
        </w:rPr>
        <w:t>(4)本合同专用</w:t>
      </w:r>
      <w:r>
        <w:rPr>
          <w:rFonts w:hint="eastAsia" w:ascii="宋体" w:hAnsi="宋体" w:cs="宋体"/>
          <w:color w:val="auto"/>
          <w:spacing w:val="-5"/>
          <w:szCs w:val="21"/>
          <w:highlight w:val="none"/>
          <w:u w:val="single"/>
          <w:lang w:bidi="ar"/>
        </w:rPr>
        <w:t>条</w:t>
      </w:r>
      <w:r>
        <w:rPr>
          <w:rFonts w:hint="eastAsia" w:ascii="宋体" w:hAnsi="宋体" w:cs="宋体"/>
          <w:color w:val="auto"/>
          <w:spacing w:val="-3"/>
          <w:szCs w:val="21"/>
          <w:highlight w:val="none"/>
          <w:u w:val="single"/>
          <w:lang w:bidi="ar"/>
        </w:rPr>
        <w:t>款及补充条款；(5)本合同通用条款；(6)标准、规范及有关技术文件；(7)</w:t>
      </w:r>
      <w:r>
        <w:rPr>
          <w:rFonts w:hint="eastAsia" w:ascii="宋体" w:hAnsi="宋体" w:cs="宋体"/>
          <w:color w:val="auto"/>
          <w:spacing w:val="2"/>
          <w:szCs w:val="21"/>
          <w:highlight w:val="none"/>
          <w:u w:val="single"/>
          <w:lang w:bidi="ar"/>
        </w:rPr>
        <w:t>图纸(含图纸修改通知单及图纸设计变更文</w:t>
      </w:r>
      <w:r>
        <w:rPr>
          <w:rFonts w:hint="eastAsia" w:ascii="宋体" w:hAnsi="宋体" w:cs="宋体"/>
          <w:color w:val="auto"/>
          <w:spacing w:val="1"/>
          <w:szCs w:val="21"/>
          <w:highlight w:val="none"/>
          <w:u w:val="single"/>
          <w:lang w:bidi="ar"/>
        </w:rPr>
        <w:t>件)；(8)工程量清单；(9)本工程预算控制价造价</w:t>
      </w:r>
      <w:r>
        <w:rPr>
          <w:rFonts w:hint="eastAsia" w:ascii="宋体" w:hAnsi="宋体" w:cs="宋体"/>
          <w:color w:val="auto"/>
          <w:spacing w:val="-4"/>
          <w:szCs w:val="21"/>
          <w:highlight w:val="none"/>
          <w:u w:val="single"/>
          <w:lang w:bidi="ar"/>
        </w:rPr>
        <w:t>成果文件及其他合同文件；(10)会议纪要、设计变更、现场签证、双方签署的其他补充文件等</w:t>
      </w:r>
      <w:r>
        <w:rPr>
          <w:rFonts w:hint="eastAsia" w:ascii="宋体" w:hAnsi="宋体" w:cs="宋体"/>
          <w:color w:val="auto"/>
          <w:szCs w:val="21"/>
          <w:highlight w:val="none"/>
          <w:u w:val="single"/>
          <w:lang w:bidi="ar"/>
        </w:rPr>
        <w:t>。</w:t>
      </w:r>
    </w:p>
    <w:p w14:paraId="329545C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1.1.2 合同当事人及其他相关方</w:t>
      </w:r>
    </w:p>
    <w:p w14:paraId="23A3DC7C">
      <w:pPr>
        <w:spacing w:line="360" w:lineRule="auto"/>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lang w:bidi="ar"/>
        </w:rPr>
        <w:t>1.1.2.4 监理人：</w:t>
      </w:r>
    </w:p>
    <w:p w14:paraId="604E430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名    称：</w:t>
      </w:r>
      <w:r>
        <w:rPr>
          <w:rFonts w:hint="eastAsia" w:ascii="宋体" w:hAnsi="宋体" w:cs="宋体"/>
          <w:color w:val="auto"/>
          <w:szCs w:val="21"/>
          <w:highlight w:val="none"/>
          <w:u w:val="single"/>
          <w:lang w:bidi="ar"/>
        </w:rPr>
        <w:t xml:space="preserve"> （由发包人发函确认）</w:t>
      </w:r>
      <w:r>
        <w:rPr>
          <w:rFonts w:hint="eastAsia" w:ascii="宋体" w:hAnsi="宋体" w:cs="宋体"/>
          <w:color w:val="auto"/>
          <w:szCs w:val="21"/>
          <w:highlight w:val="none"/>
          <w:lang w:bidi="ar"/>
        </w:rPr>
        <w:t>；</w:t>
      </w:r>
    </w:p>
    <w:p w14:paraId="356F714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资质类别和等级：</w:t>
      </w:r>
      <w:r>
        <w:rPr>
          <w:rFonts w:hint="eastAsia" w:ascii="宋体" w:hAnsi="宋体" w:cs="宋体"/>
          <w:color w:val="auto"/>
          <w:szCs w:val="21"/>
          <w:highlight w:val="none"/>
          <w:u w:val="single"/>
          <w:lang w:bidi="ar"/>
        </w:rPr>
        <w:t>（由发包人发函确认）</w:t>
      </w:r>
      <w:r>
        <w:rPr>
          <w:rFonts w:hint="eastAsia" w:ascii="宋体" w:hAnsi="宋体" w:cs="宋体"/>
          <w:color w:val="auto"/>
          <w:szCs w:val="21"/>
          <w:highlight w:val="none"/>
          <w:lang w:bidi="ar"/>
        </w:rPr>
        <w:t>；</w:t>
      </w:r>
    </w:p>
    <w:p w14:paraId="0F58F6E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联系电话：</w:t>
      </w:r>
      <w:r>
        <w:rPr>
          <w:rFonts w:hint="eastAsia" w:ascii="宋体" w:hAnsi="宋体" w:cs="宋体"/>
          <w:color w:val="auto"/>
          <w:szCs w:val="21"/>
          <w:highlight w:val="none"/>
          <w:u w:val="single"/>
          <w:lang w:bidi="ar"/>
        </w:rPr>
        <w:t>（由发包人发函确认）</w:t>
      </w:r>
      <w:r>
        <w:rPr>
          <w:rFonts w:hint="eastAsia" w:ascii="宋体" w:hAnsi="宋体" w:cs="宋体"/>
          <w:color w:val="auto"/>
          <w:szCs w:val="21"/>
          <w:highlight w:val="none"/>
          <w:lang w:bidi="ar"/>
        </w:rPr>
        <w:t>；</w:t>
      </w:r>
    </w:p>
    <w:p w14:paraId="6303B98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电子信箱：</w:t>
      </w:r>
      <w:r>
        <w:rPr>
          <w:rFonts w:hint="eastAsia" w:ascii="宋体" w:hAnsi="宋体" w:cs="宋体"/>
          <w:color w:val="auto"/>
          <w:szCs w:val="21"/>
          <w:highlight w:val="none"/>
          <w:u w:val="single"/>
          <w:lang w:bidi="ar"/>
        </w:rPr>
        <w:t>（由发包人发函确认）</w:t>
      </w:r>
      <w:r>
        <w:rPr>
          <w:rFonts w:hint="eastAsia" w:ascii="宋体" w:hAnsi="宋体" w:cs="宋体"/>
          <w:color w:val="auto"/>
          <w:szCs w:val="21"/>
          <w:highlight w:val="none"/>
          <w:lang w:bidi="ar"/>
        </w:rPr>
        <w:t>；</w:t>
      </w:r>
    </w:p>
    <w:p w14:paraId="20F24FA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通信地址：</w:t>
      </w:r>
      <w:r>
        <w:rPr>
          <w:rFonts w:hint="eastAsia" w:ascii="宋体" w:hAnsi="宋体" w:cs="宋体"/>
          <w:color w:val="auto"/>
          <w:szCs w:val="21"/>
          <w:highlight w:val="none"/>
          <w:u w:val="single"/>
          <w:lang w:bidi="ar"/>
        </w:rPr>
        <w:t>（由发包人发函确认）</w:t>
      </w:r>
      <w:r>
        <w:rPr>
          <w:rFonts w:hint="eastAsia" w:ascii="宋体" w:hAnsi="宋体" w:cs="宋体"/>
          <w:color w:val="auto"/>
          <w:szCs w:val="21"/>
          <w:highlight w:val="none"/>
          <w:lang w:bidi="ar"/>
        </w:rPr>
        <w:t>。</w:t>
      </w:r>
    </w:p>
    <w:p w14:paraId="0AE7B0EA">
      <w:pPr>
        <w:spacing w:line="360" w:lineRule="auto"/>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lang w:bidi="ar"/>
        </w:rPr>
        <w:t>1.1.2.5 设计人：</w:t>
      </w:r>
    </w:p>
    <w:p w14:paraId="757AA74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名    称：</w:t>
      </w:r>
      <w:r>
        <w:rPr>
          <w:rFonts w:hint="eastAsia" w:ascii="宋体" w:hAnsi="宋体" w:cs="宋体"/>
          <w:color w:val="auto"/>
          <w:szCs w:val="21"/>
          <w:highlight w:val="none"/>
          <w:u w:val="single"/>
          <w:lang w:bidi="ar"/>
        </w:rPr>
        <w:t>（由发包人发函确认）</w:t>
      </w:r>
      <w:r>
        <w:rPr>
          <w:rFonts w:hint="eastAsia" w:ascii="宋体" w:hAnsi="宋体" w:cs="宋体"/>
          <w:color w:val="auto"/>
          <w:szCs w:val="21"/>
          <w:highlight w:val="none"/>
          <w:lang w:bidi="ar"/>
        </w:rPr>
        <w:t>；</w:t>
      </w:r>
    </w:p>
    <w:p w14:paraId="7D70E17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资质类别和等级：</w:t>
      </w:r>
      <w:r>
        <w:rPr>
          <w:rFonts w:hint="eastAsia" w:ascii="宋体" w:hAnsi="宋体" w:cs="宋体"/>
          <w:color w:val="auto"/>
          <w:szCs w:val="21"/>
          <w:highlight w:val="none"/>
          <w:u w:val="single"/>
          <w:lang w:bidi="ar"/>
        </w:rPr>
        <w:t>（由发包人发函确认）</w:t>
      </w:r>
      <w:r>
        <w:rPr>
          <w:rFonts w:hint="eastAsia" w:ascii="宋体" w:hAnsi="宋体" w:cs="宋体"/>
          <w:color w:val="auto"/>
          <w:szCs w:val="21"/>
          <w:highlight w:val="none"/>
          <w:lang w:bidi="ar"/>
        </w:rPr>
        <w:t>；</w:t>
      </w:r>
    </w:p>
    <w:p w14:paraId="6E8701A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联系电话：</w:t>
      </w:r>
      <w:r>
        <w:rPr>
          <w:rFonts w:hint="eastAsia" w:ascii="宋体" w:hAnsi="宋体" w:cs="宋体"/>
          <w:color w:val="auto"/>
          <w:szCs w:val="21"/>
          <w:highlight w:val="none"/>
          <w:u w:val="single"/>
          <w:lang w:bidi="ar"/>
        </w:rPr>
        <w:t>（由发包人发函确认）</w:t>
      </w:r>
      <w:r>
        <w:rPr>
          <w:rFonts w:hint="eastAsia" w:ascii="宋体" w:hAnsi="宋体" w:cs="宋体"/>
          <w:color w:val="auto"/>
          <w:szCs w:val="21"/>
          <w:highlight w:val="none"/>
          <w:lang w:bidi="ar"/>
        </w:rPr>
        <w:t>；</w:t>
      </w:r>
    </w:p>
    <w:p w14:paraId="4C563E2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电子信箱：</w:t>
      </w:r>
      <w:r>
        <w:rPr>
          <w:rFonts w:hint="eastAsia" w:ascii="宋体" w:hAnsi="宋体" w:cs="宋体"/>
          <w:color w:val="auto"/>
          <w:szCs w:val="21"/>
          <w:highlight w:val="none"/>
          <w:u w:val="single"/>
          <w:lang w:bidi="ar"/>
        </w:rPr>
        <w:t>（由发包人发函确认）</w:t>
      </w:r>
      <w:r>
        <w:rPr>
          <w:rFonts w:hint="eastAsia" w:ascii="宋体" w:hAnsi="宋体" w:cs="宋体"/>
          <w:color w:val="auto"/>
          <w:szCs w:val="21"/>
          <w:highlight w:val="none"/>
          <w:lang w:bidi="ar"/>
        </w:rPr>
        <w:t>；</w:t>
      </w:r>
    </w:p>
    <w:p w14:paraId="239B2EB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通信地址：</w:t>
      </w:r>
      <w:r>
        <w:rPr>
          <w:rFonts w:hint="eastAsia" w:ascii="宋体" w:hAnsi="宋体" w:cs="宋体"/>
          <w:color w:val="auto"/>
          <w:szCs w:val="21"/>
          <w:highlight w:val="none"/>
          <w:u w:val="single"/>
          <w:lang w:bidi="ar"/>
        </w:rPr>
        <w:t>（由发包人发函确认）</w:t>
      </w:r>
      <w:r>
        <w:rPr>
          <w:rFonts w:hint="eastAsia" w:ascii="宋体" w:hAnsi="宋体" w:cs="宋体"/>
          <w:color w:val="auto"/>
          <w:szCs w:val="21"/>
          <w:highlight w:val="none"/>
          <w:lang w:bidi="ar"/>
        </w:rPr>
        <w:t>。</w:t>
      </w:r>
    </w:p>
    <w:p w14:paraId="135C067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1.1.3 工程和设备</w:t>
      </w:r>
    </w:p>
    <w:p w14:paraId="4C6FB600">
      <w:pPr>
        <w:spacing w:line="360" w:lineRule="auto"/>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lang w:bidi="ar"/>
        </w:rPr>
        <w:t>1.1.3.7 作为施工现场组成部分的其他场所包括：</w:t>
      </w:r>
    </w:p>
    <w:p w14:paraId="74A60A7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u w:val="single"/>
          <w:lang w:bidi="ar"/>
        </w:rPr>
        <w:t xml:space="preserve">  用于承包人施工所需的场地      </w:t>
      </w:r>
      <w:r>
        <w:rPr>
          <w:rFonts w:hint="eastAsia" w:ascii="宋体" w:hAnsi="宋体" w:cs="宋体"/>
          <w:color w:val="auto"/>
          <w:szCs w:val="21"/>
          <w:highlight w:val="none"/>
          <w:lang w:bidi="ar"/>
        </w:rPr>
        <w:t>。</w:t>
      </w:r>
    </w:p>
    <w:p w14:paraId="20ED8494">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1.1.3.9 永久占地包括：</w:t>
      </w:r>
      <w:r>
        <w:rPr>
          <w:rFonts w:hint="eastAsia" w:ascii="宋体" w:hAnsi="宋体" w:cs="宋体"/>
          <w:color w:val="auto"/>
          <w:szCs w:val="21"/>
          <w:highlight w:val="none"/>
          <w:u w:val="single"/>
          <w:lang w:bidi="ar"/>
        </w:rPr>
        <w:t xml:space="preserve"> 实施工程需永久占用的土地 </w:t>
      </w:r>
      <w:r>
        <w:rPr>
          <w:rFonts w:hint="eastAsia" w:ascii="宋体" w:hAnsi="宋体" w:cs="宋体"/>
          <w:color w:val="auto"/>
          <w:kern w:val="0"/>
          <w:szCs w:val="21"/>
          <w:highlight w:val="none"/>
          <w:lang w:bidi="ar"/>
        </w:rPr>
        <w:t>。</w:t>
      </w:r>
    </w:p>
    <w:p w14:paraId="5303DE8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1.1.3.10 临时占地包括：</w:t>
      </w:r>
      <w:r>
        <w:rPr>
          <w:rFonts w:hint="eastAsia" w:ascii="宋体" w:hAnsi="宋体" w:cs="宋体"/>
          <w:color w:val="auto"/>
          <w:szCs w:val="21"/>
          <w:highlight w:val="none"/>
          <w:u w:val="single"/>
          <w:lang w:bidi="ar"/>
        </w:rPr>
        <w:t xml:space="preserve"> 实施工程需要临时占用的土地   </w:t>
      </w:r>
      <w:r>
        <w:rPr>
          <w:rFonts w:hint="eastAsia" w:ascii="宋体" w:hAnsi="宋体" w:cs="宋体"/>
          <w:color w:val="auto"/>
          <w:kern w:val="0"/>
          <w:szCs w:val="21"/>
          <w:highlight w:val="none"/>
          <w:lang w:bidi="ar"/>
        </w:rPr>
        <w:t>。</w:t>
      </w:r>
    </w:p>
    <w:p w14:paraId="567CED28">
      <w:pPr>
        <w:pStyle w:val="4"/>
        <w:widowControl/>
        <w:jc w:val="left"/>
        <w:rPr>
          <w:rFonts w:ascii="宋体" w:hAnsi="宋体" w:cs="宋体"/>
          <w:color w:val="auto"/>
          <w:sz w:val="21"/>
          <w:szCs w:val="21"/>
          <w:highlight w:val="none"/>
        </w:rPr>
      </w:pPr>
      <w:bookmarkStart w:id="769" w:name="_Toc1162259329"/>
      <w:bookmarkEnd w:id="769"/>
      <w:bookmarkStart w:id="770" w:name="_Toc407135196"/>
      <w:bookmarkEnd w:id="770"/>
      <w:bookmarkStart w:id="771" w:name="_Toc78449782"/>
      <w:bookmarkEnd w:id="771"/>
      <w:bookmarkStart w:id="772" w:name="_Toc176947511"/>
      <w:bookmarkEnd w:id="772"/>
      <w:bookmarkStart w:id="773" w:name="_Toc373227694"/>
      <w:bookmarkEnd w:id="773"/>
      <w:bookmarkStart w:id="774" w:name="_Toc389065260"/>
      <w:bookmarkEnd w:id="774"/>
      <w:bookmarkStart w:id="775" w:name="_Toc373478341"/>
      <w:bookmarkEnd w:id="775"/>
      <w:bookmarkStart w:id="776" w:name="_Toc141175122"/>
      <w:r>
        <w:rPr>
          <w:rFonts w:hint="eastAsia" w:ascii="宋体" w:hAnsi="宋体" w:cs="宋体"/>
          <w:color w:val="auto"/>
          <w:sz w:val="21"/>
          <w:szCs w:val="21"/>
          <w:highlight w:val="none"/>
        </w:rPr>
        <w:t>1.3 法律</w:t>
      </w:r>
      <w:bookmarkEnd w:id="776"/>
    </w:p>
    <w:p w14:paraId="11A30B0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适用于合同的其他规范性文件：</w:t>
      </w:r>
      <w:r>
        <w:rPr>
          <w:rFonts w:hint="eastAsia" w:ascii="宋体" w:hAnsi="宋体" w:cs="宋体"/>
          <w:color w:val="auto"/>
          <w:szCs w:val="21"/>
          <w:highlight w:val="none"/>
          <w:u w:val="single"/>
          <w:lang w:bidi="ar"/>
        </w:rPr>
        <w:t xml:space="preserve">  </w:t>
      </w:r>
      <w:r>
        <w:rPr>
          <w:rFonts w:hint="eastAsia" w:ascii="宋体" w:hAnsi="宋体" w:cs="宋体"/>
          <w:color w:val="auto"/>
          <w:spacing w:val="-8"/>
          <w:szCs w:val="21"/>
          <w:highlight w:val="none"/>
          <w:u w:val="single"/>
          <w:lang w:bidi="ar"/>
        </w:rPr>
        <w:t>同通用条款</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w:t>
      </w:r>
    </w:p>
    <w:p w14:paraId="36E9AEF4">
      <w:pPr>
        <w:pStyle w:val="4"/>
        <w:widowControl/>
        <w:jc w:val="left"/>
        <w:rPr>
          <w:rFonts w:ascii="宋体" w:hAnsi="宋体" w:cs="宋体"/>
          <w:color w:val="auto"/>
          <w:sz w:val="21"/>
          <w:szCs w:val="21"/>
          <w:highlight w:val="none"/>
        </w:rPr>
      </w:pPr>
      <w:bookmarkStart w:id="777" w:name="_Toc373227695"/>
      <w:bookmarkEnd w:id="777"/>
      <w:bookmarkStart w:id="778" w:name="_Toc78449783"/>
      <w:bookmarkEnd w:id="778"/>
      <w:bookmarkStart w:id="779" w:name="_Toc389065261"/>
      <w:bookmarkEnd w:id="779"/>
      <w:bookmarkStart w:id="780" w:name="_Toc373478342"/>
      <w:bookmarkEnd w:id="780"/>
      <w:bookmarkStart w:id="781" w:name="_Toc176947512"/>
      <w:bookmarkEnd w:id="781"/>
      <w:bookmarkStart w:id="782" w:name="_Toc1694357896"/>
      <w:bookmarkEnd w:id="782"/>
      <w:bookmarkStart w:id="783" w:name="_Toc141175123"/>
      <w:bookmarkEnd w:id="783"/>
      <w:bookmarkStart w:id="784" w:name="_Toc407135197"/>
      <w:r>
        <w:rPr>
          <w:rFonts w:hint="eastAsia" w:ascii="宋体" w:hAnsi="宋体" w:cs="宋体"/>
          <w:color w:val="auto"/>
          <w:sz w:val="21"/>
          <w:szCs w:val="21"/>
          <w:highlight w:val="none"/>
        </w:rPr>
        <w:t>1.4 标准和规范</w:t>
      </w:r>
      <w:bookmarkEnd w:id="784"/>
    </w:p>
    <w:p w14:paraId="3DE9AA1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1.4.1 适用于工程的标准规范包括：</w:t>
      </w:r>
      <w:r>
        <w:rPr>
          <w:rFonts w:hint="eastAsia" w:ascii="宋体" w:hAnsi="宋体" w:cs="宋体"/>
          <w:color w:val="auto"/>
          <w:spacing w:val="-9"/>
          <w:szCs w:val="21"/>
          <w:highlight w:val="none"/>
          <w:u w:val="single"/>
          <w:lang w:bidi="ar"/>
        </w:rPr>
        <w:t>同通用条款</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w:t>
      </w:r>
    </w:p>
    <w:p w14:paraId="482E4FCD">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1.4.2 发包人提供国外标准、规范的名称：</w:t>
      </w:r>
      <w:r>
        <w:rPr>
          <w:rFonts w:hint="eastAsia" w:ascii="宋体" w:hAnsi="宋体" w:cs="宋体"/>
          <w:color w:val="auto"/>
          <w:spacing w:val="-5"/>
          <w:szCs w:val="21"/>
          <w:highlight w:val="none"/>
          <w:u w:val="single"/>
          <w:lang w:bidi="ar"/>
        </w:rPr>
        <w:t>无</w:t>
      </w:r>
      <w:r>
        <w:rPr>
          <w:rFonts w:hint="eastAsia" w:ascii="宋体" w:hAnsi="宋体" w:cs="宋体"/>
          <w:color w:val="auto"/>
          <w:szCs w:val="21"/>
          <w:highlight w:val="none"/>
          <w:lang w:bidi="ar"/>
        </w:rPr>
        <w:t>；</w:t>
      </w:r>
    </w:p>
    <w:p w14:paraId="33B84E74">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发包人提供国外标准、规范的份数：</w:t>
      </w:r>
      <w:r>
        <w:rPr>
          <w:rFonts w:hint="eastAsia" w:ascii="宋体" w:hAnsi="宋体" w:cs="宋体"/>
          <w:color w:val="auto"/>
          <w:spacing w:val="-5"/>
          <w:szCs w:val="21"/>
          <w:highlight w:val="none"/>
          <w:u w:val="single"/>
          <w:lang w:bidi="ar"/>
        </w:rPr>
        <w:t>无</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w:t>
      </w:r>
    </w:p>
    <w:p w14:paraId="40A68FF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发包人提供国外标准、规范的名称：</w:t>
      </w:r>
      <w:r>
        <w:rPr>
          <w:rFonts w:hint="eastAsia" w:ascii="宋体" w:hAnsi="宋体" w:cs="宋体"/>
          <w:color w:val="auto"/>
          <w:spacing w:val="-5"/>
          <w:szCs w:val="21"/>
          <w:highlight w:val="none"/>
          <w:u w:val="single"/>
          <w:lang w:bidi="ar"/>
        </w:rPr>
        <w:t>无</w:t>
      </w:r>
      <w:r>
        <w:rPr>
          <w:rFonts w:hint="eastAsia" w:ascii="宋体" w:hAnsi="宋体" w:cs="宋体"/>
          <w:color w:val="auto"/>
          <w:kern w:val="0"/>
          <w:szCs w:val="21"/>
          <w:highlight w:val="none"/>
          <w:lang w:bidi="ar"/>
        </w:rPr>
        <w:t>。</w:t>
      </w:r>
    </w:p>
    <w:p w14:paraId="50ED7F5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1.4.3 发包人对工程的技术标准和功能要求的特殊要求：</w:t>
      </w:r>
      <w:r>
        <w:rPr>
          <w:rFonts w:hint="eastAsia" w:ascii="宋体" w:hAnsi="宋体" w:cs="宋体"/>
          <w:color w:val="auto"/>
          <w:spacing w:val="-5"/>
          <w:szCs w:val="21"/>
          <w:highlight w:val="none"/>
          <w:u w:val="single"/>
          <w:lang w:bidi="ar"/>
        </w:rPr>
        <w:t>无</w:t>
      </w:r>
      <w:r>
        <w:rPr>
          <w:rFonts w:hint="eastAsia" w:ascii="宋体" w:hAnsi="宋体" w:cs="宋体"/>
          <w:color w:val="auto"/>
          <w:szCs w:val="21"/>
          <w:highlight w:val="none"/>
          <w:lang w:bidi="ar"/>
        </w:rPr>
        <w:t>。</w:t>
      </w:r>
    </w:p>
    <w:p w14:paraId="423B4EE6">
      <w:pPr>
        <w:pStyle w:val="4"/>
        <w:widowControl/>
        <w:jc w:val="left"/>
        <w:rPr>
          <w:rFonts w:ascii="宋体" w:hAnsi="宋体" w:cs="宋体"/>
          <w:color w:val="auto"/>
          <w:sz w:val="21"/>
          <w:szCs w:val="21"/>
          <w:highlight w:val="none"/>
        </w:rPr>
      </w:pPr>
      <w:bookmarkStart w:id="785" w:name="_Toc373478343"/>
      <w:bookmarkEnd w:id="785"/>
      <w:bookmarkStart w:id="786" w:name="_Toc389065262"/>
      <w:bookmarkEnd w:id="786"/>
      <w:bookmarkStart w:id="787" w:name="_Toc373227696"/>
      <w:bookmarkEnd w:id="787"/>
      <w:bookmarkStart w:id="788" w:name="_Toc78449784"/>
      <w:bookmarkEnd w:id="788"/>
      <w:bookmarkStart w:id="789" w:name="_Toc176947513"/>
      <w:bookmarkEnd w:id="789"/>
      <w:bookmarkStart w:id="790" w:name="_Toc24431861"/>
      <w:bookmarkEnd w:id="790"/>
      <w:bookmarkStart w:id="791" w:name="_Toc141175124"/>
      <w:bookmarkEnd w:id="791"/>
      <w:bookmarkStart w:id="792" w:name="_Toc407135198"/>
      <w:r>
        <w:rPr>
          <w:rFonts w:hint="eastAsia" w:ascii="宋体" w:hAnsi="宋体" w:cs="宋体"/>
          <w:color w:val="auto"/>
          <w:sz w:val="21"/>
          <w:szCs w:val="21"/>
          <w:highlight w:val="none"/>
        </w:rPr>
        <w:t>1.5 合同文件的优先顺序</w:t>
      </w:r>
      <w:bookmarkEnd w:id="792"/>
    </w:p>
    <w:p w14:paraId="784EB806">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lang w:bidi="ar"/>
        </w:rPr>
        <w:t>合同文件组成及优先顺序为：</w:t>
      </w:r>
    </w:p>
    <w:p w14:paraId="7EF6C2A6">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（1）合同协议书；</w:t>
      </w:r>
    </w:p>
    <w:p w14:paraId="5B965FE7">
      <w:pPr>
        <w:spacing w:line="360" w:lineRule="auto"/>
        <w:ind w:firstLine="420" w:firstLineChars="200"/>
        <w:jc w:val="left"/>
        <w:rPr>
          <w:rFonts w:ascii="宋体" w:hAnsi="宋体" w:cs="宋体"/>
          <w:color w:val="auto"/>
          <w:kern w:val="0"/>
          <w:szCs w:val="21"/>
          <w:highlight w:val="none"/>
        </w:rPr>
      </w:pPr>
      <w:bookmarkStart w:id="793" w:name="bookmark916"/>
      <w:bookmarkEnd w:id="793"/>
      <w:r>
        <w:rPr>
          <w:rFonts w:hint="eastAsia" w:ascii="宋体" w:hAnsi="宋体" w:cs="宋体"/>
          <w:color w:val="auto"/>
          <w:kern w:val="0"/>
          <w:szCs w:val="21"/>
          <w:highlight w:val="none"/>
          <w:lang w:bidi="ar"/>
        </w:rPr>
        <w:t>（2）中标通知书；</w:t>
      </w:r>
    </w:p>
    <w:p w14:paraId="32E9F5AA">
      <w:pPr>
        <w:spacing w:line="360" w:lineRule="auto"/>
        <w:ind w:firstLine="420" w:firstLineChars="200"/>
        <w:jc w:val="left"/>
        <w:rPr>
          <w:rFonts w:ascii="宋体" w:hAnsi="宋体" w:cs="宋体"/>
          <w:color w:val="auto"/>
          <w:kern w:val="0"/>
          <w:szCs w:val="21"/>
          <w:highlight w:val="none"/>
        </w:rPr>
      </w:pPr>
      <w:bookmarkStart w:id="794" w:name="bookmark917"/>
      <w:bookmarkEnd w:id="794"/>
      <w:r>
        <w:rPr>
          <w:rFonts w:hint="eastAsia" w:ascii="宋体" w:hAnsi="宋体" w:cs="宋体"/>
          <w:color w:val="auto"/>
          <w:kern w:val="0"/>
          <w:szCs w:val="21"/>
          <w:highlight w:val="none"/>
          <w:lang w:bidi="ar"/>
        </w:rPr>
        <w:t>（3）投标函及投标函附录；</w:t>
      </w:r>
    </w:p>
    <w:p w14:paraId="54823EF1">
      <w:pPr>
        <w:spacing w:line="360" w:lineRule="auto"/>
        <w:ind w:firstLine="420" w:firstLineChars="200"/>
        <w:jc w:val="left"/>
        <w:rPr>
          <w:rFonts w:ascii="宋体" w:hAnsi="宋体" w:cs="宋体"/>
          <w:color w:val="auto"/>
          <w:kern w:val="0"/>
          <w:szCs w:val="21"/>
          <w:highlight w:val="none"/>
        </w:rPr>
      </w:pPr>
      <w:bookmarkStart w:id="795" w:name="bookmark918"/>
      <w:bookmarkEnd w:id="795"/>
      <w:r>
        <w:rPr>
          <w:rFonts w:hint="eastAsia" w:ascii="宋体" w:hAnsi="宋体" w:cs="宋体"/>
          <w:color w:val="auto"/>
          <w:kern w:val="0"/>
          <w:szCs w:val="21"/>
          <w:highlight w:val="none"/>
          <w:lang w:bidi="ar"/>
        </w:rPr>
        <w:t>（4）专用合同条款</w:t>
      </w:r>
      <w:r>
        <w:rPr>
          <w:rFonts w:hint="eastAsia" w:ascii="宋体" w:hAnsi="宋体" w:cs="宋体"/>
          <w:color w:val="auto"/>
          <w:szCs w:val="21"/>
          <w:highlight w:val="none"/>
          <w:lang w:bidi="ar"/>
        </w:rPr>
        <w:t>及其附件</w:t>
      </w:r>
      <w:r>
        <w:rPr>
          <w:rFonts w:hint="eastAsia" w:ascii="宋体" w:hAnsi="宋体" w:cs="宋体"/>
          <w:color w:val="auto"/>
          <w:kern w:val="0"/>
          <w:szCs w:val="21"/>
          <w:highlight w:val="none"/>
          <w:lang w:bidi="ar"/>
        </w:rPr>
        <w:t>；</w:t>
      </w:r>
    </w:p>
    <w:p w14:paraId="23B588A2">
      <w:pPr>
        <w:spacing w:line="360" w:lineRule="auto"/>
        <w:ind w:firstLine="420" w:firstLineChars="200"/>
        <w:jc w:val="left"/>
        <w:rPr>
          <w:rFonts w:ascii="宋体" w:hAnsi="宋体" w:cs="宋体"/>
          <w:color w:val="auto"/>
          <w:kern w:val="0"/>
          <w:szCs w:val="21"/>
          <w:highlight w:val="none"/>
        </w:rPr>
      </w:pPr>
      <w:bookmarkStart w:id="796" w:name="bookmark919"/>
      <w:bookmarkEnd w:id="796"/>
      <w:r>
        <w:rPr>
          <w:rFonts w:hint="eastAsia" w:ascii="宋体" w:hAnsi="宋体" w:cs="宋体"/>
          <w:color w:val="auto"/>
          <w:kern w:val="0"/>
          <w:szCs w:val="21"/>
          <w:highlight w:val="none"/>
          <w:lang w:bidi="ar"/>
        </w:rPr>
        <w:t>（5）通用合同条款；</w:t>
      </w:r>
    </w:p>
    <w:p w14:paraId="0647639B">
      <w:pPr>
        <w:spacing w:line="360" w:lineRule="auto"/>
        <w:ind w:firstLine="420" w:firstLineChars="200"/>
        <w:jc w:val="left"/>
        <w:rPr>
          <w:rFonts w:ascii="宋体" w:hAnsi="宋体" w:cs="宋体"/>
          <w:color w:val="auto"/>
          <w:kern w:val="0"/>
          <w:szCs w:val="21"/>
          <w:highlight w:val="none"/>
        </w:rPr>
      </w:pPr>
      <w:bookmarkStart w:id="797" w:name="bookmark920"/>
      <w:bookmarkEnd w:id="797"/>
      <w:r>
        <w:rPr>
          <w:rFonts w:hint="eastAsia" w:ascii="宋体" w:hAnsi="宋体" w:cs="宋体"/>
          <w:color w:val="auto"/>
          <w:kern w:val="0"/>
          <w:szCs w:val="21"/>
          <w:highlight w:val="none"/>
          <w:lang w:bidi="ar"/>
        </w:rPr>
        <w:t>（6）技术标准和要求；</w:t>
      </w:r>
    </w:p>
    <w:p w14:paraId="7BC4DFFC">
      <w:pPr>
        <w:spacing w:line="360" w:lineRule="auto"/>
        <w:ind w:firstLine="420" w:firstLineChars="200"/>
        <w:jc w:val="left"/>
        <w:rPr>
          <w:rFonts w:ascii="宋体" w:hAnsi="宋体" w:cs="宋体"/>
          <w:color w:val="auto"/>
          <w:kern w:val="0"/>
          <w:szCs w:val="21"/>
          <w:highlight w:val="none"/>
        </w:rPr>
      </w:pPr>
      <w:bookmarkStart w:id="798" w:name="bookmark921"/>
      <w:bookmarkEnd w:id="798"/>
      <w:r>
        <w:rPr>
          <w:rFonts w:hint="eastAsia" w:ascii="宋体" w:hAnsi="宋体" w:cs="宋体"/>
          <w:color w:val="auto"/>
          <w:kern w:val="0"/>
          <w:szCs w:val="21"/>
          <w:highlight w:val="none"/>
          <w:lang w:bidi="ar"/>
        </w:rPr>
        <w:t>（7）图纸</w:t>
      </w:r>
      <w:r>
        <w:rPr>
          <w:rFonts w:hint="eastAsia" w:ascii="宋体" w:hAnsi="宋体" w:cs="宋体"/>
          <w:color w:val="auto"/>
          <w:szCs w:val="21"/>
          <w:highlight w:val="none"/>
          <w:lang w:bidi="ar"/>
        </w:rPr>
        <w:t>（含图纸修改通知单及图纸设计变更文件）；</w:t>
      </w:r>
    </w:p>
    <w:p w14:paraId="4AD1CCF8">
      <w:pPr>
        <w:spacing w:line="360" w:lineRule="auto"/>
        <w:ind w:firstLine="420" w:firstLineChars="200"/>
        <w:jc w:val="left"/>
        <w:rPr>
          <w:rFonts w:ascii="宋体" w:hAnsi="宋体" w:cs="宋体"/>
          <w:color w:val="auto"/>
          <w:kern w:val="0"/>
          <w:szCs w:val="21"/>
          <w:highlight w:val="none"/>
        </w:rPr>
      </w:pPr>
      <w:bookmarkStart w:id="799" w:name="bookmark922"/>
      <w:bookmarkEnd w:id="799"/>
      <w:r>
        <w:rPr>
          <w:rFonts w:hint="eastAsia" w:ascii="宋体" w:hAnsi="宋体" w:cs="宋体"/>
          <w:color w:val="auto"/>
          <w:kern w:val="0"/>
          <w:szCs w:val="21"/>
          <w:highlight w:val="none"/>
          <w:lang w:bidi="ar"/>
        </w:rPr>
        <w:t>（8）已标价工程量清单；</w:t>
      </w:r>
    </w:p>
    <w:p w14:paraId="6DB11AD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bidi="ar"/>
        </w:rPr>
        <w:t>（9）</w:t>
      </w:r>
      <w:r>
        <w:rPr>
          <w:rFonts w:hint="eastAsia" w:ascii="宋体" w:hAnsi="宋体" w:cs="宋体"/>
          <w:color w:val="auto"/>
          <w:szCs w:val="21"/>
          <w:highlight w:val="none"/>
          <w:lang w:bidi="ar"/>
        </w:rPr>
        <w:t>本工程预算控制价造价成果文件</w:t>
      </w:r>
      <w:r>
        <w:rPr>
          <w:rFonts w:hint="eastAsia" w:ascii="宋体" w:hAnsi="宋体" w:cs="宋体"/>
          <w:color w:val="auto"/>
          <w:kern w:val="0"/>
          <w:szCs w:val="21"/>
          <w:highlight w:val="none"/>
          <w:lang w:bidi="ar"/>
        </w:rPr>
        <w:t>；</w:t>
      </w:r>
    </w:p>
    <w:p w14:paraId="3E5F6E4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（10）</w:t>
      </w:r>
      <w:r>
        <w:rPr>
          <w:rFonts w:hint="eastAsia" w:ascii="宋体" w:hAnsi="宋体" w:cs="宋体"/>
          <w:color w:val="auto"/>
          <w:spacing w:val="-3"/>
          <w:szCs w:val="21"/>
          <w:highlight w:val="none"/>
          <w:lang w:bidi="ar"/>
        </w:rPr>
        <w:t>《建设工程工程量清单计价规范(G</w:t>
      </w:r>
      <w:r>
        <w:rPr>
          <w:rFonts w:hint="eastAsia" w:ascii="宋体" w:hAnsi="宋体" w:cs="宋体"/>
          <w:color w:val="auto"/>
          <w:szCs w:val="21"/>
          <w:highlight w:val="none"/>
          <w:lang w:bidi="ar"/>
        </w:rPr>
        <w:t>B</w:t>
      </w:r>
      <w:r>
        <w:rPr>
          <w:rFonts w:hint="eastAsia" w:ascii="宋体" w:hAnsi="宋体" w:cs="宋体"/>
          <w:color w:val="auto"/>
          <w:spacing w:val="-3"/>
          <w:szCs w:val="21"/>
          <w:highlight w:val="none"/>
          <w:lang w:bidi="ar"/>
        </w:rPr>
        <w:t>5050-2013)》及其广西实施细则及桂建标[2019]12号文《自治区住房城乡建设厅关于调整建设工程计价增值税税率的通知》；</w:t>
      </w:r>
    </w:p>
    <w:p w14:paraId="6E16F21C">
      <w:pPr>
        <w:tabs>
          <w:tab w:val="left" w:pos="131"/>
        </w:tabs>
        <w:spacing w:before="161" w:line="352" w:lineRule="auto"/>
        <w:ind w:left="22" w:firstLine="312"/>
        <w:jc w:val="left"/>
        <w:rPr>
          <w:rFonts w:ascii="宋体" w:hAnsi="宋体" w:cs="宋体"/>
          <w:color w:val="auto"/>
          <w:spacing w:val="-1"/>
          <w:szCs w:val="21"/>
          <w:highlight w:val="none"/>
        </w:rPr>
      </w:pPr>
      <w:r>
        <w:rPr>
          <w:rFonts w:hint="eastAsia" w:ascii="宋体" w:hAnsi="宋体" w:cs="宋体"/>
          <w:color w:val="auto"/>
          <w:szCs w:val="21"/>
          <w:highlight w:val="none"/>
          <w:lang w:bidi="ar"/>
        </w:rPr>
        <w:t>（11）</w:t>
      </w:r>
      <w:r>
        <w:rPr>
          <w:rFonts w:hint="eastAsia" w:ascii="宋体" w:hAnsi="宋体" w:cs="宋体"/>
          <w:color w:val="auto"/>
          <w:spacing w:val="-2"/>
          <w:szCs w:val="21"/>
          <w:highlight w:val="none"/>
          <w:lang w:bidi="ar"/>
        </w:rPr>
        <w:t>《建设工程工</w:t>
      </w:r>
      <w:r>
        <w:rPr>
          <w:rFonts w:hint="eastAsia" w:ascii="宋体" w:hAnsi="宋体" w:cs="宋体"/>
          <w:color w:val="auto"/>
          <w:spacing w:val="-1"/>
          <w:szCs w:val="21"/>
          <w:highlight w:val="none"/>
          <w:lang w:bidi="ar"/>
        </w:rPr>
        <w:t>程量清单计算规范(GB5854~50862-2013)》及其广西实施细则(修订本)；</w:t>
      </w:r>
    </w:p>
    <w:p w14:paraId="0153053A">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（12）合同履行中发包人和承包人就有关工程的洽商、变更等书面协议或文件视为本合同 有效施工组成部分；</w:t>
      </w:r>
    </w:p>
    <w:p w14:paraId="68FC28A8">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 xml:space="preserve">    （13）在合同订立及履行过程中形成的与合同有关的文件均构成合同文件组成部分，并根据其性质确定优先解释顺序；</w:t>
      </w:r>
    </w:p>
    <w:p w14:paraId="2CB0A3C7">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（14）其他合同文件：</w:t>
      </w:r>
    </w:p>
    <w:p w14:paraId="0F87DA12">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69C590AB">
      <w:pPr>
        <w:pStyle w:val="4"/>
        <w:widowControl/>
        <w:jc w:val="left"/>
        <w:rPr>
          <w:rFonts w:ascii="宋体" w:hAnsi="宋体" w:cs="宋体"/>
          <w:color w:val="auto"/>
          <w:sz w:val="21"/>
          <w:szCs w:val="21"/>
          <w:highlight w:val="none"/>
        </w:rPr>
      </w:pPr>
      <w:bookmarkStart w:id="800" w:name="_Toc1531480704"/>
      <w:bookmarkEnd w:id="800"/>
      <w:bookmarkStart w:id="801" w:name="_Toc176947514"/>
      <w:bookmarkEnd w:id="801"/>
      <w:bookmarkStart w:id="802" w:name="_Toc389065263"/>
      <w:bookmarkEnd w:id="802"/>
      <w:bookmarkStart w:id="803" w:name="_Toc141175125"/>
      <w:bookmarkEnd w:id="803"/>
      <w:bookmarkStart w:id="804" w:name="_Toc373478344"/>
      <w:bookmarkEnd w:id="804"/>
      <w:bookmarkStart w:id="805" w:name="_Toc78449785"/>
      <w:bookmarkEnd w:id="805"/>
      <w:bookmarkStart w:id="806" w:name="_Toc373227697"/>
      <w:bookmarkEnd w:id="806"/>
      <w:bookmarkStart w:id="807" w:name="_Toc407135199"/>
      <w:r>
        <w:rPr>
          <w:rFonts w:hint="eastAsia" w:ascii="宋体" w:hAnsi="宋体" w:cs="宋体"/>
          <w:color w:val="auto"/>
          <w:sz w:val="21"/>
          <w:szCs w:val="21"/>
          <w:highlight w:val="none"/>
        </w:rPr>
        <w:t>1.6 图纸和承包人文件</w:t>
      </w:r>
      <w:bookmarkEnd w:id="807"/>
      <w:r>
        <w:rPr>
          <w:rFonts w:hint="eastAsia" w:ascii="宋体" w:hAnsi="宋体" w:cs="宋体"/>
          <w:color w:val="auto"/>
          <w:sz w:val="21"/>
          <w:szCs w:val="21"/>
          <w:highlight w:val="none"/>
        </w:rPr>
        <w:tab/>
      </w:r>
    </w:p>
    <w:p w14:paraId="5B4BEFC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1.6.1 图纸的提供</w:t>
      </w:r>
    </w:p>
    <w:p w14:paraId="0B3B52B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发包人向承包人提供图纸的期限：</w:t>
      </w:r>
      <w:r>
        <w:rPr>
          <w:rFonts w:hint="eastAsia" w:ascii="宋体" w:hAnsi="宋体" w:cs="宋体"/>
          <w:color w:val="auto"/>
          <w:szCs w:val="21"/>
          <w:highlight w:val="none"/>
          <w:u w:val="single"/>
          <w:lang w:bidi="ar"/>
        </w:rPr>
        <w:t>合同生效后 7 天内，开工前 15 天内（以时间在后的日期为准）</w:t>
      </w:r>
      <w:r>
        <w:rPr>
          <w:rFonts w:hint="eastAsia" w:ascii="宋体" w:hAnsi="宋体" w:cs="宋体"/>
          <w:color w:val="auto"/>
          <w:szCs w:val="21"/>
          <w:highlight w:val="none"/>
          <w:lang w:bidi="ar"/>
        </w:rPr>
        <w:t>；</w:t>
      </w:r>
    </w:p>
    <w:p w14:paraId="7DE19FC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发包人向承包人提供图纸的数量：</w:t>
      </w:r>
      <w:r>
        <w:rPr>
          <w:rFonts w:hint="eastAsia" w:ascii="宋体" w:hAnsi="宋体" w:cs="宋体"/>
          <w:color w:val="auto"/>
          <w:szCs w:val="21"/>
          <w:highlight w:val="none"/>
          <w:u w:val="single"/>
          <w:lang w:bidi="ar"/>
        </w:rPr>
        <w:t xml:space="preserve"> </w:t>
      </w:r>
      <w:r>
        <w:rPr>
          <w:rFonts w:hint="eastAsia" w:ascii="宋体" w:hAnsi="宋体" w:cs="宋体"/>
          <w:color w:val="auto"/>
          <w:spacing w:val="-4"/>
          <w:szCs w:val="21"/>
          <w:highlight w:val="none"/>
          <w:u w:val="single"/>
          <w:lang w:bidi="ar"/>
        </w:rPr>
        <w:t xml:space="preserve">2 </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套（承包人需要增加图纸套数的，发包人应代为复制，复制费用由承包人承担）；</w:t>
      </w:r>
    </w:p>
    <w:p w14:paraId="53BC93CD">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lang w:bidi="ar"/>
        </w:rPr>
        <w:t>发包人向承包人提供图纸的内容：</w:t>
      </w:r>
      <w:r>
        <w:rPr>
          <w:rFonts w:hint="eastAsia" w:ascii="宋体" w:hAnsi="宋体" w:cs="宋体"/>
          <w:color w:val="auto"/>
          <w:szCs w:val="21"/>
          <w:highlight w:val="none"/>
          <w:u w:val="single"/>
          <w:lang w:bidi="ar"/>
        </w:rPr>
        <w:t xml:space="preserve">  按照约定的施工内容，在合理的时间内，提供本工程的全套完整的施工图纸和其他技术资料 。</w:t>
      </w:r>
    </w:p>
    <w:p w14:paraId="047F03F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1.6.4 承包人文件</w:t>
      </w:r>
    </w:p>
    <w:p w14:paraId="17C7715F">
      <w:pPr>
        <w:spacing w:line="360" w:lineRule="auto"/>
        <w:jc w:val="left"/>
        <w:rPr>
          <w:rFonts w:ascii="宋体" w:hAnsi="宋体" w:cs="宋体"/>
          <w:color w:val="auto"/>
          <w:spacing w:val="-8"/>
          <w:szCs w:val="21"/>
          <w:highlight w:val="none"/>
          <w:u w:val="single"/>
        </w:rPr>
      </w:pPr>
      <w:r>
        <w:rPr>
          <w:rFonts w:hint="eastAsia" w:ascii="宋体" w:hAnsi="宋体" w:cs="宋体"/>
          <w:color w:val="auto"/>
          <w:szCs w:val="21"/>
          <w:highlight w:val="none"/>
          <w:lang w:bidi="ar"/>
        </w:rPr>
        <w:t xml:space="preserve">   需要由承包人提供的文件，包括：</w:t>
      </w:r>
      <w:r>
        <w:rPr>
          <w:rFonts w:hint="eastAsia" w:ascii="宋体" w:hAnsi="宋体" w:cs="宋体"/>
          <w:color w:val="auto"/>
          <w:spacing w:val="-8"/>
          <w:szCs w:val="21"/>
          <w:highlight w:val="none"/>
          <w:u w:val="single"/>
          <w:lang w:bidi="ar"/>
        </w:rPr>
        <w:t>1、资质证书、营业执照副本、安全生产许可证复印件并加盖单位公章；2、施工组织设计、工程进度计划；3、施工预算书；4、专项施工方案、安全文明施工措施、质量管控体系；5、施工图以外的大样图、加工图、标准图等图册</w:t>
      </w:r>
      <w:r>
        <w:rPr>
          <w:rFonts w:hint="eastAsia" w:ascii="宋体" w:hAnsi="宋体" w:cs="宋体"/>
          <w:color w:val="auto"/>
          <w:szCs w:val="21"/>
          <w:highlight w:val="none"/>
          <w:u w:val="single"/>
          <w:lang w:bidi="ar"/>
        </w:rPr>
        <w:t>以及建筑装饰深化设计图纸设计优化建议等，但设计成果文件需经原设计单位审核及认可。最终设计成果归发包人所有</w:t>
      </w:r>
      <w:r>
        <w:rPr>
          <w:rFonts w:hint="eastAsia" w:ascii="宋体" w:hAnsi="宋体" w:cs="宋体"/>
          <w:color w:val="auto"/>
          <w:spacing w:val="-8"/>
          <w:szCs w:val="21"/>
          <w:highlight w:val="none"/>
          <w:u w:val="single"/>
          <w:lang w:bidi="ar"/>
        </w:rPr>
        <w:t>；6、管理人员名单、职称、职务、上岗证等；7、其他建设行政主管部门、发包人需要用于本工程的文件（含电子版）。8、其他</w:t>
      </w:r>
      <w:r>
        <w:rPr>
          <w:rFonts w:hint="eastAsia" w:ascii="宋体" w:hAnsi="宋体" w:cs="宋体"/>
          <w:color w:val="auto"/>
          <w:kern w:val="0"/>
          <w:szCs w:val="21"/>
          <w:highlight w:val="none"/>
          <w:u w:val="single"/>
          <w:lang w:bidi="ar"/>
        </w:rPr>
        <w:t>与工程施工有关的文件。</w:t>
      </w:r>
    </w:p>
    <w:p w14:paraId="5955192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承包人提供的文件的期限为：</w:t>
      </w:r>
      <w:r>
        <w:rPr>
          <w:rFonts w:hint="eastAsia" w:ascii="宋体" w:hAnsi="宋体" w:cs="宋体"/>
          <w:color w:val="auto"/>
          <w:spacing w:val="-8"/>
          <w:szCs w:val="21"/>
          <w:highlight w:val="none"/>
          <w:u w:val="single"/>
          <w:lang w:bidi="ar"/>
        </w:rPr>
        <w:t>构件开始施工前7天内；</w:t>
      </w:r>
    </w:p>
    <w:p w14:paraId="30B316F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承包人提供的文件的数量为：</w:t>
      </w:r>
      <w:r>
        <w:rPr>
          <w:rFonts w:hint="eastAsia" w:ascii="宋体" w:hAnsi="宋体" w:cs="宋体"/>
          <w:color w:val="auto"/>
          <w:spacing w:val="-9"/>
          <w:szCs w:val="21"/>
          <w:highlight w:val="none"/>
          <w:u w:val="single"/>
          <w:lang w:bidi="ar"/>
        </w:rPr>
        <w:t>6份</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w:t>
      </w:r>
    </w:p>
    <w:p w14:paraId="61847F6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承包人提供的文件的形式为：</w:t>
      </w:r>
      <w:r>
        <w:rPr>
          <w:rFonts w:hint="eastAsia" w:ascii="宋体" w:hAnsi="宋体" w:cs="宋体"/>
          <w:color w:val="auto"/>
          <w:szCs w:val="21"/>
          <w:highlight w:val="none"/>
          <w:u w:val="single"/>
          <w:lang w:bidi="ar"/>
        </w:rPr>
        <w:t xml:space="preserve"> </w:t>
      </w:r>
      <w:r>
        <w:rPr>
          <w:rFonts w:hint="eastAsia" w:ascii="宋体" w:hAnsi="宋体" w:cs="宋体"/>
          <w:color w:val="auto"/>
          <w:spacing w:val="-4"/>
          <w:szCs w:val="21"/>
          <w:highlight w:val="none"/>
          <w:u w:val="single"/>
          <w:lang w:bidi="ar"/>
        </w:rPr>
        <w:t>书面形式、装订成册</w:t>
      </w:r>
      <w:r>
        <w:rPr>
          <w:rFonts w:hint="eastAsia" w:ascii="宋体" w:hAnsi="宋体" w:cs="宋体"/>
          <w:color w:val="auto"/>
          <w:szCs w:val="21"/>
          <w:highlight w:val="none"/>
          <w:lang w:bidi="ar"/>
        </w:rPr>
        <w:t>；</w:t>
      </w:r>
    </w:p>
    <w:p w14:paraId="3318A0C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发包人审批承包人文件的期限：</w:t>
      </w:r>
      <w:r>
        <w:rPr>
          <w:rFonts w:hint="eastAsia" w:ascii="宋体" w:hAnsi="宋体" w:cs="宋体"/>
          <w:color w:val="auto"/>
          <w:spacing w:val="-7"/>
          <w:szCs w:val="21"/>
          <w:highlight w:val="none"/>
          <w:u w:val="single"/>
          <w:lang w:bidi="ar"/>
        </w:rPr>
        <w:t>收到承包人文件后7天内</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w:t>
      </w:r>
    </w:p>
    <w:p w14:paraId="52DCF6F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1.6.5 现场图纸准备</w:t>
      </w:r>
    </w:p>
    <w:p w14:paraId="01FC3C0E">
      <w:pPr>
        <w:spacing w:line="360" w:lineRule="auto"/>
        <w:jc w:val="left"/>
        <w:rPr>
          <w:rFonts w:ascii="宋体" w:hAnsi="宋体" w:cs="宋体"/>
          <w:color w:val="auto"/>
          <w:spacing w:val="-8"/>
          <w:szCs w:val="21"/>
          <w:highlight w:val="none"/>
          <w:u w:val="single"/>
        </w:rPr>
      </w:pPr>
      <w:r>
        <w:rPr>
          <w:rFonts w:hint="eastAsia" w:ascii="宋体" w:hAnsi="宋体" w:cs="宋体"/>
          <w:color w:val="auto"/>
          <w:szCs w:val="21"/>
          <w:highlight w:val="none"/>
          <w:lang w:bidi="ar"/>
        </w:rPr>
        <w:t xml:space="preserve">   关于现场图纸准备的约定：</w:t>
      </w:r>
      <w:r>
        <w:rPr>
          <w:rFonts w:hint="eastAsia" w:ascii="宋体" w:hAnsi="宋体" w:cs="宋体"/>
          <w:color w:val="auto"/>
          <w:szCs w:val="21"/>
          <w:highlight w:val="none"/>
          <w:u w:val="single"/>
          <w:lang w:bidi="ar"/>
        </w:rPr>
        <w:t xml:space="preserve"> </w:t>
      </w:r>
      <w:r>
        <w:rPr>
          <w:rFonts w:hint="eastAsia" w:ascii="宋体" w:hAnsi="宋体" w:cs="宋体"/>
          <w:color w:val="auto"/>
          <w:spacing w:val="-7"/>
          <w:szCs w:val="21"/>
          <w:highlight w:val="none"/>
          <w:u w:val="single"/>
          <w:lang w:bidi="ar"/>
        </w:rPr>
        <w:t>发包人向承包人提供图纸后在施工现场不够使用时由承包人自行复印，图纸未经发包人允许不得向第三人借阅；承包人应在施工现场另行保存一套完整的图纸供发包人、监理人及有关人员进行工程检查时使用。</w:t>
      </w:r>
    </w:p>
    <w:p w14:paraId="44988707">
      <w:pPr>
        <w:pStyle w:val="4"/>
        <w:widowControl/>
        <w:jc w:val="left"/>
        <w:rPr>
          <w:rFonts w:ascii="宋体" w:hAnsi="宋体" w:cs="宋体"/>
          <w:color w:val="auto"/>
          <w:sz w:val="21"/>
          <w:szCs w:val="21"/>
          <w:highlight w:val="none"/>
        </w:rPr>
      </w:pPr>
      <w:bookmarkStart w:id="808" w:name="_Toc407135200"/>
      <w:bookmarkEnd w:id="808"/>
      <w:bookmarkStart w:id="809" w:name="_Toc373478345"/>
      <w:bookmarkEnd w:id="809"/>
      <w:bookmarkStart w:id="810" w:name="_Toc141175126"/>
      <w:bookmarkEnd w:id="810"/>
      <w:bookmarkStart w:id="811" w:name="_Toc110523719"/>
      <w:bookmarkEnd w:id="811"/>
      <w:bookmarkStart w:id="812" w:name="_Toc373227698"/>
      <w:bookmarkEnd w:id="812"/>
      <w:bookmarkStart w:id="813" w:name="_Toc389065264"/>
      <w:bookmarkEnd w:id="813"/>
      <w:bookmarkStart w:id="814" w:name="_Toc78449786"/>
      <w:bookmarkEnd w:id="814"/>
      <w:bookmarkStart w:id="815" w:name="_Toc176947515"/>
      <w:r>
        <w:rPr>
          <w:rFonts w:hint="eastAsia" w:ascii="宋体" w:hAnsi="宋体" w:cs="宋体"/>
          <w:color w:val="auto"/>
          <w:sz w:val="21"/>
          <w:szCs w:val="21"/>
          <w:highlight w:val="none"/>
        </w:rPr>
        <w:t>1.7 联络</w:t>
      </w:r>
      <w:bookmarkEnd w:id="815"/>
    </w:p>
    <w:p w14:paraId="2A80FC40">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1.7.1发包人和承包人应当在</w:t>
      </w:r>
      <w:r>
        <w:rPr>
          <w:rFonts w:hint="eastAsia" w:ascii="宋体" w:hAnsi="宋体" w:cs="宋体"/>
          <w:color w:val="auto"/>
          <w:szCs w:val="21"/>
          <w:highlight w:val="none"/>
          <w:u w:val="single"/>
          <w:lang w:bidi="ar"/>
        </w:rPr>
        <w:t xml:space="preserve">  7 </w:t>
      </w:r>
      <w:r>
        <w:rPr>
          <w:rFonts w:hint="eastAsia" w:ascii="宋体" w:hAnsi="宋体" w:cs="宋体"/>
          <w:color w:val="auto"/>
          <w:kern w:val="0"/>
          <w:szCs w:val="21"/>
          <w:highlight w:val="none"/>
          <w:lang w:bidi="ar"/>
        </w:rPr>
        <w:t>天内将与合同有关的通知、批准、证明、证书、指示、指令、要求、请求、同意、意见、确定和决定等书面函件送达对方当事人。</w:t>
      </w:r>
    </w:p>
    <w:p w14:paraId="3159F286">
      <w:pPr>
        <w:spacing w:line="400" w:lineRule="exact"/>
        <w:ind w:firstLine="420" w:firstLineChars="200"/>
        <w:jc w:val="left"/>
        <w:rPr>
          <w:rFonts w:ascii="宋体" w:hAnsi="宋体" w:cs="宋体"/>
          <w:color w:val="auto"/>
          <w:kern w:val="0"/>
          <w:szCs w:val="21"/>
          <w:highlight w:val="none"/>
        </w:rPr>
      </w:pPr>
      <w:bookmarkStart w:id="816" w:name="_Toc1387231545"/>
      <w:bookmarkEnd w:id="816"/>
      <w:bookmarkStart w:id="817" w:name="_Toc389065265"/>
      <w:bookmarkEnd w:id="817"/>
      <w:bookmarkStart w:id="818" w:name="_Toc407135201"/>
      <w:bookmarkEnd w:id="818"/>
      <w:bookmarkStart w:id="819" w:name="_Toc141175127"/>
      <w:bookmarkEnd w:id="819"/>
      <w:bookmarkStart w:id="820" w:name="_Toc373227699"/>
      <w:bookmarkEnd w:id="820"/>
      <w:bookmarkStart w:id="821" w:name="_Toc78449787"/>
      <w:bookmarkEnd w:id="821"/>
      <w:bookmarkStart w:id="822" w:name="_Toc373478346"/>
      <w:r>
        <w:rPr>
          <w:rFonts w:hint="eastAsia" w:ascii="宋体" w:hAnsi="宋体" w:cs="宋体"/>
          <w:color w:val="auto"/>
          <w:kern w:val="0"/>
          <w:szCs w:val="21"/>
          <w:highlight w:val="none"/>
          <w:lang w:bidi="ar"/>
        </w:rPr>
        <w:t>1.7.2 发包人接收文件的地点：</w:t>
      </w:r>
      <w:bookmarkEnd w:id="822"/>
      <w:r>
        <w:rPr>
          <w:rFonts w:hint="eastAsia" w:ascii="宋体" w:hAnsi="宋体" w:cs="宋体"/>
          <w:color w:val="auto"/>
          <w:szCs w:val="21"/>
          <w:highlight w:val="none"/>
          <w:u w:val="single"/>
          <w:lang w:bidi="ar"/>
        </w:rPr>
        <w:t xml:space="preserve">  双方按实际情况现场约定</w:t>
      </w:r>
      <w:r>
        <w:rPr>
          <w:rFonts w:hint="eastAsia" w:ascii="宋体" w:hAnsi="宋体" w:cs="宋体"/>
          <w:color w:val="auto"/>
          <w:kern w:val="0"/>
          <w:szCs w:val="21"/>
          <w:highlight w:val="none"/>
          <w:lang w:bidi="ar"/>
        </w:rPr>
        <w:t>；</w:t>
      </w:r>
    </w:p>
    <w:p w14:paraId="62B9DF43">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发包人指定的接收人为：</w:t>
      </w:r>
      <w:r>
        <w:rPr>
          <w:rFonts w:hint="eastAsia" w:ascii="宋体" w:hAnsi="宋体" w:cs="宋体"/>
          <w:color w:val="auto"/>
          <w:szCs w:val="21"/>
          <w:highlight w:val="none"/>
          <w:u w:val="single"/>
          <w:lang w:bidi="ar"/>
        </w:rPr>
        <w:t xml:space="preserve">  双方按实际情况现场约定  </w:t>
      </w:r>
      <w:r>
        <w:rPr>
          <w:rFonts w:hint="eastAsia" w:ascii="宋体" w:hAnsi="宋体" w:cs="宋体"/>
          <w:color w:val="auto"/>
          <w:kern w:val="0"/>
          <w:szCs w:val="21"/>
          <w:highlight w:val="none"/>
          <w:lang w:bidi="ar"/>
        </w:rPr>
        <w:t>。</w:t>
      </w:r>
    </w:p>
    <w:p w14:paraId="0FB6EC5A">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承包人接收文件的地点：</w:t>
      </w:r>
      <w:r>
        <w:rPr>
          <w:rFonts w:hint="eastAsia" w:ascii="宋体" w:hAnsi="宋体" w:cs="宋体"/>
          <w:color w:val="auto"/>
          <w:szCs w:val="21"/>
          <w:highlight w:val="none"/>
          <w:u w:val="single"/>
          <w:lang w:bidi="ar"/>
        </w:rPr>
        <w:t xml:space="preserve">   双方另行约定      </w:t>
      </w:r>
      <w:r>
        <w:rPr>
          <w:rFonts w:hint="eastAsia" w:ascii="宋体" w:hAnsi="宋体" w:cs="宋体"/>
          <w:color w:val="auto"/>
          <w:kern w:val="0"/>
          <w:szCs w:val="21"/>
          <w:highlight w:val="none"/>
          <w:lang w:bidi="ar"/>
        </w:rPr>
        <w:t>；</w:t>
      </w:r>
    </w:p>
    <w:p w14:paraId="7795F875">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承包人指定的接收人为：</w:t>
      </w:r>
      <w:r>
        <w:rPr>
          <w:rFonts w:hint="eastAsia" w:ascii="宋体" w:hAnsi="宋体" w:cs="宋体"/>
          <w:color w:val="auto"/>
          <w:szCs w:val="21"/>
          <w:highlight w:val="none"/>
          <w:u w:val="single"/>
          <w:lang w:bidi="ar"/>
        </w:rPr>
        <w:t xml:space="preserve">   双方另行约定      </w:t>
      </w:r>
      <w:r>
        <w:rPr>
          <w:rFonts w:hint="eastAsia" w:ascii="宋体" w:hAnsi="宋体" w:cs="宋体"/>
          <w:color w:val="auto"/>
          <w:kern w:val="0"/>
          <w:szCs w:val="21"/>
          <w:highlight w:val="none"/>
          <w:lang w:bidi="ar"/>
        </w:rPr>
        <w:t>。</w:t>
      </w:r>
    </w:p>
    <w:p w14:paraId="4F699072">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 xml:space="preserve">监理人接收文件的地点： </w:t>
      </w:r>
      <w:r>
        <w:rPr>
          <w:rFonts w:hint="eastAsia" w:ascii="宋体" w:hAnsi="宋体" w:cs="宋体"/>
          <w:color w:val="auto"/>
          <w:kern w:val="0"/>
          <w:szCs w:val="21"/>
          <w:highlight w:val="none"/>
          <w:u w:val="single"/>
          <w:lang w:bidi="ar"/>
        </w:rPr>
        <w:t xml:space="preserve"> 双方另行约定     </w:t>
      </w:r>
      <w:r>
        <w:rPr>
          <w:rFonts w:hint="eastAsia" w:ascii="宋体" w:hAnsi="宋体" w:cs="宋体"/>
          <w:color w:val="auto"/>
          <w:kern w:val="0"/>
          <w:szCs w:val="21"/>
          <w:highlight w:val="none"/>
          <w:lang w:bidi="ar"/>
        </w:rPr>
        <w:t xml:space="preserve"> ；</w:t>
      </w:r>
    </w:p>
    <w:p w14:paraId="1FD74DA4">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 xml:space="preserve">监理人指定的接收人为： </w:t>
      </w:r>
      <w:r>
        <w:rPr>
          <w:rFonts w:hint="eastAsia" w:ascii="宋体" w:hAnsi="宋体" w:cs="宋体"/>
          <w:color w:val="auto"/>
          <w:kern w:val="0"/>
          <w:szCs w:val="21"/>
          <w:highlight w:val="none"/>
          <w:u w:val="single"/>
          <w:lang w:bidi="ar"/>
        </w:rPr>
        <w:t xml:space="preserve">  双方另行约定    </w:t>
      </w:r>
      <w:r>
        <w:rPr>
          <w:rFonts w:hint="eastAsia" w:ascii="宋体" w:hAnsi="宋体" w:cs="宋体"/>
          <w:color w:val="auto"/>
          <w:kern w:val="0"/>
          <w:szCs w:val="21"/>
          <w:highlight w:val="none"/>
          <w:lang w:bidi="ar"/>
        </w:rPr>
        <w:t xml:space="preserve"> 。</w:t>
      </w:r>
    </w:p>
    <w:p w14:paraId="21CA5975">
      <w:pPr>
        <w:pStyle w:val="4"/>
        <w:widowControl/>
        <w:jc w:val="left"/>
        <w:rPr>
          <w:rFonts w:ascii="宋体" w:hAnsi="宋体" w:cs="宋体"/>
          <w:color w:val="auto"/>
          <w:sz w:val="21"/>
          <w:szCs w:val="21"/>
          <w:highlight w:val="none"/>
        </w:rPr>
      </w:pPr>
      <w:bookmarkStart w:id="823" w:name="_Toc176947516"/>
      <w:bookmarkEnd w:id="823"/>
      <w:r>
        <w:rPr>
          <w:rFonts w:hint="eastAsia" w:ascii="宋体" w:hAnsi="宋体" w:cs="宋体"/>
          <w:color w:val="auto"/>
          <w:sz w:val="21"/>
          <w:szCs w:val="21"/>
          <w:highlight w:val="none"/>
        </w:rPr>
        <w:t>1.10 交通运输</w:t>
      </w:r>
    </w:p>
    <w:p w14:paraId="6AD69EEA">
      <w:pPr>
        <w:spacing w:line="400" w:lineRule="exact"/>
        <w:ind w:firstLine="420" w:firstLineChars="200"/>
        <w:outlineLvl w:val="0"/>
        <w:rPr>
          <w:rFonts w:ascii="宋体" w:hAnsi="宋体" w:cs="宋体"/>
          <w:color w:val="auto"/>
          <w:szCs w:val="21"/>
          <w:highlight w:val="none"/>
        </w:rPr>
      </w:pPr>
      <w:bookmarkStart w:id="824" w:name="_Toc1495098807"/>
      <w:bookmarkEnd w:id="824"/>
      <w:bookmarkStart w:id="825" w:name="_Toc373478347"/>
      <w:bookmarkEnd w:id="825"/>
      <w:bookmarkStart w:id="826" w:name="_Toc141175128"/>
      <w:bookmarkEnd w:id="826"/>
      <w:bookmarkStart w:id="827" w:name="_Toc389065266"/>
      <w:bookmarkEnd w:id="827"/>
      <w:bookmarkStart w:id="828" w:name="_Toc78449788"/>
      <w:bookmarkEnd w:id="828"/>
      <w:bookmarkStart w:id="829" w:name="_Toc407135202"/>
      <w:bookmarkEnd w:id="829"/>
      <w:bookmarkStart w:id="830" w:name="_Toc373227700"/>
      <w:r>
        <w:rPr>
          <w:rFonts w:hint="eastAsia" w:ascii="宋体" w:hAnsi="宋体" w:cs="宋体"/>
          <w:color w:val="auto"/>
          <w:szCs w:val="21"/>
          <w:highlight w:val="none"/>
          <w:lang w:bidi="ar"/>
        </w:rPr>
        <w:t>1.10.1 出入现场的权利</w:t>
      </w:r>
      <w:bookmarkEnd w:id="830"/>
    </w:p>
    <w:p w14:paraId="469B66CD">
      <w:pPr>
        <w:spacing w:line="400" w:lineRule="exact"/>
        <w:ind w:left="424" w:leftChars="202"/>
        <w:rPr>
          <w:rFonts w:ascii="宋体" w:hAnsi="宋体" w:cs="宋体"/>
          <w:color w:val="auto"/>
          <w:szCs w:val="21"/>
          <w:highlight w:val="none"/>
        </w:rPr>
      </w:pPr>
      <w:r>
        <w:rPr>
          <w:rFonts w:hint="eastAsia" w:ascii="宋体" w:hAnsi="宋体" w:cs="宋体"/>
          <w:color w:val="auto"/>
          <w:szCs w:val="21"/>
          <w:highlight w:val="none"/>
          <w:lang w:bidi="ar"/>
        </w:rPr>
        <w:t>关于出入现场的权利的约定：</w:t>
      </w:r>
      <w:r>
        <w:rPr>
          <w:rFonts w:hint="eastAsia" w:ascii="宋体" w:hAnsi="宋体" w:cs="宋体"/>
          <w:color w:val="auto"/>
          <w:szCs w:val="21"/>
          <w:highlight w:val="none"/>
          <w:u w:val="single"/>
          <w:lang w:bidi="ar"/>
        </w:rPr>
        <w:t>同通用条款</w:t>
      </w:r>
      <w:r>
        <w:rPr>
          <w:rFonts w:hint="eastAsia" w:ascii="宋体" w:hAnsi="宋体" w:cs="宋体"/>
          <w:color w:val="auto"/>
          <w:szCs w:val="21"/>
          <w:highlight w:val="none"/>
          <w:lang w:bidi="ar"/>
        </w:rPr>
        <w:t>。</w:t>
      </w:r>
    </w:p>
    <w:p w14:paraId="52C3A09C">
      <w:pPr>
        <w:spacing w:line="400" w:lineRule="exact"/>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lang w:bidi="ar"/>
        </w:rPr>
        <w:t>1.10.3 场内交通</w:t>
      </w:r>
    </w:p>
    <w:p w14:paraId="35F56E38">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关于场外交通和场内交通的边界的约定：</w:t>
      </w:r>
      <w:r>
        <w:rPr>
          <w:rFonts w:hint="eastAsia" w:ascii="宋体" w:hAnsi="宋体" w:cs="宋体"/>
          <w:color w:val="auto"/>
          <w:szCs w:val="21"/>
          <w:highlight w:val="none"/>
          <w:u w:val="single"/>
          <w:lang w:bidi="ar"/>
        </w:rPr>
        <w:t xml:space="preserve"> 施工场地围墙</w:t>
      </w:r>
      <w:r>
        <w:rPr>
          <w:rFonts w:hint="eastAsia" w:ascii="宋体" w:hAnsi="宋体" w:cs="宋体"/>
          <w:color w:val="auto"/>
          <w:szCs w:val="21"/>
          <w:highlight w:val="none"/>
          <w:lang w:bidi="ar"/>
        </w:rPr>
        <w:t>。</w:t>
      </w:r>
    </w:p>
    <w:p w14:paraId="23922340">
      <w:pPr>
        <w:spacing w:line="400" w:lineRule="exact"/>
        <w:ind w:left="424" w:leftChars="202"/>
        <w:rPr>
          <w:rFonts w:ascii="宋体" w:hAnsi="宋体" w:cs="宋体"/>
          <w:color w:val="auto"/>
          <w:kern w:val="0"/>
          <w:szCs w:val="21"/>
          <w:highlight w:val="none"/>
          <w:u w:val="single"/>
        </w:rPr>
      </w:pPr>
      <w:r>
        <w:rPr>
          <w:rFonts w:hint="eastAsia" w:ascii="宋体" w:hAnsi="宋体" w:cs="宋体"/>
          <w:color w:val="auto"/>
          <w:kern w:val="0"/>
          <w:szCs w:val="21"/>
          <w:highlight w:val="none"/>
          <w:lang w:bidi="ar"/>
        </w:rPr>
        <w:t>关于发包人向承包人免费提供满足工程施工需要的场内道路和交通设施的约定：</w:t>
      </w:r>
      <w:r>
        <w:rPr>
          <w:rFonts w:hint="eastAsia" w:ascii="宋体" w:hAnsi="宋体" w:cs="宋体"/>
          <w:color w:val="auto"/>
          <w:szCs w:val="21"/>
          <w:highlight w:val="none"/>
          <w:u w:val="single"/>
          <w:lang w:bidi="ar"/>
        </w:rPr>
        <w:t>承包人负责场内道路和交通设施的修建并承担相应费用</w:t>
      </w:r>
      <w:r>
        <w:rPr>
          <w:rFonts w:hint="eastAsia" w:ascii="宋体" w:hAnsi="宋体" w:cs="宋体"/>
          <w:color w:val="auto"/>
          <w:kern w:val="0"/>
          <w:szCs w:val="21"/>
          <w:highlight w:val="none"/>
          <w:lang w:bidi="ar"/>
        </w:rPr>
        <w:t xml:space="preserve">。    </w:t>
      </w:r>
    </w:p>
    <w:p w14:paraId="385F1DF9">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1.10.4超大件和超重件的运输</w:t>
      </w:r>
    </w:p>
    <w:p w14:paraId="340DBD7D">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运输超大件或超重件所需的道路和桥梁临时加固改造费用和其他有关费用由</w:t>
      </w:r>
      <w:r>
        <w:rPr>
          <w:rFonts w:hint="eastAsia" w:ascii="宋体" w:hAnsi="宋体" w:cs="宋体"/>
          <w:color w:val="auto"/>
          <w:szCs w:val="21"/>
          <w:highlight w:val="none"/>
          <w:u w:val="single"/>
          <w:lang w:bidi="ar"/>
        </w:rPr>
        <w:t xml:space="preserve">  承包人 </w:t>
      </w:r>
      <w:r>
        <w:rPr>
          <w:rFonts w:hint="eastAsia" w:ascii="宋体" w:hAnsi="宋体" w:cs="宋体"/>
          <w:color w:val="auto"/>
          <w:szCs w:val="21"/>
          <w:highlight w:val="none"/>
          <w:lang w:bidi="ar"/>
        </w:rPr>
        <w:t>承担。</w:t>
      </w:r>
    </w:p>
    <w:p w14:paraId="0E2B2AB2">
      <w:pPr>
        <w:pStyle w:val="4"/>
        <w:widowControl/>
        <w:jc w:val="left"/>
        <w:rPr>
          <w:rFonts w:ascii="宋体" w:hAnsi="宋体" w:cs="宋体"/>
          <w:color w:val="auto"/>
          <w:sz w:val="21"/>
          <w:szCs w:val="21"/>
          <w:highlight w:val="none"/>
        </w:rPr>
      </w:pPr>
      <w:bookmarkStart w:id="831" w:name="_Toc176947517"/>
      <w:bookmarkEnd w:id="831"/>
      <w:r>
        <w:rPr>
          <w:rFonts w:hint="eastAsia" w:ascii="宋体" w:hAnsi="宋体" w:cs="宋体"/>
          <w:color w:val="auto"/>
          <w:sz w:val="21"/>
          <w:szCs w:val="21"/>
          <w:highlight w:val="none"/>
        </w:rPr>
        <w:t>1.11 知识产权</w:t>
      </w:r>
    </w:p>
    <w:p w14:paraId="2911B0A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highlight w:val="none"/>
          <w:u w:val="single"/>
          <w:lang w:bidi="ar"/>
        </w:rPr>
        <w:t xml:space="preserve"> 著作权属于发包人</w:t>
      </w:r>
      <w:r>
        <w:rPr>
          <w:rFonts w:hint="eastAsia" w:ascii="宋体" w:hAnsi="宋体" w:cs="宋体"/>
          <w:color w:val="auto"/>
          <w:szCs w:val="21"/>
          <w:highlight w:val="none"/>
          <w:lang w:bidi="ar"/>
        </w:rPr>
        <w:t>。</w:t>
      </w:r>
    </w:p>
    <w:p w14:paraId="26B3B7A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关于发包人提供的上述文件的使用限制的要求：</w:t>
      </w:r>
      <w:r>
        <w:rPr>
          <w:rFonts w:hint="eastAsia" w:ascii="宋体" w:hAnsi="宋体" w:cs="宋体"/>
          <w:color w:val="auto"/>
          <w:spacing w:val="-1"/>
          <w:szCs w:val="21"/>
          <w:highlight w:val="none"/>
          <w:u w:val="single"/>
          <w:lang w:bidi="ar"/>
        </w:rPr>
        <w:t>未经发包人书面同意，承包人不得为了合同以外的目的而复制、使用上述文件或将之提供给任</w:t>
      </w:r>
      <w:r>
        <w:rPr>
          <w:rFonts w:hint="eastAsia" w:ascii="宋体" w:hAnsi="宋体" w:cs="宋体"/>
          <w:color w:val="auto"/>
          <w:szCs w:val="21"/>
          <w:highlight w:val="none"/>
          <w:u w:val="single"/>
          <w:lang w:bidi="ar"/>
        </w:rPr>
        <w:t>何第三方</w:t>
      </w:r>
      <w:r>
        <w:rPr>
          <w:rFonts w:hint="eastAsia" w:ascii="宋体" w:hAnsi="宋体" w:cs="宋体"/>
          <w:color w:val="auto"/>
          <w:szCs w:val="21"/>
          <w:highlight w:val="none"/>
          <w:lang w:bidi="ar"/>
        </w:rPr>
        <w:t>。</w:t>
      </w:r>
    </w:p>
    <w:p w14:paraId="5799ADE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1.11.2 关于承包人为实施工程所编制文件的著作权的归属：</w:t>
      </w:r>
      <w:r>
        <w:rPr>
          <w:rFonts w:hint="eastAsia" w:ascii="宋体" w:hAnsi="宋体" w:cs="宋体"/>
          <w:color w:val="auto"/>
          <w:spacing w:val="-1"/>
          <w:szCs w:val="21"/>
          <w:highlight w:val="none"/>
          <w:u w:val="single"/>
          <w:lang w:bidi="ar"/>
        </w:rPr>
        <w:t>除署名权以外的著作权属于发包人</w:t>
      </w:r>
      <w:r>
        <w:rPr>
          <w:rFonts w:hint="eastAsia" w:ascii="宋体" w:hAnsi="宋体" w:cs="宋体"/>
          <w:color w:val="auto"/>
          <w:szCs w:val="21"/>
          <w:highlight w:val="none"/>
          <w:lang w:bidi="ar"/>
        </w:rPr>
        <w:t>。</w:t>
      </w:r>
    </w:p>
    <w:p w14:paraId="3DB24DA4">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lang w:bidi="ar"/>
        </w:rPr>
        <w:t>关于承包人提供的上述文件的使用限制的要求：</w:t>
      </w:r>
      <w:r>
        <w:rPr>
          <w:rFonts w:hint="eastAsia" w:ascii="宋体" w:hAnsi="宋体" w:cs="宋体"/>
          <w:color w:val="auto"/>
          <w:spacing w:val="-1"/>
          <w:szCs w:val="21"/>
          <w:highlight w:val="none"/>
          <w:u w:val="single"/>
          <w:lang w:bidi="ar"/>
        </w:rPr>
        <w:t>未经发包人书面同意，承包人不得为了合同以外的目的而复制、使用上述文件或将之提供给任何第三方</w:t>
      </w:r>
      <w:r>
        <w:rPr>
          <w:rFonts w:hint="eastAsia" w:ascii="宋体" w:hAnsi="宋体" w:cs="宋体"/>
          <w:color w:val="auto"/>
          <w:szCs w:val="21"/>
          <w:highlight w:val="none"/>
          <w:lang w:bidi="ar"/>
        </w:rPr>
        <w:t>。</w:t>
      </w:r>
    </w:p>
    <w:p w14:paraId="7C595FAC">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lang w:bidi="ar"/>
        </w:rPr>
        <w:t>1.11.4 承包人在施工过程中所采用的专利、专有技术、技术秘密的使用费的承担方式：</w:t>
      </w:r>
    </w:p>
    <w:p w14:paraId="0BB83430">
      <w:pPr>
        <w:jc w:val="left"/>
        <w:rPr>
          <w:rFonts w:ascii="宋体" w:hAnsi="宋体" w:cs="宋体"/>
          <w:color w:val="auto"/>
          <w:kern w:val="0"/>
          <w:szCs w:val="21"/>
          <w:highlight w:val="none"/>
        </w:rPr>
      </w:pPr>
      <w:r>
        <w:rPr>
          <w:rFonts w:hint="eastAsia" w:ascii="宋体" w:hAnsi="宋体" w:cs="宋体"/>
          <w:color w:val="auto"/>
          <w:spacing w:val="-1"/>
          <w:szCs w:val="21"/>
          <w:highlight w:val="none"/>
          <w:u w:val="single"/>
          <w:lang w:bidi="ar"/>
        </w:rPr>
        <w:t xml:space="preserve"> 由承包人自行承担相关费用，发包人不额外支付费用  </w:t>
      </w:r>
      <w:r>
        <w:rPr>
          <w:rFonts w:hint="eastAsia" w:ascii="宋体" w:hAnsi="宋体" w:cs="宋体"/>
          <w:color w:val="auto"/>
          <w:kern w:val="0"/>
          <w:szCs w:val="21"/>
          <w:highlight w:val="none"/>
          <w:lang w:bidi="ar"/>
        </w:rPr>
        <w:t>。</w:t>
      </w:r>
    </w:p>
    <w:p w14:paraId="34B6BBBA">
      <w:pPr>
        <w:pStyle w:val="4"/>
        <w:widowControl/>
        <w:ind w:firstLine="420" w:firstLineChars="200"/>
        <w:jc w:val="left"/>
        <w:rPr>
          <w:rFonts w:ascii="宋体" w:hAnsi="宋体" w:cs="宋体"/>
          <w:b w:val="0"/>
          <w:bCs w:val="0"/>
          <w:color w:val="auto"/>
          <w:sz w:val="21"/>
          <w:szCs w:val="21"/>
          <w:highlight w:val="none"/>
        </w:rPr>
      </w:pPr>
      <w:bookmarkStart w:id="832" w:name="_Toc141175129"/>
      <w:bookmarkEnd w:id="832"/>
      <w:bookmarkStart w:id="833" w:name="_Toc78449789"/>
      <w:bookmarkEnd w:id="833"/>
      <w:bookmarkStart w:id="834" w:name="_Toc373227701"/>
      <w:bookmarkEnd w:id="834"/>
      <w:bookmarkStart w:id="835" w:name="_Toc176947518"/>
      <w:bookmarkEnd w:id="835"/>
      <w:bookmarkStart w:id="836" w:name="_Toc389065267"/>
      <w:bookmarkEnd w:id="836"/>
      <w:bookmarkStart w:id="837" w:name="_Toc267680563"/>
      <w:bookmarkEnd w:id="837"/>
      <w:bookmarkStart w:id="838" w:name="_Toc407135203"/>
      <w:bookmarkEnd w:id="838"/>
      <w:bookmarkStart w:id="839" w:name="_Toc373478348"/>
      <w:r>
        <w:rPr>
          <w:rFonts w:hint="eastAsia" w:ascii="宋体" w:hAnsi="宋体" w:cs="宋体"/>
          <w:b w:val="0"/>
          <w:bCs w:val="0"/>
          <w:color w:val="auto"/>
          <w:sz w:val="21"/>
          <w:szCs w:val="21"/>
          <w:highlight w:val="none"/>
        </w:rPr>
        <w:t>1.13工程量清单错误的修正</w:t>
      </w:r>
      <w:bookmarkEnd w:id="839"/>
    </w:p>
    <w:p w14:paraId="614CA170">
      <w:pPr>
        <w:spacing w:line="360" w:lineRule="auto"/>
        <w:ind w:firstLine="420" w:firstLineChars="200"/>
        <w:jc w:val="left"/>
        <w:rPr>
          <w:rFonts w:ascii="宋体" w:hAnsi="宋体" w:cs="宋体"/>
          <w:color w:val="auto"/>
          <w:szCs w:val="21"/>
          <w:highlight w:val="none"/>
        </w:rPr>
      </w:pPr>
      <w:bookmarkStart w:id="840" w:name="_Toc373227702"/>
      <w:bookmarkEnd w:id="840"/>
      <w:bookmarkStart w:id="841" w:name="_Toc78449790"/>
      <w:bookmarkEnd w:id="841"/>
      <w:bookmarkStart w:id="842" w:name="_Toc143780453"/>
      <w:bookmarkEnd w:id="842"/>
      <w:bookmarkStart w:id="843" w:name="_Toc373478349"/>
      <w:bookmarkEnd w:id="843"/>
      <w:bookmarkStart w:id="844" w:name="_Toc351203634"/>
      <w:bookmarkEnd w:id="844"/>
      <w:bookmarkStart w:id="845" w:name="_Toc389065268"/>
      <w:bookmarkEnd w:id="845"/>
      <w:bookmarkStart w:id="846" w:name="_Toc407135204"/>
      <w:r>
        <w:rPr>
          <w:rFonts w:hint="eastAsia" w:ascii="宋体" w:hAnsi="宋体" w:cs="宋体"/>
          <w:color w:val="auto"/>
          <w:szCs w:val="21"/>
          <w:highlight w:val="none"/>
          <w:lang w:bidi="ar"/>
        </w:rPr>
        <w:t>出现工程量清单工程量偏差时，是否调整合同价格：</w:t>
      </w:r>
      <w:bookmarkEnd w:id="846"/>
      <w:r>
        <w:rPr>
          <w:rFonts w:hint="eastAsia" w:ascii="宋体" w:hAnsi="宋体" w:cs="宋体"/>
          <w:color w:val="auto"/>
          <w:szCs w:val="21"/>
          <w:highlight w:val="none"/>
          <w:u w:val="single"/>
          <w:lang w:bidi="ar"/>
        </w:rPr>
        <w:t>☑是  □否</w:t>
      </w:r>
      <w:r>
        <w:rPr>
          <w:rFonts w:hint="eastAsia" w:ascii="宋体" w:hAnsi="宋体" w:cs="宋体"/>
          <w:color w:val="auto"/>
          <w:kern w:val="0"/>
          <w:szCs w:val="21"/>
          <w:highlight w:val="none"/>
          <w:lang w:bidi="ar"/>
        </w:rPr>
        <w:t>。</w:t>
      </w:r>
    </w:p>
    <w:p w14:paraId="53DA41D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允许调整合同价格的工程量偏差范围及其调整办法：</w:t>
      </w:r>
    </w:p>
    <w:p w14:paraId="771CD47B">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lang w:bidi="ar"/>
        </w:rPr>
        <w:t>□</w:t>
      </w:r>
      <w:r>
        <w:rPr>
          <w:rFonts w:hint="eastAsia" w:ascii="宋体" w:hAnsi="宋体" w:cs="宋体"/>
          <w:color w:val="auto"/>
          <w:szCs w:val="21"/>
          <w:highlight w:val="none"/>
          <w:u w:val="single"/>
          <w:lang w:bidi="ar"/>
        </w:rPr>
        <w:t xml:space="preserve"> 除严重不平衡报价外，无论分部分项工程量清单项目中的工程量变化多少均不调整 </w:t>
      </w:r>
      <w:r>
        <w:rPr>
          <w:rFonts w:hint="eastAsia" w:ascii="宋体" w:hAnsi="宋体" w:cs="宋体"/>
          <w:color w:val="auto"/>
          <w:kern w:val="0"/>
          <w:szCs w:val="21"/>
          <w:highlight w:val="none"/>
          <w:lang w:bidi="ar"/>
        </w:rPr>
        <w:t>。</w:t>
      </w:r>
    </w:p>
    <w:p w14:paraId="28106ACC">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lang w:bidi="ar"/>
        </w:rPr>
        <w:t>☑</w:t>
      </w:r>
      <w:r>
        <w:rPr>
          <w:rFonts w:hint="eastAsia" w:ascii="宋体" w:hAnsi="宋体" w:cs="宋体"/>
          <w:color w:val="auto"/>
          <w:szCs w:val="21"/>
          <w:highlight w:val="none"/>
          <w:u w:val="single"/>
          <w:lang w:bidi="ar"/>
        </w:rPr>
        <w:t>承包人实际完成的某单项清单项目工程量与招标工程量清单工程量偏差超过15%且该单项清单造价超过合同总价1%以上的，超过后增加部分工程量或减少后剩余部分工程量的综合单价按以下方法调整：有定额的套定额计算，执行本招标文件工程计价参考依据，并乘以下浮系数（中标价/经审定的工程招标控制价）结算，其中材料价格采用《桂林市建设工程造价信息》2024年第12期</w:t>
      </w:r>
      <w:r>
        <w:rPr>
          <w:rFonts w:hint="eastAsia" w:ascii="宋体" w:hAnsi="宋体" w:cs="宋体"/>
          <w:color w:val="auto"/>
          <w:szCs w:val="21"/>
          <w:highlight w:val="none"/>
          <w:u w:val="single"/>
          <w:lang w:eastAsia="zh-CN" w:bidi="ar"/>
        </w:rPr>
        <w:t>兴安县信息价</w:t>
      </w:r>
      <w:r>
        <w:rPr>
          <w:rFonts w:hint="eastAsia" w:ascii="宋体" w:hAnsi="宋体" w:cs="宋体"/>
          <w:color w:val="auto"/>
          <w:szCs w:val="21"/>
          <w:highlight w:val="none"/>
          <w:u w:val="single"/>
          <w:lang w:bidi="ar"/>
        </w:rPr>
        <w:t>，信息价没有的，由发包人、监理单位及承包人根据市场价格协商议定初步价格，最终价格由财政评审中心或发包人委托的造价咨询机构审定并经发包人及承包人双方确认的金额为准。</w:t>
      </w:r>
    </w:p>
    <w:p w14:paraId="18DDCE2E">
      <w:pPr>
        <w:spacing w:line="360" w:lineRule="auto"/>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lang w:bidi="ar"/>
        </w:rPr>
        <w:t>2</w:t>
      </w:r>
      <w:bookmarkStart w:id="847" w:name="_Toc296944496"/>
      <w:bookmarkEnd w:id="847"/>
      <w:bookmarkStart w:id="848" w:name="_Toc296890985"/>
      <w:bookmarkEnd w:id="848"/>
      <w:bookmarkStart w:id="849" w:name="_Toc296891197"/>
      <w:bookmarkEnd w:id="849"/>
      <w:bookmarkStart w:id="850" w:name="_Toc296347156"/>
      <w:bookmarkEnd w:id="850"/>
      <w:bookmarkStart w:id="851" w:name="_Toc297048343"/>
      <w:bookmarkEnd w:id="851"/>
      <w:bookmarkStart w:id="852" w:name="_Toc296503157"/>
      <w:bookmarkEnd w:id="852"/>
      <w:bookmarkStart w:id="853" w:name="_Toc292559362"/>
      <w:bookmarkEnd w:id="853"/>
      <w:bookmarkStart w:id="854" w:name="_Toc292559867"/>
      <w:bookmarkEnd w:id="854"/>
      <w:bookmarkStart w:id="855" w:name="_Toc296346658"/>
      <w:bookmarkEnd w:id="855"/>
      <w:bookmarkStart w:id="856" w:name="_Toc297120457"/>
      <w:r>
        <w:rPr>
          <w:rFonts w:hint="eastAsia" w:ascii="宋体" w:hAnsi="宋体" w:cs="宋体"/>
          <w:color w:val="auto"/>
          <w:szCs w:val="21"/>
          <w:highlight w:val="none"/>
          <w:lang w:bidi="ar"/>
        </w:rPr>
        <w:t>. 发包人</w:t>
      </w:r>
      <w:bookmarkEnd w:id="856"/>
    </w:p>
    <w:p w14:paraId="103B8BC9">
      <w:pPr>
        <w:pStyle w:val="4"/>
        <w:widowControl/>
        <w:jc w:val="left"/>
        <w:rPr>
          <w:rFonts w:ascii="宋体" w:hAnsi="宋体" w:cs="宋体"/>
          <w:color w:val="auto"/>
          <w:sz w:val="21"/>
          <w:szCs w:val="21"/>
          <w:highlight w:val="none"/>
        </w:rPr>
      </w:pPr>
      <w:bookmarkStart w:id="857" w:name="_Toc971240048"/>
      <w:bookmarkEnd w:id="857"/>
      <w:bookmarkStart w:id="858" w:name="_Toc78449791"/>
      <w:bookmarkEnd w:id="858"/>
      <w:bookmarkStart w:id="859" w:name="_Toc176947519"/>
      <w:bookmarkEnd w:id="859"/>
      <w:bookmarkStart w:id="860" w:name="_Toc389065269"/>
      <w:bookmarkEnd w:id="860"/>
      <w:bookmarkStart w:id="861" w:name="_Toc141175130"/>
      <w:bookmarkEnd w:id="861"/>
      <w:bookmarkStart w:id="862" w:name="_Toc373227703"/>
      <w:bookmarkEnd w:id="862"/>
      <w:bookmarkStart w:id="863" w:name="_Toc407135205"/>
      <w:bookmarkEnd w:id="863"/>
      <w:bookmarkStart w:id="864" w:name="_Toc373478350"/>
      <w:bookmarkEnd w:id="864"/>
      <w:r>
        <w:rPr>
          <w:rFonts w:hint="eastAsia" w:ascii="宋体" w:hAnsi="宋体" w:cs="宋体"/>
          <w:color w:val="auto"/>
          <w:sz w:val="21"/>
          <w:szCs w:val="21"/>
          <w:highlight w:val="none"/>
        </w:rPr>
        <w:t>2.2 发包人代表</w:t>
      </w:r>
    </w:p>
    <w:p w14:paraId="576E660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发包人代表：</w:t>
      </w:r>
    </w:p>
    <w:p w14:paraId="414CE360">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姓    名：（</w:t>
      </w:r>
      <w:r>
        <w:rPr>
          <w:rFonts w:hint="eastAsia" w:ascii="宋体" w:hAnsi="宋体" w:cs="宋体"/>
          <w:color w:val="auto"/>
          <w:szCs w:val="21"/>
          <w:highlight w:val="none"/>
          <w:u w:val="single"/>
          <w:lang w:bidi="ar"/>
        </w:rPr>
        <w:t xml:space="preserve">由发包人发函确认）   </w:t>
      </w:r>
      <w:r>
        <w:rPr>
          <w:rFonts w:hint="eastAsia" w:ascii="宋体" w:hAnsi="宋体" w:cs="宋体"/>
          <w:color w:val="auto"/>
          <w:szCs w:val="21"/>
          <w:highlight w:val="none"/>
          <w:lang w:bidi="ar"/>
        </w:rPr>
        <w:t>；</w:t>
      </w:r>
    </w:p>
    <w:p w14:paraId="3DBBA2A1">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身份证号：</w:t>
      </w:r>
      <w:r>
        <w:rPr>
          <w:rFonts w:hint="eastAsia" w:ascii="宋体" w:hAnsi="宋体" w:cs="宋体"/>
          <w:color w:val="auto"/>
          <w:szCs w:val="21"/>
          <w:highlight w:val="none"/>
          <w:u w:val="single"/>
          <w:lang w:bidi="ar"/>
        </w:rPr>
        <w:t xml:space="preserve">   （由发包人发函确认）  </w:t>
      </w:r>
      <w:r>
        <w:rPr>
          <w:rFonts w:hint="eastAsia" w:ascii="宋体" w:hAnsi="宋体" w:cs="宋体"/>
          <w:color w:val="auto"/>
          <w:szCs w:val="21"/>
          <w:highlight w:val="none"/>
          <w:lang w:bidi="ar"/>
        </w:rPr>
        <w:t>；</w:t>
      </w:r>
    </w:p>
    <w:p w14:paraId="625AE2A3">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职    务：</w:t>
      </w:r>
      <w:r>
        <w:rPr>
          <w:rFonts w:hint="eastAsia" w:ascii="宋体" w:hAnsi="宋体" w:cs="宋体"/>
          <w:color w:val="auto"/>
          <w:szCs w:val="21"/>
          <w:highlight w:val="none"/>
          <w:u w:val="single"/>
          <w:lang w:bidi="ar"/>
        </w:rPr>
        <w:t xml:space="preserve">   （由发包人发函确认）  </w:t>
      </w:r>
      <w:r>
        <w:rPr>
          <w:rFonts w:hint="eastAsia" w:ascii="宋体" w:hAnsi="宋体" w:cs="宋体"/>
          <w:color w:val="auto"/>
          <w:szCs w:val="21"/>
          <w:highlight w:val="none"/>
          <w:lang w:bidi="ar"/>
        </w:rPr>
        <w:t>；</w:t>
      </w:r>
    </w:p>
    <w:p w14:paraId="53B5737C">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联系电话：</w:t>
      </w:r>
      <w:r>
        <w:rPr>
          <w:rFonts w:hint="eastAsia" w:ascii="宋体" w:hAnsi="宋体" w:cs="宋体"/>
          <w:color w:val="auto"/>
          <w:szCs w:val="21"/>
          <w:highlight w:val="none"/>
          <w:u w:val="single"/>
          <w:lang w:bidi="ar"/>
        </w:rPr>
        <w:t xml:space="preserve">   （由发包人发函确认）   </w:t>
      </w:r>
      <w:r>
        <w:rPr>
          <w:rFonts w:hint="eastAsia" w:ascii="宋体" w:hAnsi="宋体" w:cs="宋体"/>
          <w:color w:val="auto"/>
          <w:szCs w:val="21"/>
          <w:highlight w:val="none"/>
          <w:lang w:bidi="ar"/>
        </w:rPr>
        <w:t>；</w:t>
      </w:r>
    </w:p>
    <w:p w14:paraId="731C47F1">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电子信箱：</w:t>
      </w:r>
      <w:r>
        <w:rPr>
          <w:rFonts w:hint="eastAsia" w:ascii="宋体" w:hAnsi="宋体" w:cs="宋体"/>
          <w:color w:val="auto"/>
          <w:szCs w:val="21"/>
          <w:highlight w:val="none"/>
          <w:u w:val="single"/>
          <w:lang w:bidi="ar"/>
        </w:rPr>
        <w:t xml:space="preserve">   （由发包人发函确认）   </w:t>
      </w:r>
      <w:r>
        <w:rPr>
          <w:rFonts w:hint="eastAsia" w:ascii="宋体" w:hAnsi="宋体" w:cs="宋体"/>
          <w:color w:val="auto"/>
          <w:szCs w:val="21"/>
          <w:highlight w:val="none"/>
          <w:lang w:bidi="ar"/>
        </w:rPr>
        <w:t>；</w:t>
      </w:r>
    </w:p>
    <w:p w14:paraId="1F00D7F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通信地址：</w:t>
      </w:r>
      <w:r>
        <w:rPr>
          <w:rFonts w:hint="eastAsia" w:ascii="宋体" w:hAnsi="宋体" w:cs="宋体"/>
          <w:color w:val="auto"/>
          <w:szCs w:val="21"/>
          <w:highlight w:val="none"/>
          <w:u w:val="single"/>
          <w:lang w:bidi="ar"/>
        </w:rPr>
        <w:t xml:space="preserve">    （由发包人发函确认） </w:t>
      </w:r>
    </w:p>
    <w:p w14:paraId="7E6A22D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发包人对发包人代表的授权范围如下：</w:t>
      </w:r>
      <w:r>
        <w:rPr>
          <w:rFonts w:hint="eastAsia" w:ascii="宋体" w:hAnsi="宋体" w:cs="宋体"/>
          <w:color w:val="auto"/>
          <w:spacing w:val="-1"/>
          <w:szCs w:val="21"/>
          <w:highlight w:val="none"/>
          <w:u w:val="single"/>
          <w:lang w:bidi="ar"/>
        </w:rPr>
        <w:t>对工程进度、质量进行监督、办理中间交工工程验</w:t>
      </w:r>
      <w:r>
        <w:rPr>
          <w:rFonts w:hint="eastAsia" w:ascii="宋体" w:hAnsi="宋体" w:cs="宋体"/>
          <w:color w:val="auto"/>
          <w:spacing w:val="-8"/>
          <w:szCs w:val="21"/>
          <w:highlight w:val="none"/>
          <w:u w:val="single"/>
          <w:lang w:bidi="ar"/>
        </w:rPr>
        <w:t>收手续</w:t>
      </w:r>
      <w:r>
        <w:rPr>
          <w:rFonts w:hint="eastAsia" w:ascii="宋体" w:hAnsi="宋体" w:cs="宋体"/>
          <w:color w:val="auto"/>
          <w:spacing w:val="-4"/>
          <w:szCs w:val="21"/>
          <w:highlight w:val="none"/>
          <w:u w:val="single"/>
          <w:lang w:bidi="ar"/>
        </w:rPr>
        <w:t>，负责现场签证，解决由发包人授权处理的事宜</w:t>
      </w:r>
      <w:r>
        <w:rPr>
          <w:rFonts w:hint="eastAsia" w:ascii="宋体" w:hAnsi="宋体" w:cs="宋体"/>
          <w:color w:val="auto"/>
          <w:szCs w:val="21"/>
          <w:highlight w:val="none"/>
          <w:lang w:bidi="ar"/>
        </w:rPr>
        <w:t>。必须经发包人盖章确认的事项：⑴凡涉及扩大建设规模、增加工程投资的设计变更，涉及外立面的变更；⑵施工方案与开工报告审批及停工令，工期的延长和提前竣工；⑶合同条款的变更；⑷合同价款的增减和工程的签证；⑸工程款支付；⑹组织工程竣工验收；⑺结算价款的确认；（8）签发竣工付款证书；（9）签发工程接受证书；（10）签发缺陷责任终止证书；（11） 工程变更及签证。承包人明确知晓以上事务的处理必须由发包人盖章的书面文件方为有效，并 应自行尽谨慎注意之义务，否则由此产生的不利法律后果由承包人自行承担 。</w:t>
      </w:r>
    </w:p>
    <w:p w14:paraId="48C701C5">
      <w:pPr>
        <w:pStyle w:val="4"/>
        <w:widowControl/>
        <w:jc w:val="left"/>
        <w:rPr>
          <w:rFonts w:ascii="宋体" w:hAnsi="宋体" w:cs="宋体"/>
          <w:color w:val="auto"/>
          <w:sz w:val="21"/>
          <w:szCs w:val="21"/>
          <w:highlight w:val="none"/>
        </w:rPr>
      </w:pPr>
      <w:bookmarkStart w:id="865" w:name="_Toc78449792"/>
      <w:bookmarkEnd w:id="865"/>
      <w:bookmarkStart w:id="866" w:name="_Toc373478351"/>
      <w:bookmarkEnd w:id="866"/>
      <w:bookmarkStart w:id="867" w:name="_Toc373227704"/>
      <w:bookmarkEnd w:id="867"/>
      <w:bookmarkStart w:id="868" w:name="_Toc389065270"/>
      <w:bookmarkEnd w:id="868"/>
      <w:bookmarkStart w:id="869" w:name="_Toc407135206"/>
      <w:bookmarkEnd w:id="869"/>
      <w:bookmarkStart w:id="870" w:name="_Toc141175131"/>
      <w:bookmarkEnd w:id="870"/>
      <w:bookmarkStart w:id="871" w:name="_Toc176947520"/>
      <w:bookmarkEnd w:id="871"/>
      <w:bookmarkStart w:id="872" w:name="_Toc2077499244"/>
      <w:r>
        <w:rPr>
          <w:rFonts w:hint="eastAsia" w:ascii="宋体" w:hAnsi="宋体" w:cs="宋体"/>
          <w:color w:val="auto"/>
          <w:sz w:val="21"/>
          <w:szCs w:val="21"/>
          <w:highlight w:val="none"/>
        </w:rPr>
        <w:t>2.4 施工现场、施工条件和基础资料的提供</w:t>
      </w:r>
      <w:bookmarkEnd w:id="872"/>
    </w:p>
    <w:p w14:paraId="159BCBF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2.4.1 提供施工现场</w:t>
      </w:r>
    </w:p>
    <w:p w14:paraId="14ED988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 xml:space="preserve">关于发包人移交施工现场的期限要求： 施工场地应在监理人发出的开工通知中载明的开工 </w:t>
      </w:r>
    </w:p>
    <w:p w14:paraId="7A024BC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日期前</w:t>
      </w:r>
      <w:r>
        <w:rPr>
          <w:rFonts w:hint="eastAsia" w:ascii="宋体" w:hAnsi="宋体" w:cs="宋体"/>
          <w:color w:val="auto"/>
          <w:szCs w:val="21"/>
          <w:highlight w:val="none"/>
          <w:u w:val="single"/>
          <w:lang w:bidi="ar"/>
        </w:rPr>
        <w:t xml:space="preserve"> 7 </w:t>
      </w:r>
      <w:r>
        <w:rPr>
          <w:rFonts w:hint="eastAsia" w:ascii="宋体" w:hAnsi="宋体" w:cs="宋体"/>
          <w:color w:val="auto"/>
          <w:szCs w:val="21"/>
          <w:highlight w:val="none"/>
          <w:lang w:bidi="ar"/>
        </w:rPr>
        <w:t>天具备施工条件并移交给承包人，但不一定是完整工作面的移交。承包人在收到工程师发给的开工通知后，应在指定的时间内将满足合同履行需要的人、机、料等组织进场并从速开工，不得延误。如无相反证据，开工令的签发是现场满足协议书约定的移交标准、具备施工条件且发包人已将现场移交给承包人的充分证据。</w:t>
      </w:r>
    </w:p>
    <w:p w14:paraId="452253C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2.4.2 提供施工条件</w:t>
      </w:r>
    </w:p>
    <w:p w14:paraId="50F5F45B">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lang w:bidi="ar"/>
        </w:rPr>
        <w:t>关于发包人应负责提供施工所需要的条件，包括：</w:t>
      </w:r>
      <w:r>
        <w:rPr>
          <w:rFonts w:hint="eastAsia" w:ascii="宋体" w:hAnsi="宋体" w:cs="宋体"/>
          <w:color w:val="auto"/>
          <w:spacing w:val="-1"/>
          <w:szCs w:val="21"/>
          <w:highlight w:val="none"/>
          <w:u w:val="single"/>
          <w:lang w:bidi="ar"/>
        </w:rPr>
        <w:t>按现状把现场移交承包人，承包人按实</w:t>
      </w:r>
      <w:r>
        <w:rPr>
          <w:rFonts w:hint="eastAsia" w:ascii="宋体" w:hAnsi="宋体" w:cs="宋体"/>
          <w:color w:val="auto"/>
          <w:spacing w:val="-2"/>
          <w:szCs w:val="21"/>
          <w:highlight w:val="none"/>
          <w:u w:val="single"/>
          <w:lang w:bidi="ar"/>
        </w:rPr>
        <w:t>际</w:t>
      </w:r>
      <w:r>
        <w:rPr>
          <w:rFonts w:hint="eastAsia" w:ascii="宋体" w:hAnsi="宋体" w:cs="宋体"/>
          <w:color w:val="auto"/>
          <w:spacing w:val="-1"/>
          <w:szCs w:val="21"/>
          <w:highlight w:val="none"/>
          <w:u w:val="single"/>
          <w:lang w:bidi="ar"/>
        </w:rPr>
        <w:t>情况自行考虑，费用由承包人承担</w:t>
      </w:r>
      <w:r>
        <w:rPr>
          <w:rFonts w:hint="eastAsia" w:ascii="宋体" w:hAnsi="宋体" w:cs="宋体"/>
          <w:color w:val="auto"/>
          <w:szCs w:val="21"/>
          <w:highlight w:val="none"/>
          <w:lang w:bidi="ar"/>
        </w:rPr>
        <w:t>。</w:t>
      </w:r>
    </w:p>
    <w:p w14:paraId="06AC1DD4">
      <w:pPr>
        <w:pStyle w:val="331"/>
        <w:widowControl/>
        <w:tabs>
          <w:tab w:val="left" w:pos="1100"/>
        </w:tabs>
        <w:spacing w:line="400" w:lineRule="exact"/>
        <w:ind w:firstLine="422"/>
        <w:jc w:val="left"/>
        <w:outlineLvl w:val="0"/>
        <w:rPr>
          <w:rFonts w:ascii="宋体" w:hAnsi="宋体" w:cs="宋体"/>
          <w:b/>
          <w:bCs/>
          <w:color w:val="auto"/>
          <w:highlight w:val="none"/>
        </w:rPr>
      </w:pPr>
      <w:bookmarkStart w:id="873" w:name="_Toc1181400362"/>
      <w:bookmarkEnd w:id="873"/>
      <w:bookmarkStart w:id="874" w:name="_Toc373227706"/>
      <w:bookmarkEnd w:id="874"/>
      <w:bookmarkStart w:id="875" w:name="_Toc373478353"/>
      <w:bookmarkEnd w:id="875"/>
      <w:bookmarkStart w:id="876" w:name="_Toc141175133"/>
      <w:bookmarkEnd w:id="876"/>
      <w:bookmarkStart w:id="877" w:name="_Toc351203635"/>
      <w:bookmarkEnd w:id="877"/>
      <w:bookmarkStart w:id="878" w:name="_Toc407135208"/>
      <w:bookmarkEnd w:id="878"/>
      <w:bookmarkStart w:id="879" w:name="_Toc78449794"/>
      <w:bookmarkEnd w:id="879"/>
      <w:bookmarkStart w:id="880" w:name="_Toc389065272"/>
      <w:r>
        <w:rPr>
          <w:rFonts w:hint="eastAsia" w:ascii="宋体" w:hAnsi="宋体" w:cs="宋体"/>
          <w:b/>
          <w:bCs/>
          <w:color w:val="auto"/>
          <w:highlight w:val="none"/>
        </w:rPr>
        <w:t>2.5  资金来源证明及支付担保</w:t>
      </w:r>
      <w:bookmarkEnd w:id="880"/>
    </w:p>
    <w:p w14:paraId="14010E88">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发包人提供资金来源证明的期限要求：</w:t>
      </w:r>
      <w:r>
        <w:rPr>
          <w:rFonts w:hint="eastAsia" w:ascii="宋体" w:hAnsi="宋体" w:cs="宋体"/>
          <w:color w:val="auto"/>
          <w:kern w:val="2"/>
          <w:sz w:val="21"/>
          <w:szCs w:val="21"/>
          <w:highlight w:val="none"/>
          <w:u w:val="single"/>
          <w:lang w:bidi="ar"/>
        </w:rPr>
        <w:t>无</w:t>
      </w:r>
      <w:r>
        <w:rPr>
          <w:rFonts w:hint="eastAsia" w:ascii="宋体" w:hAnsi="宋体" w:cs="宋体"/>
          <w:color w:val="auto"/>
          <w:kern w:val="2"/>
          <w:sz w:val="21"/>
          <w:szCs w:val="21"/>
          <w:highlight w:val="none"/>
          <w:lang w:bidi="ar"/>
        </w:rPr>
        <w:t>。</w:t>
      </w:r>
    </w:p>
    <w:p w14:paraId="079739F2">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发包人是否提供支付担保：</w:t>
      </w:r>
      <w:r>
        <w:rPr>
          <w:rFonts w:hint="eastAsia" w:ascii="宋体" w:hAnsi="宋体" w:cs="宋体"/>
          <w:color w:val="auto"/>
          <w:kern w:val="2"/>
          <w:sz w:val="21"/>
          <w:szCs w:val="21"/>
          <w:highlight w:val="none"/>
          <w:u w:val="single"/>
          <w:lang w:bidi="ar"/>
        </w:rPr>
        <w:t>否</w:t>
      </w:r>
      <w:r>
        <w:rPr>
          <w:rFonts w:hint="eastAsia" w:ascii="宋体" w:hAnsi="宋体" w:cs="宋体"/>
          <w:color w:val="auto"/>
          <w:kern w:val="2"/>
          <w:sz w:val="21"/>
          <w:szCs w:val="21"/>
          <w:highlight w:val="none"/>
          <w:lang w:bidi="ar"/>
        </w:rPr>
        <w:t>。</w:t>
      </w:r>
    </w:p>
    <w:p w14:paraId="4F96B7C7">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发包人提供支付担保的形式：</w:t>
      </w:r>
      <w:r>
        <w:rPr>
          <w:rFonts w:hint="eastAsia" w:ascii="宋体" w:hAnsi="宋体" w:cs="宋体"/>
          <w:color w:val="auto"/>
          <w:kern w:val="2"/>
          <w:sz w:val="21"/>
          <w:szCs w:val="21"/>
          <w:highlight w:val="none"/>
          <w:u w:val="single"/>
          <w:lang w:bidi="ar"/>
        </w:rPr>
        <w:t xml:space="preserve">   /   </w:t>
      </w:r>
      <w:r>
        <w:rPr>
          <w:rFonts w:hint="eastAsia" w:ascii="宋体" w:hAnsi="宋体" w:cs="宋体"/>
          <w:color w:val="auto"/>
          <w:kern w:val="2"/>
          <w:sz w:val="21"/>
          <w:szCs w:val="21"/>
          <w:highlight w:val="none"/>
          <w:lang w:bidi="ar"/>
        </w:rPr>
        <w:t>。</w:t>
      </w:r>
    </w:p>
    <w:p w14:paraId="64153657">
      <w:pPr>
        <w:pStyle w:val="3"/>
        <w:widowControl/>
        <w:jc w:val="left"/>
        <w:rPr>
          <w:rFonts w:ascii="宋体" w:hAnsi="宋体" w:cs="宋体"/>
          <w:color w:val="auto"/>
          <w:sz w:val="21"/>
          <w:szCs w:val="21"/>
          <w:highlight w:val="none"/>
        </w:rPr>
      </w:pPr>
      <w:bookmarkStart w:id="881" w:name="_Toc176947521"/>
      <w:bookmarkEnd w:id="881"/>
      <w:r>
        <w:rPr>
          <w:rFonts w:hint="eastAsia" w:ascii="宋体" w:hAnsi="宋体" w:cs="宋体"/>
          <w:color w:val="auto"/>
          <w:sz w:val="21"/>
          <w:szCs w:val="21"/>
          <w:highlight w:val="none"/>
        </w:rPr>
        <w:t>3</w:t>
      </w:r>
      <w:bookmarkStart w:id="882" w:name="_Toc296347157"/>
      <w:bookmarkEnd w:id="882"/>
      <w:bookmarkStart w:id="883" w:name="_Toc296346659"/>
      <w:bookmarkEnd w:id="883"/>
      <w:bookmarkStart w:id="884" w:name="_Toc296891198"/>
      <w:bookmarkEnd w:id="884"/>
      <w:bookmarkStart w:id="885" w:name="_Toc292559363"/>
      <w:bookmarkEnd w:id="885"/>
      <w:bookmarkStart w:id="886" w:name="_Toc297048344"/>
      <w:bookmarkEnd w:id="886"/>
      <w:bookmarkStart w:id="887" w:name="_Toc292559868"/>
      <w:bookmarkEnd w:id="887"/>
      <w:bookmarkStart w:id="888" w:name="_Toc296890986"/>
      <w:bookmarkEnd w:id="888"/>
      <w:bookmarkStart w:id="889" w:name="_Toc297120458"/>
      <w:bookmarkEnd w:id="889"/>
      <w:bookmarkStart w:id="890" w:name="_Toc296503158"/>
      <w:bookmarkEnd w:id="890"/>
      <w:bookmarkStart w:id="891" w:name="_Toc296944497"/>
      <w:r>
        <w:rPr>
          <w:rFonts w:hint="eastAsia" w:ascii="宋体" w:hAnsi="宋体" w:cs="宋体"/>
          <w:color w:val="auto"/>
          <w:sz w:val="21"/>
          <w:szCs w:val="21"/>
          <w:highlight w:val="none"/>
        </w:rPr>
        <w:t>. 承包人</w:t>
      </w:r>
      <w:bookmarkEnd w:id="891"/>
    </w:p>
    <w:p w14:paraId="1CD29AC6">
      <w:pPr>
        <w:pStyle w:val="4"/>
        <w:widowControl/>
        <w:jc w:val="left"/>
        <w:rPr>
          <w:rFonts w:ascii="宋体" w:hAnsi="宋体" w:cs="宋体"/>
          <w:color w:val="auto"/>
          <w:sz w:val="21"/>
          <w:szCs w:val="21"/>
          <w:highlight w:val="none"/>
        </w:rPr>
      </w:pPr>
      <w:bookmarkStart w:id="892" w:name="_Toc962678435"/>
      <w:bookmarkEnd w:id="892"/>
      <w:bookmarkStart w:id="893" w:name="_Toc176947522"/>
      <w:bookmarkEnd w:id="893"/>
      <w:bookmarkStart w:id="894" w:name="_Toc373227707"/>
      <w:bookmarkEnd w:id="894"/>
      <w:bookmarkStart w:id="895" w:name="_Toc389065273"/>
      <w:bookmarkEnd w:id="895"/>
      <w:bookmarkStart w:id="896" w:name="_Toc78449795"/>
      <w:bookmarkEnd w:id="896"/>
      <w:bookmarkStart w:id="897" w:name="_Toc373478354"/>
      <w:bookmarkEnd w:id="897"/>
      <w:bookmarkStart w:id="898" w:name="_Toc407135209"/>
      <w:bookmarkEnd w:id="898"/>
      <w:bookmarkStart w:id="899" w:name="_Toc141175134"/>
      <w:bookmarkEnd w:id="899"/>
      <w:r>
        <w:rPr>
          <w:rFonts w:hint="eastAsia" w:ascii="宋体" w:hAnsi="宋体" w:cs="宋体"/>
          <w:color w:val="auto"/>
          <w:sz w:val="21"/>
          <w:szCs w:val="21"/>
          <w:highlight w:val="none"/>
        </w:rPr>
        <w:t>3.1 承包人的一般义务</w:t>
      </w:r>
    </w:p>
    <w:p w14:paraId="5688585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（9）</w:t>
      </w:r>
      <w:r>
        <w:rPr>
          <w:rFonts w:hint="eastAsia" w:ascii="宋体" w:hAnsi="宋体" w:cs="宋体"/>
          <w:color w:val="auto"/>
          <w:szCs w:val="21"/>
          <w:highlight w:val="none"/>
          <w:lang w:bidi="ar"/>
        </w:rPr>
        <w:t>承包人提交的竣工资料的内容：</w:t>
      </w:r>
      <w:r>
        <w:rPr>
          <w:rFonts w:hint="eastAsia" w:ascii="宋体" w:hAnsi="宋体" w:cs="宋体"/>
          <w:color w:val="auto"/>
          <w:szCs w:val="21"/>
          <w:highlight w:val="none"/>
          <w:u w:val="single"/>
          <w:lang w:bidi="ar"/>
        </w:rPr>
        <w:t>按工程所在地建设工程档案馆相关规定，如：①竣工图纸；②设计变更、洽商记录、现场签证；③施工资料：控制资料(含：材料检试验报告、施工记录、检验批质量、隐蔽工程记录、分项工程验收记录、分部工程验收记录)；④管</w:t>
      </w:r>
      <w:r>
        <w:rPr>
          <w:rFonts w:hint="eastAsia" w:ascii="宋体" w:hAnsi="宋体" w:cs="宋体"/>
          <w:color w:val="auto"/>
          <w:kern w:val="0"/>
          <w:szCs w:val="21"/>
          <w:highlight w:val="none"/>
          <w:u w:val="single"/>
          <w:lang w:bidi="ar"/>
        </w:rPr>
        <w:t>理资料（含：开工报审表、施工日志、施工组织设计）；⑤提交上级建设主管部门的备案资料；⑥项目所在地档案馆需</w:t>
      </w:r>
      <w:r>
        <w:rPr>
          <w:rFonts w:hint="eastAsia" w:ascii="宋体" w:hAnsi="宋体" w:cs="宋体"/>
          <w:color w:val="auto"/>
          <w:szCs w:val="21"/>
          <w:highlight w:val="none"/>
          <w:u w:val="single"/>
          <w:lang w:bidi="ar"/>
        </w:rPr>
        <w:t>要</w:t>
      </w:r>
      <w:r>
        <w:rPr>
          <w:rFonts w:hint="eastAsia" w:ascii="宋体" w:hAnsi="宋体" w:cs="宋体"/>
          <w:color w:val="auto"/>
          <w:kern w:val="0"/>
          <w:szCs w:val="21"/>
          <w:highlight w:val="none"/>
          <w:u w:val="single"/>
          <w:lang w:bidi="ar"/>
        </w:rPr>
        <w:t>提供</w:t>
      </w:r>
      <w:r>
        <w:rPr>
          <w:rFonts w:hint="eastAsia" w:ascii="宋体" w:hAnsi="宋体" w:cs="宋体"/>
          <w:color w:val="auto"/>
          <w:szCs w:val="21"/>
          <w:highlight w:val="none"/>
          <w:u w:val="single"/>
          <w:lang w:bidi="ar"/>
        </w:rPr>
        <w:t>的其他资料。</w:t>
      </w:r>
    </w:p>
    <w:p w14:paraId="47B3286D">
      <w:pPr>
        <w:spacing w:line="360" w:lineRule="auto"/>
        <w:jc w:val="left"/>
        <w:rPr>
          <w:rFonts w:ascii="宋体" w:hAnsi="宋体" w:cs="宋体"/>
          <w:color w:val="auto"/>
          <w:szCs w:val="21"/>
          <w:highlight w:val="none"/>
        </w:rPr>
      </w:pPr>
      <w:r>
        <w:rPr>
          <w:rFonts w:hint="eastAsia" w:ascii="宋体" w:hAnsi="宋体" w:cs="宋体"/>
          <w:color w:val="auto"/>
          <w:szCs w:val="21"/>
          <w:highlight w:val="none"/>
          <w:lang w:bidi="ar"/>
        </w:rPr>
        <w:t xml:space="preserve">   承包人需要提交的竣工资料套数：</w:t>
      </w:r>
      <w:r>
        <w:rPr>
          <w:rFonts w:hint="eastAsia" w:ascii="宋体" w:hAnsi="宋体" w:cs="宋体"/>
          <w:color w:val="auto"/>
          <w:szCs w:val="21"/>
          <w:highlight w:val="none"/>
          <w:u w:val="single"/>
          <w:lang w:bidi="ar"/>
        </w:rPr>
        <w:t>全套竣工资料一式肆份</w:t>
      </w:r>
      <w:r>
        <w:rPr>
          <w:rFonts w:hint="eastAsia" w:ascii="宋体" w:hAnsi="宋体" w:cs="宋体"/>
          <w:color w:val="auto"/>
          <w:szCs w:val="21"/>
          <w:highlight w:val="none"/>
          <w:lang w:bidi="ar"/>
        </w:rPr>
        <w:t>。</w:t>
      </w:r>
    </w:p>
    <w:p w14:paraId="3F22B75D">
      <w:pPr>
        <w:spacing w:line="360" w:lineRule="auto"/>
        <w:ind w:left="424" w:leftChars="202"/>
        <w:jc w:val="left"/>
        <w:rPr>
          <w:rFonts w:ascii="宋体" w:hAnsi="宋体" w:cs="宋体"/>
          <w:color w:val="auto"/>
          <w:szCs w:val="21"/>
          <w:highlight w:val="none"/>
        </w:rPr>
      </w:pPr>
      <w:r>
        <w:rPr>
          <w:rFonts w:hint="eastAsia" w:ascii="宋体" w:hAnsi="宋体" w:cs="宋体"/>
          <w:color w:val="auto"/>
          <w:szCs w:val="21"/>
          <w:highlight w:val="none"/>
          <w:lang w:bidi="ar"/>
        </w:rPr>
        <w:t>承包人提交的竣工资料的费用承担：</w:t>
      </w:r>
      <w:r>
        <w:rPr>
          <w:rFonts w:hint="eastAsia" w:ascii="宋体" w:hAnsi="宋体" w:cs="宋体"/>
          <w:color w:val="auto"/>
          <w:spacing w:val="-3"/>
          <w:szCs w:val="21"/>
          <w:highlight w:val="none"/>
          <w:u w:val="single"/>
          <w:lang w:bidi="ar"/>
        </w:rPr>
        <w:t>由承包人自行承担相关费用，竣工验收合格后15天内</w:t>
      </w:r>
      <w:r>
        <w:rPr>
          <w:rFonts w:hint="eastAsia" w:ascii="宋体" w:hAnsi="宋体" w:cs="宋体"/>
          <w:color w:val="auto"/>
          <w:spacing w:val="-15"/>
          <w:szCs w:val="21"/>
          <w:highlight w:val="none"/>
          <w:u w:val="single"/>
          <w:lang w:bidi="ar"/>
        </w:rPr>
        <w:t>提</w:t>
      </w:r>
      <w:r>
        <w:rPr>
          <w:rFonts w:hint="eastAsia" w:ascii="宋体" w:hAnsi="宋体" w:cs="宋体"/>
          <w:color w:val="auto"/>
          <w:spacing w:val="-11"/>
          <w:szCs w:val="21"/>
          <w:highlight w:val="none"/>
          <w:u w:val="single"/>
          <w:lang w:bidi="ar"/>
        </w:rPr>
        <w:t>交，每延迟1天处予1000元/天的违约处罚</w:t>
      </w:r>
      <w:r>
        <w:rPr>
          <w:rFonts w:hint="eastAsia" w:ascii="宋体" w:hAnsi="宋体" w:cs="宋体"/>
          <w:color w:val="auto"/>
          <w:szCs w:val="21"/>
          <w:highlight w:val="none"/>
          <w:lang w:bidi="ar"/>
        </w:rPr>
        <w:t>。</w:t>
      </w:r>
    </w:p>
    <w:p w14:paraId="31E1357D">
      <w:pPr>
        <w:spacing w:line="360" w:lineRule="auto"/>
        <w:ind w:left="424" w:leftChars="202"/>
        <w:jc w:val="left"/>
        <w:rPr>
          <w:rFonts w:ascii="宋体" w:hAnsi="宋体" w:cs="宋体"/>
          <w:color w:val="auto"/>
          <w:szCs w:val="21"/>
          <w:highlight w:val="none"/>
        </w:rPr>
      </w:pPr>
      <w:r>
        <w:rPr>
          <w:rFonts w:hint="eastAsia" w:ascii="宋体" w:hAnsi="宋体" w:cs="宋体"/>
          <w:color w:val="auto"/>
          <w:szCs w:val="21"/>
          <w:highlight w:val="none"/>
          <w:lang w:bidi="ar"/>
        </w:rPr>
        <w:t>承包人提交的竣工资料移交时间：</w:t>
      </w:r>
      <w:r>
        <w:rPr>
          <w:rFonts w:hint="eastAsia" w:ascii="宋体" w:hAnsi="宋体" w:cs="宋体"/>
          <w:color w:val="auto"/>
          <w:szCs w:val="21"/>
          <w:highlight w:val="none"/>
          <w:u w:val="single"/>
          <w:lang w:bidi="ar"/>
        </w:rPr>
        <w:t>竣工验收合格后28个日历天内。</w:t>
      </w:r>
    </w:p>
    <w:p w14:paraId="27CDD9EC">
      <w:pPr>
        <w:jc w:val="left"/>
        <w:rPr>
          <w:rFonts w:ascii="宋体" w:hAnsi="宋体" w:cs="宋体"/>
          <w:color w:val="auto"/>
          <w:szCs w:val="21"/>
          <w:highlight w:val="none"/>
        </w:rPr>
      </w:pPr>
      <w:r>
        <w:rPr>
          <w:rFonts w:hint="eastAsia" w:ascii="宋体" w:hAnsi="宋体" w:cs="宋体"/>
          <w:color w:val="auto"/>
          <w:szCs w:val="21"/>
          <w:highlight w:val="none"/>
          <w:lang w:bidi="ar"/>
        </w:rPr>
        <w:t xml:space="preserve">   承包人提交的竣工资料形</w:t>
      </w:r>
      <w:r>
        <w:rPr>
          <w:rFonts w:hint="eastAsia" w:ascii="宋体" w:hAnsi="宋体" w:cs="宋体"/>
          <w:color w:val="auto"/>
          <w:kern w:val="0"/>
          <w:szCs w:val="21"/>
          <w:highlight w:val="none"/>
          <w:lang w:bidi="ar"/>
        </w:rPr>
        <w:t>式要求：符合项目所在地档案馆工程档案验收要求，并移交发包人。</w:t>
      </w:r>
    </w:p>
    <w:p w14:paraId="1F2E0096">
      <w:pPr>
        <w:spacing w:before="164" w:line="360" w:lineRule="auto"/>
        <w:ind w:left="20" w:right="76" w:firstLine="426"/>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（10）承包人应履行的其他义务：</w:t>
      </w:r>
      <w:r>
        <w:rPr>
          <w:rFonts w:hint="eastAsia" w:ascii="宋体" w:hAnsi="宋体" w:cs="宋体"/>
          <w:color w:val="auto"/>
          <w:spacing w:val="3"/>
          <w:szCs w:val="21"/>
          <w:highlight w:val="none"/>
          <w:u w:val="single"/>
          <w:lang w:bidi="ar"/>
        </w:rPr>
        <w:t>①施工用水、用电按表计量，费用由承包人承担，由承</w:t>
      </w:r>
      <w:r>
        <w:rPr>
          <w:rFonts w:hint="eastAsia" w:ascii="宋体" w:hAnsi="宋体" w:cs="宋体"/>
          <w:color w:val="auto"/>
          <w:spacing w:val="2"/>
          <w:szCs w:val="21"/>
          <w:highlight w:val="none"/>
          <w:u w:val="single"/>
          <w:lang w:bidi="ar"/>
        </w:rPr>
        <w:t>包人指派专人配合发包</w:t>
      </w:r>
      <w:r>
        <w:rPr>
          <w:rFonts w:hint="eastAsia" w:ascii="宋体" w:hAnsi="宋体" w:cs="宋体"/>
          <w:color w:val="auto"/>
          <w:spacing w:val="1"/>
          <w:szCs w:val="21"/>
          <w:highlight w:val="none"/>
          <w:u w:val="single"/>
          <w:lang w:bidi="ar"/>
        </w:rPr>
        <w:t>人的计量工作，水费及电费按发包人要求进行交付；单位工程内其他单</w:t>
      </w:r>
      <w:r>
        <w:rPr>
          <w:rFonts w:hint="eastAsia" w:ascii="宋体" w:hAnsi="宋体" w:cs="宋体"/>
          <w:color w:val="auto"/>
          <w:spacing w:val="2"/>
          <w:szCs w:val="21"/>
          <w:highlight w:val="none"/>
          <w:u w:val="single"/>
          <w:lang w:bidi="ar"/>
        </w:rPr>
        <w:t>位用水、用电由承包人</w:t>
      </w:r>
      <w:r>
        <w:rPr>
          <w:rFonts w:hint="eastAsia" w:ascii="宋体" w:hAnsi="宋体" w:cs="宋体"/>
          <w:color w:val="auto"/>
          <w:spacing w:val="1"/>
          <w:szCs w:val="21"/>
          <w:highlight w:val="none"/>
          <w:u w:val="single"/>
          <w:lang w:bidi="ar"/>
        </w:rPr>
        <w:t>与相关用水、用电单位协商解决。②本工程在施工过程中如存在多个施</w:t>
      </w:r>
      <w:r>
        <w:rPr>
          <w:rFonts w:hint="eastAsia" w:ascii="宋体" w:hAnsi="宋体" w:cs="宋体"/>
          <w:color w:val="auto"/>
          <w:spacing w:val="2"/>
          <w:szCs w:val="21"/>
          <w:highlight w:val="none"/>
          <w:u w:val="single"/>
          <w:lang w:bidi="ar"/>
        </w:rPr>
        <w:t>工单位同时作业时，承包人</w:t>
      </w:r>
      <w:r>
        <w:rPr>
          <w:rFonts w:hint="eastAsia" w:ascii="宋体" w:hAnsi="宋体" w:cs="宋体"/>
          <w:color w:val="auto"/>
          <w:spacing w:val="1"/>
          <w:szCs w:val="21"/>
          <w:highlight w:val="none"/>
          <w:u w:val="single"/>
          <w:lang w:bidi="ar"/>
        </w:rPr>
        <w:t>必须顾全大局、相互协作、密切配合，严格服从发包人和监理单位</w:t>
      </w:r>
      <w:r>
        <w:rPr>
          <w:rFonts w:hint="eastAsia" w:ascii="宋体" w:hAnsi="宋体" w:cs="宋体"/>
          <w:color w:val="auto"/>
          <w:spacing w:val="2"/>
          <w:szCs w:val="21"/>
          <w:highlight w:val="none"/>
          <w:u w:val="single"/>
          <w:lang w:bidi="ar"/>
        </w:rPr>
        <w:t>的协调指挥；承包人须</w:t>
      </w:r>
      <w:r>
        <w:rPr>
          <w:rFonts w:hint="eastAsia" w:ascii="宋体" w:hAnsi="宋体" w:cs="宋体"/>
          <w:color w:val="auto"/>
          <w:spacing w:val="1"/>
          <w:szCs w:val="21"/>
          <w:highlight w:val="none"/>
          <w:u w:val="single"/>
          <w:lang w:bidi="ar"/>
        </w:rPr>
        <w:t>积极协调解决施工过程中存在的各类问题，处理好与相邻施工单位的施</w:t>
      </w:r>
      <w:r>
        <w:rPr>
          <w:rFonts w:hint="eastAsia" w:ascii="宋体" w:hAnsi="宋体" w:cs="宋体"/>
          <w:color w:val="auto"/>
          <w:spacing w:val="-2"/>
          <w:szCs w:val="21"/>
          <w:highlight w:val="none"/>
          <w:u w:val="single"/>
          <w:lang w:bidi="ar"/>
        </w:rPr>
        <w:t>工接口关系，否则，发包人</w:t>
      </w:r>
      <w:r>
        <w:rPr>
          <w:rFonts w:hint="eastAsia" w:ascii="宋体" w:hAnsi="宋体" w:cs="宋体"/>
          <w:color w:val="auto"/>
          <w:spacing w:val="-1"/>
          <w:szCs w:val="21"/>
          <w:highlight w:val="none"/>
          <w:u w:val="single"/>
          <w:lang w:bidi="ar"/>
        </w:rPr>
        <w:t>有权要求承包人整改或另行指定其他单位来完成相关配合工作，其</w:t>
      </w:r>
      <w:r>
        <w:rPr>
          <w:rFonts w:hint="eastAsia" w:ascii="宋体" w:hAnsi="宋体" w:cs="宋体"/>
          <w:color w:val="auto"/>
          <w:spacing w:val="2"/>
          <w:szCs w:val="21"/>
          <w:highlight w:val="none"/>
          <w:u w:val="single"/>
          <w:lang w:bidi="ar"/>
        </w:rPr>
        <w:t>发生的费用从承包人的</w:t>
      </w:r>
      <w:r>
        <w:rPr>
          <w:rFonts w:hint="eastAsia" w:ascii="宋体" w:hAnsi="宋体" w:cs="宋体"/>
          <w:color w:val="auto"/>
          <w:spacing w:val="1"/>
          <w:szCs w:val="21"/>
          <w:highlight w:val="none"/>
          <w:u w:val="single"/>
          <w:lang w:bidi="ar"/>
        </w:rPr>
        <w:t>工程进度款中扣除，且并不需要承包人同意。承包人应始终采取各种合</w:t>
      </w:r>
      <w:r>
        <w:rPr>
          <w:rFonts w:hint="eastAsia" w:ascii="宋体" w:hAnsi="宋体" w:cs="宋体"/>
          <w:color w:val="auto"/>
          <w:spacing w:val="-2"/>
          <w:szCs w:val="21"/>
          <w:highlight w:val="none"/>
          <w:u w:val="single"/>
          <w:lang w:bidi="ar"/>
        </w:rPr>
        <w:t>理的预防措施，对于存在的</w:t>
      </w:r>
      <w:r>
        <w:rPr>
          <w:rFonts w:hint="eastAsia" w:ascii="宋体" w:hAnsi="宋体" w:cs="宋体"/>
          <w:color w:val="auto"/>
          <w:spacing w:val="-1"/>
          <w:szCs w:val="21"/>
          <w:highlight w:val="none"/>
          <w:u w:val="single"/>
          <w:lang w:bidi="ar"/>
        </w:rPr>
        <w:t>问题及时反映，对于需要发包人协调解决的问题，要提前提出，否</w:t>
      </w:r>
      <w:r>
        <w:rPr>
          <w:rFonts w:hint="eastAsia" w:ascii="宋体" w:hAnsi="宋体" w:cs="宋体"/>
          <w:color w:val="auto"/>
          <w:spacing w:val="-6"/>
          <w:szCs w:val="21"/>
          <w:highlight w:val="none"/>
          <w:u w:val="single"/>
          <w:lang w:bidi="ar"/>
        </w:rPr>
        <w:t>则，由此所造成</w:t>
      </w:r>
      <w:r>
        <w:rPr>
          <w:rFonts w:hint="eastAsia" w:ascii="宋体" w:hAnsi="宋体" w:cs="宋体"/>
          <w:color w:val="auto"/>
          <w:spacing w:val="-4"/>
          <w:szCs w:val="21"/>
          <w:highlight w:val="none"/>
          <w:u w:val="single"/>
          <w:lang w:bidi="ar"/>
        </w:rPr>
        <w:t>的</w:t>
      </w:r>
      <w:r>
        <w:rPr>
          <w:rFonts w:hint="eastAsia" w:ascii="宋体" w:hAnsi="宋体" w:cs="宋体"/>
          <w:color w:val="auto"/>
          <w:spacing w:val="-3"/>
          <w:szCs w:val="21"/>
          <w:highlight w:val="none"/>
          <w:u w:val="single"/>
          <w:lang w:bidi="ar"/>
        </w:rPr>
        <w:t>损失由承包人承担。③承包人负责办理施工有关的交通特别通告证、有害污</w:t>
      </w:r>
      <w:r>
        <w:rPr>
          <w:rFonts w:hint="eastAsia" w:ascii="宋体" w:hAnsi="宋体" w:cs="宋体"/>
          <w:color w:val="auto"/>
          <w:spacing w:val="2"/>
          <w:szCs w:val="21"/>
          <w:highlight w:val="none"/>
          <w:u w:val="single"/>
          <w:lang w:bidi="ar"/>
        </w:rPr>
        <w:t>水、环卫、环保和噪音</w:t>
      </w:r>
      <w:r>
        <w:rPr>
          <w:rFonts w:hint="eastAsia" w:ascii="宋体" w:hAnsi="宋体" w:cs="宋体"/>
          <w:color w:val="auto"/>
          <w:spacing w:val="1"/>
          <w:szCs w:val="21"/>
          <w:highlight w:val="none"/>
          <w:u w:val="single"/>
          <w:lang w:bidi="ar"/>
        </w:rPr>
        <w:t>等审批手续，并承担费用，如因承包人未交纳相关费用，发包人有权从</w:t>
      </w:r>
      <w:r>
        <w:rPr>
          <w:rFonts w:hint="eastAsia" w:ascii="宋体" w:hAnsi="宋体" w:cs="宋体"/>
          <w:color w:val="auto"/>
          <w:spacing w:val="2"/>
          <w:szCs w:val="21"/>
          <w:highlight w:val="none"/>
          <w:u w:val="single"/>
          <w:lang w:bidi="ar"/>
        </w:rPr>
        <w:t>工程款中扣除用于支付</w:t>
      </w:r>
      <w:r>
        <w:rPr>
          <w:rFonts w:hint="eastAsia" w:ascii="宋体" w:hAnsi="宋体" w:cs="宋体"/>
          <w:color w:val="auto"/>
          <w:spacing w:val="1"/>
          <w:szCs w:val="21"/>
          <w:highlight w:val="none"/>
          <w:u w:val="single"/>
          <w:lang w:bidi="ar"/>
        </w:rPr>
        <w:t>相关费用并计入结算。承包人负责对施工场地内的化石、文物具有保护</w:t>
      </w:r>
      <w:r>
        <w:rPr>
          <w:rFonts w:hint="eastAsia" w:ascii="宋体" w:hAnsi="宋体" w:cs="宋体"/>
          <w:color w:val="auto"/>
          <w:spacing w:val="-6"/>
          <w:szCs w:val="21"/>
          <w:highlight w:val="none"/>
          <w:u w:val="single"/>
          <w:lang w:bidi="ar"/>
        </w:rPr>
        <w:t>责任，并承担相应费</w:t>
      </w:r>
      <w:r>
        <w:rPr>
          <w:rFonts w:hint="eastAsia" w:ascii="宋体" w:hAnsi="宋体" w:cs="宋体"/>
          <w:color w:val="auto"/>
          <w:spacing w:val="-3"/>
          <w:szCs w:val="21"/>
          <w:highlight w:val="none"/>
          <w:u w:val="single"/>
          <w:lang w:bidi="ar"/>
        </w:rPr>
        <w:t>用。承包人负责满足施工期间政府职能部门对工地消防设施有关要求，并</w:t>
      </w:r>
      <w:r>
        <w:rPr>
          <w:rFonts w:hint="eastAsia" w:ascii="宋体" w:hAnsi="宋体" w:cs="宋体"/>
          <w:color w:val="auto"/>
          <w:spacing w:val="-2"/>
          <w:szCs w:val="21"/>
          <w:highlight w:val="none"/>
          <w:u w:val="single"/>
          <w:lang w:bidi="ar"/>
        </w:rPr>
        <w:t>承担相关费用。④承包人应</w:t>
      </w:r>
      <w:r>
        <w:rPr>
          <w:rFonts w:hint="eastAsia" w:ascii="宋体" w:hAnsi="宋体" w:cs="宋体"/>
          <w:color w:val="auto"/>
          <w:spacing w:val="-1"/>
          <w:szCs w:val="21"/>
          <w:highlight w:val="none"/>
          <w:u w:val="single"/>
          <w:lang w:bidi="ar"/>
        </w:rPr>
        <w:t>负责协调解决本项目当地居民对工程施工的人为干扰，施工机械进</w:t>
      </w:r>
      <w:r>
        <w:rPr>
          <w:rFonts w:hint="eastAsia" w:ascii="宋体" w:hAnsi="宋体" w:cs="宋体"/>
          <w:color w:val="auto"/>
          <w:spacing w:val="2"/>
          <w:szCs w:val="21"/>
          <w:highlight w:val="none"/>
          <w:u w:val="single"/>
          <w:lang w:bidi="ar"/>
        </w:rPr>
        <w:t>出、材料运输如需通过村道及</w:t>
      </w:r>
      <w:r>
        <w:rPr>
          <w:rFonts w:hint="eastAsia" w:ascii="宋体" w:hAnsi="宋体" w:cs="宋体"/>
          <w:color w:val="auto"/>
          <w:spacing w:val="1"/>
          <w:szCs w:val="21"/>
          <w:highlight w:val="none"/>
          <w:u w:val="single"/>
          <w:lang w:bidi="ar"/>
        </w:rPr>
        <w:t>村民土地；承包人应当协调与施工现场周边农村及村民的关系，</w:t>
      </w:r>
      <w:r>
        <w:rPr>
          <w:rFonts w:hint="eastAsia" w:ascii="宋体" w:hAnsi="宋体" w:cs="宋体"/>
          <w:color w:val="auto"/>
          <w:spacing w:val="2"/>
          <w:szCs w:val="21"/>
          <w:highlight w:val="none"/>
          <w:u w:val="single"/>
          <w:lang w:bidi="ar"/>
        </w:rPr>
        <w:t>并承担相关</w:t>
      </w:r>
      <w:r>
        <w:rPr>
          <w:rFonts w:hint="eastAsia" w:ascii="宋体" w:hAnsi="宋体" w:cs="宋体"/>
          <w:color w:val="auto"/>
          <w:spacing w:val="1"/>
          <w:szCs w:val="21"/>
          <w:highlight w:val="none"/>
          <w:u w:val="single"/>
          <w:lang w:bidi="ar"/>
        </w:rPr>
        <w:t>费用，确保项目施工顺利进行。⑤承包人应始终采取各种合理的预防措施，防止承</w:t>
      </w:r>
      <w:r>
        <w:rPr>
          <w:rFonts w:hint="eastAsia" w:ascii="宋体" w:hAnsi="宋体" w:cs="宋体"/>
          <w:color w:val="auto"/>
          <w:spacing w:val="-2"/>
          <w:szCs w:val="21"/>
          <w:highlight w:val="none"/>
          <w:u w:val="single"/>
          <w:lang w:bidi="ar"/>
        </w:rPr>
        <w:t>包人员或其内部发生任</w:t>
      </w:r>
      <w:r>
        <w:rPr>
          <w:rFonts w:hint="eastAsia" w:ascii="宋体" w:hAnsi="宋体" w:cs="宋体"/>
          <w:color w:val="auto"/>
          <w:spacing w:val="-1"/>
          <w:szCs w:val="21"/>
          <w:highlight w:val="none"/>
          <w:u w:val="single"/>
          <w:lang w:bidi="ar"/>
        </w:rPr>
        <w:t>何非法的、骚动的或无序的行为，以保持安定，保护现场及第三人的财</w:t>
      </w:r>
      <w:r>
        <w:rPr>
          <w:rFonts w:hint="eastAsia" w:ascii="宋体" w:hAnsi="宋体" w:cs="宋体"/>
          <w:color w:val="auto"/>
          <w:spacing w:val="2"/>
          <w:szCs w:val="21"/>
          <w:highlight w:val="none"/>
          <w:u w:val="single"/>
          <w:lang w:bidi="ar"/>
        </w:rPr>
        <w:t>产和人身安全。⑥为发包人依</w:t>
      </w:r>
      <w:r>
        <w:rPr>
          <w:rFonts w:hint="eastAsia" w:ascii="宋体" w:hAnsi="宋体" w:cs="宋体"/>
          <w:color w:val="auto"/>
          <w:spacing w:val="1"/>
          <w:szCs w:val="21"/>
          <w:highlight w:val="none"/>
          <w:u w:val="single"/>
          <w:lang w:bidi="ar"/>
        </w:rPr>
        <w:t>法发包的专业工程承包商提供总承包管理与协调服务，并为专业</w:t>
      </w:r>
      <w:r>
        <w:rPr>
          <w:rFonts w:hint="eastAsia" w:ascii="宋体" w:hAnsi="宋体" w:cs="宋体"/>
          <w:color w:val="auto"/>
          <w:spacing w:val="2"/>
          <w:szCs w:val="21"/>
          <w:highlight w:val="none"/>
          <w:u w:val="single"/>
          <w:lang w:bidi="ar"/>
        </w:rPr>
        <w:t>工程承包商提供一切施工方</w:t>
      </w:r>
      <w:r>
        <w:rPr>
          <w:rFonts w:hint="eastAsia" w:ascii="宋体" w:hAnsi="宋体" w:cs="宋体"/>
          <w:color w:val="auto"/>
          <w:spacing w:val="1"/>
          <w:szCs w:val="21"/>
          <w:highlight w:val="none"/>
          <w:u w:val="single"/>
          <w:lang w:bidi="ar"/>
        </w:rPr>
        <w:t>便。为发包人和监理人在施工现场提供必要的办公室和办公桌椅等</w:t>
      </w:r>
      <w:r>
        <w:rPr>
          <w:rFonts w:hint="eastAsia" w:ascii="宋体" w:hAnsi="宋体" w:cs="宋体"/>
          <w:color w:val="auto"/>
          <w:spacing w:val="2"/>
          <w:szCs w:val="21"/>
          <w:highlight w:val="none"/>
          <w:u w:val="single"/>
          <w:lang w:bidi="ar"/>
        </w:rPr>
        <w:t>设备。⑦按建设行政主管部</w:t>
      </w:r>
      <w:r>
        <w:rPr>
          <w:rFonts w:hint="eastAsia" w:ascii="宋体" w:hAnsi="宋体" w:cs="宋体"/>
          <w:color w:val="auto"/>
          <w:spacing w:val="1"/>
          <w:szCs w:val="21"/>
          <w:highlight w:val="none"/>
          <w:u w:val="single"/>
          <w:lang w:bidi="ar"/>
        </w:rPr>
        <w:t>门有关规定配合发包人其他工程的施工等。⑧施工期间和施工完毕</w:t>
      </w:r>
      <w:r>
        <w:rPr>
          <w:rFonts w:hint="eastAsia" w:ascii="宋体" w:hAnsi="宋体" w:cs="宋体"/>
          <w:color w:val="auto"/>
          <w:spacing w:val="2"/>
          <w:szCs w:val="21"/>
          <w:highlight w:val="none"/>
          <w:u w:val="single"/>
          <w:lang w:bidi="ar"/>
        </w:rPr>
        <w:t>后，均应及时对施工场地和</w:t>
      </w:r>
      <w:r>
        <w:rPr>
          <w:rFonts w:hint="eastAsia" w:ascii="宋体" w:hAnsi="宋体" w:cs="宋体"/>
          <w:color w:val="auto"/>
          <w:spacing w:val="1"/>
          <w:szCs w:val="21"/>
          <w:highlight w:val="none"/>
          <w:u w:val="single"/>
          <w:lang w:bidi="ar"/>
        </w:rPr>
        <w:t>为其施工提供的公共道路进行保洁、维护以及维修，产生的垃圾和</w:t>
      </w:r>
      <w:r>
        <w:rPr>
          <w:rFonts w:hint="eastAsia" w:ascii="宋体" w:hAnsi="宋体" w:cs="宋体"/>
          <w:color w:val="auto"/>
          <w:spacing w:val="2"/>
          <w:szCs w:val="21"/>
          <w:highlight w:val="none"/>
          <w:u w:val="single"/>
          <w:lang w:bidi="ar"/>
        </w:rPr>
        <w:t>被破坏的场地，必须遵照监</w:t>
      </w:r>
      <w:r>
        <w:rPr>
          <w:rFonts w:hint="eastAsia" w:ascii="宋体" w:hAnsi="宋体" w:cs="宋体"/>
          <w:color w:val="auto"/>
          <w:spacing w:val="1"/>
          <w:szCs w:val="21"/>
          <w:highlight w:val="none"/>
          <w:u w:val="single"/>
          <w:lang w:bidi="ar"/>
        </w:rPr>
        <w:t>理人和发包人的指示进行清理、修复，并根据实际情况将场地恢复</w:t>
      </w:r>
      <w:r>
        <w:rPr>
          <w:rFonts w:hint="eastAsia" w:ascii="宋体" w:hAnsi="宋体" w:cs="宋体"/>
          <w:color w:val="auto"/>
          <w:spacing w:val="2"/>
          <w:szCs w:val="21"/>
          <w:highlight w:val="none"/>
          <w:u w:val="single"/>
          <w:lang w:bidi="ar"/>
        </w:rPr>
        <w:t>到原有状态，费用自理。⑨</w:t>
      </w:r>
      <w:r>
        <w:rPr>
          <w:rFonts w:hint="eastAsia" w:ascii="宋体" w:hAnsi="宋体" w:cs="宋体"/>
          <w:color w:val="auto"/>
          <w:spacing w:val="1"/>
          <w:szCs w:val="21"/>
          <w:highlight w:val="none"/>
          <w:u w:val="single"/>
          <w:lang w:bidi="ar"/>
        </w:rPr>
        <w:t>由于本工程施工现场为居民区，承包人应合理安排施工时间，确保</w:t>
      </w:r>
      <w:r>
        <w:rPr>
          <w:rFonts w:hint="eastAsia" w:ascii="宋体" w:hAnsi="宋体" w:cs="宋体"/>
          <w:color w:val="auto"/>
          <w:spacing w:val="2"/>
          <w:szCs w:val="21"/>
          <w:highlight w:val="none"/>
          <w:u w:val="single"/>
          <w:lang w:bidi="ar"/>
        </w:rPr>
        <w:t>做到不影响周边居民的正常生</w:t>
      </w:r>
      <w:r>
        <w:rPr>
          <w:rFonts w:hint="eastAsia" w:ascii="宋体" w:hAnsi="宋体" w:cs="宋体"/>
          <w:color w:val="auto"/>
          <w:spacing w:val="1"/>
          <w:szCs w:val="21"/>
          <w:highlight w:val="none"/>
          <w:u w:val="single"/>
          <w:lang w:bidi="ar"/>
        </w:rPr>
        <w:t>活，对居民的合理意见应积极整改，确保工程顺利进行。⑩配合</w:t>
      </w:r>
      <w:r>
        <w:rPr>
          <w:rFonts w:hint="eastAsia" w:ascii="宋体" w:hAnsi="宋体" w:cs="宋体"/>
          <w:color w:val="auto"/>
          <w:spacing w:val="2"/>
          <w:szCs w:val="21"/>
          <w:highlight w:val="none"/>
          <w:u w:val="single"/>
          <w:lang w:bidi="ar"/>
        </w:rPr>
        <w:t>发包人做好安全文明工程、</w:t>
      </w:r>
      <w:r>
        <w:rPr>
          <w:rFonts w:hint="eastAsia" w:ascii="宋体" w:hAnsi="宋体" w:cs="宋体"/>
          <w:color w:val="auto"/>
          <w:spacing w:val="1"/>
          <w:szCs w:val="21"/>
          <w:highlight w:val="none"/>
          <w:u w:val="single"/>
          <w:lang w:bidi="ar"/>
        </w:rPr>
        <w:t>领导检查、宣传等工作。以上相关费用均由承包人承担，并在投标报价清单中综合考虑，不再另</w:t>
      </w:r>
      <w:r>
        <w:rPr>
          <w:rFonts w:hint="eastAsia" w:ascii="宋体" w:hAnsi="宋体" w:cs="宋体"/>
          <w:color w:val="auto"/>
          <w:szCs w:val="21"/>
          <w:highlight w:val="none"/>
          <w:u w:val="single"/>
          <w:lang w:bidi="ar"/>
        </w:rPr>
        <w:t>计。⑪承包人在工程施工期间由于承包人原因引起的责任事故，</w:t>
      </w:r>
      <w:r>
        <w:rPr>
          <w:rFonts w:hint="eastAsia" w:ascii="宋体" w:hAnsi="宋体" w:cs="宋体"/>
          <w:color w:val="auto"/>
          <w:spacing w:val="-4"/>
          <w:szCs w:val="21"/>
          <w:highlight w:val="none"/>
          <w:u w:val="single"/>
          <w:lang w:bidi="ar"/>
        </w:rPr>
        <w:t>全部由承</w:t>
      </w:r>
      <w:r>
        <w:rPr>
          <w:rFonts w:hint="eastAsia" w:ascii="宋体" w:hAnsi="宋体" w:cs="宋体"/>
          <w:color w:val="auto"/>
          <w:spacing w:val="-3"/>
          <w:szCs w:val="21"/>
          <w:highlight w:val="none"/>
          <w:u w:val="single"/>
          <w:lang w:bidi="ar"/>
        </w:rPr>
        <w:t>包</w:t>
      </w:r>
      <w:r>
        <w:rPr>
          <w:rFonts w:hint="eastAsia" w:ascii="宋体" w:hAnsi="宋体" w:cs="宋体"/>
          <w:color w:val="auto"/>
          <w:spacing w:val="-2"/>
          <w:szCs w:val="21"/>
          <w:highlight w:val="none"/>
          <w:u w:val="single"/>
          <w:lang w:bidi="ar"/>
        </w:rPr>
        <w:t>人承担经济责任和法律责任。⑫满足国家、行业、控制标准和验收规范，在质量管</w:t>
      </w:r>
      <w:r>
        <w:rPr>
          <w:rFonts w:hint="eastAsia" w:ascii="宋体" w:hAnsi="宋体" w:cs="宋体"/>
          <w:color w:val="auto"/>
          <w:spacing w:val="-4"/>
          <w:szCs w:val="21"/>
          <w:highlight w:val="none"/>
          <w:u w:val="single"/>
          <w:lang w:bidi="ar"/>
        </w:rPr>
        <w:t>理过程中达到或超过质</w:t>
      </w:r>
      <w:r>
        <w:rPr>
          <w:rFonts w:hint="eastAsia" w:ascii="宋体" w:hAnsi="宋体" w:cs="宋体"/>
          <w:color w:val="auto"/>
          <w:spacing w:val="-2"/>
          <w:szCs w:val="21"/>
          <w:highlight w:val="none"/>
          <w:u w:val="single"/>
          <w:lang w:bidi="ar"/>
        </w:rPr>
        <w:t>量标准，杜绝重大设备一般及以上质量事故，确保工程无</w:t>
      </w:r>
      <w:r>
        <w:rPr>
          <w:rFonts w:hint="eastAsia" w:ascii="宋体" w:hAnsi="宋体" w:cs="宋体"/>
          <w:color w:val="auto"/>
          <w:spacing w:val="2"/>
          <w:szCs w:val="21"/>
          <w:highlight w:val="none"/>
          <w:u w:val="single"/>
          <w:lang w:bidi="ar"/>
        </w:rPr>
        <w:t>永久性缺陷。</w:t>
      </w:r>
      <w:r>
        <w:rPr>
          <w:rFonts w:hint="eastAsia" w:ascii="宋体" w:hAnsi="宋体" w:cs="宋体"/>
          <w:color w:val="auto"/>
          <w:szCs w:val="21"/>
          <w:highlight w:val="none"/>
          <w:lang w:bidi="ar"/>
        </w:rPr>
        <w:t>13</w:t>
      </w:r>
      <w:r>
        <w:rPr>
          <w:rFonts w:hint="eastAsia" w:ascii="宋体" w:hAnsi="宋体" w:cs="宋体"/>
          <w:color w:val="auto"/>
          <w:spacing w:val="2"/>
          <w:szCs w:val="21"/>
          <w:highlight w:val="none"/>
          <w:u w:val="single"/>
          <w:lang w:bidi="ar"/>
        </w:rPr>
        <w:t>对开工的项目，须组建项目工会。</w:t>
      </w:r>
    </w:p>
    <w:p w14:paraId="42D949C4">
      <w:pPr>
        <w:pStyle w:val="4"/>
        <w:widowControl/>
        <w:jc w:val="left"/>
        <w:rPr>
          <w:rFonts w:ascii="宋体" w:hAnsi="宋体" w:cs="宋体"/>
          <w:color w:val="auto"/>
          <w:sz w:val="21"/>
          <w:szCs w:val="21"/>
          <w:highlight w:val="none"/>
        </w:rPr>
      </w:pPr>
      <w:bookmarkStart w:id="900" w:name="_Toc141175135"/>
      <w:bookmarkEnd w:id="900"/>
      <w:bookmarkStart w:id="901" w:name="_Toc389065274"/>
      <w:bookmarkEnd w:id="901"/>
      <w:bookmarkStart w:id="902" w:name="_Toc78449796"/>
      <w:bookmarkEnd w:id="902"/>
      <w:bookmarkStart w:id="903" w:name="_Toc373478355"/>
      <w:bookmarkEnd w:id="903"/>
      <w:bookmarkStart w:id="904" w:name="_Toc176947523"/>
      <w:bookmarkEnd w:id="904"/>
      <w:bookmarkStart w:id="905" w:name="_Toc373227708"/>
      <w:bookmarkEnd w:id="905"/>
      <w:bookmarkStart w:id="906" w:name="_Toc501741485"/>
      <w:bookmarkEnd w:id="906"/>
      <w:bookmarkStart w:id="907" w:name="_Toc407135210"/>
      <w:r>
        <w:rPr>
          <w:rFonts w:hint="eastAsia" w:ascii="宋体" w:hAnsi="宋体" w:cs="宋体"/>
          <w:color w:val="auto"/>
          <w:sz w:val="21"/>
          <w:szCs w:val="21"/>
          <w:highlight w:val="none"/>
        </w:rPr>
        <w:t>3.2 项目经理</w:t>
      </w:r>
      <w:bookmarkEnd w:id="907"/>
    </w:p>
    <w:p w14:paraId="24EFC4C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3.2.1 </w:t>
      </w:r>
      <w:r>
        <w:rPr>
          <w:rFonts w:hint="eastAsia" w:ascii="宋体" w:hAnsi="宋体" w:cs="宋体"/>
          <w:color w:val="auto"/>
          <w:szCs w:val="21"/>
          <w:highlight w:val="none"/>
          <w:lang w:bidi="ar"/>
        </w:rPr>
        <w:t>项目经理：</w:t>
      </w:r>
    </w:p>
    <w:p w14:paraId="1D5D320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姓    名：</w:t>
      </w:r>
      <w:r>
        <w:rPr>
          <w:rFonts w:hint="eastAsia" w:ascii="宋体" w:hAnsi="宋体" w:cs="宋体"/>
          <w:color w:val="auto"/>
          <w:spacing w:val="-16"/>
          <w:szCs w:val="21"/>
          <w:highlight w:val="none"/>
          <w:lang w:bidi="ar"/>
        </w:rPr>
        <w:t>(</w:t>
      </w:r>
      <w:r>
        <w:rPr>
          <w:rFonts w:hint="eastAsia" w:ascii="宋体" w:hAnsi="宋体" w:cs="宋体"/>
          <w:color w:val="auto"/>
          <w:spacing w:val="-16"/>
          <w:szCs w:val="21"/>
          <w:highlight w:val="none"/>
          <w:u w:val="single"/>
          <w:lang w:bidi="ar"/>
        </w:rPr>
        <w:t>中标后填写)</w:t>
      </w:r>
      <w:r>
        <w:rPr>
          <w:rFonts w:hint="eastAsia" w:ascii="宋体" w:hAnsi="宋体" w:cs="宋体"/>
          <w:color w:val="auto"/>
          <w:szCs w:val="21"/>
          <w:highlight w:val="none"/>
          <w:lang w:bidi="ar"/>
        </w:rPr>
        <w:t>；</w:t>
      </w:r>
    </w:p>
    <w:p w14:paraId="1B551CA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身份证号：</w:t>
      </w:r>
      <w:r>
        <w:rPr>
          <w:rFonts w:hint="eastAsia" w:ascii="宋体" w:hAnsi="宋体" w:cs="宋体"/>
          <w:color w:val="auto"/>
          <w:spacing w:val="-16"/>
          <w:szCs w:val="21"/>
          <w:highlight w:val="none"/>
          <w:lang w:bidi="ar"/>
        </w:rPr>
        <w:t>(</w:t>
      </w:r>
      <w:r>
        <w:rPr>
          <w:rFonts w:hint="eastAsia" w:ascii="宋体" w:hAnsi="宋体" w:cs="宋体"/>
          <w:color w:val="auto"/>
          <w:spacing w:val="-16"/>
          <w:szCs w:val="21"/>
          <w:highlight w:val="none"/>
          <w:u w:val="single"/>
          <w:lang w:bidi="ar"/>
        </w:rPr>
        <w:t>中标后填写)</w:t>
      </w:r>
      <w:r>
        <w:rPr>
          <w:rFonts w:hint="eastAsia" w:ascii="宋体" w:hAnsi="宋体" w:cs="宋体"/>
          <w:color w:val="auto"/>
          <w:szCs w:val="21"/>
          <w:highlight w:val="none"/>
          <w:lang w:bidi="ar"/>
        </w:rPr>
        <w:t>；</w:t>
      </w:r>
    </w:p>
    <w:p w14:paraId="2B39BC1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建造师执业资格等级：</w:t>
      </w:r>
      <w:r>
        <w:rPr>
          <w:rFonts w:hint="eastAsia" w:ascii="宋体" w:hAnsi="宋体" w:cs="宋体"/>
          <w:color w:val="auto"/>
          <w:spacing w:val="-16"/>
          <w:szCs w:val="21"/>
          <w:highlight w:val="none"/>
          <w:lang w:bidi="ar"/>
        </w:rPr>
        <w:t>(</w:t>
      </w:r>
      <w:r>
        <w:rPr>
          <w:rFonts w:hint="eastAsia" w:ascii="宋体" w:hAnsi="宋体" w:cs="宋体"/>
          <w:color w:val="auto"/>
          <w:spacing w:val="-16"/>
          <w:szCs w:val="21"/>
          <w:highlight w:val="none"/>
          <w:u w:val="single"/>
          <w:lang w:bidi="ar"/>
        </w:rPr>
        <w:t>中标后填写)</w:t>
      </w:r>
      <w:r>
        <w:rPr>
          <w:rFonts w:hint="eastAsia" w:ascii="宋体" w:hAnsi="宋体" w:cs="宋体"/>
          <w:color w:val="auto"/>
          <w:szCs w:val="21"/>
          <w:highlight w:val="none"/>
          <w:lang w:bidi="ar"/>
        </w:rPr>
        <w:t>；</w:t>
      </w:r>
    </w:p>
    <w:p w14:paraId="60F099E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建造师注册证书号：</w:t>
      </w:r>
      <w:r>
        <w:rPr>
          <w:rFonts w:hint="eastAsia" w:ascii="宋体" w:hAnsi="宋体" w:cs="宋体"/>
          <w:color w:val="auto"/>
          <w:spacing w:val="-16"/>
          <w:szCs w:val="21"/>
          <w:highlight w:val="none"/>
          <w:lang w:bidi="ar"/>
        </w:rPr>
        <w:t>(</w:t>
      </w:r>
      <w:r>
        <w:rPr>
          <w:rFonts w:hint="eastAsia" w:ascii="宋体" w:hAnsi="宋体" w:cs="宋体"/>
          <w:color w:val="auto"/>
          <w:spacing w:val="-16"/>
          <w:szCs w:val="21"/>
          <w:highlight w:val="none"/>
          <w:u w:val="single"/>
          <w:lang w:bidi="ar"/>
        </w:rPr>
        <w:t>中标后填写)</w:t>
      </w:r>
      <w:r>
        <w:rPr>
          <w:rFonts w:hint="eastAsia" w:ascii="宋体" w:hAnsi="宋体" w:cs="宋体"/>
          <w:color w:val="auto"/>
          <w:szCs w:val="21"/>
          <w:highlight w:val="none"/>
          <w:lang w:bidi="ar"/>
        </w:rPr>
        <w:t>；</w:t>
      </w:r>
    </w:p>
    <w:p w14:paraId="094C7EC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安全生产考核合格证书号：</w:t>
      </w:r>
      <w:r>
        <w:rPr>
          <w:rFonts w:hint="eastAsia" w:ascii="宋体" w:hAnsi="宋体" w:cs="宋体"/>
          <w:color w:val="auto"/>
          <w:spacing w:val="-16"/>
          <w:szCs w:val="21"/>
          <w:highlight w:val="none"/>
          <w:lang w:bidi="ar"/>
        </w:rPr>
        <w:t>(</w:t>
      </w:r>
      <w:r>
        <w:rPr>
          <w:rFonts w:hint="eastAsia" w:ascii="宋体" w:hAnsi="宋体" w:cs="宋体"/>
          <w:color w:val="auto"/>
          <w:spacing w:val="-16"/>
          <w:szCs w:val="21"/>
          <w:highlight w:val="none"/>
          <w:u w:val="single"/>
          <w:lang w:bidi="ar"/>
        </w:rPr>
        <w:t>中标后填写)</w:t>
      </w:r>
      <w:r>
        <w:rPr>
          <w:rFonts w:hint="eastAsia" w:ascii="宋体" w:hAnsi="宋体" w:cs="宋体"/>
          <w:color w:val="auto"/>
          <w:szCs w:val="21"/>
          <w:highlight w:val="none"/>
          <w:lang w:bidi="ar"/>
        </w:rPr>
        <w:t>；</w:t>
      </w:r>
    </w:p>
    <w:p w14:paraId="56A8153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联系电话：</w:t>
      </w:r>
      <w:r>
        <w:rPr>
          <w:rFonts w:hint="eastAsia" w:ascii="宋体" w:hAnsi="宋体" w:cs="宋体"/>
          <w:color w:val="auto"/>
          <w:spacing w:val="-16"/>
          <w:szCs w:val="21"/>
          <w:highlight w:val="none"/>
          <w:lang w:bidi="ar"/>
        </w:rPr>
        <w:t>(</w:t>
      </w:r>
      <w:r>
        <w:rPr>
          <w:rFonts w:hint="eastAsia" w:ascii="宋体" w:hAnsi="宋体" w:cs="宋体"/>
          <w:color w:val="auto"/>
          <w:spacing w:val="-16"/>
          <w:szCs w:val="21"/>
          <w:highlight w:val="none"/>
          <w:u w:val="single"/>
          <w:lang w:bidi="ar"/>
        </w:rPr>
        <w:t>中标后填写)</w:t>
      </w:r>
      <w:r>
        <w:rPr>
          <w:rFonts w:hint="eastAsia" w:ascii="宋体" w:hAnsi="宋体" w:cs="宋体"/>
          <w:color w:val="auto"/>
          <w:szCs w:val="21"/>
          <w:highlight w:val="none"/>
          <w:lang w:bidi="ar"/>
        </w:rPr>
        <w:t>；</w:t>
      </w:r>
    </w:p>
    <w:p w14:paraId="0942F46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电子信箱：</w:t>
      </w:r>
      <w:r>
        <w:rPr>
          <w:rFonts w:hint="eastAsia" w:ascii="宋体" w:hAnsi="宋体" w:cs="宋体"/>
          <w:color w:val="auto"/>
          <w:spacing w:val="-16"/>
          <w:szCs w:val="21"/>
          <w:highlight w:val="none"/>
          <w:lang w:bidi="ar"/>
        </w:rPr>
        <w:t>(</w:t>
      </w:r>
      <w:r>
        <w:rPr>
          <w:rFonts w:hint="eastAsia" w:ascii="宋体" w:hAnsi="宋体" w:cs="宋体"/>
          <w:color w:val="auto"/>
          <w:spacing w:val="-16"/>
          <w:szCs w:val="21"/>
          <w:highlight w:val="none"/>
          <w:u w:val="single"/>
          <w:lang w:bidi="ar"/>
        </w:rPr>
        <w:t>中标后填写)</w:t>
      </w:r>
      <w:r>
        <w:rPr>
          <w:rFonts w:hint="eastAsia" w:ascii="宋体" w:hAnsi="宋体" w:cs="宋体"/>
          <w:color w:val="auto"/>
          <w:szCs w:val="21"/>
          <w:highlight w:val="none"/>
          <w:lang w:bidi="ar"/>
        </w:rPr>
        <w:t>；</w:t>
      </w:r>
    </w:p>
    <w:p w14:paraId="68A65B2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通信地址：</w:t>
      </w:r>
      <w:r>
        <w:rPr>
          <w:rFonts w:hint="eastAsia" w:ascii="宋体" w:hAnsi="宋体" w:cs="宋体"/>
          <w:color w:val="auto"/>
          <w:spacing w:val="-16"/>
          <w:szCs w:val="21"/>
          <w:highlight w:val="none"/>
          <w:lang w:bidi="ar"/>
        </w:rPr>
        <w:t>(</w:t>
      </w:r>
      <w:r>
        <w:rPr>
          <w:rFonts w:hint="eastAsia" w:ascii="宋体" w:hAnsi="宋体" w:cs="宋体"/>
          <w:color w:val="auto"/>
          <w:spacing w:val="-16"/>
          <w:szCs w:val="21"/>
          <w:highlight w:val="none"/>
          <w:u w:val="single"/>
          <w:lang w:bidi="ar"/>
        </w:rPr>
        <w:t>中标后填写)</w:t>
      </w:r>
      <w:r>
        <w:rPr>
          <w:rFonts w:hint="eastAsia" w:ascii="宋体" w:hAnsi="宋体" w:cs="宋体"/>
          <w:color w:val="auto"/>
          <w:szCs w:val="21"/>
          <w:highlight w:val="none"/>
          <w:lang w:bidi="ar"/>
        </w:rPr>
        <w:t>；</w:t>
      </w:r>
    </w:p>
    <w:p w14:paraId="51038AD5">
      <w:pPr>
        <w:spacing w:before="157" w:line="360" w:lineRule="auto"/>
        <w:ind w:left="18" w:firstLine="421"/>
        <w:jc w:val="left"/>
        <w:rPr>
          <w:rFonts w:ascii="宋体" w:hAnsi="宋体" w:cs="宋体"/>
          <w:color w:val="auto"/>
          <w:szCs w:val="21"/>
          <w:highlight w:val="none"/>
        </w:rPr>
      </w:pPr>
      <w:r>
        <w:rPr>
          <w:rFonts w:hint="eastAsia" w:ascii="宋体" w:hAnsi="宋体" w:cs="宋体"/>
          <w:color w:val="auto"/>
          <w:szCs w:val="21"/>
          <w:highlight w:val="none"/>
          <w:lang w:bidi="ar"/>
        </w:rPr>
        <w:t xml:space="preserve">承包人对项目经理的授权范围如下： </w:t>
      </w:r>
      <w:r>
        <w:rPr>
          <w:rFonts w:hint="eastAsia" w:ascii="宋体" w:hAnsi="宋体" w:cs="宋体"/>
          <w:color w:val="auto"/>
          <w:spacing w:val="-6"/>
          <w:szCs w:val="21"/>
          <w:highlight w:val="none"/>
          <w:u w:val="single"/>
          <w:lang w:bidi="ar"/>
        </w:rPr>
        <w:t>(1)对本工程的施工进行全面管理，包括对工程质量、进度、安全、文明</w:t>
      </w:r>
      <w:r>
        <w:rPr>
          <w:rFonts w:hint="eastAsia" w:ascii="宋体" w:hAnsi="宋体" w:cs="宋体"/>
          <w:color w:val="auto"/>
          <w:spacing w:val="-3"/>
          <w:szCs w:val="21"/>
          <w:highlight w:val="none"/>
          <w:u w:val="single"/>
          <w:lang w:bidi="ar"/>
        </w:rPr>
        <w:t>、环保、成本等进行管理，行使施工合同约定的权利，履行施工合同约定的</w:t>
      </w:r>
      <w:r>
        <w:rPr>
          <w:rFonts w:hint="eastAsia" w:ascii="宋体" w:hAnsi="宋体" w:cs="宋体"/>
          <w:color w:val="auto"/>
          <w:spacing w:val="-2"/>
          <w:szCs w:val="21"/>
          <w:highlight w:val="none"/>
          <w:u w:val="single"/>
          <w:lang w:bidi="ar"/>
        </w:rPr>
        <w:t>义务；</w:t>
      </w:r>
      <w:r>
        <w:rPr>
          <w:rFonts w:hint="eastAsia" w:ascii="宋体" w:hAnsi="宋体" w:cs="宋体"/>
          <w:color w:val="auto"/>
          <w:spacing w:val="-1"/>
          <w:szCs w:val="21"/>
          <w:highlight w:val="none"/>
          <w:u w:val="single"/>
          <w:lang w:bidi="ar"/>
        </w:rPr>
        <w:t>(2)经发包人同意分包的专业工程，项目经理参与选择并使用具有相应资质的分包人(由</w:t>
      </w:r>
      <w:r>
        <w:rPr>
          <w:rFonts w:hint="eastAsia" w:ascii="宋体" w:hAnsi="宋体" w:cs="宋体"/>
          <w:color w:val="auto"/>
          <w:spacing w:val="-10"/>
          <w:szCs w:val="21"/>
          <w:highlight w:val="none"/>
          <w:u w:val="single"/>
          <w:lang w:bidi="ar"/>
        </w:rPr>
        <w:t>发包人指</w:t>
      </w:r>
      <w:r>
        <w:rPr>
          <w:rFonts w:hint="eastAsia" w:ascii="宋体" w:hAnsi="宋体" w:cs="宋体"/>
          <w:color w:val="auto"/>
          <w:spacing w:val="-9"/>
          <w:szCs w:val="21"/>
          <w:highlight w:val="none"/>
          <w:u w:val="single"/>
          <w:lang w:bidi="ar"/>
        </w:rPr>
        <w:t>定</w:t>
      </w:r>
      <w:r>
        <w:rPr>
          <w:rFonts w:hint="eastAsia" w:ascii="宋体" w:hAnsi="宋体" w:cs="宋体"/>
          <w:color w:val="auto"/>
          <w:spacing w:val="-5"/>
          <w:szCs w:val="21"/>
          <w:highlight w:val="none"/>
          <w:u w:val="single"/>
          <w:lang w:bidi="ar"/>
        </w:rPr>
        <w:t>分包的除外)；(3)施工合同约定由承包人采购的材料、工程设备，项目经理参与</w:t>
      </w:r>
      <w:r>
        <w:rPr>
          <w:rFonts w:hint="eastAsia" w:ascii="宋体" w:hAnsi="宋体" w:cs="宋体"/>
          <w:color w:val="auto"/>
          <w:spacing w:val="-2"/>
          <w:szCs w:val="21"/>
          <w:highlight w:val="none"/>
          <w:u w:val="single"/>
          <w:lang w:bidi="ar"/>
        </w:rPr>
        <w:t>选</w:t>
      </w:r>
      <w:r>
        <w:rPr>
          <w:rFonts w:hint="eastAsia" w:ascii="宋体" w:hAnsi="宋体" w:cs="宋体"/>
          <w:color w:val="auto"/>
          <w:spacing w:val="-1"/>
          <w:szCs w:val="21"/>
          <w:highlight w:val="none"/>
          <w:u w:val="single"/>
          <w:lang w:bidi="ar"/>
        </w:rPr>
        <w:t>择物资供应单位；(4)代表承包人对工程施工中的相关事务(本授权第一项约定的事务)进</w:t>
      </w:r>
      <w:r>
        <w:rPr>
          <w:rFonts w:hint="eastAsia" w:ascii="宋体" w:hAnsi="宋体" w:cs="宋体"/>
          <w:color w:val="auto"/>
          <w:spacing w:val="-6"/>
          <w:szCs w:val="21"/>
          <w:highlight w:val="none"/>
          <w:u w:val="single"/>
          <w:lang w:bidi="ar"/>
        </w:rPr>
        <w:t>行协商，代</w:t>
      </w:r>
      <w:r>
        <w:rPr>
          <w:rFonts w:hint="eastAsia" w:ascii="宋体" w:hAnsi="宋体" w:cs="宋体"/>
          <w:color w:val="auto"/>
          <w:spacing w:val="-5"/>
          <w:szCs w:val="21"/>
          <w:highlight w:val="none"/>
          <w:u w:val="single"/>
          <w:lang w:bidi="ar"/>
        </w:rPr>
        <w:t>表</w:t>
      </w:r>
      <w:r>
        <w:rPr>
          <w:rFonts w:hint="eastAsia" w:ascii="宋体" w:hAnsi="宋体" w:cs="宋体"/>
          <w:color w:val="auto"/>
          <w:spacing w:val="-3"/>
          <w:szCs w:val="21"/>
          <w:highlight w:val="none"/>
          <w:u w:val="single"/>
          <w:lang w:bidi="ar"/>
        </w:rPr>
        <w:t>承包人参加发包人组织的与本工程有关的会议；(5)负责与发包人、监理人办理</w:t>
      </w:r>
      <w:r>
        <w:rPr>
          <w:rFonts w:hint="eastAsia" w:ascii="宋体" w:hAnsi="宋体" w:cs="宋体"/>
          <w:color w:val="auto"/>
          <w:spacing w:val="-10"/>
          <w:szCs w:val="21"/>
          <w:highlight w:val="none"/>
          <w:u w:val="single"/>
          <w:lang w:bidi="ar"/>
        </w:rPr>
        <w:t>设计变更、</w:t>
      </w:r>
      <w:r>
        <w:rPr>
          <w:rFonts w:hint="eastAsia" w:ascii="宋体" w:hAnsi="宋体" w:cs="宋体"/>
          <w:color w:val="auto"/>
          <w:spacing w:val="-9"/>
          <w:szCs w:val="21"/>
          <w:highlight w:val="none"/>
          <w:u w:val="single"/>
          <w:lang w:bidi="ar"/>
        </w:rPr>
        <w:t>现</w:t>
      </w:r>
      <w:r>
        <w:rPr>
          <w:rFonts w:hint="eastAsia" w:ascii="宋体" w:hAnsi="宋体" w:cs="宋体"/>
          <w:color w:val="auto"/>
          <w:spacing w:val="-5"/>
          <w:szCs w:val="21"/>
          <w:highlight w:val="none"/>
          <w:u w:val="single"/>
          <w:lang w:bidi="ar"/>
        </w:rPr>
        <w:t>场签证等手续，及时办理本工程相关索赔；(6)负责签收发包人、监理人往来函</w:t>
      </w:r>
      <w:r>
        <w:rPr>
          <w:rFonts w:hint="eastAsia" w:ascii="宋体" w:hAnsi="宋体" w:cs="宋体"/>
          <w:color w:val="auto"/>
          <w:spacing w:val="2"/>
          <w:szCs w:val="21"/>
          <w:highlight w:val="none"/>
          <w:u w:val="single"/>
          <w:lang w:bidi="ar"/>
        </w:rPr>
        <w:t>件，承包人的要求、通知均</w:t>
      </w:r>
      <w:r>
        <w:rPr>
          <w:rFonts w:hint="eastAsia" w:ascii="宋体" w:hAnsi="宋体" w:cs="宋体"/>
          <w:color w:val="auto"/>
          <w:spacing w:val="1"/>
          <w:szCs w:val="21"/>
          <w:highlight w:val="none"/>
          <w:u w:val="single"/>
          <w:lang w:bidi="ar"/>
        </w:rPr>
        <w:t>应以书面形式由承包人项目经理签字并加盖承包人公司公章后递交</w:t>
      </w:r>
      <w:r>
        <w:rPr>
          <w:rFonts w:hint="eastAsia" w:ascii="宋体" w:hAnsi="宋体" w:cs="宋体"/>
          <w:color w:val="auto"/>
          <w:spacing w:val="-6"/>
          <w:szCs w:val="21"/>
          <w:highlight w:val="none"/>
          <w:u w:val="single"/>
          <w:lang w:bidi="ar"/>
        </w:rPr>
        <w:t>发包</w:t>
      </w:r>
      <w:r>
        <w:rPr>
          <w:rFonts w:hint="eastAsia" w:ascii="宋体" w:hAnsi="宋体" w:cs="宋体"/>
          <w:color w:val="auto"/>
          <w:spacing w:val="-5"/>
          <w:szCs w:val="21"/>
          <w:highlight w:val="none"/>
          <w:u w:val="single"/>
          <w:lang w:bidi="ar"/>
        </w:rPr>
        <w:t>人</w:t>
      </w:r>
      <w:r>
        <w:rPr>
          <w:rFonts w:hint="eastAsia" w:ascii="宋体" w:hAnsi="宋体" w:cs="宋体"/>
          <w:color w:val="auto"/>
          <w:spacing w:val="-3"/>
          <w:szCs w:val="21"/>
          <w:highlight w:val="none"/>
          <w:u w:val="single"/>
          <w:lang w:bidi="ar"/>
        </w:rPr>
        <w:t>；(7)代表承包人接受监理工程师或发包人现场代表发出的指示和指令；(8)代表分包</w:t>
      </w:r>
      <w:r>
        <w:rPr>
          <w:rFonts w:hint="eastAsia" w:ascii="宋体" w:hAnsi="宋体" w:cs="宋体"/>
          <w:color w:val="auto"/>
          <w:spacing w:val="2"/>
          <w:szCs w:val="21"/>
          <w:highlight w:val="none"/>
          <w:u w:val="single"/>
          <w:lang w:bidi="ar"/>
        </w:rPr>
        <w:t>方处理分包方与发包人的纠纷</w:t>
      </w:r>
      <w:r>
        <w:rPr>
          <w:rFonts w:hint="eastAsia" w:ascii="宋体" w:hAnsi="宋体" w:cs="宋体"/>
          <w:color w:val="auto"/>
          <w:szCs w:val="21"/>
          <w:highlight w:val="none"/>
          <w:u w:val="single"/>
          <w:lang w:bidi="ar"/>
        </w:rPr>
        <w:t>。</w:t>
      </w:r>
    </w:p>
    <w:p w14:paraId="0FF1F8E7">
      <w:pPr>
        <w:spacing w:before="68" w:line="352" w:lineRule="auto"/>
        <w:ind w:left="22" w:right="2" w:firstLine="416"/>
        <w:jc w:val="left"/>
        <w:rPr>
          <w:rFonts w:ascii="宋体" w:hAnsi="宋体" w:cs="宋体"/>
          <w:color w:val="auto"/>
          <w:szCs w:val="21"/>
          <w:highlight w:val="none"/>
        </w:rPr>
      </w:pPr>
      <w:r>
        <w:rPr>
          <w:rFonts w:hint="eastAsia" w:ascii="宋体" w:hAnsi="宋体" w:cs="宋体"/>
          <w:color w:val="auto"/>
          <w:spacing w:val="1"/>
          <w:szCs w:val="21"/>
          <w:highlight w:val="none"/>
          <w:u w:val="single"/>
          <w:lang w:bidi="ar"/>
        </w:rPr>
        <w:t>但未经承包人盖章同意不得以承包人和(或本工程项目部)</w:t>
      </w:r>
      <w:r>
        <w:rPr>
          <w:rFonts w:hint="eastAsia" w:ascii="宋体" w:hAnsi="宋体" w:cs="宋体"/>
          <w:color w:val="auto"/>
          <w:szCs w:val="21"/>
          <w:highlight w:val="none"/>
          <w:u w:val="single"/>
          <w:lang w:bidi="ar"/>
        </w:rPr>
        <w:t>名义向外融资、采购材料设备、</w:t>
      </w:r>
      <w:r>
        <w:rPr>
          <w:rFonts w:hint="eastAsia" w:ascii="宋体" w:hAnsi="宋体" w:cs="宋体"/>
          <w:color w:val="auto"/>
          <w:spacing w:val="-1"/>
          <w:szCs w:val="21"/>
          <w:highlight w:val="none"/>
          <w:u w:val="single"/>
          <w:lang w:bidi="ar"/>
        </w:rPr>
        <w:t>租用</w:t>
      </w:r>
      <w:r>
        <w:rPr>
          <w:rFonts w:hint="eastAsia" w:ascii="宋体" w:hAnsi="宋体" w:cs="宋体"/>
          <w:color w:val="auto"/>
          <w:szCs w:val="21"/>
          <w:highlight w:val="none"/>
          <w:u w:val="single"/>
          <w:lang w:bidi="ar"/>
        </w:rPr>
        <w:t>建筑周转材料、雇佣劳动力、签订分包合同等从事一切为承包人设立义务或责任的行为。</w:t>
      </w:r>
    </w:p>
    <w:p w14:paraId="50E6827E">
      <w:pPr>
        <w:pStyle w:val="42"/>
        <w:tabs>
          <w:tab w:val="left" w:pos="3617"/>
        </w:tabs>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u w:val="single"/>
        </w:rPr>
      </w:pPr>
      <w:bookmarkStart w:id="908" w:name="_Toc373227710"/>
      <w:bookmarkEnd w:id="908"/>
      <w:bookmarkStart w:id="909" w:name="_Toc373478357"/>
      <w:bookmarkEnd w:id="909"/>
      <w:bookmarkStart w:id="910" w:name="_Toc407135212"/>
      <w:bookmarkEnd w:id="910"/>
      <w:bookmarkStart w:id="911" w:name="_Toc2025600126"/>
      <w:bookmarkEnd w:id="911"/>
      <w:bookmarkStart w:id="912" w:name="_Toc78449798"/>
      <w:bookmarkEnd w:id="912"/>
      <w:bookmarkStart w:id="913" w:name="_Toc141175137"/>
      <w:bookmarkEnd w:id="913"/>
      <w:bookmarkStart w:id="914" w:name="_Toc389065276"/>
      <w:r>
        <w:rPr>
          <w:rFonts w:hint="eastAsia" w:ascii="宋体" w:hAnsi="宋体" w:cs="宋体"/>
          <w:color w:val="auto"/>
          <w:kern w:val="2"/>
          <w:sz w:val="21"/>
          <w:szCs w:val="21"/>
          <w:highlight w:val="none"/>
          <w:lang w:bidi="ar"/>
        </w:rPr>
        <w:t>关于项目经理每月在施工现场的时间要求：</w:t>
      </w:r>
      <w:bookmarkEnd w:id="914"/>
      <w:r>
        <w:rPr>
          <w:rFonts w:hint="eastAsia" w:ascii="宋体" w:hAnsi="宋体" w:cs="宋体"/>
          <w:color w:val="auto"/>
          <w:kern w:val="2"/>
          <w:sz w:val="21"/>
          <w:szCs w:val="21"/>
          <w:highlight w:val="none"/>
          <w:u w:val="single"/>
          <w:lang w:bidi="ar"/>
        </w:rPr>
        <w:t>项目经理每月在岗带班时间不得少于当月施工时间的80%，在岗每天不少于7小时。项目经理必须参加每周工地例会，因故不能参加因提前一天提出申请，未经发包人同意无故缺席则每次罚款500元。</w:t>
      </w:r>
    </w:p>
    <w:p w14:paraId="36290E0A">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承包人未提交劳动合同，以及没有为项目经理缴纳社会保险证明的违约责任：</w:t>
      </w:r>
      <w:r>
        <w:rPr>
          <w:rFonts w:hint="eastAsia" w:ascii="宋体" w:hAnsi="宋体" w:cs="宋体"/>
          <w:color w:val="auto"/>
          <w:kern w:val="2"/>
          <w:sz w:val="21"/>
          <w:szCs w:val="21"/>
          <w:highlight w:val="none"/>
          <w:u w:val="single"/>
          <w:lang w:bidi="ar"/>
        </w:rPr>
        <w:t xml:space="preserve">发包人有权要求更换项目经理，由此增加的费用和（或）延误的工期由承包人承担 </w:t>
      </w:r>
      <w:r>
        <w:rPr>
          <w:rFonts w:hint="eastAsia" w:ascii="宋体" w:hAnsi="宋体" w:cs="宋体"/>
          <w:color w:val="auto"/>
          <w:kern w:val="2"/>
          <w:sz w:val="21"/>
          <w:szCs w:val="21"/>
          <w:highlight w:val="none"/>
          <w:lang w:bidi="ar"/>
        </w:rPr>
        <w:t xml:space="preserve">。                                                                           </w:t>
      </w:r>
    </w:p>
    <w:p w14:paraId="600C6F8C">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u w:val="single"/>
        </w:rPr>
      </w:pPr>
      <w:r>
        <w:rPr>
          <w:rFonts w:hint="eastAsia" w:ascii="宋体" w:hAnsi="宋体" w:cs="宋体"/>
          <w:color w:val="auto"/>
          <w:kern w:val="2"/>
          <w:sz w:val="21"/>
          <w:szCs w:val="21"/>
          <w:highlight w:val="none"/>
          <w:lang w:bidi="ar"/>
        </w:rPr>
        <w:t>项目经理未经批准，擅自离开施工现场的违约责任：</w:t>
      </w:r>
      <w:r>
        <w:rPr>
          <w:rFonts w:hint="eastAsia" w:ascii="宋体" w:hAnsi="宋体" w:cs="宋体"/>
          <w:color w:val="auto"/>
          <w:kern w:val="2"/>
          <w:sz w:val="21"/>
          <w:szCs w:val="21"/>
          <w:highlight w:val="none"/>
          <w:u w:val="single"/>
          <w:lang w:bidi="ar"/>
        </w:rPr>
        <w:t>项目经理每月在岗带班时间不得少于当月施工时间的80%。未经发包人同意或正当理由，项目经理每月在岗带班时间少于当月施工时间80%的，少在岗带班一天，发包人有权处违约金2000.00元/日（人民币） 。</w:t>
      </w:r>
    </w:p>
    <w:p w14:paraId="58202680">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3.2.3 承包人擅自更换项目部人员的违约责任：</w:t>
      </w:r>
      <w:r>
        <w:rPr>
          <w:rFonts w:hint="eastAsia" w:ascii="宋体" w:hAnsi="宋体" w:cs="宋体"/>
          <w:color w:val="auto"/>
          <w:kern w:val="2"/>
          <w:sz w:val="21"/>
          <w:szCs w:val="21"/>
          <w:highlight w:val="none"/>
          <w:u w:val="single"/>
          <w:lang w:bidi="ar"/>
        </w:rPr>
        <w:t>承包人项目经理和项目部人员必须与承包人竞标时所承诺的人员一致，并在  （开工日期）  前到任。在监理人向承包人颁发   （竣工证明材料名称） 前，项目经理不得同时兼任其他任何项目的项目经理（符合《广西壮族自治区建筑市场诚信卡管理暂行办法》第十六条第一款及桂建管﹝</w:t>
      </w:r>
      <w:r>
        <w:rPr>
          <w:rFonts w:hint="eastAsia" w:ascii="宋体" w:hAnsi="宋体" w:cs="宋体"/>
          <w:color w:val="auto"/>
          <w:sz w:val="21"/>
          <w:szCs w:val="21"/>
          <w:highlight w:val="none"/>
          <w:u w:val="single"/>
          <w:lang w:bidi="ar"/>
        </w:rPr>
        <w:t>2016</w:t>
      </w:r>
      <w:r>
        <w:rPr>
          <w:rFonts w:hint="eastAsia" w:ascii="宋体" w:hAnsi="宋体" w:cs="宋体"/>
          <w:color w:val="auto"/>
          <w:kern w:val="2"/>
          <w:sz w:val="21"/>
          <w:szCs w:val="21"/>
          <w:highlight w:val="none"/>
          <w:u w:val="single"/>
          <w:lang w:bidi="ar"/>
        </w:rPr>
        <w:t>﹞70号</w:t>
      </w:r>
      <w:r>
        <w:rPr>
          <w:rFonts w:hint="eastAsia" w:ascii="宋体" w:hAnsi="宋体" w:cs="宋体"/>
          <w:color w:val="auto"/>
          <w:sz w:val="21"/>
          <w:szCs w:val="21"/>
          <w:highlight w:val="none"/>
          <w:u w:val="single"/>
          <w:lang w:bidi="ar"/>
        </w:rPr>
        <w:t>、桂建管〔2020〕11号文除</w:t>
      </w:r>
      <w:r>
        <w:rPr>
          <w:rFonts w:hint="eastAsia" w:ascii="宋体" w:hAnsi="宋体" w:cs="宋体"/>
          <w:color w:val="auto"/>
          <w:kern w:val="2"/>
          <w:sz w:val="21"/>
          <w:szCs w:val="21"/>
          <w:highlight w:val="none"/>
          <w:u w:val="single"/>
          <w:lang w:bidi="ar"/>
        </w:rPr>
        <w:t>外）。未经发包书面同意，承包擅自更换项目的视为违约，违约金处1-5万元/人·次</w:t>
      </w:r>
      <w:r>
        <w:rPr>
          <w:rFonts w:hint="eastAsia" w:ascii="宋体" w:hAnsi="宋体" w:cs="宋体"/>
          <w:color w:val="auto"/>
          <w:kern w:val="2"/>
          <w:sz w:val="21"/>
          <w:szCs w:val="21"/>
          <w:highlight w:val="none"/>
          <w:lang w:bidi="ar"/>
        </w:rPr>
        <w:t>。</w:t>
      </w:r>
    </w:p>
    <w:p w14:paraId="6471D1C4">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3.2.4 承包人无正当理由拒绝更换项目经理的违约责任：</w:t>
      </w:r>
      <w:r>
        <w:rPr>
          <w:rFonts w:hint="eastAsia" w:ascii="宋体" w:hAnsi="宋体" w:cs="宋体"/>
          <w:color w:val="auto"/>
          <w:kern w:val="2"/>
          <w:sz w:val="21"/>
          <w:szCs w:val="21"/>
          <w:highlight w:val="none"/>
          <w:u w:val="single"/>
          <w:lang w:bidi="ar"/>
        </w:rPr>
        <w:t>因承包人项目经理不称职，发包人要求调换而未及时调换的，视为承包人违约，必须向发包人交纳处罚金0.5万元/人•次（人民币</w:t>
      </w:r>
      <w:r>
        <w:rPr>
          <w:rFonts w:hint="eastAsia" w:ascii="宋体" w:hAnsi="宋体" w:cs="宋体"/>
          <w:color w:val="auto"/>
          <w:kern w:val="2"/>
          <w:sz w:val="21"/>
          <w:szCs w:val="21"/>
          <w:highlight w:val="none"/>
          <w:lang w:bidi="ar"/>
        </w:rPr>
        <w:t>。</w:t>
      </w:r>
    </w:p>
    <w:p w14:paraId="7D89412A">
      <w:pPr>
        <w:spacing w:after="120" w:line="400" w:lineRule="exact"/>
        <w:ind w:firstLine="420" w:firstLineChars="200"/>
        <w:jc w:val="left"/>
        <w:rPr>
          <w:rFonts w:ascii="宋体" w:hAnsi="宋体" w:cs="宋体"/>
          <w:color w:val="auto"/>
          <w:szCs w:val="21"/>
          <w:highlight w:val="none"/>
        </w:rPr>
      </w:pPr>
      <w:r>
        <w:rPr>
          <w:rFonts w:hint="eastAsia" w:ascii="宋体" w:hAnsi="宋体" w:cs="宋体"/>
          <w:b/>
          <w:bCs/>
          <w:color w:val="auto"/>
          <w:szCs w:val="21"/>
          <w:highlight w:val="none"/>
          <w:lang w:bidi="ar"/>
        </w:rPr>
        <w:t>3.3 承包人人员</w:t>
      </w:r>
    </w:p>
    <w:p w14:paraId="1595D6DB">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3.3.1 承包人提交项目管理机构及施工现场管理人员安排报告（格式见合同附件5）的期限：</w:t>
      </w:r>
      <w:r>
        <w:rPr>
          <w:rFonts w:hint="eastAsia" w:ascii="宋体" w:hAnsi="宋体" w:cs="宋体"/>
          <w:color w:val="auto"/>
          <w:szCs w:val="21"/>
          <w:highlight w:val="none"/>
          <w:u w:val="single"/>
          <w:lang w:bidi="ar"/>
        </w:rPr>
        <w:t xml:space="preserve">  承包人接到开工通知后7个日历天内 </w:t>
      </w:r>
      <w:r>
        <w:rPr>
          <w:rFonts w:hint="eastAsia" w:ascii="宋体" w:hAnsi="宋体" w:cs="宋体"/>
          <w:color w:val="auto"/>
          <w:szCs w:val="21"/>
          <w:highlight w:val="none"/>
          <w:lang w:bidi="ar"/>
        </w:rPr>
        <w:t>。</w:t>
      </w:r>
    </w:p>
    <w:p w14:paraId="306046EF">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3.3.3 承包人无正当理由拒绝撤换主要施工管理人员的违约责任：</w:t>
      </w:r>
      <w:r>
        <w:rPr>
          <w:rFonts w:hint="eastAsia" w:ascii="宋体" w:hAnsi="宋体" w:cs="宋体"/>
          <w:color w:val="auto"/>
          <w:szCs w:val="21"/>
          <w:highlight w:val="none"/>
          <w:u w:val="single"/>
          <w:lang w:bidi="ar"/>
        </w:rPr>
        <w:t xml:space="preserve">   因承包人主要施工管理人员不称职，发包人要求调换而无正当理由拒绝撤换或未及时调换的，视为承包人违约，必须向发包人交纳处罚金，处罚标准：技术负责人 0.5万元/人•次（人民币）；专业工程师 0.2万元/人•次（人民币）。</w:t>
      </w:r>
    </w:p>
    <w:p w14:paraId="788DFB37">
      <w:pPr>
        <w:spacing w:line="40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lang w:bidi="ar"/>
        </w:rPr>
        <w:t>3.3.4 承包人主要施工管理人员离开施工现场的批准要求：</w:t>
      </w:r>
      <w:r>
        <w:rPr>
          <w:rFonts w:hint="eastAsia" w:ascii="宋体" w:hAnsi="宋体" w:cs="宋体"/>
          <w:color w:val="auto"/>
          <w:szCs w:val="21"/>
          <w:highlight w:val="none"/>
          <w:u w:val="single"/>
          <w:lang w:bidi="ar"/>
        </w:rPr>
        <w:t xml:space="preserve">由总监理工程师批准，发包人认可方可离开 </w:t>
      </w:r>
      <w:r>
        <w:rPr>
          <w:rFonts w:hint="eastAsia" w:ascii="宋体" w:hAnsi="宋体" w:cs="宋体"/>
          <w:color w:val="auto"/>
          <w:szCs w:val="21"/>
          <w:highlight w:val="none"/>
          <w:lang w:bidi="ar"/>
        </w:rPr>
        <w:t>。</w:t>
      </w:r>
    </w:p>
    <w:p w14:paraId="79EB5640">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3.3.5承包人擅自更换主要施工管理人员的违约责任：</w:t>
      </w:r>
      <w:r>
        <w:rPr>
          <w:rFonts w:hint="eastAsia" w:ascii="宋体" w:hAnsi="宋体" w:cs="宋体"/>
          <w:color w:val="auto"/>
          <w:szCs w:val="21"/>
          <w:highlight w:val="none"/>
          <w:u w:val="single"/>
          <w:lang w:bidi="ar"/>
        </w:rPr>
        <w:t>项目技术负责人、专职安全员及其承诺的其它在场管理人员未经发包人书面同意不准擅自更换，擅自更换项目技术负责人处 0.5万元/人•次（人民币）违约金；擅自更换专职安全员处0.2万元/人•次（人民币）违约金；擅自更换其它在场管理人员处 0.1万元/人•次（人民币）违约金</w:t>
      </w:r>
      <w:r>
        <w:rPr>
          <w:rFonts w:hint="eastAsia" w:ascii="宋体" w:hAnsi="宋体" w:cs="宋体"/>
          <w:color w:val="auto"/>
          <w:szCs w:val="21"/>
          <w:highlight w:val="none"/>
          <w:lang w:bidi="ar"/>
        </w:rPr>
        <w:t>。</w:t>
      </w:r>
    </w:p>
    <w:p w14:paraId="5458DD65">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承包人主要施工管理人员擅自离开施工现场的违约责任：</w:t>
      </w:r>
      <w:r>
        <w:rPr>
          <w:rFonts w:hint="eastAsia" w:ascii="宋体" w:hAnsi="宋体" w:cs="宋体"/>
          <w:color w:val="auto"/>
          <w:szCs w:val="21"/>
          <w:highlight w:val="none"/>
          <w:u w:val="single"/>
          <w:lang w:bidi="ar"/>
        </w:rPr>
        <w:t>未经发包人同意，项目技术负责人擅自离岗的，视为承包人违约，发包人有权处违约金2000.00元/人•次（人民币）；未经发包人同意，专职安全员擅自离岗的，视为承包人违约，发包人有权处违约金 1000.00元/人•次（人民币）；其它在场管理人员擅自离岗的，视为承包人违约，发包人有权处违约金 500.00元/人•次（人民币）。</w:t>
      </w:r>
    </w:p>
    <w:p w14:paraId="7032472D">
      <w:pPr>
        <w:pStyle w:val="4"/>
        <w:widowControl/>
        <w:jc w:val="left"/>
        <w:rPr>
          <w:rFonts w:ascii="宋体" w:hAnsi="宋体" w:cs="宋体"/>
          <w:color w:val="auto"/>
          <w:sz w:val="21"/>
          <w:szCs w:val="21"/>
          <w:highlight w:val="none"/>
        </w:rPr>
      </w:pPr>
      <w:bookmarkStart w:id="915" w:name="_Toc176947524"/>
      <w:bookmarkEnd w:id="915"/>
      <w:r>
        <w:rPr>
          <w:rFonts w:hint="eastAsia" w:ascii="宋体" w:hAnsi="宋体" w:cs="宋体"/>
          <w:color w:val="auto"/>
          <w:sz w:val="21"/>
          <w:szCs w:val="21"/>
          <w:highlight w:val="none"/>
        </w:rPr>
        <w:t>3</w:t>
      </w:r>
      <w:bookmarkStart w:id="916" w:name="_Toc312677988"/>
      <w:bookmarkEnd w:id="916"/>
      <w:bookmarkStart w:id="917" w:name="_Toc304295523"/>
      <w:bookmarkEnd w:id="917"/>
      <w:bookmarkStart w:id="918" w:name="_Toc296890987"/>
      <w:bookmarkEnd w:id="918"/>
      <w:bookmarkStart w:id="919" w:name="_Toc300934945"/>
      <w:bookmarkEnd w:id="919"/>
      <w:bookmarkStart w:id="920" w:name="_Toc303539102"/>
      <w:bookmarkEnd w:id="920"/>
      <w:bookmarkStart w:id="921" w:name="_Toc296503159"/>
      <w:bookmarkEnd w:id="921"/>
      <w:bookmarkStart w:id="922" w:name="_Toc297120459"/>
      <w:bookmarkEnd w:id="922"/>
      <w:bookmarkStart w:id="923" w:name="_Toc296347158"/>
      <w:bookmarkEnd w:id="923"/>
      <w:bookmarkStart w:id="924" w:name="_Toc296891199"/>
      <w:bookmarkEnd w:id="924"/>
      <w:bookmarkStart w:id="925" w:name="_Toc292559364"/>
      <w:bookmarkEnd w:id="925"/>
      <w:bookmarkStart w:id="926" w:name="_Toc297123492"/>
      <w:bookmarkEnd w:id="926"/>
      <w:bookmarkStart w:id="927" w:name="_Toc292559869"/>
      <w:bookmarkEnd w:id="927"/>
      <w:bookmarkStart w:id="928" w:name="_Toc296346660"/>
      <w:bookmarkEnd w:id="928"/>
      <w:bookmarkStart w:id="929" w:name="_Toc296944498"/>
      <w:bookmarkEnd w:id="929"/>
      <w:bookmarkStart w:id="930" w:name="_Toc297216151"/>
      <w:bookmarkEnd w:id="930"/>
      <w:bookmarkStart w:id="931" w:name="_Toc297048345"/>
      <w:r>
        <w:rPr>
          <w:rFonts w:hint="eastAsia" w:ascii="宋体" w:hAnsi="宋体" w:cs="宋体"/>
          <w:color w:val="auto"/>
          <w:sz w:val="21"/>
          <w:szCs w:val="21"/>
          <w:highlight w:val="none"/>
        </w:rPr>
        <w:t>.5 分包</w:t>
      </w:r>
      <w:bookmarkEnd w:id="931"/>
    </w:p>
    <w:p w14:paraId="53E1813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3</w:t>
      </w:r>
      <w:bookmarkStart w:id="932" w:name="_Toc297120460"/>
      <w:bookmarkEnd w:id="932"/>
      <w:bookmarkStart w:id="933" w:name="_Toc297216152"/>
      <w:bookmarkEnd w:id="933"/>
      <w:bookmarkStart w:id="934" w:name="_Toc297123493"/>
      <w:bookmarkEnd w:id="934"/>
      <w:bookmarkStart w:id="935" w:name="_Toc297048346"/>
      <w:bookmarkEnd w:id="935"/>
      <w:bookmarkStart w:id="936" w:name="_Toc318581158"/>
      <w:bookmarkEnd w:id="936"/>
      <w:bookmarkStart w:id="937" w:name="_Toc296503160"/>
      <w:bookmarkEnd w:id="937"/>
      <w:bookmarkStart w:id="938" w:name="_Toc303539103"/>
      <w:bookmarkEnd w:id="938"/>
      <w:bookmarkStart w:id="939" w:name="_Toc312677989"/>
      <w:bookmarkEnd w:id="939"/>
      <w:bookmarkStart w:id="940" w:name="_Toc296347159"/>
      <w:bookmarkEnd w:id="940"/>
      <w:bookmarkStart w:id="941" w:name="_Toc300934946"/>
      <w:bookmarkEnd w:id="941"/>
      <w:bookmarkStart w:id="942" w:name="_Toc304295524"/>
      <w:bookmarkEnd w:id="942"/>
      <w:bookmarkStart w:id="943" w:name="_Toc296944499"/>
      <w:bookmarkEnd w:id="943"/>
      <w:bookmarkStart w:id="944" w:name="_Toc296891200"/>
      <w:bookmarkEnd w:id="944"/>
      <w:bookmarkStart w:id="945" w:name="_Toc296346661"/>
      <w:bookmarkEnd w:id="945"/>
      <w:bookmarkStart w:id="946" w:name="_Toc296890988"/>
      <w:bookmarkEnd w:id="946"/>
      <w:bookmarkStart w:id="947" w:name="_Toc292559365"/>
      <w:bookmarkEnd w:id="947"/>
      <w:bookmarkStart w:id="948" w:name="_Toc292559870"/>
      <w:r>
        <w:rPr>
          <w:rFonts w:hint="eastAsia" w:ascii="宋体" w:hAnsi="宋体" w:cs="宋体"/>
          <w:color w:val="auto"/>
          <w:szCs w:val="21"/>
          <w:highlight w:val="none"/>
          <w:lang w:bidi="ar"/>
        </w:rPr>
        <w:t>.5.1 分包的一般约定</w:t>
      </w:r>
      <w:bookmarkEnd w:id="948"/>
    </w:p>
    <w:p w14:paraId="0D27A64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禁止分包的工程包括：</w:t>
      </w:r>
      <w:r>
        <w:rPr>
          <w:rFonts w:hint="eastAsia" w:ascii="宋体" w:hAnsi="宋体" w:cs="宋体"/>
          <w:color w:val="auto"/>
          <w:szCs w:val="21"/>
          <w:highlight w:val="none"/>
          <w:u w:val="single"/>
          <w:lang w:bidi="ar"/>
        </w:rPr>
        <w:t xml:space="preserve">基础、主体、关键性工作 </w:t>
      </w:r>
      <w:r>
        <w:rPr>
          <w:rFonts w:hint="eastAsia" w:ascii="宋体" w:hAnsi="宋体" w:cs="宋体"/>
          <w:color w:val="auto"/>
          <w:szCs w:val="21"/>
          <w:highlight w:val="none"/>
          <w:lang w:bidi="ar"/>
        </w:rPr>
        <w:t>。</w:t>
      </w:r>
    </w:p>
    <w:p w14:paraId="4521BBB8">
      <w:pPr>
        <w:spacing w:line="360" w:lineRule="auto"/>
        <w:jc w:val="left"/>
        <w:rPr>
          <w:rFonts w:ascii="宋体" w:hAnsi="宋体" w:cs="宋体"/>
          <w:color w:val="auto"/>
          <w:spacing w:val="-10"/>
          <w:szCs w:val="21"/>
          <w:highlight w:val="none"/>
          <w:u w:val="single"/>
        </w:rPr>
      </w:pPr>
      <w:r>
        <w:rPr>
          <w:rFonts w:hint="eastAsia" w:ascii="宋体" w:hAnsi="宋体" w:cs="宋体"/>
          <w:color w:val="auto"/>
          <w:szCs w:val="21"/>
          <w:highlight w:val="none"/>
          <w:lang w:bidi="ar"/>
        </w:rPr>
        <w:t xml:space="preserve">   基础、主体结构、关键性工作的范围：</w:t>
      </w:r>
      <w:r>
        <w:rPr>
          <w:rFonts w:hint="eastAsia" w:ascii="宋体" w:hAnsi="宋体" w:cs="宋体"/>
          <w:color w:val="auto"/>
          <w:spacing w:val="-10"/>
          <w:szCs w:val="21"/>
          <w:highlight w:val="none"/>
          <w:u w:val="single"/>
          <w:lang w:bidi="ar"/>
        </w:rPr>
        <w:t>按照国家有关规定执行。本工程必须由承包人自营施工，如发现承包人转包或未经发包人书面许可分包工程的，发包人有权终止合同。承包人在发包人 提出终止合同 7 天内无条件退场，并按已完成工程造价的 10%赔偿发包人损失。</w:t>
      </w:r>
    </w:p>
    <w:p w14:paraId="3A2B4CD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3</w:t>
      </w:r>
      <w:bookmarkStart w:id="949" w:name="_Toc312677990"/>
      <w:bookmarkEnd w:id="949"/>
      <w:bookmarkStart w:id="950" w:name="_Toc318581159"/>
      <w:r>
        <w:rPr>
          <w:rFonts w:hint="eastAsia" w:ascii="宋体" w:hAnsi="宋体" w:cs="宋体"/>
          <w:color w:val="auto"/>
          <w:szCs w:val="21"/>
          <w:highlight w:val="none"/>
          <w:lang w:bidi="ar"/>
        </w:rPr>
        <w:t>.5.2 分包的确定</w:t>
      </w:r>
      <w:bookmarkEnd w:id="950"/>
    </w:p>
    <w:p w14:paraId="2A2FF3DB">
      <w:pPr>
        <w:spacing w:line="400" w:lineRule="exact"/>
        <w:ind w:firstLine="380" w:firstLineChars="200"/>
        <w:jc w:val="left"/>
        <w:rPr>
          <w:rFonts w:ascii="宋体" w:hAnsi="宋体" w:cs="宋体"/>
          <w:color w:val="auto"/>
          <w:szCs w:val="21"/>
          <w:highlight w:val="none"/>
          <w:u w:val="single"/>
        </w:rPr>
      </w:pPr>
      <w:r>
        <w:rPr>
          <w:rFonts w:hint="eastAsia" w:ascii="宋体" w:hAnsi="宋体" w:cs="宋体"/>
          <w:color w:val="auto"/>
          <w:spacing w:val="-10"/>
          <w:szCs w:val="21"/>
          <w:highlight w:val="none"/>
          <w:lang w:bidi="ar"/>
        </w:rPr>
        <w:t xml:space="preserve">   </w:t>
      </w:r>
      <w:r>
        <w:rPr>
          <w:rFonts w:hint="eastAsia" w:ascii="宋体" w:hAnsi="宋体" w:cs="宋体"/>
          <w:color w:val="auto"/>
          <w:szCs w:val="21"/>
          <w:highlight w:val="none"/>
          <w:lang w:bidi="ar"/>
        </w:rPr>
        <w:t>允许分包的专业工程包括：</w:t>
      </w:r>
      <w:r>
        <w:rPr>
          <w:rFonts w:hint="eastAsia" w:ascii="宋体" w:hAnsi="宋体" w:cs="宋体"/>
          <w:color w:val="auto"/>
          <w:szCs w:val="21"/>
          <w:highlight w:val="none"/>
          <w:u w:val="single"/>
          <w:lang w:bidi="ar"/>
        </w:rPr>
        <w:t xml:space="preserve">    不允许     </w:t>
      </w:r>
      <w:r>
        <w:rPr>
          <w:rFonts w:hint="eastAsia" w:ascii="宋体" w:hAnsi="宋体" w:cs="宋体"/>
          <w:color w:val="auto"/>
          <w:szCs w:val="21"/>
          <w:highlight w:val="none"/>
          <w:lang w:bidi="ar"/>
        </w:rPr>
        <w:t>。</w:t>
      </w:r>
    </w:p>
    <w:p w14:paraId="0CAAD5EE">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lang w:bidi="ar"/>
        </w:rPr>
        <w:t xml:space="preserve"> </w:t>
      </w:r>
    </w:p>
    <w:p w14:paraId="10DDB5E0">
      <w:pPr>
        <w:pStyle w:val="4"/>
        <w:widowControl/>
        <w:jc w:val="left"/>
        <w:rPr>
          <w:rFonts w:ascii="宋体" w:hAnsi="宋体" w:cs="宋体"/>
          <w:color w:val="auto"/>
          <w:sz w:val="21"/>
          <w:szCs w:val="21"/>
          <w:highlight w:val="none"/>
        </w:rPr>
      </w:pPr>
      <w:bookmarkStart w:id="951" w:name="_Toc176947525"/>
      <w:bookmarkEnd w:id="951"/>
      <w:bookmarkStart w:id="952" w:name="_Toc141175138"/>
      <w:bookmarkEnd w:id="952"/>
      <w:bookmarkStart w:id="953" w:name="_Toc373478358"/>
      <w:bookmarkEnd w:id="953"/>
      <w:bookmarkStart w:id="954" w:name="_Toc57329529"/>
      <w:bookmarkEnd w:id="954"/>
      <w:bookmarkStart w:id="955" w:name="_Toc373227711"/>
      <w:bookmarkEnd w:id="955"/>
      <w:bookmarkStart w:id="956" w:name="_Toc389065277"/>
      <w:bookmarkEnd w:id="956"/>
      <w:bookmarkStart w:id="957" w:name="_Toc407135213"/>
      <w:bookmarkEnd w:id="957"/>
      <w:bookmarkStart w:id="958" w:name="_Toc78449799"/>
      <w:r>
        <w:rPr>
          <w:rFonts w:hint="eastAsia" w:ascii="宋体" w:hAnsi="宋体" w:cs="宋体"/>
          <w:color w:val="auto"/>
          <w:sz w:val="21"/>
          <w:szCs w:val="21"/>
          <w:highlight w:val="none"/>
        </w:rPr>
        <w:t>3.6 工程照管与成品、半成品保护</w:t>
      </w:r>
      <w:bookmarkEnd w:id="958"/>
    </w:p>
    <w:p w14:paraId="2496FE83">
      <w:pPr>
        <w:spacing w:before="120" w:after="120" w:line="400" w:lineRule="exact"/>
        <w:ind w:firstLine="420" w:firstLineChars="200"/>
        <w:jc w:val="left"/>
        <w:rPr>
          <w:rFonts w:ascii="宋体" w:hAnsi="宋体" w:cs="宋体"/>
          <w:color w:val="auto"/>
          <w:kern w:val="0"/>
          <w:szCs w:val="21"/>
          <w:highlight w:val="none"/>
        </w:rPr>
      </w:pPr>
      <w:bookmarkStart w:id="959" w:name="_Toc78449800"/>
      <w:bookmarkEnd w:id="959"/>
      <w:bookmarkStart w:id="960" w:name="_Toc1042049436"/>
      <w:bookmarkEnd w:id="960"/>
      <w:bookmarkStart w:id="961" w:name="_Toc373478359"/>
      <w:bookmarkEnd w:id="961"/>
      <w:bookmarkStart w:id="962" w:name="_Toc373227712"/>
      <w:bookmarkEnd w:id="962"/>
      <w:bookmarkStart w:id="963" w:name="_Toc389065278"/>
      <w:bookmarkEnd w:id="963"/>
      <w:bookmarkStart w:id="964" w:name="_Toc141175139"/>
      <w:bookmarkEnd w:id="964"/>
      <w:bookmarkStart w:id="965" w:name="_Toc407135214"/>
      <w:r>
        <w:rPr>
          <w:rFonts w:hint="eastAsia" w:ascii="宋体" w:hAnsi="宋体" w:cs="宋体"/>
          <w:color w:val="auto"/>
          <w:kern w:val="0"/>
          <w:szCs w:val="21"/>
          <w:highlight w:val="none"/>
          <w:lang w:bidi="ar"/>
        </w:rPr>
        <w:t>承包人负责照管工程及工程相关的材料、工程设备的起始时间：</w:t>
      </w:r>
      <w:bookmarkEnd w:id="965"/>
      <w:r>
        <w:rPr>
          <w:rFonts w:hint="eastAsia" w:ascii="宋体" w:hAnsi="宋体" w:cs="宋体"/>
          <w:color w:val="auto"/>
          <w:kern w:val="0"/>
          <w:szCs w:val="21"/>
          <w:highlight w:val="none"/>
          <w:u w:val="single"/>
          <w:lang w:bidi="ar"/>
        </w:rPr>
        <w:t xml:space="preserve">   </w:t>
      </w:r>
      <w:r>
        <w:rPr>
          <w:rFonts w:hint="eastAsia" w:ascii="宋体" w:hAnsi="宋体" w:cs="宋体"/>
          <w:color w:val="auto"/>
          <w:szCs w:val="21"/>
          <w:highlight w:val="none"/>
          <w:u w:val="single"/>
          <w:lang w:bidi="ar"/>
        </w:rPr>
        <w:t>自发包人向承包人移交施工现场之日起，到颁发工程接收证书之日止</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w:t>
      </w:r>
    </w:p>
    <w:p w14:paraId="4FAE9A8A">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承包人负责照管工程及工程相关的材料、工程设备的范围：除承包人自身承包范围内的材料、工程设备外，也有义务照管与本项目相关的由发包人另行发包的其他专业工程，包括但不限于建筑智能综合管线工程、空调与通风工程等专业工程的材料、工程设备。并有义务对交叉施工的其他承包人承包的相关专业的成品、半成品进行保护，避免因自身的原因造成对其他承包人的成品、半成品的损坏、污染。</w:t>
      </w:r>
    </w:p>
    <w:p w14:paraId="786B8DC0">
      <w:pPr>
        <w:pStyle w:val="4"/>
        <w:widowControl/>
        <w:jc w:val="left"/>
        <w:rPr>
          <w:rFonts w:ascii="宋体" w:hAnsi="宋体" w:cs="宋体"/>
          <w:color w:val="auto"/>
          <w:sz w:val="21"/>
          <w:szCs w:val="21"/>
          <w:highlight w:val="none"/>
        </w:rPr>
      </w:pPr>
      <w:bookmarkStart w:id="966" w:name="_Toc176947526"/>
      <w:bookmarkEnd w:id="966"/>
      <w:r>
        <w:rPr>
          <w:rFonts w:hint="eastAsia" w:ascii="宋体" w:hAnsi="宋体" w:cs="宋体"/>
          <w:color w:val="auto"/>
          <w:sz w:val="21"/>
          <w:szCs w:val="21"/>
          <w:highlight w:val="none"/>
        </w:rPr>
        <w:t>3.7 履约保证金</w:t>
      </w:r>
    </w:p>
    <w:p w14:paraId="5129F4FC">
      <w:pPr>
        <w:pStyle w:val="42"/>
        <w:adjustRightInd w:val="0"/>
        <w:spacing w:beforeAutospacing="1" w:after="60" w:line="400" w:lineRule="exact"/>
        <w:ind w:left="63" w:leftChars="30" w:right="63" w:rightChars="30" w:firstLine="416" w:firstLineChars="200"/>
        <w:jc w:val="left"/>
        <w:textAlignment w:val="baseline"/>
        <w:rPr>
          <w:rFonts w:ascii="宋体" w:hAnsi="宋体" w:cs="宋体"/>
          <w:color w:val="auto"/>
          <w:kern w:val="2"/>
          <w:sz w:val="21"/>
          <w:szCs w:val="21"/>
          <w:highlight w:val="none"/>
        </w:rPr>
      </w:pPr>
      <w:bookmarkStart w:id="967" w:name="_Toc296346663"/>
      <w:bookmarkEnd w:id="967"/>
      <w:bookmarkStart w:id="968" w:name="_Toc292559871"/>
      <w:bookmarkEnd w:id="968"/>
      <w:bookmarkStart w:id="969" w:name="_Toc296347161"/>
      <w:bookmarkEnd w:id="969"/>
      <w:bookmarkStart w:id="970" w:name="_Toc267251413"/>
      <w:bookmarkEnd w:id="970"/>
      <w:bookmarkStart w:id="971" w:name="_Toc296503162"/>
      <w:bookmarkEnd w:id="971"/>
      <w:bookmarkStart w:id="972" w:name="_Toc297120462"/>
      <w:bookmarkEnd w:id="972"/>
      <w:bookmarkStart w:id="973" w:name="_Toc296890990"/>
      <w:bookmarkEnd w:id="973"/>
      <w:bookmarkStart w:id="974" w:name="_Toc296891202"/>
      <w:bookmarkEnd w:id="974"/>
      <w:bookmarkStart w:id="975" w:name="_Toc292559366"/>
      <w:bookmarkEnd w:id="975"/>
      <w:bookmarkStart w:id="976" w:name="_Toc296944501"/>
      <w:bookmarkEnd w:id="976"/>
      <w:bookmarkStart w:id="977" w:name="_Toc907912356"/>
      <w:bookmarkEnd w:id="977"/>
      <w:bookmarkStart w:id="978" w:name="_Toc297048348"/>
      <w:bookmarkEnd w:id="978"/>
      <w:bookmarkStart w:id="979" w:name="_Toc407135215"/>
      <w:bookmarkEnd w:id="979"/>
      <w:bookmarkStart w:id="980" w:name="_Toc141175140"/>
      <w:bookmarkEnd w:id="980"/>
      <w:bookmarkStart w:id="981" w:name="_Toc373478360"/>
      <w:bookmarkEnd w:id="981"/>
      <w:bookmarkStart w:id="982" w:name="_Toc78449801"/>
      <w:bookmarkEnd w:id="982"/>
      <w:bookmarkStart w:id="983" w:name="_Toc351203636"/>
      <w:bookmarkEnd w:id="983"/>
      <w:bookmarkStart w:id="984" w:name="_Toc389065279"/>
      <w:bookmarkEnd w:id="984"/>
      <w:bookmarkStart w:id="985" w:name="_Toc373227713"/>
      <w:r>
        <w:rPr>
          <w:rFonts w:hint="eastAsia" w:ascii="宋体" w:hAnsi="宋体" w:cs="宋体"/>
          <w:color w:val="auto"/>
          <w:spacing w:val="-1"/>
          <w:kern w:val="2"/>
          <w:sz w:val="21"/>
          <w:szCs w:val="21"/>
          <w:highlight w:val="none"/>
          <w:lang w:bidi="ar"/>
        </w:rPr>
        <w:t xml:space="preserve">   承包人是否</w:t>
      </w:r>
      <w:bookmarkEnd w:id="985"/>
      <w:r>
        <w:rPr>
          <w:rFonts w:hint="eastAsia" w:ascii="宋体" w:hAnsi="宋体" w:cs="宋体"/>
          <w:color w:val="auto"/>
          <w:kern w:val="2"/>
          <w:sz w:val="21"/>
          <w:szCs w:val="21"/>
          <w:highlight w:val="none"/>
          <w:lang w:bidi="ar"/>
        </w:rPr>
        <w:t>提供履约担保：否。</w:t>
      </w:r>
    </w:p>
    <w:p w14:paraId="51A859A9">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u w:val="single"/>
        </w:rPr>
      </w:pPr>
      <w:r>
        <w:rPr>
          <w:rFonts w:hint="eastAsia" w:ascii="宋体" w:hAnsi="宋体" w:cs="宋体"/>
          <w:color w:val="auto"/>
          <w:kern w:val="2"/>
          <w:sz w:val="21"/>
          <w:szCs w:val="21"/>
          <w:highlight w:val="none"/>
          <w:lang w:bidi="ar"/>
        </w:rPr>
        <w:t>承包人提供履约担保的形式、金额及期限的：</w:t>
      </w:r>
      <w:r>
        <w:rPr>
          <w:rFonts w:hint="eastAsia" w:ascii="宋体" w:hAnsi="宋体" w:cs="宋体"/>
          <w:color w:val="auto"/>
          <w:kern w:val="2"/>
          <w:sz w:val="21"/>
          <w:szCs w:val="21"/>
          <w:highlight w:val="none"/>
          <w:u w:val="single"/>
          <w:lang w:bidi="ar"/>
        </w:rPr>
        <w:t>/。</w:t>
      </w:r>
    </w:p>
    <w:p w14:paraId="42849ABC">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u w:val="single"/>
        </w:rPr>
      </w:pPr>
      <w:r>
        <w:rPr>
          <w:rFonts w:hint="eastAsia" w:ascii="宋体" w:hAnsi="宋体" w:cs="宋体"/>
          <w:color w:val="auto"/>
          <w:kern w:val="2"/>
          <w:sz w:val="21"/>
          <w:szCs w:val="21"/>
          <w:highlight w:val="none"/>
          <w:lang w:bidi="ar"/>
        </w:rPr>
        <w:t>承包人提供履约担保的形式：</w:t>
      </w:r>
      <w:r>
        <w:rPr>
          <w:rFonts w:hint="eastAsia" w:ascii="宋体" w:hAnsi="宋体" w:cs="宋体"/>
          <w:color w:val="auto"/>
          <w:kern w:val="2"/>
          <w:sz w:val="21"/>
          <w:szCs w:val="21"/>
          <w:highlight w:val="none"/>
          <w:u w:val="single"/>
          <w:lang w:bidi="ar"/>
        </w:rPr>
        <w:t>/</w:t>
      </w:r>
      <w:r>
        <w:rPr>
          <w:rFonts w:hint="eastAsia" w:ascii="宋体" w:hAnsi="宋体" w:cs="宋体"/>
          <w:color w:val="auto"/>
          <w:kern w:val="2"/>
          <w:sz w:val="21"/>
          <w:szCs w:val="21"/>
          <w:highlight w:val="none"/>
          <w:lang w:bidi="ar"/>
        </w:rPr>
        <w:t>。</w:t>
      </w:r>
    </w:p>
    <w:p w14:paraId="7430FF2D">
      <w:pPr>
        <w:pStyle w:val="3"/>
        <w:widowControl/>
        <w:numPr>
          <w:ilvl w:val="0"/>
          <w:numId w:val="2"/>
        </w:numPr>
        <w:spacing w:line="410" w:lineRule="auto"/>
        <w:jc w:val="left"/>
        <w:rPr>
          <w:rFonts w:ascii="宋体" w:hAnsi="宋体" w:cs="宋体"/>
          <w:color w:val="auto"/>
          <w:sz w:val="21"/>
          <w:szCs w:val="21"/>
          <w:highlight w:val="none"/>
        </w:rPr>
      </w:pPr>
      <w:bookmarkStart w:id="986" w:name="_Toc176947527"/>
      <w:bookmarkEnd w:id="986"/>
      <w:r>
        <w:rPr>
          <w:rFonts w:hint="eastAsia" w:ascii="宋体" w:hAnsi="宋体" w:cs="宋体"/>
          <w:color w:val="auto"/>
          <w:sz w:val="21"/>
          <w:szCs w:val="21"/>
          <w:highlight w:val="none"/>
        </w:rPr>
        <w:t>监理人</w:t>
      </w:r>
    </w:p>
    <w:p w14:paraId="16BA5C3C">
      <w:pPr>
        <w:adjustRightIn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06711915">
      <w:pPr>
        <w:adjustRightIn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除专用合同条款另有约定外，监理人在施工现场的办公场所、生活场所由承包人提供，所发生的费用由承包人承担。</w:t>
      </w:r>
    </w:p>
    <w:p w14:paraId="3BDBDF58">
      <w:pPr>
        <w:pStyle w:val="4"/>
        <w:widowControl/>
        <w:jc w:val="left"/>
        <w:rPr>
          <w:rFonts w:ascii="宋体" w:hAnsi="宋体" w:cs="宋体"/>
          <w:color w:val="auto"/>
          <w:sz w:val="21"/>
          <w:szCs w:val="21"/>
          <w:highlight w:val="none"/>
        </w:rPr>
      </w:pPr>
      <w:bookmarkStart w:id="987" w:name="_Toc373227714"/>
      <w:bookmarkEnd w:id="987"/>
      <w:bookmarkStart w:id="988" w:name="_Toc78449802"/>
      <w:bookmarkEnd w:id="988"/>
      <w:bookmarkStart w:id="989" w:name="_Toc1595043148"/>
      <w:bookmarkEnd w:id="989"/>
      <w:bookmarkStart w:id="990" w:name="_Toc373478361"/>
      <w:bookmarkEnd w:id="990"/>
      <w:bookmarkStart w:id="991" w:name="_Toc407135216"/>
      <w:bookmarkEnd w:id="991"/>
      <w:bookmarkStart w:id="992" w:name="_Toc141175141"/>
      <w:bookmarkEnd w:id="992"/>
      <w:bookmarkStart w:id="993" w:name="_Toc176947528"/>
      <w:bookmarkEnd w:id="993"/>
      <w:bookmarkStart w:id="994" w:name="_Toc389065280"/>
      <w:r>
        <w:rPr>
          <w:rFonts w:hint="eastAsia" w:ascii="宋体" w:hAnsi="宋体" w:cs="宋体"/>
          <w:color w:val="auto"/>
          <w:sz w:val="21"/>
          <w:szCs w:val="21"/>
          <w:highlight w:val="none"/>
        </w:rPr>
        <w:t>4.1 监理人的一般规定</w:t>
      </w:r>
      <w:bookmarkEnd w:id="994"/>
    </w:p>
    <w:p w14:paraId="7D140CF4">
      <w:pPr>
        <w:spacing w:line="400" w:lineRule="exact"/>
        <w:ind w:firstLine="420" w:firstLineChars="200"/>
        <w:jc w:val="left"/>
        <w:rPr>
          <w:rFonts w:ascii="宋体" w:hAnsi="宋体" w:cs="宋体"/>
          <w:color w:val="auto"/>
          <w:szCs w:val="21"/>
          <w:highlight w:val="none"/>
        </w:rPr>
      </w:pPr>
      <w:bookmarkStart w:id="995" w:name="_Toc373478362"/>
      <w:bookmarkEnd w:id="995"/>
      <w:bookmarkStart w:id="996" w:name="_Toc407135217"/>
      <w:bookmarkEnd w:id="996"/>
      <w:bookmarkStart w:id="997" w:name="_Toc389065281"/>
      <w:bookmarkEnd w:id="997"/>
      <w:bookmarkStart w:id="998" w:name="_Toc373227715"/>
      <w:bookmarkEnd w:id="998"/>
      <w:bookmarkStart w:id="999" w:name="_Toc386397261"/>
      <w:bookmarkEnd w:id="999"/>
      <w:bookmarkStart w:id="1000" w:name="_Toc141175142"/>
      <w:bookmarkEnd w:id="1000"/>
      <w:bookmarkStart w:id="1001" w:name="_Toc78449803"/>
      <w:r>
        <w:rPr>
          <w:rFonts w:hint="eastAsia" w:ascii="宋体" w:hAnsi="宋体" w:cs="宋体"/>
          <w:color w:val="auto"/>
          <w:szCs w:val="21"/>
          <w:highlight w:val="none"/>
          <w:lang w:bidi="ar"/>
        </w:rPr>
        <w:t>关于监理人的监理内容：</w:t>
      </w:r>
      <w:bookmarkEnd w:id="1001"/>
      <w:r>
        <w:rPr>
          <w:rFonts w:hint="eastAsia" w:ascii="宋体" w:hAnsi="宋体" w:cs="宋体"/>
          <w:color w:val="auto"/>
          <w:szCs w:val="21"/>
          <w:highlight w:val="none"/>
          <w:u w:val="single"/>
          <w:lang w:bidi="ar"/>
        </w:rPr>
        <w:t>经评审备案的施工图范围内及工程量清单包含的施工内容</w:t>
      </w:r>
      <w:r>
        <w:rPr>
          <w:rFonts w:hint="eastAsia" w:ascii="宋体" w:hAnsi="宋体" w:cs="宋体"/>
          <w:color w:val="auto"/>
          <w:szCs w:val="21"/>
          <w:highlight w:val="none"/>
          <w:lang w:bidi="ar"/>
        </w:rPr>
        <w:t>。</w:t>
      </w:r>
    </w:p>
    <w:p w14:paraId="0541F29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关于监理人的监理权限：</w:t>
      </w:r>
      <w:r>
        <w:rPr>
          <w:rFonts w:hint="eastAsia" w:ascii="宋体" w:hAnsi="宋体" w:cs="宋体"/>
          <w:color w:val="auto"/>
          <w:szCs w:val="21"/>
          <w:highlight w:val="none"/>
          <w:u w:val="single"/>
          <w:lang w:bidi="ar"/>
        </w:rPr>
        <w:t>1、在发出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证之前应得到发包人的书面批准。4、签证单监理只有证明权，无确认权。5、工程内容和材料变更确认应得到发包人的书面批准</w:t>
      </w:r>
      <w:r>
        <w:rPr>
          <w:rFonts w:hint="eastAsia" w:ascii="宋体" w:hAnsi="宋体" w:cs="宋体"/>
          <w:color w:val="auto"/>
          <w:szCs w:val="21"/>
          <w:highlight w:val="none"/>
          <w:lang w:bidi="ar"/>
        </w:rPr>
        <w:t>。</w:t>
      </w:r>
    </w:p>
    <w:p w14:paraId="4E05422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关于监理人在施工现场的办公场所、生活场所的提供和费用承担的约定：</w:t>
      </w:r>
      <w:r>
        <w:rPr>
          <w:rFonts w:hint="eastAsia" w:ascii="宋体" w:hAnsi="宋体" w:cs="宋体"/>
          <w:color w:val="auto"/>
          <w:szCs w:val="21"/>
          <w:highlight w:val="none"/>
          <w:u w:val="single"/>
          <w:lang w:bidi="ar"/>
        </w:rPr>
        <w:t>由承包人承担</w:t>
      </w:r>
      <w:r>
        <w:rPr>
          <w:rFonts w:hint="eastAsia" w:ascii="宋体" w:hAnsi="宋体" w:cs="宋体"/>
          <w:color w:val="auto"/>
          <w:szCs w:val="21"/>
          <w:highlight w:val="none"/>
          <w:lang w:bidi="ar"/>
        </w:rPr>
        <w:t>。</w:t>
      </w:r>
    </w:p>
    <w:p w14:paraId="3AC8D40D">
      <w:pPr>
        <w:pStyle w:val="4"/>
        <w:widowControl/>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 </w:t>
      </w:r>
      <w:bookmarkStart w:id="1002" w:name="_Toc176947529"/>
      <w:r>
        <w:rPr>
          <w:rFonts w:hint="eastAsia" w:ascii="宋体" w:hAnsi="宋体" w:cs="宋体"/>
          <w:color w:val="auto"/>
          <w:sz w:val="21"/>
          <w:szCs w:val="21"/>
          <w:highlight w:val="none"/>
        </w:rPr>
        <w:t>4.2 监理人员</w:t>
      </w:r>
      <w:bookmarkEnd w:id="1002"/>
    </w:p>
    <w:p w14:paraId="457BBB6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总监理工程师：</w:t>
      </w:r>
    </w:p>
    <w:p w14:paraId="36D25A75">
      <w:pPr>
        <w:spacing w:line="400" w:lineRule="exact"/>
        <w:ind w:firstLine="420" w:firstLineChars="200"/>
        <w:jc w:val="left"/>
        <w:rPr>
          <w:rFonts w:ascii="宋体" w:hAnsi="宋体" w:cs="宋体"/>
          <w:color w:val="auto"/>
          <w:szCs w:val="21"/>
          <w:highlight w:val="none"/>
        </w:rPr>
      </w:pPr>
      <w:bookmarkStart w:id="1003" w:name="_Toc373478363"/>
      <w:bookmarkEnd w:id="1003"/>
      <w:bookmarkStart w:id="1004" w:name="_Toc539923186"/>
      <w:bookmarkEnd w:id="1004"/>
      <w:bookmarkStart w:id="1005" w:name="_Toc389065282"/>
      <w:bookmarkEnd w:id="1005"/>
      <w:bookmarkStart w:id="1006" w:name="_Toc407135218"/>
      <w:bookmarkEnd w:id="1006"/>
      <w:bookmarkStart w:id="1007" w:name="_Toc373227716"/>
      <w:bookmarkEnd w:id="1007"/>
      <w:bookmarkStart w:id="1008" w:name="_Toc141175143"/>
      <w:bookmarkEnd w:id="1008"/>
      <w:bookmarkStart w:id="1009" w:name="_Toc78449804"/>
      <w:r>
        <w:rPr>
          <w:rFonts w:hint="eastAsia" w:ascii="宋体" w:hAnsi="宋体" w:cs="宋体"/>
          <w:color w:val="auto"/>
          <w:szCs w:val="21"/>
          <w:highlight w:val="none"/>
          <w:lang w:bidi="ar"/>
        </w:rPr>
        <w:t>姓    名：</w:t>
      </w:r>
      <w:bookmarkEnd w:id="1009"/>
      <w:r>
        <w:rPr>
          <w:rFonts w:hint="eastAsia" w:ascii="宋体" w:hAnsi="宋体" w:cs="宋体"/>
          <w:color w:val="auto"/>
          <w:szCs w:val="21"/>
          <w:highlight w:val="none"/>
          <w:u w:val="single"/>
          <w:lang w:bidi="ar"/>
        </w:rPr>
        <w:t xml:space="preserve">   （由发包人发函确认）      </w:t>
      </w:r>
      <w:r>
        <w:rPr>
          <w:rFonts w:hint="eastAsia" w:ascii="宋体" w:hAnsi="宋体" w:cs="宋体"/>
          <w:color w:val="auto"/>
          <w:szCs w:val="21"/>
          <w:highlight w:val="none"/>
          <w:lang w:bidi="ar"/>
        </w:rPr>
        <w:t>；</w:t>
      </w:r>
    </w:p>
    <w:p w14:paraId="3EE4F8C5">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职    务：</w:t>
      </w:r>
      <w:r>
        <w:rPr>
          <w:rFonts w:hint="eastAsia" w:ascii="宋体" w:hAnsi="宋体" w:cs="宋体"/>
          <w:color w:val="auto"/>
          <w:szCs w:val="21"/>
          <w:highlight w:val="none"/>
          <w:u w:val="single"/>
          <w:lang w:bidi="ar"/>
        </w:rPr>
        <w:t xml:space="preserve">    （由发包人发函确认）</w:t>
      </w:r>
      <w:r>
        <w:rPr>
          <w:rFonts w:hint="eastAsia" w:ascii="宋体" w:hAnsi="宋体" w:cs="宋体"/>
          <w:color w:val="auto"/>
          <w:szCs w:val="21"/>
          <w:highlight w:val="none"/>
          <w:lang w:bidi="ar"/>
        </w:rPr>
        <w:t>；</w:t>
      </w:r>
    </w:p>
    <w:p w14:paraId="7128753B">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监理工程师注册证书号：</w:t>
      </w:r>
      <w:r>
        <w:rPr>
          <w:rFonts w:hint="eastAsia" w:ascii="宋体" w:hAnsi="宋体" w:cs="宋体"/>
          <w:color w:val="auto"/>
          <w:szCs w:val="21"/>
          <w:highlight w:val="none"/>
          <w:u w:val="single"/>
          <w:lang w:bidi="ar"/>
        </w:rPr>
        <w:t xml:space="preserve"> （由发包人发函确认）  </w:t>
      </w:r>
      <w:r>
        <w:rPr>
          <w:rFonts w:hint="eastAsia" w:ascii="宋体" w:hAnsi="宋体" w:cs="宋体"/>
          <w:color w:val="auto"/>
          <w:szCs w:val="21"/>
          <w:highlight w:val="none"/>
          <w:lang w:bidi="ar"/>
        </w:rPr>
        <w:t>；</w:t>
      </w:r>
    </w:p>
    <w:p w14:paraId="38264634">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联系电话：</w:t>
      </w:r>
      <w:r>
        <w:rPr>
          <w:rFonts w:hint="eastAsia" w:ascii="宋体" w:hAnsi="宋体" w:cs="宋体"/>
          <w:color w:val="auto"/>
          <w:szCs w:val="21"/>
          <w:highlight w:val="none"/>
          <w:u w:val="single"/>
          <w:lang w:bidi="ar"/>
        </w:rPr>
        <w:t xml:space="preserve"> （由发包人发函确认）   </w:t>
      </w:r>
      <w:r>
        <w:rPr>
          <w:rFonts w:hint="eastAsia" w:ascii="宋体" w:hAnsi="宋体" w:cs="宋体"/>
          <w:color w:val="auto"/>
          <w:szCs w:val="21"/>
          <w:highlight w:val="none"/>
          <w:lang w:bidi="ar"/>
        </w:rPr>
        <w:t>；</w:t>
      </w:r>
    </w:p>
    <w:p w14:paraId="2F6016C7">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电子信箱：</w:t>
      </w:r>
      <w:r>
        <w:rPr>
          <w:rFonts w:hint="eastAsia" w:ascii="宋体" w:hAnsi="宋体" w:cs="宋体"/>
          <w:color w:val="auto"/>
          <w:szCs w:val="21"/>
          <w:highlight w:val="none"/>
          <w:u w:val="single"/>
          <w:lang w:bidi="ar"/>
        </w:rPr>
        <w:t xml:space="preserve"> （由发包人发函确认） </w:t>
      </w:r>
      <w:r>
        <w:rPr>
          <w:rFonts w:hint="eastAsia" w:ascii="宋体" w:hAnsi="宋体" w:cs="宋体"/>
          <w:color w:val="auto"/>
          <w:szCs w:val="21"/>
          <w:highlight w:val="none"/>
          <w:lang w:bidi="ar"/>
        </w:rPr>
        <w:t>；</w:t>
      </w:r>
    </w:p>
    <w:p w14:paraId="14569AA0">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通信地址：</w:t>
      </w:r>
      <w:r>
        <w:rPr>
          <w:rFonts w:hint="eastAsia" w:ascii="宋体" w:hAnsi="宋体" w:cs="宋体"/>
          <w:color w:val="auto"/>
          <w:szCs w:val="21"/>
          <w:highlight w:val="none"/>
          <w:u w:val="single"/>
          <w:lang w:bidi="ar"/>
        </w:rPr>
        <w:t xml:space="preserve"> （由发包人发函确认）  </w:t>
      </w:r>
      <w:r>
        <w:rPr>
          <w:rFonts w:hint="eastAsia" w:ascii="宋体" w:hAnsi="宋体" w:cs="宋体"/>
          <w:color w:val="auto"/>
          <w:szCs w:val="21"/>
          <w:highlight w:val="none"/>
          <w:lang w:bidi="ar"/>
        </w:rPr>
        <w:t>；</w:t>
      </w:r>
    </w:p>
    <w:p w14:paraId="5976A6CB">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关于监理人的其他约定：</w:t>
      </w:r>
      <w:r>
        <w:rPr>
          <w:rFonts w:hint="eastAsia" w:ascii="宋体" w:hAnsi="宋体" w:cs="宋体"/>
          <w:color w:val="auto"/>
          <w:szCs w:val="21"/>
          <w:highlight w:val="none"/>
          <w:u w:val="single"/>
          <w:lang w:bidi="ar"/>
        </w:rPr>
        <w:t xml:space="preserve">     按监理合同约定执行  </w:t>
      </w:r>
      <w:r>
        <w:rPr>
          <w:rFonts w:hint="eastAsia" w:ascii="宋体" w:hAnsi="宋体" w:cs="宋体"/>
          <w:color w:val="auto"/>
          <w:szCs w:val="21"/>
          <w:highlight w:val="none"/>
          <w:lang w:bidi="ar"/>
        </w:rPr>
        <w:t>。</w:t>
      </w:r>
    </w:p>
    <w:p w14:paraId="37E99C34">
      <w:pPr>
        <w:pStyle w:val="4"/>
        <w:widowControl/>
        <w:jc w:val="left"/>
        <w:rPr>
          <w:rFonts w:ascii="宋体" w:hAnsi="宋体" w:cs="宋体"/>
          <w:color w:val="auto"/>
          <w:sz w:val="21"/>
          <w:szCs w:val="21"/>
          <w:highlight w:val="none"/>
        </w:rPr>
      </w:pPr>
      <w:bookmarkStart w:id="1010" w:name="_Toc176947530"/>
      <w:bookmarkEnd w:id="1010"/>
      <w:r>
        <w:rPr>
          <w:rFonts w:hint="eastAsia" w:ascii="宋体" w:hAnsi="宋体" w:cs="宋体"/>
          <w:color w:val="auto"/>
          <w:sz w:val="21"/>
          <w:szCs w:val="21"/>
          <w:highlight w:val="none"/>
        </w:rPr>
        <w:t>4.4 商定或确定</w:t>
      </w:r>
    </w:p>
    <w:p w14:paraId="181A444B">
      <w:pPr>
        <w:spacing w:line="360" w:lineRule="auto"/>
        <w:ind w:firstLine="420" w:firstLineChars="200"/>
        <w:jc w:val="left"/>
        <w:rPr>
          <w:rFonts w:ascii="宋体" w:hAnsi="宋体" w:cs="宋体"/>
          <w:color w:val="auto"/>
          <w:szCs w:val="21"/>
          <w:highlight w:val="none"/>
        </w:rPr>
      </w:pPr>
      <w:bookmarkStart w:id="1011" w:name="_Toc267251418"/>
      <w:bookmarkEnd w:id="1011"/>
      <w:r>
        <w:rPr>
          <w:rFonts w:hint="eastAsia" w:ascii="宋体" w:hAnsi="宋体" w:cs="宋体"/>
          <w:color w:val="auto"/>
          <w:szCs w:val="21"/>
          <w:highlight w:val="none"/>
          <w:lang w:bidi="ar"/>
        </w:rPr>
        <w:t>在发包人和承包人不能通过协商达成一致意见时，发包人授权监理人对以下事项进行确定：</w:t>
      </w:r>
    </w:p>
    <w:p w14:paraId="42BABD13">
      <w:pPr>
        <w:numPr>
          <w:ilvl w:val="0"/>
          <w:numId w:val="3"/>
        </w:num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工作范围和工作界面；</w:t>
      </w:r>
    </w:p>
    <w:p w14:paraId="10F454DA">
      <w:pPr>
        <w:numPr>
          <w:ilvl w:val="0"/>
          <w:numId w:val="3"/>
        </w:num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工程质量；</w:t>
      </w:r>
    </w:p>
    <w:p w14:paraId="0867E599">
      <w:pPr>
        <w:numPr>
          <w:ilvl w:val="0"/>
          <w:numId w:val="3"/>
        </w:num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工期延误或提前、工期索赔；</w:t>
      </w:r>
    </w:p>
    <w:p w14:paraId="14DFCD1E">
      <w:pPr>
        <w:numPr>
          <w:ilvl w:val="0"/>
          <w:numId w:val="3"/>
        </w:num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lang w:bidi="ar"/>
        </w:rPr>
        <w:t>工程进度、经济索赔。</w:t>
      </w:r>
    </w:p>
    <w:p w14:paraId="68CCA3A8">
      <w:pPr>
        <w:pStyle w:val="3"/>
        <w:widowControl/>
        <w:jc w:val="left"/>
        <w:rPr>
          <w:rFonts w:ascii="宋体" w:hAnsi="宋体" w:cs="宋体"/>
          <w:color w:val="auto"/>
          <w:sz w:val="21"/>
          <w:szCs w:val="21"/>
          <w:highlight w:val="none"/>
        </w:rPr>
      </w:pPr>
      <w:bookmarkStart w:id="1012" w:name="_Toc351203637"/>
      <w:bookmarkEnd w:id="1012"/>
      <w:bookmarkStart w:id="1013" w:name="_Toc176947531"/>
      <w:bookmarkEnd w:id="1013"/>
      <w:bookmarkStart w:id="1014" w:name="_Toc407135219"/>
      <w:bookmarkEnd w:id="1014"/>
      <w:bookmarkStart w:id="1015" w:name="_Toc389065283"/>
      <w:bookmarkEnd w:id="1015"/>
      <w:bookmarkStart w:id="1016" w:name="_Toc373227717"/>
      <w:bookmarkEnd w:id="1016"/>
      <w:bookmarkStart w:id="1017" w:name="_Toc141175144"/>
      <w:bookmarkEnd w:id="1017"/>
      <w:bookmarkStart w:id="1018" w:name="_Toc373478364"/>
      <w:bookmarkEnd w:id="1018"/>
      <w:bookmarkStart w:id="1019" w:name="_Toc1603077308"/>
      <w:bookmarkEnd w:id="1019"/>
      <w:bookmarkStart w:id="1020" w:name="_Toc78449805"/>
      <w:r>
        <w:rPr>
          <w:rFonts w:hint="eastAsia" w:ascii="宋体" w:hAnsi="宋体" w:cs="宋体"/>
          <w:color w:val="auto"/>
          <w:sz w:val="21"/>
          <w:szCs w:val="21"/>
          <w:highlight w:val="none"/>
        </w:rPr>
        <w:t>5</w:t>
      </w:r>
      <w:bookmarkEnd w:id="1020"/>
      <w:bookmarkStart w:id="1021" w:name="_Toc292559367"/>
      <w:bookmarkEnd w:id="1021"/>
      <w:bookmarkStart w:id="1022" w:name="_Toc297048349"/>
      <w:bookmarkEnd w:id="1022"/>
      <w:bookmarkStart w:id="1023" w:name="_Toc296347162"/>
      <w:bookmarkEnd w:id="1023"/>
      <w:bookmarkStart w:id="1024" w:name="_Toc296346664"/>
      <w:bookmarkEnd w:id="1024"/>
      <w:bookmarkStart w:id="1025" w:name="_Toc296944502"/>
      <w:bookmarkEnd w:id="1025"/>
      <w:bookmarkStart w:id="1026" w:name="_Toc292559872"/>
      <w:bookmarkEnd w:id="1026"/>
      <w:bookmarkStart w:id="1027" w:name="_Toc296890991"/>
      <w:bookmarkEnd w:id="1027"/>
      <w:bookmarkStart w:id="1028" w:name="_Toc296503163"/>
      <w:bookmarkEnd w:id="1028"/>
      <w:bookmarkStart w:id="1029" w:name="_Toc297120463"/>
      <w:bookmarkEnd w:id="1029"/>
      <w:bookmarkStart w:id="1030" w:name="_Toc296891203"/>
      <w:r>
        <w:rPr>
          <w:rFonts w:hint="eastAsia" w:ascii="宋体" w:hAnsi="宋体" w:cs="宋体"/>
          <w:color w:val="auto"/>
          <w:sz w:val="21"/>
          <w:szCs w:val="21"/>
          <w:highlight w:val="none"/>
        </w:rPr>
        <w:t>. 工程质量</w:t>
      </w:r>
      <w:bookmarkEnd w:id="1030"/>
    </w:p>
    <w:p w14:paraId="0DAF40DF">
      <w:pPr>
        <w:pStyle w:val="4"/>
        <w:widowControl/>
        <w:jc w:val="left"/>
        <w:rPr>
          <w:rFonts w:ascii="宋体" w:hAnsi="宋体" w:cs="宋体"/>
          <w:color w:val="auto"/>
          <w:sz w:val="21"/>
          <w:szCs w:val="21"/>
          <w:highlight w:val="none"/>
        </w:rPr>
      </w:pPr>
      <w:bookmarkStart w:id="1031" w:name="_Toc1835421345"/>
      <w:bookmarkEnd w:id="1031"/>
      <w:bookmarkStart w:id="1032" w:name="_Toc78449806"/>
      <w:bookmarkEnd w:id="1032"/>
      <w:bookmarkStart w:id="1033" w:name="_Toc176947532"/>
      <w:bookmarkEnd w:id="1033"/>
      <w:bookmarkStart w:id="1034" w:name="_Toc389065284"/>
      <w:bookmarkEnd w:id="1034"/>
      <w:bookmarkStart w:id="1035" w:name="_Toc373227718"/>
      <w:bookmarkEnd w:id="1035"/>
      <w:bookmarkStart w:id="1036" w:name="_Toc373478365"/>
      <w:bookmarkEnd w:id="1036"/>
      <w:bookmarkStart w:id="1037" w:name="_Toc407135220"/>
      <w:bookmarkEnd w:id="1037"/>
      <w:bookmarkStart w:id="1038" w:name="_Toc141175145"/>
      <w:r>
        <w:rPr>
          <w:rFonts w:hint="eastAsia" w:ascii="宋体" w:hAnsi="宋体" w:cs="宋体"/>
          <w:color w:val="auto"/>
          <w:sz w:val="21"/>
          <w:szCs w:val="21"/>
          <w:highlight w:val="none"/>
        </w:rPr>
        <w:t>5.1 质量要求</w:t>
      </w:r>
      <w:bookmarkEnd w:id="1038"/>
    </w:p>
    <w:p w14:paraId="17586083">
      <w:pPr>
        <w:spacing w:line="400" w:lineRule="exact"/>
        <w:ind w:firstLine="420" w:firstLineChars="200"/>
        <w:jc w:val="left"/>
        <w:rPr>
          <w:rFonts w:ascii="宋体" w:hAnsi="宋体" w:cs="宋体"/>
          <w:color w:val="auto"/>
          <w:szCs w:val="21"/>
          <w:highlight w:val="none"/>
        </w:rPr>
      </w:pPr>
      <w:bookmarkStart w:id="1039" w:name="_Toc312677997"/>
      <w:bookmarkEnd w:id="1039"/>
      <w:bookmarkStart w:id="1040" w:name="_Toc300934949"/>
      <w:bookmarkEnd w:id="1040"/>
      <w:bookmarkStart w:id="1041" w:name="_Toc303539106"/>
      <w:bookmarkEnd w:id="1041"/>
      <w:bookmarkStart w:id="1042" w:name="_Toc304295527"/>
      <w:bookmarkEnd w:id="1042"/>
      <w:bookmarkStart w:id="1043" w:name="_Toc297216155"/>
      <w:bookmarkEnd w:id="1043"/>
      <w:bookmarkStart w:id="1044" w:name="_Toc297123496"/>
      <w:bookmarkEnd w:id="1044"/>
      <w:bookmarkStart w:id="1045" w:name="_Toc318581164"/>
      <w:r>
        <w:rPr>
          <w:rFonts w:hint="eastAsia" w:ascii="宋体" w:hAnsi="宋体" w:cs="宋体"/>
          <w:color w:val="auto"/>
          <w:szCs w:val="21"/>
          <w:highlight w:val="none"/>
          <w:lang w:bidi="ar"/>
        </w:rPr>
        <w:t>5.1.1 特殊质量标准和要求：</w:t>
      </w:r>
      <w:bookmarkEnd w:id="1045"/>
      <w:r>
        <w:rPr>
          <w:rFonts w:hint="eastAsia" w:ascii="宋体" w:hAnsi="宋体" w:cs="宋体"/>
          <w:color w:val="auto"/>
          <w:szCs w:val="21"/>
          <w:highlight w:val="none"/>
          <w:u w:val="single"/>
          <w:lang w:bidi="ar"/>
        </w:rPr>
        <w:t xml:space="preserve"> 达到国家施工验收规范合格标准 </w:t>
      </w:r>
      <w:r>
        <w:rPr>
          <w:rFonts w:hint="eastAsia" w:ascii="宋体" w:hAnsi="宋体" w:cs="宋体"/>
          <w:color w:val="auto"/>
          <w:szCs w:val="21"/>
          <w:highlight w:val="none"/>
          <w:lang w:bidi="ar"/>
        </w:rPr>
        <w:t>。</w:t>
      </w:r>
    </w:p>
    <w:p w14:paraId="347B4F97">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关于工程奖项的约定：如果工程获得</w:t>
      </w:r>
      <w:r>
        <w:rPr>
          <w:rFonts w:hint="eastAsia" w:ascii="宋体" w:hAnsi="宋体" w:cs="宋体"/>
          <w:color w:val="auto"/>
          <w:szCs w:val="21"/>
          <w:highlight w:val="none"/>
          <w:u w:val="single"/>
          <w:lang w:bidi="ar"/>
        </w:rPr>
        <w:t xml:space="preserve">        /     （奖项名称）</w:t>
      </w:r>
      <w:r>
        <w:rPr>
          <w:rFonts w:hint="eastAsia" w:ascii="宋体" w:hAnsi="宋体" w:cs="宋体"/>
          <w:color w:val="auto"/>
          <w:szCs w:val="21"/>
          <w:highlight w:val="none"/>
          <w:lang w:bidi="ar"/>
        </w:rPr>
        <w:t>，给予承包人合同价</w:t>
      </w:r>
      <w:r>
        <w:rPr>
          <w:rFonts w:hint="eastAsia" w:ascii="宋体" w:hAnsi="宋体" w:cs="宋体"/>
          <w:color w:val="auto"/>
          <w:szCs w:val="21"/>
          <w:highlight w:val="none"/>
          <w:u w:val="single"/>
          <w:lang w:bidi="ar"/>
        </w:rPr>
        <w:t xml:space="preserve"> /  </w:t>
      </w:r>
      <w:r>
        <w:rPr>
          <w:rFonts w:hint="eastAsia" w:ascii="宋体" w:hAnsi="宋体" w:cs="宋体"/>
          <w:color w:val="auto"/>
          <w:szCs w:val="21"/>
          <w:highlight w:val="none"/>
          <w:lang w:bidi="ar"/>
        </w:rPr>
        <w:t>%的奖励。（建设单位创建优质工程的，鼓励在招标控制价和预算中按我区工程建设定额规定计列工程优质费，并在招标文件中明确工程优质费不可竞争。）</w:t>
      </w:r>
    </w:p>
    <w:p w14:paraId="79A93110">
      <w:pPr>
        <w:spacing w:line="360" w:lineRule="auto"/>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lang w:bidi="ar"/>
        </w:rPr>
        <w:t>5.3 隐蔽工程检查</w:t>
      </w:r>
    </w:p>
    <w:p w14:paraId="6ACC3184">
      <w:pPr>
        <w:spacing w:line="400" w:lineRule="exact"/>
        <w:ind w:firstLine="420" w:firstLineChars="200"/>
        <w:jc w:val="left"/>
        <w:rPr>
          <w:rFonts w:ascii="宋体" w:hAnsi="宋体" w:cs="宋体"/>
          <w:color w:val="auto"/>
          <w:szCs w:val="21"/>
          <w:highlight w:val="none"/>
          <w:shd w:val="clear" w:color="auto" w:fill="FFFFFF"/>
        </w:rPr>
      </w:pPr>
      <w:bookmarkStart w:id="1046" w:name="_Toc373478366"/>
      <w:bookmarkEnd w:id="1046"/>
      <w:bookmarkStart w:id="1047" w:name="_Toc351203638"/>
      <w:bookmarkEnd w:id="1047"/>
      <w:bookmarkStart w:id="1048" w:name="_Toc389065285"/>
      <w:bookmarkEnd w:id="1048"/>
      <w:bookmarkStart w:id="1049" w:name="_Toc703841976"/>
      <w:bookmarkEnd w:id="1049"/>
      <w:bookmarkStart w:id="1050" w:name="_Toc407135221"/>
      <w:bookmarkEnd w:id="1050"/>
      <w:bookmarkStart w:id="1051" w:name="_Toc373227719"/>
      <w:bookmarkEnd w:id="1051"/>
      <w:bookmarkStart w:id="1052" w:name="_Toc141175146"/>
      <w:bookmarkEnd w:id="1052"/>
      <w:bookmarkStart w:id="1053" w:name="_Toc78449807"/>
      <w:r>
        <w:rPr>
          <w:rFonts w:hint="eastAsia" w:ascii="宋体" w:hAnsi="宋体" w:cs="宋体"/>
          <w:color w:val="auto"/>
          <w:szCs w:val="21"/>
          <w:highlight w:val="none"/>
          <w:lang w:bidi="ar"/>
        </w:rPr>
        <w:t>5.3.2承包人提前通知监理人、跟踪审计、发包人隐蔽工程检查的期限的约定：工程隐蔽或中间验收前12小时以书面形式通知发包人、监理工程师和跟踪审计验收的内容、时间、地点，承包人准备验收记录单（最好是印制的表格）由四方签证。验收合格，承包人可进行隐蔽和继续施工；验收不合格，商订时限内修改后按上述顺序重新验收。</w:t>
      </w:r>
      <w:bookmarkEnd w:id="1053"/>
    </w:p>
    <w:p w14:paraId="369474CA">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监理人和跟踪审计不能按时进行检查时，应提前</w:t>
      </w:r>
      <w:r>
        <w:rPr>
          <w:rFonts w:hint="eastAsia" w:ascii="宋体" w:hAnsi="宋体" w:cs="宋体"/>
          <w:color w:val="auto"/>
          <w:szCs w:val="21"/>
          <w:highlight w:val="none"/>
          <w:u w:val="single"/>
          <w:lang w:bidi="ar"/>
        </w:rPr>
        <w:t>24</w:t>
      </w:r>
      <w:r>
        <w:rPr>
          <w:rFonts w:hint="eastAsia" w:ascii="宋体" w:hAnsi="宋体" w:cs="宋体"/>
          <w:color w:val="auto"/>
          <w:szCs w:val="21"/>
          <w:highlight w:val="none"/>
          <w:lang w:bidi="ar"/>
        </w:rPr>
        <w:t>小时提交书面延期要求。</w:t>
      </w:r>
    </w:p>
    <w:p w14:paraId="78512925">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关于延期最长不得超过：</w:t>
      </w:r>
      <w:r>
        <w:rPr>
          <w:rFonts w:hint="eastAsia" w:ascii="宋体" w:hAnsi="宋体" w:cs="宋体"/>
          <w:color w:val="auto"/>
          <w:szCs w:val="21"/>
          <w:highlight w:val="none"/>
          <w:u w:val="single"/>
          <w:lang w:bidi="ar"/>
        </w:rPr>
        <w:t>48</w:t>
      </w:r>
      <w:r>
        <w:rPr>
          <w:rFonts w:hint="eastAsia" w:ascii="宋体" w:hAnsi="宋体" w:cs="宋体"/>
          <w:color w:val="auto"/>
          <w:szCs w:val="21"/>
          <w:highlight w:val="none"/>
          <w:lang w:bidi="ar"/>
        </w:rPr>
        <w:t>小时。</w:t>
      </w:r>
    </w:p>
    <w:p w14:paraId="5CA46062">
      <w:pPr>
        <w:pStyle w:val="3"/>
        <w:widowControl/>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 </w:t>
      </w:r>
      <w:bookmarkStart w:id="1054" w:name="_Toc176947533"/>
      <w:r>
        <w:rPr>
          <w:rFonts w:hint="eastAsia" w:ascii="宋体" w:hAnsi="宋体" w:cs="宋体"/>
          <w:color w:val="auto"/>
          <w:sz w:val="21"/>
          <w:szCs w:val="21"/>
          <w:highlight w:val="none"/>
        </w:rPr>
        <w:t>6. 安全文明施工与环境保护</w:t>
      </w:r>
      <w:bookmarkEnd w:id="1054"/>
    </w:p>
    <w:p w14:paraId="291277D4">
      <w:pPr>
        <w:pStyle w:val="4"/>
        <w:widowControl/>
        <w:jc w:val="left"/>
        <w:rPr>
          <w:rFonts w:ascii="宋体" w:hAnsi="宋体" w:cs="宋体"/>
          <w:color w:val="auto"/>
          <w:sz w:val="21"/>
          <w:szCs w:val="21"/>
          <w:highlight w:val="none"/>
        </w:rPr>
      </w:pPr>
      <w:bookmarkStart w:id="1055" w:name="_Toc176947534"/>
      <w:bookmarkEnd w:id="1055"/>
      <w:bookmarkStart w:id="1056" w:name="_Toc141175147"/>
      <w:bookmarkEnd w:id="1056"/>
      <w:bookmarkStart w:id="1057" w:name="_Toc373478367"/>
      <w:bookmarkEnd w:id="1057"/>
      <w:bookmarkStart w:id="1058" w:name="_Toc78449808"/>
      <w:bookmarkEnd w:id="1058"/>
      <w:bookmarkStart w:id="1059" w:name="_Toc373227720"/>
      <w:bookmarkEnd w:id="1059"/>
      <w:bookmarkStart w:id="1060" w:name="_Toc407135222"/>
      <w:bookmarkEnd w:id="1060"/>
      <w:bookmarkStart w:id="1061" w:name="_Toc389065286"/>
      <w:bookmarkEnd w:id="1061"/>
      <w:bookmarkStart w:id="1062" w:name="_Toc180514231"/>
      <w:r>
        <w:rPr>
          <w:rFonts w:hint="eastAsia" w:ascii="宋体" w:hAnsi="宋体" w:cs="宋体"/>
          <w:color w:val="auto"/>
          <w:sz w:val="21"/>
          <w:szCs w:val="21"/>
          <w:highlight w:val="none"/>
        </w:rPr>
        <w:t>6.1 安全文明施工</w:t>
      </w:r>
      <w:bookmarkEnd w:id="1062"/>
    </w:p>
    <w:p w14:paraId="448BCCE4">
      <w:pPr>
        <w:spacing w:line="400" w:lineRule="exact"/>
        <w:ind w:firstLine="420" w:firstLineChars="200"/>
        <w:jc w:val="left"/>
        <w:rPr>
          <w:rFonts w:ascii="宋体" w:hAnsi="宋体" w:cs="宋体"/>
          <w:color w:val="auto"/>
          <w:szCs w:val="21"/>
          <w:highlight w:val="none"/>
          <w:u w:val="single"/>
        </w:rPr>
      </w:pPr>
      <w:bookmarkStart w:id="1063" w:name="_Toc373227721"/>
      <w:bookmarkEnd w:id="1063"/>
      <w:bookmarkStart w:id="1064" w:name="_Toc389065287"/>
      <w:bookmarkEnd w:id="1064"/>
      <w:bookmarkStart w:id="1065" w:name="_Toc373478368"/>
      <w:bookmarkEnd w:id="1065"/>
      <w:bookmarkStart w:id="1066" w:name="_Toc141175148"/>
      <w:bookmarkEnd w:id="1066"/>
      <w:bookmarkStart w:id="1067" w:name="_Toc407135223"/>
      <w:bookmarkEnd w:id="1067"/>
      <w:bookmarkStart w:id="1068" w:name="_Toc78449809"/>
      <w:bookmarkEnd w:id="1068"/>
      <w:bookmarkStart w:id="1069" w:name="_Toc1922268668"/>
      <w:r>
        <w:rPr>
          <w:rFonts w:hint="eastAsia" w:ascii="宋体" w:hAnsi="宋体" w:cs="宋体"/>
          <w:color w:val="auto"/>
          <w:szCs w:val="21"/>
          <w:highlight w:val="none"/>
          <w:lang w:bidi="ar"/>
        </w:rPr>
        <w:t>6.1.1 项目安全生产的达标目标及相应事项的约定：</w:t>
      </w:r>
      <w:bookmarkEnd w:id="1069"/>
      <w:r>
        <w:rPr>
          <w:rFonts w:hint="eastAsia" w:ascii="宋体" w:hAnsi="宋体" w:cs="宋体"/>
          <w:color w:val="auto"/>
          <w:szCs w:val="21"/>
          <w:highlight w:val="none"/>
          <w:u w:val="single"/>
          <w:lang w:bidi="ar"/>
        </w:rPr>
        <w:t>按国家及地方安全文明施工的有关规定执行   。</w:t>
      </w:r>
    </w:p>
    <w:p w14:paraId="42402E9B">
      <w:pPr>
        <w:spacing w:line="40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lang w:bidi="ar"/>
        </w:rPr>
        <w:t>关于安全文明施工奖项的约定</w:t>
      </w:r>
      <w:r>
        <w:rPr>
          <w:rFonts w:hint="eastAsia" w:ascii="宋体" w:hAnsi="宋体" w:cs="宋体"/>
          <w:color w:val="auto"/>
          <w:szCs w:val="21"/>
          <w:highlight w:val="none"/>
          <w:u w:val="single"/>
          <w:lang w:bidi="ar"/>
        </w:rPr>
        <w:t>：         无              。</w:t>
      </w:r>
    </w:p>
    <w:p w14:paraId="3348B9BD">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6.1.4 关于治安保卫的特别约定：</w:t>
      </w:r>
      <w:r>
        <w:rPr>
          <w:rFonts w:hint="eastAsia" w:ascii="宋体" w:hAnsi="宋体" w:cs="宋体"/>
          <w:color w:val="auto"/>
          <w:szCs w:val="21"/>
          <w:highlight w:val="none"/>
          <w:u w:val="single"/>
          <w:lang w:bidi="ar"/>
        </w:rPr>
        <w:t xml:space="preserve">   承包人应承担施工安全保卫工作及非夜间施工照明的责任，承包人应采取一切合理的预防措施，防止人员伤亡、财产损失事故，费用由承包人承担。承包人生活设施及施工场应自费配备消防设备，防止火灾发生  </w:t>
      </w:r>
      <w:r>
        <w:rPr>
          <w:rFonts w:hint="eastAsia" w:ascii="宋体" w:hAnsi="宋体" w:cs="宋体"/>
          <w:color w:val="auto"/>
          <w:szCs w:val="21"/>
          <w:highlight w:val="none"/>
          <w:lang w:bidi="ar"/>
        </w:rPr>
        <w:t>。</w:t>
      </w:r>
    </w:p>
    <w:p w14:paraId="080A61CD">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关于编制施工场地治安管理计划的约定：</w:t>
      </w:r>
      <w:r>
        <w:rPr>
          <w:rFonts w:hint="eastAsia" w:ascii="宋体" w:hAnsi="宋体" w:cs="宋体"/>
          <w:color w:val="auto"/>
          <w:szCs w:val="21"/>
          <w:highlight w:val="none"/>
          <w:u w:val="single"/>
          <w:lang w:bidi="ar"/>
        </w:rPr>
        <w:t xml:space="preserve">  开工7个日历天前由承包人编制施工场地治安管理计划，并制定应对突发治安事件紧急预案</w:t>
      </w:r>
      <w:r>
        <w:rPr>
          <w:rFonts w:hint="eastAsia" w:ascii="宋体" w:hAnsi="宋体" w:cs="宋体"/>
          <w:color w:val="auto"/>
          <w:szCs w:val="21"/>
          <w:highlight w:val="none"/>
          <w:lang w:bidi="ar"/>
        </w:rPr>
        <w:t>。</w:t>
      </w:r>
    </w:p>
    <w:p w14:paraId="1156BCA8">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6.1.5 文明施工</w:t>
      </w:r>
    </w:p>
    <w:p w14:paraId="479041F0">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合同当事人对文明施工的要求：</w:t>
      </w:r>
      <w:r>
        <w:rPr>
          <w:rFonts w:hint="eastAsia" w:ascii="宋体" w:hAnsi="宋体" w:cs="宋体"/>
          <w:color w:val="auto"/>
          <w:szCs w:val="21"/>
          <w:highlight w:val="none"/>
          <w:u w:val="single"/>
          <w:lang w:bidi="ar"/>
        </w:rPr>
        <w:t xml:space="preserve">   按国家及工程所在地政府部门的规定执行</w:t>
      </w:r>
      <w:r>
        <w:rPr>
          <w:rFonts w:hint="eastAsia" w:ascii="宋体" w:hAnsi="宋体" w:cs="宋体"/>
          <w:color w:val="auto"/>
          <w:szCs w:val="21"/>
          <w:highlight w:val="none"/>
          <w:lang w:bidi="ar"/>
        </w:rPr>
        <w:t>。</w:t>
      </w:r>
    </w:p>
    <w:p w14:paraId="043E63EA">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 xml:space="preserve">6.1.6 </w:t>
      </w:r>
      <w:r>
        <w:rPr>
          <w:rFonts w:hint="eastAsia" w:ascii="宋体" w:hAnsi="宋体" w:cs="宋体"/>
          <w:color w:val="auto"/>
          <w:kern w:val="0"/>
          <w:szCs w:val="21"/>
          <w:highlight w:val="none"/>
          <w:lang w:bidi="ar"/>
        </w:rPr>
        <w:t>关于安全生产费总额、支付比例、支付期限、转入和结余收回的约定：</w:t>
      </w:r>
    </w:p>
    <w:p w14:paraId="688BC5AC">
      <w:pPr>
        <w:autoSpaceDE w:val="0"/>
        <w:autoSpaceDN w:val="0"/>
        <w:adjustRightInd w:val="0"/>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（1）本合同价款已包含安全文明施工费</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元。</w:t>
      </w:r>
    </w:p>
    <w:p w14:paraId="552B4421">
      <w:pPr>
        <w:autoSpaceDE w:val="0"/>
        <w:autoSpaceDN w:val="0"/>
        <w:adjustRightInd w:val="0"/>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（2）使用要求：专款专用。具体按</w:t>
      </w:r>
      <w:r>
        <w:rPr>
          <w:rFonts w:hint="eastAsia" w:ascii="宋体" w:hAnsi="宋体" w:cs="宋体"/>
          <w:color w:val="auto"/>
          <w:kern w:val="0"/>
          <w:szCs w:val="21"/>
          <w:highlight w:val="none"/>
          <w:u w:val="single"/>
          <w:lang w:bidi="ar"/>
        </w:rPr>
        <w:t>《广西壮族自治区建设工程安全文明施工费使用管理细则》（桂建质〔2015〕16号）</w:t>
      </w:r>
      <w:r>
        <w:rPr>
          <w:rFonts w:hint="eastAsia" w:ascii="宋体" w:hAnsi="宋体" w:cs="宋体"/>
          <w:color w:val="auto"/>
          <w:kern w:val="0"/>
          <w:szCs w:val="21"/>
          <w:highlight w:val="none"/>
          <w:lang w:bidi="ar"/>
        </w:rPr>
        <w:t>和</w:t>
      </w:r>
      <w:r>
        <w:rPr>
          <w:rFonts w:hint="eastAsia" w:ascii="宋体" w:hAnsi="宋体" w:cs="宋体"/>
          <w:color w:val="auto"/>
          <w:kern w:val="0"/>
          <w:szCs w:val="21"/>
          <w:highlight w:val="none"/>
          <w:u w:val="single"/>
          <w:lang w:bidi="ar"/>
        </w:rPr>
        <w:t xml:space="preserve">  桂林  </w:t>
      </w:r>
      <w:r>
        <w:rPr>
          <w:rFonts w:hint="eastAsia" w:ascii="宋体" w:hAnsi="宋体" w:cs="宋体"/>
          <w:color w:val="auto"/>
          <w:kern w:val="0"/>
          <w:szCs w:val="21"/>
          <w:highlight w:val="none"/>
          <w:lang w:bidi="ar"/>
        </w:rPr>
        <w:t>市相关规定执行。</w:t>
      </w:r>
    </w:p>
    <w:p w14:paraId="77E18E5C">
      <w:pPr>
        <w:spacing w:after="120"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（3）支付约定：在本合同签订后28个工作日内，</w:t>
      </w:r>
      <w:r>
        <w:rPr>
          <w:rFonts w:hint="eastAsia" w:ascii="宋体" w:hAnsi="宋体" w:cs="宋体"/>
          <w:color w:val="auto"/>
          <w:kern w:val="0"/>
          <w:szCs w:val="21"/>
          <w:highlight w:val="none"/>
          <w:lang w:bidi="ar"/>
        </w:rPr>
        <w:t>预付安全文明施工费总额的30%，</w:t>
      </w:r>
      <w:r>
        <w:rPr>
          <w:rFonts w:hint="eastAsia" w:ascii="宋体" w:hAnsi="宋体" w:cs="宋体"/>
          <w:color w:val="auto"/>
          <w:kern w:val="0"/>
          <w:szCs w:val="21"/>
          <w:highlight w:val="none"/>
          <w:lang w:bidi="ar"/>
        </w:rPr>
        <w:t>其余部分与进度款同期支付，安全文明施工费预付款在工程第一笔工程进度款开始起扣，每期从支付给承包商的工程款内按安全文明预付款占合同总价的同一百分比扣回。</w:t>
      </w:r>
    </w:p>
    <w:p w14:paraId="231F609A">
      <w:pPr>
        <w:autoSpaceDE w:val="0"/>
        <w:autoSpaceDN w:val="0"/>
        <w:adjustRightInd w:val="0"/>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（4）建设单位按规定将安全生产费用转入施工单位设立的安全生产费用专户。</w:t>
      </w:r>
    </w:p>
    <w:p w14:paraId="05C9AD1F">
      <w:pPr>
        <w:autoSpaceDE w:val="0"/>
        <w:autoSpaceDN w:val="0"/>
        <w:adjustRightInd w:val="0"/>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（5）工程施工完成后安全生产费用尚有结余的，结余部分由建设单位收回。</w:t>
      </w:r>
    </w:p>
    <w:p w14:paraId="25032214">
      <w:pPr>
        <w:autoSpaceDE w:val="0"/>
        <w:autoSpaceDN w:val="0"/>
        <w:adjustRightInd w:val="0"/>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（6）门对此事项监管。</w:t>
      </w:r>
    </w:p>
    <w:p w14:paraId="043F2C5D">
      <w:pPr>
        <w:autoSpaceDE w:val="0"/>
        <w:autoSpaceDN w:val="0"/>
        <w:adjustRightInd w:val="0"/>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（7）安全生产费用专户：××××公司安全生产费用专户。账号：</w:t>
      </w:r>
    </w:p>
    <w:p w14:paraId="0695B020">
      <w:pPr>
        <w:pStyle w:val="4"/>
        <w:widowControl/>
        <w:jc w:val="left"/>
        <w:rPr>
          <w:rFonts w:ascii="宋体" w:hAnsi="宋体" w:cs="宋体"/>
          <w:color w:val="auto"/>
          <w:sz w:val="21"/>
          <w:szCs w:val="21"/>
          <w:highlight w:val="none"/>
        </w:rPr>
      </w:pPr>
      <w:bookmarkStart w:id="1070" w:name="_Toc176947535"/>
      <w:bookmarkEnd w:id="1070"/>
      <w:r>
        <w:rPr>
          <w:rFonts w:hint="eastAsia" w:ascii="宋体" w:hAnsi="宋体" w:cs="宋体"/>
          <w:color w:val="auto"/>
          <w:sz w:val="21"/>
          <w:szCs w:val="21"/>
          <w:highlight w:val="none"/>
        </w:rPr>
        <w:t>6.3 环境保护</w:t>
      </w:r>
    </w:p>
    <w:p w14:paraId="379261EA">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bookmarkStart w:id="1071" w:name="_Toc373478369"/>
      <w:bookmarkEnd w:id="1071"/>
      <w:bookmarkStart w:id="1072" w:name="_Toc1408286886"/>
      <w:bookmarkEnd w:id="1072"/>
      <w:bookmarkStart w:id="1073" w:name="_Toc373227722"/>
      <w:bookmarkEnd w:id="1073"/>
      <w:bookmarkStart w:id="1074" w:name="_Toc407135224"/>
      <w:bookmarkEnd w:id="1074"/>
      <w:bookmarkStart w:id="1075" w:name="_Toc351203639"/>
      <w:bookmarkEnd w:id="1075"/>
      <w:bookmarkStart w:id="1076" w:name="_Toc389065288"/>
      <w:bookmarkEnd w:id="1076"/>
      <w:bookmarkStart w:id="1077" w:name="_Toc141175149"/>
      <w:bookmarkEnd w:id="1077"/>
      <w:bookmarkStart w:id="1078" w:name="_Toc78449810"/>
      <w:r>
        <w:rPr>
          <w:rFonts w:hint="eastAsia" w:ascii="宋体" w:hAnsi="宋体" w:cs="宋体"/>
          <w:color w:val="auto"/>
          <w:kern w:val="2"/>
          <w:sz w:val="21"/>
          <w:szCs w:val="21"/>
          <w:highlight w:val="none"/>
          <w:lang w:bidi="ar"/>
        </w:rPr>
        <w:t>因施工需要，经发包人批准，由承包人办理有关施工场地交通、环卫和施工噪音管理等手续，费用由承包人承担。</w:t>
      </w:r>
      <w:bookmarkEnd w:id="1078"/>
    </w:p>
    <w:p w14:paraId="05C320E2">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经过城市道路的施工车辆，必须按交警、城管、运输等部门有关规定执行，因施工车辆造成的道路、环境的污染，其责任和费用由承包人承担。</w:t>
      </w:r>
    </w:p>
    <w:p w14:paraId="29D12D88">
      <w:pPr>
        <w:keepNext/>
        <w:keepLines/>
        <w:spacing w:before="120" w:after="120" w:line="400" w:lineRule="exact"/>
        <w:jc w:val="left"/>
        <w:outlineLvl w:val="0"/>
        <w:rPr>
          <w:rFonts w:ascii="宋体" w:hAnsi="宋体" w:cs="宋体"/>
          <w:b/>
          <w:bCs/>
          <w:color w:val="auto"/>
          <w:szCs w:val="21"/>
          <w:highlight w:val="none"/>
        </w:rPr>
      </w:pPr>
      <w:bookmarkStart w:id="1079" w:name="_Toc296891022"/>
      <w:bookmarkEnd w:id="1079"/>
      <w:bookmarkStart w:id="1080" w:name="_Toc297048380"/>
      <w:bookmarkEnd w:id="1080"/>
      <w:bookmarkStart w:id="1081" w:name="_Toc304295567"/>
      <w:bookmarkEnd w:id="1081"/>
      <w:bookmarkStart w:id="1082" w:name="_Toc267251439"/>
      <w:bookmarkEnd w:id="1082"/>
      <w:bookmarkStart w:id="1083" w:name="_Toc300934990"/>
      <w:bookmarkEnd w:id="1083"/>
      <w:bookmarkStart w:id="1084" w:name="_Toc292559399"/>
      <w:bookmarkEnd w:id="1084"/>
      <w:bookmarkStart w:id="1085" w:name="_Toc267251435"/>
      <w:bookmarkEnd w:id="1085"/>
      <w:bookmarkStart w:id="1086" w:name="_Toc296503194"/>
      <w:bookmarkEnd w:id="1086"/>
      <w:bookmarkStart w:id="1087" w:name="_Toc373478390"/>
      <w:bookmarkEnd w:id="1087"/>
      <w:bookmarkStart w:id="1088" w:name="_Toc267251433"/>
      <w:bookmarkEnd w:id="1088"/>
      <w:bookmarkStart w:id="1089" w:name="_Toc296944533"/>
      <w:bookmarkEnd w:id="1089"/>
      <w:bookmarkStart w:id="1090" w:name="_Toc296346695"/>
      <w:bookmarkEnd w:id="1090"/>
      <w:bookmarkStart w:id="1091" w:name="_Toc267251440"/>
      <w:bookmarkEnd w:id="1091"/>
      <w:bookmarkStart w:id="1092" w:name="_Toc267251437"/>
      <w:bookmarkEnd w:id="1092"/>
      <w:bookmarkStart w:id="1093" w:name="_Toc389065309"/>
      <w:bookmarkEnd w:id="1093"/>
      <w:bookmarkStart w:id="1094" w:name="_Toc297120494"/>
      <w:bookmarkEnd w:id="1094"/>
      <w:bookmarkStart w:id="1095" w:name="_Toc407135246"/>
      <w:bookmarkEnd w:id="1095"/>
      <w:bookmarkStart w:id="1096" w:name="_Toc312678026"/>
      <w:bookmarkEnd w:id="1096"/>
      <w:bookmarkStart w:id="1097" w:name="_Toc297123541"/>
      <w:bookmarkEnd w:id="1097"/>
      <w:bookmarkStart w:id="1098" w:name="_Toc297216200"/>
      <w:bookmarkEnd w:id="1098"/>
      <w:bookmarkStart w:id="1099" w:name="_Toc650800266"/>
      <w:bookmarkEnd w:id="1099"/>
      <w:bookmarkStart w:id="1100" w:name="_Toc303539147"/>
      <w:bookmarkEnd w:id="1100"/>
      <w:bookmarkStart w:id="1101" w:name="_Toc267251441"/>
      <w:bookmarkEnd w:id="1101"/>
      <w:bookmarkStart w:id="1102" w:name="_Toc296347193"/>
      <w:bookmarkEnd w:id="1102"/>
      <w:bookmarkStart w:id="1103" w:name="_Toc312677500"/>
      <w:bookmarkEnd w:id="1103"/>
      <w:bookmarkStart w:id="1104" w:name="_Toc78449832"/>
      <w:bookmarkEnd w:id="1104"/>
      <w:bookmarkStart w:id="1105" w:name="_Toc373227743"/>
      <w:bookmarkEnd w:id="1105"/>
      <w:bookmarkStart w:id="1106" w:name="_Toc141175171"/>
      <w:bookmarkEnd w:id="1106"/>
      <w:bookmarkStart w:id="1107" w:name="_Toc292559904"/>
      <w:bookmarkEnd w:id="1107"/>
      <w:bookmarkStart w:id="1108" w:name="_Toc296891234"/>
      <w:bookmarkEnd w:id="1108"/>
      <w:bookmarkStart w:id="1109" w:name="_Toc267251442"/>
      <w:r>
        <w:rPr>
          <w:rFonts w:hint="eastAsia" w:ascii="宋体" w:hAnsi="宋体" w:cs="宋体"/>
          <w:b/>
          <w:bCs/>
          <w:color w:val="auto"/>
          <w:szCs w:val="21"/>
          <w:highlight w:val="none"/>
          <w:lang w:bidi="ar"/>
        </w:rPr>
        <w:t>7. 工期和进度</w:t>
      </w:r>
      <w:bookmarkEnd w:id="1109"/>
    </w:p>
    <w:p w14:paraId="58CC936B">
      <w:pPr>
        <w:spacing w:after="120" w:line="400" w:lineRule="exact"/>
        <w:ind w:firstLine="420" w:firstLineChars="200"/>
        <w:jc w:val="left"/>
        <w:rPr>
          <w:rFonts w:ascii="宋体" w:hAnsi="宋体" w:cs="宋体"/>
          <w:b/>
          <w:color w:val="auto"/>
          <w:szCs w:val="21"/>
          <w:highlight w:val="none"/>
        </w:rPr>
      </w:pPr>
      <w:r>
        <w:rPr>
          <w:rFonts w:hint="eastAsia" w:ascii="宋体" w:hAnsi="宋体" w:cs="宋体"/>
          <w:b/>
          <w:color w:val="auto"/>
          <w:szCs w:val="21"/>
          <w:highlight w:val="none"/>
          <w:lang w:bidi="ar"/>
        </w:rPr>
        <w:t>7.1 施工组织设计</w:t>
      </w:r>
    </w:p>
    <w:p w14:paraId="3B4067FB">
      <w:pPr>
        <w:autoSpaceDE w:val="0"/>
        <w:autoSpaceDN w:val="0"/>
        <w:adjustRightInd w:val="0"/>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lang w:bidi="ar"/>
        </w:rPr>
        <w:t>7.1.1 合</w:t>
      </w:r>
      <w:r>
        <w:rPr>
          <w:rFonts w:hint="eastAsia" w:ascii="宋体" w:hAnsi="宋体" w:cs="宋体"/>
          <w:color w:val="auto"/>
          <w:kern w:val="0"/>
          <w:szCs w:val="21"/>
          <w:highlight w:val="none"/>
          <w:lang w:bidi="ar"/>
        </w:rPr>
        <w:t>同当事人约定的施工组织设计应包括的其他内容：</w:t>
      </w:r>
      <w:r>
        <w:rPr>
          <w:rFonts w:hint="eastAsia" w:ascii="宋体" w:hAnsi="宋体" w:cs="宋体"/>
          <w:color w:val="auto"/>
          <w:szCs w:val="21"/>
          <w:highlight w:val="none"/>
          <w:u w:val="single"/>
          <w:lang w:bidi="ar"/>
        </w:rPr>
        <w:t xml:space="preserve">  (1)管理人员名单，含职称、职务并 附相关人员岗位证书等复印件；（2）施工进度计划包括总进度计划、分阶段和分项进度计划、设备材料人员进场计划；施工方案说明包括分部、分项工程或工程部位的名称及施工顺序和方法；（3）国家及地方有关规定应当提交的内容。</w:t>
      </w:r>
    </w:p>
    <w:p w14:paraId="30E1E88B">
      <w:pPr>
        <w:autoSpaceDE w:val="0"/>
        <w:autoSpaceDN w:val="0"/>
        <w:adjustRightInd w:val="0"/>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lang w:bidi="ar"/>
        </w:rPr>
        <w:t xml:space="preserve">7.1.2 </w:t>
      </w:r>
      <w:r>
        <w:rPr>
          <w:rFonts w:hint="eastAsia" w:ascii="宋体" w:hAnsi="宋体" w:cs="宋体"/>
          <w:color w:val="auto"/>
          <w:kern w:val="0"/>
          <w:szCs w:val="21"/>
          <w:highlight w:val="none"/>
          <w:lang w:bidi="ar"/>
        </w:rPr>
        <w:t>施工组织设计的提交和修改</w:t>
      </w:r>
    </w:p>
    <w:p w14:paraId="65A2E699">
      <w:pPr>
        <w:autoSpaceDE w:val="0"/>
        <w:autoSpaceDN w:val="0"/>
        <w:adjustRightIn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承包人提交详细施工组织设计的期限的约定：</w:t>
      </w:r>
      <w:r>
        <w:rPr>
          <w:rFonts w:hint="eastAsia" w:ascii="宋体" w:hAnsi="宋体" w:cs="宋体"/>
          <w:color w:val="auto"/>
          <w:szCs w:val="21"/>
          <w:highlight w:val="none"/>
          <w:u w:val="single"/>
          <w:lang w:bidi="ar"/>
        </w:rPr>
        <w:t xml:space="preserve">    合同签订后14个日历天内，最迟不得晚于开工通知载明的开工日期前7个日历天 </w:t>
      </w:r>
      <w:r>
        <w:rPr>
          <w:rFonts w:hint="eastAsia" w:ascii="宋体" w:hAnsi="宋体" w:cs="宋体"/>
          <w:color w:val="auto"/>
          <w:szCs w:val="21"/>
          <w:highlight w:val="none"/>
          <w:lang w:bidi="ar"/>
        </w:rPr>
        <w:t>。</w:t>
      </w:r>
    </w:p>
    <w:p w14:paraId="35756E13">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发包人和监理人在收到详细的施工组织设计后确认或提出修改意见的期限：</w:t>
      </w:r>
      <w:r>
        <w:rPr>
          <w:rFonts w:hint="eastAsia" w:ascii="宋体" w:hAnsi="宋体" w:cs="宋体"/>
          <w:color w:val="auto"/>
          <w:szCs w:val="21"/>
          <w:highlight w:val="none"/>
          <w:u w:val="single"/>
          <w:lang w:bidi="ar"/>
        </w:rPr>
        <w:t xml:space="preserve">   收到施工组织设计后7个日历天内确认或提出修改意见      </w:t>
      </w:r>
      <w:r>
        <w:rPr>
          <w:rFonts w:hint="eastAsia" w:ascii="宋体" w:hAnsi="宋体" w:cs="宋体"/>
          <w:color w:val="auto"/>
          <w:szCs w:val="21"/>
          <w:highlight w:val="none"/>
          <w:lang w:bidi="ar"/>
        </w:rPr>
        <w:t>。</w:t>
      </w:r>
    </w:p>
    <w:p w14:paraId="750C975B">
      <w:pPr>
        <w:spacing w:after="120" w:line="400" w:lineRule="exact"/>
        <w:ind w:firstLine="420" w:firstLineChars="200"/>
        <w:jc w:val="left"/>
        <w:rPr>
          <w:rFonts w:ascii="宋体" w:hAnsi="宋体" w:cs="宋体"/>
          <w:b/>
          <w:color w:val="auto"/>
          <w:szCs w:val="21"/>
          <w:highlight w:val="none"/>
        </w:rPr>
      </w:pPr>
      <w:r>
        <w:rPr>
          <w:rFonts w:hint="eastAsia" w:ascii="宋体" w:hAnsi="宋体" w:cs="宋体"/>
          <w:b/>
          <w:color w:val="auto"/>
          <w:szCs w:val="21"/>
          <w:highlight w:val="none"/>
          <w:lang w:bidi="ar"/>
        </w:rPr>
        <w:t>7.2 施工进度计划</w:t>
      </w:r>
    </w:p>
    <w:p w14:paraId="7F1770B2">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7.2.2 施工进度计划的修订</w:t>
      </w:r>
    </w:p>
    <w:p w14:paraId="414B5992">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发包人和监理人在收到修订的施工进度计划后确认或提出修改意见的期限：</w:t>
      </w:r>
      <w:r>
        <w:rPr>
          <w:rFonts w:hint="eastAsia" w:ascii="宋体" w:hAnsi="宋体" w:cs="宋体"/>
          <w:color w:val="auto"/>
          <w:szCs w:val="21"/>
          <w:highlight w:val="none"/>
          <w:u w:val="single"/>
          <w:lang w:bidi="ar"/>
        </w:rPr>
        <w:t xml:space="preserve">    收到修订的施工进度计划后7个日历天内      </w:t>
      </w:r>
      <w:r>
        <w:rPr>
          <w:rFonts w:hint="eastAsia" w:ascii="宋体" w:hAnsi="宋体" w:cs="宋体"/>
          <w:color w:val="auto"/>
          <w:szCs w:val="21"/>
          <w:highlight w:val="none"/>
          <w:lang w:bidi="ar"/>
        </w:rPr>
        <w:t>。</w:t>
      </w:r>
    </w:p>
    <w:p w14:paraId="02B80817">
      <w:pPr>
        <w:spacing w:after="120" w:line="400" w:lineRule="exact"/>
        <w:ind w:firstLine="420" w:firstLineChars="200"/>
        <w:jc w:val="left"/>
        <w:rPr>
          <w:rFonts w:ascii="宋体" w:hAnsi="宋体" w:cs="宋体"/>
          <w:b/>
          <w:color w:val="auto"/>
          <w:szCs w:val="21"/>
          <w:highlight w:val="none"/>
        </w:rPr>
      </w:pPr>
      <w:r>
        <w:rPr>
          <w:rFonts w:hint="eastAsia" w:ascii="宋体" w:hAnsi="宋体" w:cs="宋体"/>
          <w:b/>
          <w:color w:val="auto"/>
          <w:szCs w:val="21"/>
          <w:highlight w:val="none"/>
          <w:lang w:bidi="ar"/>
        </w:rPr>
        <w:t>7.3 开工</w:t>
      </w:r>
    </w:p>
    <w:p w14:paraId="691B09DC">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7.3.1 开工准备</w:t>
      </w:r>
    </w:p>
    <w:p w14:paraId="4D561CE8">
      <w:pPr>
        <w:spacing w:line="400" w:lineRule="exact"/>
        <w:ind w:firstLine="426"/>
        <w:jc w:val="left"/>
        <w:rPr>
          <w:rFonts w:ascii="宋体" w:hAnsi="宋体" w:cs="宋体"/>
          <w:color w:val="auto"/>
          <w:szCs w:val="21"/>
          <w:highlight w:val="none"/>
          <w:u w:val="single"/>
        </w:rPr>
      </w:pPr>
      <w:r>
        <w:rPr>
          <w:rFonts w:hint="eastAsia" w:ascii="宋体" w:hAnsi="宋体" w:cs="宋体"/>
          <w:color w:val="auto"/>
          <w:szCs w:val="21"/>
          <w:highlight w:val="none"/>
          <w:lang w:bidi="ar"/>
        </w:rPr>
        <w:t>关于承包人提交</w:t>
      </w:r>
      <w:r>
        <w:rPr>
          <w:rFonts w:hint="eastAsia" w:ascii="宋体" w:hAnsi="宋体" w:cs="宋体"/>
          <w:color w:val="auto"/>
          <w:kern w:val="0"/>
          <w:szCs w:val="21"/>
          <w:highlight w:val="none"/>
          <w:lang w:bidi="ar"/>
        </w:rPr>
        <w:t>工程开工报审表的期限：</w:t>
      </w:r>
      <w:r>
        <w:rPr>
          <w:rFonts w:hint="eastAsia" w:ascii="宋体" w:hAnsi="宋体" w:cs="宋体"/>
          <w:color w:val="auto"/>
          <w:szCs w:val="21"/>
          <w:highlight w:val="none"/>
          <w:u w:val="single"/>
          <w:lang w:bidi="ar"/>
        </w:rPr>
        <w:t xml:space="preserve">  承包人接收符合开工条件的场地后7个日历天内，至少开工前3个日历天  </w:t>
      </w:r>
      <w:r>
        <w:rPr>
          <w:rFonts w:hint="eastAsia" w:ascii="宋体" w:hAnsi="宋体" w:cs="宋体"/>
          <w:color w:val="auto"/>
          <w:szCs w:val="21"/>
          <w:highlight w:val="none"/>
          <w:lang w:bidi="ar"/>
        </w:rPr>
        <w:t>。</w:t>
      </w:r>
    </w:p>
    <w:p w14:paraId="7B9FD4E8">
      <w:pPr>
        <w:spacing w:line="400" w:lineRule="exact"/>
        <w:ind w:firstLine="426"/>
        <w:jc w:val="left"/>
        <w:rPr>
          <w:rFonts w:ascii="宋体" w:hAnsi="宋体" w:cs="宋体"/>
          <w:color w:val="auto"/>
          <w:szCs w:val="21"/>
          <w:highlight w:val="none"/>
        </w:rPr>
      </w:pPr>
      <w:r>
        <w:rPr>
          <w:rFonts w:hint="eastAsia" w:ascii="宋体" w:hAnsi="宋体" w:cs="宋体"/>
          <w:color w:val="auto"/>
          <w:szCs w:val="21"/>
          <w:highlight w:val="none"/>
          <w:lang w:bidi="ar"/>
        </w:rPr>
        <w:t>关于发包人应完成的其他开工准备工作及期限：</w:t>
      </w:r>
      <w:r>
        <w:rPr>
          <w:rFonts w:hint="eastAsia" w:ascii="宋体" w:hAnsi="宋体" w:cs="宋体"/>
          <w:color w:val="auto"/>
          <w:szCs w:val="21"/>
          <w:highlight w:val="none"/>
          <w:u w:val="single"/>
          <w:lang w:bidi="ar"/>
        </w:rPr>
        <w:t xml:space="preserve">  无 </w:t>
      </w:r>
      <w:r>
        <w:rPr>
          <w:rFonts w:hint="eastAsia" w:ascii="宋体" w:hAnsi="宋体" w:cs="宋体"/>
          <w:color w:val="auto"/>
          <w:szCs w:val="21"/>
          <w:highlight w:val="none"/>
          <w:lang w:bidi="ar"/>
        </w:rPr>
        <w:t>。</w:t>
      </w:r>
    </w:p>
    <w:p w14:paraId="3DB7C650">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关于承包人应完成的其他开工准备工作及期限：</w:t>
      </w:r>
      <w:r>
        <w:rPr>
          <w:rFonts w:hint="eastAsia" w:ascii="宋体" w:hAnsi="宋体" w:cs="宋体"/>
          <w:color w:val="auto"/>
          <w:szCs w:val="21"/>
          <w:highlight w:val="none"/>
          <w:u w:val="single"/>
          <w:lang w:bidi="ar"/>
        </w:rPr>
        <w:t xml:space="preserve">   开工前3个日历天  </w:t>
      </w:r>
      <w:r>
        <w:rPr>
          <w:rFonts w:hint="eastAsia" w:ascii="宋体" w:hAnsi="宋体" w:cs="宋体"/>
          <w:color w:val="auto"/>
          <w:szCs w:val="21"/>
          <w:highlight w:val="none"/>
          <w:lang w:bidi="ar"/>
        </w:rPr>
        <w:t>。</w:t>
      </w:r>
    </w:p>
    <w:p w14:paraId="4E3FB29E">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7.3.2开工通知</w:t>
      </w:r>
    </w:p>
    <w:p w14:paraId="7CB44324">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因发包人原因造成监理人未能在计划开工日期之日起</w:t>
      </w:r>
      <w:r>
        <w:rPr>
          <w:rFonts w:hint="eastAsia" w:ascii="宋体" w:hAnsi="宋体" w:cs="宋体"/>
          <w:color w:val="auto"/>
          <w:szCs w:val="21"/>
          <w:highlight w:val="none"/>
          <w:u w:val="single"/>
          <w:lang w:bidi="ar"/>
        </w:rPr>
        <w:t xml:space="preserve">   60  </w:t>
      </w:r>
      <w:r>
        <w:rPr>
          <w:rFonts w:hint="eastAsia" w:ascii="宋体" w:hAnsi="宋体" w:cs="宋体"/>
          <w:color w:val="auto"/>
          <w:szCs w:val="21"/>
          <w:highlight w:val="none"/>
          <w:lang w:bidi="ar"/>
        </w:rPr>
        <w:t>天内发出开工通知的，承包人不能提出价格调整要求，或者解除合同。</w:t>
      </w:r>
    </w:p>
    <w:p w14:paraId="2A80C3ED">
      <w:pPr>
        <w:spacing w:after="120" w:line="400" w:lineRule="exact"/>
        <w:ind w:firstLine="420" w:firstLineChars="200"/>
        <w:jc w:val="left"/>
        <w:rPr>
          <w:rFonts w:ascii="宋体" w:hAnsi="宋体" w:cs="宋体"/>
          <w:b/>
          <w:color w:val="auto"/>
          <w:szCs w:val="21"/>
          <w:highlight w:val="none"/>
        </w:rPr>
      </w:pPr>
      <w:r>
        <w:rPr>
          <w:rFonts w:hint="eastAsia" w:ascii="宋体" w:hAnsi="宋体" w:cs="宋体"/>
          <w:b/>
          <w:color w:val="auto"/>
          <w:szCs w:val="21"/>
          <w:highlight w:val="none"/>
          <w:lang w:bidi="ar"/>
        </w:rPr>
        <w:t>7.4 测量放线</w:t>
      </w:r>
    </w:p>
    <w:p w14:paraId="28E91AB7">
      <w:pPr>
        <w:spacing w:line="40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lang w:bidi="ar"/>
        </w:rPr>
        <w:t>7.4.1发包人通过监理人向承包人提供测量基准点、基准线和水准点及其书面资料的期限：</w:t>
      </w:r>
      <w:r>
        <w:rPr>
          <w:rFonts w:hint="eastAsia" w:ascii="宋体" w:hAnsi="宋体" w:cs="宋体"/>
          <w:color w:val="auto"/>
          <w:szCs w:val="21"/>
          <w:highlight w:val="none"/>
          <w:u w:val="single"/>
          <w:lang w:bidi="ar"/>
        </w:rPr>
        <w:t xml:space="preserve">    开工通知载明的开工日前7天      </w:t>
      </w:r>
      <w:r>
        <w:rPr>
          <w:rFonts w:hint="eastAsia" w:ascii="宋体" w:hAnsi="宋体" w:cs="宋体"/>
          <w:color w:val="auto"/>
          <w:szCs w:val="21"/>
          <w:highlight w:val="none"/>
          <w:lang w:bidi="ar"/>
        </w:rPr>
        <w:t>。</w:t>
      </w:r>
    </w:p>
    <w:p w14:paraId="11B29A20">
      <w:pPr>
        <w:spacing w:after="120" w:line="400" w:lineRule="exact"/>
        <w:ind w:firstLine="420" w:firstLineChars="200"/>
        <w:jc w:val="left"/>
        <w:rPr>
          <w:rFonts w:ascii="宋体" w:hAnsi="宋体" w:cs="宋体"/>
          <w:b/>
          <w:color w:val="auto"/>
          <w:szCs w:val="21"/>
          <w:highlight w:val="none"/>
        </w:rPr>
      </w:pPr>
      <w:r>
        <w:rPr>
          <w:rFonts w:hint="eastAsia" w:ascii="宋体" w:hAnsi="宋体" w:cs="宋体"/>
          <w:b/>
          <w:color w:val="auto"/>
          <w:szCs w:val="21"/>
          <w:highlight w:val="none"/>
          <w:lang w:bidi="ar"/>
        </w:rPr>
        <w:t>7.5 工期延误</w:t>
      </w:r>
    </w:p>
    <w:p w14:paraId="0BCF8795">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7.5.1 因发包人原因导致工期延误</w:t>
      </w:r>
    </w:p>
    <w:p w14:paraId="33911D52">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（7）因发包人原因导致工期延误的其他情形：</w:t>
      </w:r>
      <w:r>
        <w:rPr>
          <w:rFonts w:hint="eastAsia" w:ascii="宋体" w:hAnsi="宋体" w:cs="宋体"/>
          <w:color w:val="auto"/>
          <w:szCs w:val="21"/>
          <w:highlight w:val="none"/>
          <w:u w:val="single"/>
          <w:lang w:bidi="ar"/>
        </w:rPr>
        <w:t xml:space="preserve"> ①重大图纸变更影响</w:t>
      </w:r>
      <w:r>
        <w:rPr>
          <w:rFonts w:hint="eastAsia" w:ascii="宋体" w:hAnsi="宋体" w:cs="宋体"/>
          <w:color w:val="auto"/>
          <w:szCs w:val="21"/>
          <w:highlight w:val="none"/>
          <w:u w:val="single"/>
          <w:lang w:eastAsia="zh-CN" w:bidi="ar"/>
        </w:rPr>
        <w:t>关键</w:t>
      </w:r>
      <w:r>
        <w:rPr>
          <w:rFonts w:hint="eastAsia" w:ascii="宋体" w:hAnsi="宋体" w:cs="宋体"/>
          <w:color w:val="auto"/>
          <w:szCs w:val="21"/>
          <w:highlight w:val="none"/>
          <w:u w:val="single"/>
          <w:lang w:bidi="ar"/>
        </w:rPr>
        <w:t>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 。</w:t>
      </w:r>
    </w:p>
    <w:p w14:paraId="611EA37C">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7.5.2 因承包人原因导致工期延误</w:t>
      </w:r>
    </w:p>
    <w:p w14:paraId="6F72BDEF">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双方约定经监理工程师确认，工期相应顺延的情况：</w:t>
      </w:r>
      <w:r>
        <w:rPr>
          <w:rFonts w:hint="eastAsia" w:ascii="宋体" w:hAnsi="宋体" w:cs="宋体"/>
          <w:color w:val="auto"/>
          <w:szCs w:val="21"/>
          <w:highlight w:val="none"/>
          <w:u w:val="single"/>
          <w:lang w:bidi="ar"/>
        </w:rPr>
        <w:t xml:space="preserve"> （1）发包人不能按专用条款的约定提供开工条件的。（2）设计变更和工程量增加的。（3）一周内非承包人原因停水、停电、停气造成停工累计超过8小时的。（4）发生不可抗力。（5）专用条款中约定同意工期顺延的其他情况</w:t>
      </w:r>
      <w:r>
        <w:rPr>
          <w:rFonts w:hint="eastAsia" w:ascii="宋体" w:hAnsi="宋体" w:cs="宋体"/>
          <w:color w:val="auto"/>
          <w:szCs w:val="21"/>
          <w:highlight w:val="none"/>
          <w:lang w:bidi="ar"/>
        </w:rPr>
        <w:t>。</w:t>
      </w:r>
    </w:p>
    <w:p w14:paraId="1FED7DA0">
      <w:pPr>
        <w:spacing w:line="420" w:lineRule="exact"/>
        <w:ind w:firstLine="630" w:firstLineChars="300"/>
        <w:rPr>
          <w:rFonts w:ascii="宋体" w:hAnsi="宋体" w:cs="宋体"/>
          <w:color w:val="auto"/>
          <w:szCs w:val="21"/>
          <w:highlight w:val="none"/>
          <w:u w:val="single"/>
        </w:rPr>
      </w:pPr>
      <w:r>
        <w:rPr>
          <w:rFonts w:hint="eastAsia" w:ascii="宋体" w:hAnsi="宋体" w:cs="宋体"/>
          <w:color w:val="auto"/>
          <w:szCs w:val="21"/>
          <w:highlight w:val="none"/>
          <w:lang w:bidi="ar"/>
        </w:rPr>
        <w:t>承包人原因造成工期延误，逾期竣工违约金的计算方法为：</w:t>
      </w:r>
      <w:r>
        <w:rPr>
          <w:rFonts w:hint="eastAsia" w:ascii="宋体" w:hAnsi="宋体" w:cs="宋体"/>
          <w:color w:val="auto"/>
          <w:szCs w:val="21"/>
          <w:highlight w:val="none"/>
          <w:u w:val="single"/>
          <w:lang w:bidi="ar"/>
        </w:rPr>
        <w:t>非上述原因，承包人不能按合同约定的时间竣工，承包人应承担违约责任。应向发包人支付误期赔偿金（每天赔偿金额为合同价款扣除社会保险费、发包人材料价款、暂估专业工程、暂列金额后的万分之四），误期时间从合同约定的竣工日期起直到全部工程或相应部分工程竣工验收各方签章日期之间的天数（扣除发包人批准顺延的工期）。发包人可从应向承包人支付的任何金额中扣除次项赔款费或其他方式收回此款，此赔偿款的支付并不能解除承包人应完成工程的责任和合同规定的其他责任。</w:t>
      </w:r>
    </w:p>
    <w:p w14:paraId="74F92A14">
      <w:pPr>
        <w:spacing w:line="400" w:lineRule="exact"/>
        <w:ind w:firstLine="630" w:firstLineChars="300"/>
        <w:jc w:val="left"/>
        <w:rPr>
          <w:rFonts w:ascii="宋体" w:hAnsi="宋体" w:cs="宋体"/>
          <w:color w:val="auto"/>
          <w:szCs w:val="21"/>
          <w:highlight w:val="none"/>
          <w:u w:val="single"/>
        </w:rPr>
      </w:pPr>
      <w:r>
        <w:rPr>
          <w:rFonts w:hint="eastAsia" w:ascii="宋体" w:hAnsi="宋体" w:cs="宋体"/>
          <w:color w:val="auto"/>
          <w:szCs w:val="21"/>
          <w:highlight w:val="none"/>
          <w:u w:val="single"/>
          <w:lang w:bidi="ar"/>
        </w:rPr>
        <w:t>因承包人原因造成工期延误，逾期竣工违约金的上限：逾期竣工的单项工程结算造价的2%，发包人可从应向承包人支付的任何金额中扣除此项赔款费或其他方式收回此款，此赔偿款的支付并不能解除承包人应完成工程的责任或合同规定的其他责任。</w:t>
      </w:r>
    </w:p>
    <w:p w14:paraId="15D041FF">
      <w:pPr>
        <w:spacing w:after="120" w:line="400" w:lineRule="exact"/>
        <w:ind w:firstLine="420" w:firstLineChars="200"/>
        <w:jc w:val="left"/>
        <w:outlineLvl w:val="0"/>
        <w:rPr>
          <w:rFonts w:ascii="宋体" w:hAnsi="宋体" w:cs="宋体"/>
          <w:b/>
          <w:color w:val="auto"/>
          <w:szCs w:val="21"/>
          <w:highlight w:val="none"/>
        </w:rPr>
      </w:pPr>
      <w:r>
        <w:rPr>
          <w:rFonts w:hint="eastAsia" w:ascii="宋体" w:hAnsi="宋体" w:cs="宋体"/>
          <w:b/>
          <w:color w:val="auto"/>
          <w:szCs w:val="21"/>
          <w:highlight w:val="none"/>
          <w:lang w:bidi="ar"/>
        </w:rPr>
        <w:t xml:space="preserve"> 7.6 不利物质条件</w:t>
      </w:r>
    </w:p>
    <w:p w14:paraId="71808982">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不利物质条件的其他情形和有关约定：</w:t>
      </w:r>
      <w:r>
        <w:rPr>
          <w:rFonts w:hint="eastAsia" w:ascii="宋体" w:hAnsi="宋体" w:cs="宋体"/>
          <w:color w:val="auto"/>
          <w:szCs w:val="21"/>
          <w:highlight w:val="none"/>
          <w:u w:val="single"/>
          <w:lang w:bidi="ar"/>
        </w:rPr>
        <w:t xml:space="preserve">一周内非承包人原因，停水停电等造成停工连续超过24 小时；重大设计变更和工程量增加；发包人手续不全不能正常进行；发包人未能按约定时间支付工程款致使施工不能正常进行的，非承包人原因的政府及发包人有关的停工通知，以上不利物质条件延误工期的相应延长工期；属于政府和环境等原因引起的，由双方协商处理 </w:t>
      </w:r>
      <w:r>
        <w:rPr>
          <w:rFonts w:hint="eastAsia" w:ascii="宋体" w:hAnsi="宋体" w:cs="宋体"/>
          <w:color w:val="auto"/>
          <w:szCs w:val="21"/>
          <w:highlight w:val="none"/>
          <w:lang w:bidi="ar"/>
        </w:rPr>
        <w:t>。</w:t>
      </w:r>
    </w:p>
    <w:p w14:paraId="6B283111">
      <w:pPr>
        <w:spacing w:after="120" w:line="400" w:lineRule="exact"/>
        <w:ind w:firstLine="420" w:firstLineChars="200"/>
        <w:jc w:val="left"/>
        <w:rPr>
          <w:rFonts w:ascii="宋体" w:hAnsi="宋体" w:cs="宋体"/>
          <w:b/>
          <w:color w:val="auto"/>
          <w:szCs w:val="21"/>
          <w:highlight w:val="none"/>
        </w:rPr>
      </w:pPr>
      <w:r>
        <w:rPr>
          <w:rFonts w:hint="eastAsia" w:ascii="宋体" w:hAnsi="宋体" w:cs="宋体"/>
          <w:b/>
          <w:color w:val="auto"/>
          <w:szCs w:val="21"/>
          <w:highlight w:val="none"/>
          <w:lang w:bidi="ar"/>
        </w:rPr>
        <w:t>7.7异常恶劣的气候条件</w:t>
      </w:r>
    </w:p>
    <w:p w14:paraId="7FEF484A">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发包人和承包人同意以下情形视为异常恶劣的气候条件：</w:t>
      </w:r>
    </w:p>
    <w:p w14:paraId="19B54D79">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（1）</w:t>
      </w:r>
      <w:r>
        <w:rPr>
          <w:rFonts w:hint="eastAsia" w:ascii="宋体" w:hAnsi="宋体" w:cs="宋体"/>
          <w:color w:val="auto"/>
          <w:kern w:val="2"/>
          <w:sz w:val="21"/>
          <w:szCs w:val="21"/>
          <w:highlight w:val="none"/>
          <w:u w:val="single"/>
          <w:lang w:bidi="ar"/>
        </w:rPr>
        <w:t>当地6级以上的破坏性地震</w:t>
      </w:r>
      <w:r>
        <w:rPr>
          <w:rFonts w:hint="eastAsia" w:ascii="宋体" w:hAnsi="宋体" w:cs="宋体"/>
          <w:color w:val="auto"/>
          <w:kern w:val="2"/>
          <w:sz w:val="21"/>
          <w:szCs w:val="21"/>
          <w:highlight w:val="none"/>
          <w:lang w:bidi="ar"/>
        </w:rPr>
        <w:t>；</w:t>
      </w:r>
    </w:p>
    <w:p w14:paraId="5B69E7E8">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（2）</w:t>
      </w:r>
      <w:r>
        <w:rPr>
          <w:rFonts w:hint="eastAsia" w:ascii="宋体" w:hAnsi="宋体" w:cs="宋体"/>
          <w:color w:val="auto"/>
          <w:kern w:val="2"/>
          <w:sz w:val="21"/>
          <w:szCs w:val="21"/>
          <w:highlight w:val="none"/>
          <w:u w:val="single"/>
          <w:lang w:bidi="ar"/>
        </w:rPr>
        <w:t>持续3天以上暴雨级的天气</w:t>
      </w:r>
      <w:r>
        <w:rPr>
          <w:rFonts w:hint="eastAsia" w:ascii="宋体" w:hAnsi="宋体" w:cs="宋体"/>
          <w:color w:val="auto"/>
          <w:kern w:val="2"/>
          <w:sz w:val="21"/>
          <w:szCs w:val="21"/>
          <w:highlight w:val="none"/>
          <w:lang w:bidi="ar"/>
        </w:rPr>
        <w:t>；</w:t>
      </w:r>
    </w:p>
    <w:p w14:paraId="08F29E07">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u w:val="single"/>
        </w:rPr>
      </w:pPr>
      <w:r>
        <w:rPr>
          <w:rFonts w:hint="eastAsia" w:ascii="宋体" w:hAnsi="宋体" w:cs="宋体"/>
          <w:color w:val="auto"/>
          <w:kern w:val="2"/>
          <w:sz w:val="21"/>
          <w:szCs w:val="21"/>
          <w:highlight w:val="none"/>
          <w:lang w:bidi="ar"/>
        </w:rPr>
        <w:t>（3）</w:t>
      </w:r>
      <w:r>
        <w:rPr>
          <w:rFonts w:hint="eastAsia" w:ascii="宋体" w:hAnsi="宋体" w:cs="宋体"/>
          <w:color w:val="auto"/>
          <w:kern w:val="2"/>
          <w:sz w:val="21"/>
          <w:szCs w:val="21"/>
          <w:highlight w:val="none"/>
          <w:u w:val="single"/>
          <w:lang w:bidi="ar"/>
        </w:rPr>
        <w:t>20年以上未发生过的洪水。</w:t>
      </w:r>
    </w:p>
    <w:p w14:paraId="5EA537DA">
      <w:pPr>
        <w:spacing w:after="120" w:line="400" w:lineRule="exact"/>
        <w:ind w:firstLine="420" w:firstLineChars="200"/>
        <w:outlineLvl w:val="0"/>
        <w:rPr>
          <w:rFonts w:ascii="宋体" w:hAnsi="宋体" w:cs="宋体"/>
          <w:b/>
          <w:bCs/>
          <w:color w:val="auto"/>
          <w:szCs w:val="21"/>
          <w:highlight w:val="none"/>
        </w:rPr>
      </w:pPr>
      <w:r>
        <w:rPr>
          <w:rFonts w:hint="eastAsia" w:ascii="宋体" w:hAnsi="宋体" w:cs="宋体"/>
          <w:b/>
          <w:bCs/>
          <w:color w:val="auto"/>
          <w:szCs w:val="21"/>
          <w:highlight w:val="none"/>
          <w:lang w:bidi="ar"/>
        </w:rPr>
        <w:t xml:space="preserve">7.8 </w:t>
      </w:r>
      <w:r>
        <w:rPr>
          <w:rFonts w:hint="eastAsia" w:ascii="宋体" w:hAnsi="宋体" w:cs="宋体"/>
          <w:b/>
          <w:bCs/>
          <w:color w:val="auto"/>
          <w:spacing w:val="-5"/>
          <w:szCs w:val="21"/>
          <w:highlight w:val="none"/>
          <w:lang w:bidi="ar"/>
        </w:rPr>
        <w:t>暂停施工</w:t>
      </w:r>
    </w:p>
    <w:p w14:paraId="035C80B6">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承包人原因引起的暂停施工：</w:t>
      </w:r>
    </w:p>
    <w:p w14:paraId="0EC289C8">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承包人承担暂停施工责任的其他情形：(1)监理工程师为保证工程质量和施工安全所指令的暂停施工；(2)因质量安全隐患或事故，被建设行政主管部门及安全生产监督责令暂停施工或自行暂停施工；(3)因承包人违反规范或任何工程质量不合格而进行返工、重建、修建的工期；(4)未按设计要求进行施工、或因施工组织方案不可行导致发包人未能按时审批而影响开工的；(5)工程验收不合格发现存在质量问题或技术问题需要修改的；(6)承包人与发包人未能在约定时间内达成一致而暂停施工；(7)工程质量未达到等级标准要求，发包人要求承包人返工的；(8)承包人因农忙时期而暂停施工；综上所述其工期不予顺延，责任由承包方自行承担。</w:t>
      </w:r>
    </w:p>
    <w:p w14:paraId="582C71F4">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因承包人责任暂停施工延误施工时机而导致遭遇不利条件物质条件和异常恶劣的气候条件、不可抗力造成的工期延误和费用增加由承包人承担。</w:t>
      </w:r>
    </w:p>
    <w:p w14:paraId="3C1C959A">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7.8.5暂停施工后的复工</w:t>
      </w:r>
    </w:p>
    <w:p w14:paraId="2FA4075E">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监理人发出复工通知后，监理人应和承包人一起对受到暂停施工影响的工程、材料和工程</w:t>
      </w:r>
    </w:p>
    <w:p w14:paraId="42BB737F">
      <w:pPr>
        <w:spacing w:line="400" w:lineRule="exact"/>
        <w:jc w:val="left"/>
        <w:rPr>
          <w:rFonts w:ascii="宋体" w:hAnsi="宋体" w:cs="宋体"/>
          <w:color w:val="auto"/>
          <w:szCs w:val="21"/>
          <w:highlight w:val="none"/>
        </w:rPr>
      </w:pPr>
      <w:r>
        <w:rPr>
          <w:rFonts w:hint="eastAsia" w:ascii="宋体" w:hAnsi="宋体" w:cs="宋体"/>
          <w:color w:val="auto"/>
          <w:szCs w:val="21"/>
          <w:highlight w:val="none"/>
          <w:lang w:bidi="ar"/>
        </w:rPr>
        <w:t>设备进行检查。承包人负责修复在暂停施工期间发生在工程、材料和工程设备上的任何损蚀、缺陷或损失，修复费用由承担暂停施工责任的责任人承担。</w:t>
      </w:r>
    </w:p>
    <w:p w14:paraId="2C4A9A84">
      <w:pPr>
        <w:spacing w:after="120" w:line="400" w:lineRule="exact"/>
        <w:ind w:firstLine="420" w:firstLineChars="200"/>
        <w:outlineLvl w:val="0"/>
        <w:rPr>
          <w:rFonts w:ascii="宋体" w:hAnsi="宋体" w:cs="宋体"/>
          <w:b/>
          <w:bCs/>
          <w:color w:val="auto"/>
          <w:szCs w:val="21"/>
          <w:highlight w:val="none"/>
        </w:rPr>
      </w:pPr>
      <w:r>
        <w:rPr>
          <w:rFonts w:hint="eastAsia" w:ascii="宋体" w:hAnsi="宋体" w:cs="宋体"/>
          <w:b/>
          <w:bCs/>
          <w:color w:val="auto"/>
          <w:szCs w:val="21"/>
          <w:highlight w:val="none"/>
          <w:lang w:bidi="ar"/>
        </w:rPr>
        <w:t>7.9 提前竣工的奖励</w:t>
      </w:r>
    </w:p>
    <w:p w14:paraId="45168974">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7.9.2提前竣工的奖励：</w:t>
      </w:r>
      <w:r>
        <w:rPr>
          <w:rFonts w:hint="eastAsia" w:ascii="宋体" w:hAnsi="宋体" w:cs="宋体"/>
          <w:color w:val="auto"/>
          <w:szCs w:val="21"/>
          <w:highlight w:val="none"/>
          <w:u w:val="single"/>
          <w:lang w:bidi="ar"/>
        </w:rPr>
        <w:t xml:space="preserve">        无          </w:t>
      </w:r>
      <w:r>
        <w:rPr>
          <w:rFonts w:hint="eastAsia" w:ascii="宋体" w:hAnsi="宋体" w:cs="宋体"/>
          <w:color w:val="auto"/>
          <w:szCs w:val="21"/>
          <w:highlight w:val="none"/>
          <w:lang w:bidi="ar"/>
        </w:rPr>
        <w:t>。</w:t>
      </w:r>
    </w:p>
    <w:p w14:paraId="0CA3F645">
      <w:pPr>
        <w:keepNext/>
        <w:keepLines/>
        <w:spacing w:before="120" w:after="120" w:line="400" w:lineRule="exact"/>
        <w:outlineLvl w:val="0"/>
        <w:rPr>
          <w:rFonts w:ascii="宋体" w:hAnsi="宋体" w:cs="宋体"/>
          <w:b/>
          <w:bCs/>
          <w:color w:val="auto"/>
          <w:szCs w:val="21"/>
          <w:highlight w:val="none"/>
        </w:rPr>
      </w:pPr>
      <w:r>
        <w:rPr>
          <w:rFonts w:hint="eastAsia" w:ascii="宋体" w:hAnsi="宋体" w:cs="宋体"/>
          <w:b/>
          <w:bCs/>
          <w:color w:val="auto"/>
          <w:szCs w:val="21"/>
          <w:highlight w:val="none"/>
          <w:lang w:bidi="ar"/>
        </w:rPr>
        <w:t xml:space="preserve"> 8. 材料与设备</w:t>
      </w:r>
    </w:p>
    <w:p w14:paraId="092B615A">
      <w:pPr>
        <w:pStyle w:val="331"/>
        <w:widowControl/>
        <w:tabs>
          <w:tab w:val="left" w:pos="1100"/>
        </w:tabs>
        <w:spacing w:line="400" w:lineRule="exact"/>
        <w:ind w:firstLine="422"/>
        <w:outlineLvl w:val="0"/>
        <w:rPr>
          <w:rFonts w:ascii="宋体" w:hAnsi="宋体" w:cs="宋体"/>
          <w:b/>
          <w:bCs/>
          <w:color w:val="auto"/>
          <w:highlight w:val="none"/>
        </w:rPr>
      </w:pPr>
      <w:bookmarkStart w:id="1110" w:name="_Toc373227732"/>
      <w:bookmarkEnd w:id="1110"/>
      <w:bookmarkStart w:id="1111" w:name="_Toc1119561048"/>
      <w:bookmarkEnd w:id="1111"/>
      <w:bookmarkStart w:id="1112" w:name="_Toc407135234"/>
      <w:bookmarkEnd w:id="1112"/>
      <w:bookmarkStart w:id="1113" w:name="_Toc1078610395"/>
      <w:bookmarkEnd w:id="1113"/>
      <w:bookmarkStart w:id="1114" w:name="_Toc373478379"/>
      <w:bookmarkEnd w:id="1114"/>
      <w:bookmarkStart w:id="1115" w:name="_Toc78449820"/>
      <w:bookmarkEnd w:id="1115"/>
      <w:bookmarkStart w:id="1116" w:name="_Toc188"/>
      <w:bookmarkEnd w:id="1116"/>
      <w:bookmarkStart w:id="1117" w:name="_Toc389065298"/>
      <w:r>
        <w:rPr>
          <w:rFonts w:hint="eastAsia" w:ascii="宋体" w:hAnsi="宋体" w:cs="宋体"/>
          <w:b/>
          <w:bCs/>
          <w:color w:val="auto"/>
          <w:highlight w:val="none"/>
        </w:rPr>
        <w:t>8.1 发包人供应材料与工程设备</w:t>
      </w:r>
      <w:bookmarkEnd w:id="1117"/>
    </w:p>
    <w:p w14:paraId="60427A95">
      <w:pPr>
        <w:pStyle w:val="42"/>
        <w:tabs>
          <w:tab w:val="left" w:pos="4560"/>
          <w:tab w:val="left" w:pos="4979"/>
        </w:tabs>
        <w:adjustRightInd w:val="0"/>
        <w:spacing w:beforeAutospacing="1" w:after="60" w:line="400" w:lineRule="exact"/>
        <w:ind w:left="63" w:leftChars="30" w:right="63" w:rightChars="30" w:firstLine="420" w:firstLineChars="200"/>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发包人自行供应材料、工程设备：</w:t>
      </w:r>
      <w:r>
        <w:rPr>
          <w:rFonts w:hint="eastAsia" w:ascii="宋体" w:hAnsi="宋体" w:cs="宋体"/>
          <w:color w:val="auto"/>
          <w:kern w:val="2"/>
          <w:sz w:val="21"/>
          <w:szCs w:val="21"/>
          <w:highlight w:val="none"/>
          <w:u w:val="single"/>
          <w:lang w:bidi="ar"/>
        </w:rPr>
        <w:t xml:space="preserve">  无  </w:t>
      </w:r>
      <w:r>
        <w:rPr>
          <w:rFonts w:hint="eastAsia" w:ascii="宋体" w:hAnsi="宋体" w:cs="宋体"/>
          <w:color w:val="auto"/>
          <w:kern w:val="2"/>
          <w:sz w:val="21"/>
          <w:szCs w:val="21"/>
          <w:highlight w:val="none"/>
          <w:lang w:bidi="ar"/>
        </w:rPr>
        <w:t>。</w:t>
      </w:r>
    </w:p>
    <w:p w14:paraId="71658B81">
      <w:pPr>
        <w:pStyle w:val="4"/>
        <w:widowControl/>
        <w:spacing w:after="120" w:line="400" w:lineRule="exact"/>
        <w:ind w:firstLine="420" w:firstLineChars="200"/>
        <w:rPr>
          <w:rFonts w:ascii="宋体" w:hAnsi="宋体" w:cs="宋体"/>
          <w:color w:val="auto"/>
          <w:sz w:val="21"/>
          <w:szCs w:val="21"/>
          <w:highlight w:val="none"/>
        </w:rPr>
      </w:pPr>
      <w:bookmarkStart w:id="1118" w:name="_Toc176947536"/>
      <w:bookmarkEnd w:id="1118"/>
      <w:r>
        <w:rPr>
          <w:rFonts w:hint="eastAsia" w:ascii="宋体" w:hAnsi="宋体" w:cs="宋体"/>
          <w:color w:val="auto"/>
          <w:sz w:val="21"/>
          <w:szCs w:val="21"/>
          <w:highlight w:val="none"/>
        </w:rPr>
        <w:t>8.2 承包人采购材料与工程设备</w:t>
      </w:r>
    </w:p>
    <w:p w14:paraId="5FA5CAD9">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除已标价工程量清单《发包人提供主要材料和工程设备一览表》（表-21）中明确的材料、工程设备外，由承包人负责材料和工程设备的采购、运输和保管。</w:t>
      </w:r>
    </w:p>
    <w:p w14:paraId="7663D1C0">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6E72BAAB">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对发包人在招标时没有“参照或相当于**品牌、级别”约定的材料或设备，发包人有权要求承包人按不低于招标控制价相同细目的材料或设备价格的材料或设备进行采购，施工期间该部分材料或设备如未超过招标约定的风险幅度的，结算时按投标单价支付，不得调整。</w:t>
      </w:r>
    </w:p>
    <w:p w14:paraId="42701F24">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禁止使用松木、松木包装材料设备、种子、苗木、花卉及繁殖材料。</w:t>
      </w:r>
    </w:p>
    <w:p w14:paraId="62678D01">
      <w:pPr>
        <w:pStyle w:val="42"/>
        <w:tabs>
          <w:tab w:val="left" w:pos="4560"/>
          <w:tab w:val="left" w:pos="4979"/>
        </w:tabs>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 xml:space="preserve"> 8.2.1 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 应当按专用合同专用条款第 10.7.1 项的约定，由发包人和承包人以招标方式确定专项供应商。发包人负责提供的主要材料和工程设备清单见合同附件二“发包人供应材料设备一览表”。</w:t>
      </w:r>
    </w:p>
    <w:p w14:paraId="399952E7">
      <w:pPr>
        <w:pStyle w:val="42"/>
        <w:tabs>
          <w:tab w:val="left" w:pos="4560"/>
          <w:tab w:val="left" w:pos="4979"/>
        </w:tabs>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8.2.2 承包人提供的材料和工程设备的供货人及品种、规格、数量和供货时间等报送监理人审批的时间： 承包人应在材料、设备订货前 15 个日历天内向监理人报送材料采购计划、专项材料采购计划等。监理人于收到之日起5个日历天内批复。</w:t>
      </w:r>
    </w:p>
    <w:p w14:paraId="4A0E4534">
      <w:pPr>
        <w:pStyle w:val="42"/>
        <w:tabs>
          <w:tab w:val="left" w:pos="4560"/>
          <w:tab w:val="left" w:pos="4979"/>
        </w:tabs>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8.2.3 承包人采购材料和设备的约定：</w:t>
      </w:r>
    </w:p>
    <w:p w14:paraId="2081BB34">
      <w:pPr>
        <w:pStyle w:val="42"/>
        <w:tabs>
          <w:tab w:val="left" w:pos="4560"/>
          <w:tab w:val="left" w:pos="4979"/>
        </w:tabs>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（1）承包人采购的材料设备的品种、规格、型号、质量应满足设计文件、招投标文件和现行《建筑工程施工质量与验收规范》的要求；</w:t>
      </w:r>
    </w:p>
    <w:p w14:paraId="2BF76F2B">
      <w:pPr>
        <w:pStyle w:val="42"/>
        <w:tabs>
          <w:tab w:val="left" w:pos="4560"/>
          <w:tab w:val="left" w:pos="4979"/>
        </w:tabs>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2）承包人采购的主要材料、设备等必须注明产品名称、规格、型号、数量、品牌及生产厂家，且品质需与投标报价相匹配，如双方相差较大，发包人有权按差额扣除相应费用或要求承包人重新提供相关产品。承包人应并在采购前15个日历天内通知发包人现场代表，提交其负责提供的材料和工程设备的质量证明文件，取得发包人的书面同意（该同意及相关检验测试、验收均不因此免除承包人的任何质量责任）方可进行采购；未经发包人书面同意，如已用于本工程，承包人须按发包人因此提出的相关指令无条件执行，所造成的损失由承包人负责。</w:t>
      </w:r>
    </w:p>
    <w:p w14:paraId="4E707DB7">
      <w:pPr>
        <w:pStyle w:val="42"/>
        <w:tabs>
          <w:tab w:val="left" w:pos="4560"/>
          <w:tab w:val="left" w:pos="4979"/>
        </w:tabs>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3）承包人采购的材料设备的检验或实验必须满足设计文件及国家现行的有关标准的要求，需送检的材料设备由承包人负责；送检时，应通知监理工程师、发包人现场代表见证，未经监理工程师、发包人现场代表见证的送检材料，不能用于本工程，否则，因此所造成的损失由承包人负责。</w:t>
      </w:r>
    </w:p>
    <w:p w14:paraId="4C93BF0E">
      <w:pPr>
        <w:pStyle w:val="42"/>
        <w:tabs>
          <w:tab w:val="left" w:pos="4560"/>
          <w:tab w:val="left" w:pos="4979"/>
        </w:tabs>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4）招标文件对承包人自行采购的材料、设备有规定的，承包人须严格执行；材料应严格保证质量，若有个别用材发现以次品冒充，责令全部更换，更换后须经发包人检验，并对承包人按违约处理。承包人投标时所报的材料品牌原则上不允许更换，确需更换时须经发包人书面同意，擅自采用其他品牌的，结算时材料价格不计入综合单价中。监理人发现承包人使用了不合格的材料和工程设备，应实时发出指示要求承包人立即改正，并禁止在工程中继续使用不合格的材料和工程设备，并处以双倍罚款。承包人若使用了次品或不合格或不符合约定的材料和工程设备，不予改正的，不按提供样品采购的，发包人有权对该部分项目不予验收和结算，并在下次进度款中处以4倍罚款，情节严重的，发包人有权对整个项目不予验收和结算，由此造成的工期延误及各项损失由承包人负责。</w:t>
      </w:r>
    </w:p>
    <w:p w14:paraId="5B15534D">
      <w:pPr>
        <w:pStyle w:val="42"/>
        <w:tabs>
          <w:tab w:val="left" w:pos="4560"/>
          <w:tab w:val="left" w:pos="4979"/>
        </w:tabs>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5）对承包人提供的材料和工程设备，承包人须会同发包人进行检验和交货验收，查验材料合格证明和产品合格证书，并按合同约定和发包人指示，进行材料的抽样检验和工程设备的检验测试，检验和测试结果应提交发包人，承包人协助配合检验试验的相关工作。</w:t>
      </w:r>
    </w:p>
    <w:p w14:paraId="5C299B4B">
      <w:pPr>
        <w:pStyle w:val="42"/>
        <w:tabs>
          <w:tab w:val="left" w:pos="4560"/>
          <w:tab w:val="left" w:pos="4979"/>
        </w:tabs>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（6）承包人用于本工程的模板，必须符合模板验收技术规范。</w:t>
      </w:r>
      <w:bookmarkStart w:id="1119" w:name="8.4材料与工程设备的保管与使用"/>
      <w:bookmarkEnd w:id="1119"/>
    </w:p>
    <w:p w14:paraId="433782C8">
      <w:pPr>
        <w:spacing w:after="120" w:line="400" w:lineRule="exact"/>
        <w:ind w:firstLine="420" w:firstLineChars="200"/>
        <w:rPr>
          <w:rFonts w:ascii="宋体" w:hAnsi="宋体" w:cs="宋体"/>
          <w:b/>
          <w:color w:val="auto"/>
          <w:szCs w:val="21"/>
          <w:highlight w:val="none"/>
        </w:rPr>
      </w:pPr>
      <w:r>
        <w:rPr>
          <w:rFonts w:hint="eastAsia" w:ascii="宋体" w:hAnsi="宋体" w:cs="宋体"/>
          <w:b/>
          <w:color w:val="auto"/>
          <w:szCs w:val="21"/>
          <w:highlight w:val="none"/>
          <w:lang w:bidi="ar"/>
        </w:rPr>
        <w:t>8.4材料与工程设备的保管与使用</w:t>
      </w:r>
    </w:p>
    <w:p w14:paraId="43A11A22">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8.4.1发包人供应的材料设备的保管费用的承担：</w:t>
      </w:r>
      <w:r>
        <w:rPr>
          <w:rFonts w:hint="eastAsia" w:ascii="宋体" w:hAnsi="宋体" w:cs="宋体"/>
          <w:color w:val="auto"/>
          <w:szCs w:val="21"/>
          <w:highlight w:val="none"/>
          <w:u w:val="single"/>
          <w:lang w:bidi="ar"/>
        </w:rPr>
        <w:t xml:space="preserve">进入施工场地前由发包人承担，进入施工场地后由承包人承担    </w:t>
      </w:r>
      <w:r>
        <w:rPr>
          <w:rFonts w:hint="eastAsia" w:ascii="宋体" w:hAnsi="宋体" w:cs="宋体"/>
          <w:color w:val="auto"/>
          <w:szCs w:val="21"/>
          <w:highlight w:val="none"/>
          <w:lang w:bidi="ar"/>
        </w:rPr>
        <w:t>。</w:t>
      </w:r>
    </w:p>
    <w:p w14:paraId="16745E46">
      <w:pPr>
        <w:spacing w:after="120" w:line="400" w:lineRule="exact"/>
        <w:ind w:firstLine="420" w:firstLineChars="200"/>
        <w:outlineLvl w:val="0"/>
        <w:rPr>
          <w:rFonts w:ascii="宋体" w:hAnsi="宋体" w:cs="宋体"/>
          <w:b/>
          <w:color w:val="auto"/>
          <w:szCs w:val="21"/>
          <w:highlight w:val="none"/>
        </w:rPr>
      </w:pPr>
      <w:r>
        <w:rPr>
          <w:rFonts w:hint="eastAsia" w:ascii="宋体" w:hAnsi="宋体" w:cs="宋体"/>
          <w:b/>
          <w:color w:val="auto"/>
          <w:szCs w:val="21"/>
          <w:highlight w:val="none"/>
          <w:lang w:bidi="ar"/>
        </w:rPr>
        <w:t>8.6 样品</w:t>
      </w:r>
    </w:p>
    <w:p w14:paraId="095167B1">
      <w:pPr>
        <w:autoSpaceDE w:val="0"/>
        <w:autoSpaceDN w:val="0"/>
        <w:adjustRightInd w:val="0"/>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8.6.1</w:t>
      </w:r>
      <w:r>
        <w:rPr>
          <w:rFonts w:hint="eastAsia" w:ascii="宋体" w:hAnsi="宋体" w:cs="宋体"/>
          <w:color w:val="auto"/>
          <w:kern w:val="0"/>
          <w:szCs w:val="21"/>
          <w:highlight w:val="none"/>
          <w:lang w:bidi="ar"/>
        </w:rPr>
        <w:tab/>
      </w:r>
      <w:r>
        <w:rPr>
          <w:rFonts w:hint="eastAsia" w:ascii="宋体" w:hAnsi="宋体" w:cs="宋体"/>
          <w:color w:val="auto"/>
          <w:kern w:val="0"/>
          <w:szCs w:val="21"/>
          <w:highlight w:val="none"/>
          <w:lang w:bidi="ar"/>
        </w:rPr>
        <w:t>样品的报送与封存</w:t>
      </w:r>
    </w:p>
    <w:p w14:paraId="1303B6FD">
      <w:pPr>
        <w:autoSpaceDE w:val="0"/>
        <w:autoSpaceDN w:val="0"/>
        <w:adjustRightIn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需要承包人报送样品的材料或工程设备，样品的种类、名称、规格、数量要求：</w:t>
      </w:r>
      <w:r>
        <w:rPr>
          <w:rFonts w:hint="eastAsia" w:ascii="宋体" w:hAnsi="宋体" w:cs="宋体"/>
          <w:color w:val="auto"/>
          <w:szCs w:val="21"/>
          <w:highlight w:val="none"/>
          <w:u w:val="single"/>
          <w:lang w:bidi="ar"/>
        </w:rPr>
        <w:t>承包人按设计及图纸要求根据工程所需采购材料且</w:t>
      </w:r>
      <w:r>
        <w:rPr>
          <w:rFonts w:hint="eastAsia" w:ascii="宋体" w:hAnsi="宋体" w:cs="宋体"/>
          <w:b/>
          <w:color w:val="auto"/>
          <w:szCs w:val="21"/>
          <w:highlight w:val="none"/>
          <w:u w:val="single"/>
          <w:lang w:bidi="ar"/>
        </w:rPr>
        <w:t>①按供应商报价指定的材料采购，其品种、规格、型号、质量等级应与投标清单相符，采购的样品必须先经监理和发包人认可；如因特殊原因不能从发包人推荐品牌中采购相应材料或设备时，应报请发包人并取得发包人书面同意方可采用，否则因此造成的一切后果由承包人负责；②货到接受监理、发包人检查；③在监理监督下，按规定送检或试验；④工程量清单中的暂定价的材料，必须经发包人在品牌、规格、颜色及单价等方面审定后方能采购。</w:t>
      </w:r>
    </w:p>
    <w:p w14:paraId="108FB88B">
      <w:pPr>
        <w:spacing w:after="120" w:line="400" w:lineRule="exact"/>
        <w:ind w:firstLine="420" w:firstLineChars="200"/>
        <w:outlineLvl w:val="0"/>
        <w:rPr>
          <w:rFonts w:ascii="宋体" w:hAnsi="宋体" w:cs="宋体"/>
          <w:b/>
          <w:color w:val="auto"/>
          <w:szCs w:val="21"/>
          <w:highlight w:val="none"/>
        </w:rPr>
      </w:pPr>
      <w:r>
        <w:rPr>
          <w:rFonts w:hint="eastAsia" w:ascii="宋体" w:hAnsi="宋体" w:cs="宋体"/>
          <w:b/>
          <w:color w:val="auto"/>
          <w:szCs w:val="21"/>
          <w:highlight w:val="none"/>
          <w:lang w:bidi="ar"/>
        </w:rPr>
        <w:t>8.8 施工设备和临时设施</w:t>
      </w:r>
    </w:p>
    <w:p w14:paraId="74A75B8C">
      <w:pPr>
        <w:pStyle w:val="42"/>
        <w:tabs>
          <w:tab w:val="left" w:pos="4560"/>
          <w:tab w:val="left" w:pos="4979"/>
        </w:tabs>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8.8.1 承包人提供的施工设备和临时设施</w:t>
      </w:r>
    </w:p>
    <w:p w14:paraId="53700CC2">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4。</w:t>
      </w:r>
    </w:p>
    <w:p w14:paraId="0CA654E8">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关于修建临时设施费用承担的约定：</w:t>
      </w:r>
    </w:p>
    <w:p w14:paraId="6414075E">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u w:val="single"/>
          <w:lang w:bidi="ar"/>
        </w:rPr>
        <w:t>①承包人的临时用地（含项目部驻地等）租用费（含拆迁补偿）、临时用地的环保、恢复、临时 用地的青苗补偿及地面附着物拆除等费用均由承包人负责，以上费用在投标总报价中综合考虑。</w:t>
      </w:r>
    </w:p>
    <w:p w14:paraId="6F6B9F1A">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u w:val="single"/>
          <w:lang w:bidi="ar"/>
        </w:rPr>
        <w:t>②承包人负责合同实施期间其合同段内临时交通道路（含场内外连接公共交通道路）和交通设施的修建、维修、养护和交通管理工作，并承担一切费用。</w:t>
      </w:r>
    </w:p>
    <w:p w14:paraId="0EC38F40">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u w:val="single"/>
          <w:lang w:bidi="ar"/>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7F5B45D1">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u w:val="single"/>
          <w:lang w:bidi="ar"/>
        </w:rPr>
        <w:t>④承包人在发包人拟开发区域内已经搭设的施工现场办公等临时设施，一旦发包人因开发需要，通知承包人搬迁、拆除的，承包人应无条件在规定期限内搬迁、拆除，发包人不另行支付搬迁、拆除等费用。承包人自行解决民工住宿问题，并承担因此而增加的交通费用、工人生产降效等相关费用。</w:t>
      </w:r>
    </w:p>
    <w:p w14:paraId="6B924C46">
      <w:pPr>
        <w:autoSpaceDE w:val="0"/>
        <w:autoSpaceDN w:val="0"/>
        <w:adjustRightIn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8.8.2 发包人提供的施工设备和临时设施</w:t>
      </w:r>
    </w:p>
    <w:p w14:paraId="66850241">
      <w:pPr>
        <w:autoSpaceDE w:val="0"/>
        <w:autoSpaceDN w:val="0"/>
        <w:adjustRightIn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发包人提供的施工设备和临时设施：</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w:t>
      </w:r>
    </w:p>
    <w:p w14:paraId="17B455F3">
      <w:pPr>
        <w:widowControl/>
        <w:autoSpaceDE w:val="0"/>
        <w:autoSpaceDN w:val="0"/>
        <w:adjustRightInd w:val="0"/>
        <w:spacing w:line="40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lang w:bidi="ar"/>
        </w:rPr>
        <w:t>发包人提供的施工设备和临时设施的运行、维护、拆除、清运费用的承担人：</w:t>
      </w:r>
      <w:r>
        <w:rPr>
          <w:rFonts w:hint="eastAsia" w:ascii="宋体" w:hAnsi="宋体" w:cs="宋体"/>
          <w:color w:val="auto"/>
          <w:szCs w:val="21"/>
          <w:highlight w:val="none"/>
          <w:u w:val="single"/>
          <w:lang w:bidi="ar"/>
        </w:rPr>
        <w:t xml:space="preserve">  / </w:t>
      </w:r>
      <w:r>
        <w:rPr>
          <w:rFonts w:hint="eastAsia" w:ascii="宋体" w:hAnsi="宋体" w:cs="宋体"/>
          <w:color w:val="auto"/>
          <w:szCs w:val="21"/>
          <w:highlight w:val="none"/>
          <w:lang w:bidi="ar"/>
        </w:rPr>
        <w:t>。</w:t>
      </w:r>
    </w:p>
    <w:p w14:paraId="7C52190D">
      <w:pPr>
        <w:keepNext/>
        <w:keepLines/>
        <w:spacing w:before="120" w:after="120" w:line="400" w:lineRule="exact"/>
        <w:outlineLvl w:val="0"/>
        <w:rPr>
          <w:rFonts w:ascii="宋体" w:hAnsi="宋体" w:cs="宋体"/>
          <w:b/>
          <w:bCs/>
          <w:color w:val="auto"/>
          <w:szCs w:val="21"/>
          <w:highlight w:val="none"/>
        </w:rPr>
      </w:pPr>
      <w:r>
        <w:rPr>
          <w:rFonts w:hint="eastAsia" w:ascii="宋体" w:hAnsi="宋体" w:cs="宋体"/>
          <w:b/>
          <w:bCs/>
          <w:color w:val="auto"/>
          <w:szCs w:val="21"/>
          <w:highlight w:val="none"/>
          <w:lang w:bidi="ar"/>
        </w:rPr>
        <w:t>9. 试验与检验</w:t>
      </w:r>
    </w:p>
    <w:p w14:paraId="7497F664">
      <w:pPr>
        <w:spacing w:after="120" w:line="400" w:lineRule="exact"/>
        <w:ind w:firstLine="420" w:firstLineChars="200"/>
        <w:rPr>
          <w:rFonts w:ascii="宋体" w:hAnsi="宋体" w:cs="宋体"/>
          <w:b/>
          <w:color w:val="auto"/>
          <w:szCs w:val="21"/>
          <w:highlight w:val="none"/>
        </w:rPr>
      </w:pPr>
      <w:r>
        <w:rPr>
          <w:rFonts w:hint="eastAsia" w:ascii="宋体" w:hAnsi="宋体" w:cs="宋体"/>
          <w:b/>
          <w:color w:val="auto"/>
          <w:szCs w:val="21"/>
          <w:highlight w:val="none"/>
          <w:lang w:bidi="ar"/>
        </w:rPr>
        <w:t>9.1试验设备与试验人员</w:t>
      </w:r>
    </w:p>
    <w:p w14:paraId="04D43F1C">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9.1.2 试验设备</w:t>
      </w:r>
    </w:p>
    <w:p w14:paraId="5D85D47C">
      <w:pPr>
        <w:pStyle w:val="42"/>
        <w:adjustRightInd w:val="0"/>
        <w:spacing w:beforeAutospacing="1" w:after="60" w:line="400" w:lineRule="exact"/>
        <w:ind w:left="63" w:leftChars="30" w:right="63" w:rightChars="30" w:firstLine="420" w:firstLineChars="200"/>
        <w:jc w:val="center"/>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施工现场需要配置的试验场所：</w:t>
      </w:r>
      <w:r>
        <w:rPr>
          <w:rFonts w:hint="eastAsia" w:ascii="宋体" w:hAnsi="宋体" w:cs="宋体"/>
          <w:color w:val="auto"/>
          <w:kern w:val="2"/>
          <w:sz w:val="21"/>
          <w:szCs w:val="21"/>
          <w:highlight w:val="none"/>
          <w:u w:val="single"/>
          <w:lang w:bidi="ar"/>
        </w:rPr>
        <w:t>按国家及地方有关规定和现场实际情况配置</w:t>
      </w:r>
      <w:r>
        <w:rPr>
          <w:rFonts w:hint="eastAsia" w:ascii="宋体" w:hAnsi="宋体" w:cs="宋体"/>
          <w:color w:val="auto"/>
          <w:kern w:val="2"/>
          <w:sz w:val="21"/>
          <w:szCs w:val="21"/>
          <w:highlight w:val="none"/>
          <w:lang w:bidi="ar"/>
        </w:rPr>
        <w:t xml:space="preserve">。 </w:t>
      </w:r>
    </w:p>
    <w:p w14:paraId="7235858A">
      <w:pPr>
        <w:pStyle w:val="42"/>
        <w:adjustRightInd w:val="0"/>
        <w:spacing w:beforeAutospacing="1" w:after="60" w:line="400" w:lineRule="exact"/>
        <w:ind w:left="63" w:leftChars="30" w:right="63" w:rightChars="30" w:firstLine="420" w:firstLineChars="200"/>
        <w:jc w:val="center"/>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施工现场需要配备的试验设备：</w:t>
      </w:r>
      <w:r>
        <w:rPr>
          <w:rFonts w:hint="eastAsia" w:ascii="宋体" w:hAnsi="宋体" w:cs="宋体"/>
          <w:color w:val="auto"/>
          <w:kern w:val="2"/>
          <w:sz w:val="21"/>
          <w:szCs w:val="21"/>
          <w:highlight w:val="none"/>
          <w:u w:val="single"/>
          <w:lang w:bidi="ar"/>
        </w:rPr>
        <w:t>按国家及地方有关规定和现场实际情况配置</w:t>
      </w:r>
      <w:r>
        <w:rPr>
          <w:rFonts w:hint="eastAsia" w:ascii="宋体" w:hAnsi="宋体" w:cs="宋体"/>
          <w:color w:val="auto"/>
          <w:kern w:val="2"/>
          <w:sz w:val="21"/>
          <w:szCs w:val="21"/>
          <w:highlight w:val="none"/>
          <w:lang w:bidi="ar"/>
        </w:rPr>
        <w:t>。</w:t>
      </w:r>
    </w:p>
    <w:p w14:paraId="0A50FFF0">
      <w:pPr>
        <w:pStyle w:val="42"/>
        <w:adjustRightInd w:val="0"/>
        <w:spacing w:beforeAutospacing="1" w:after="60" w:line="400" w:lineRule="exact"/>
        <w:ind w:left="63" w:leftChars="30" w:right="63" w:rightChars="30" w:firstLine="420" w:firstLineChars="200"/>
        <w:jc w:val="center"/>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施工现场需要具备的其他试验条件：</w:t>
      </w:r>
      <w:r>
        <w:rPr>
          <w:rFonts w:hint="eastAsia" w:ascii="宋体" w:hAnsi="宋体" w:cs="宋体"/>
          <w:color w:val="auto"/>
          <w:kern w:val="2"/>
          <w:sz w:val="21"/>
          <w:szCs w:val="21"/>
          <w:highlight w:val="none"/>
          <w:u w:val="single"/>
          <w:lang w:bidi="ar"/>
        </w:rPr>
        <w:t>按国家及地方有关规定和现场实际情况配置</w:t>
      </w:r>
      <w:r>
        <w:rPr>
          <w:rFonts w:hint="eastAsia" w:ascii="宋体" w:hAnsi="宋体" w:cs="宋体"/>
          <w:color w:val="auto"/>
          <w:kern w:val="2"/>
          <w:sz w:val="21"/>
          <w:szCs w:val="21"/>
          <w:highlight w:val="none"/>
          <w:lang w:bidi="ar"/>
        </w:rPr>
        <w:t>。</w:t>
      </w:r>
    </w:p>
    <w:p w14:paraId="607756F4">
      <w:pPr>
        <w:spacing w:after="120" w:line="400" w:lineRule="exact"/>
        <w:ind w:firstLine="420" w:firstLineChars="200"/>
        <w:outlineLvl w:val="0"/>
        <w:rPr>
          <w:rFonts w:ascii="宋体" w:hAnsi="宋体" w:cs="宋体"/>
          <w:b/>
          <w:color w:val="auto"/>
          <w:szCs w:val="21"/>
          <w:highlight w:val="none"/>
        </w:rPr>
      </w:pPr>
      <w:r>
        <w:rPr>
          <w:rFonts w:hint="eastAsia" w:ascii="宋体" w:hAnsi="宋体" w:cs="宋体"/>
          <w:b/>
          <w:color w:val="auto"/>
          <w:szCs w:val="21"/>
          <w:highlight w:val="none"/>
          <w:lang w:bidi="ar"/>
        </w:rPr>
        <w:t xml:space="preserve">9.4 现场工艺试验 </w:t>
      </w:r>
    </w:p>
    <w:p w14:paraId="5D4FB464">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现场工艺试验的有关约定：</w:t>
      </w:r>
      <w:r>
        <w:rPr>
          <w:rFonts w:hint="eastAsia" w:ascii="宋体" w:hAnsi="宋体" w:cs="宋体"/>
          <w:color w:val="auto"/>
          <w:szCs w:val="21"/>
          <w:highlight w:val="none"/>
          <w:u w:val="single"/>
          <w:lang w:bidi="ar"/>
        </w:rPr>
        <w:t xml:space="preserve">   同通用条款  </w:t>
      </w:r>
      <w:r>
        <w:rPr>
          <w:rFonts w:hint="eastAsia" w:ascii="宋体" w:hAnsi="宋体" w:cs="宋体"/>
          <w:color w:val="auto"/>
          <w:szCs w:val="21"/>
          <w:highlight w:val="none"/>
          <w:lang w:bidi="ar"/>
        </w:rPr>
        <w:t>。</w:t>
      </w:r>
    </w:p>
    <w:p w14:paraId="55C853CB">
      <w:pPr>
        <w:spacing w:line="400" w:lineRule="exact"/>
        <w:ind w:firstLine="420" w:firstLineChars="200"/>
        <w:rPr>
          <w:rFonts w:ascii="宋体" w:hAnsi="宋体" w:cs="宋体"/>
          <w:b/>
          <w:color w:val="auto"/>
          <w:kern w:val="0"/>
          <w:szCs w:val="21"/>
          <w:highlight w:val="none"/>
        </w:rPr>
      </w:pPr>
      <w:bookmarkStart w:id="1120" w:name="_Toc406420990"/>
      <w:bookmarkEnd w:id="1120"/>
      <w:bookmarkStart w:id="1121" w:name="_Toc25408"/>
      <w:bookmarkEnd w:id="1121"/>
      <w:bookmarkStart w:id="1122" w:name="_Toc395382541"/>
      <w:bookmarkEnd w:id="1122"/>
      <w:bookmarkStart w:id="1123" w:name="_Toc25425"/>
      <w:bookmarkEnd w:id="1123"/>
      <w:bookmarkStart w:id="1124" w:name="_Toc29925"/>
      <w:r>
        <w:rPr>
          <w:rFonts w:hint="eastAsia" w:ascii="宋体" w:hAnsi="宋体" w:cs="宋体"/>
          <w:b/>
          <w:color w:val="auto"/>
          <w:kern w:val="0"/>
          <w:szCs w:val="21"/>
          <w:highlight w:val="none"/>
          <w:lang w:bidi="ar"/>
        </w:rPr>
        <w:t>9.5 检验费用</w:t>
      </w:r>
      <w:bookmarkEnd w:id="1124"/>
    </w:p>
    <w:p w14:paraId="01436911">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根据《建设工程质量检测管理办法》（建设部令第141号）、《广西壮族自治区建设工程质量检测管理规定》（桂建管〔2013〕11号）以及桂林市相关文件规定，工程质量检测业务由发包人委托有相应资质的检测机构检测。费用从发包人的项目建设经费中支出并直接支付给检测机构，不计入合同价款内，但仅包含一次检测费用。若因承包方的原因，导致项目产生复检，承包人必须整改至检验合格为止，期间造成的任何费用由承包人自行承担，由发包人在结算款中直接扣除或承包人直接支付至检测机构。</w:t>
      </w:r>
    </w:p>
    <w:p w14:paraId="12226E3F">
      <w:pPr>
        <w:keepNext/>
        <w:keepLines/>
        <w:spacing w:before="120" w:after="120" w:line="400" w:lineRule="exact"/>
        <w:outlineLvl w:val="0"/>
        <w:rPr>
          <w:rFonts w:ascii="宋体" w:hAnsi="宋体" w:cs="宋体"/>
          <w:b/>
          <w:bCs/>
          <w:color w:val="auto"/>
          <w:szCs w:val="21"/>
          <w:highlight w:val="none"/>
        </w:rPr>
      </w:pPr>
      <w:r>
        <w:rPr>
          <w:rFonts w:hint="eastAsia" w:ascii="宋体" w:hAnsi="宋体" w:cs="宋体"/>
          <w:b/>
          <w:bCs/>
          <w:color w:val="auto"/>
          <w:szCs w:val="21"/>
          <w:highlight w:val="none"/>
          <w:lang w:bidi="ar"/>
        </w:rPr>
        <w:t>10. 变更</w:t>
      </w:r>
    </w:p>
    <w:p w14:paraId="4DEC1BC9">
      <w:pPr>
        <w:spacing w:after="120" w:line="400" w:lineRule="exact"/>
        <w:ind w:firstLine="420" w:firstLineChars="200"/>
        <w:jc w:val="left"/>
        <w:rPr>
          <w:rFonts w:ascii="宋体" w:hAnsi="宋体" w:cs="宋体"/>
          <w:b/>
          <w:color w:val="auto"/>
          <w:szCs w:val="21"/>
          <w:highlight w:val="none"/>
        </w:rPr>
      </w:pPr>
      <w:r>
        <w:rPr>
          <w:rFonts w:hint="eastAsia" w:ascii="宋体" w:hAnsi="宋体" w:cs="宋体"/>
          <w:b/>
          <w:color w:val="auto"/>
          <w:szCs w:val="21"/>
          <w:highlight w:val="none"/>
          <w:lang w:bidi="ar"/>
        </w:rPr>
        <w:t>10.1变更的范围</w:t>
      </w:r>
    </w:p>
    <w:p w14:paraId="75F2DC80">
      <w:pPr>
        <w:spacing w:line="400" w:lineRule="exact"/>
        <w:ind w:firstLine="600"/>
        <w:jc w:val="left"/>
        <w:rPr>
          <w:rFonts w:ascii="宋体" w:hAnsi="宋体" w:cs="宋体"/>
          <w:color w:val="auto"/>
          <w:szCs w:val="21"/>
          <w:highlight w:val="none"/>
        </w:rPr>
      </w:pPr>
      <w:r>
        <w:rPr>
          <w:rFonts w:hint="eastAsia" w:ascii="宋体" w:hAnsi="宋体" w:cs="宋体"/>
          <w:color w:val="auto"/>
          <w:szCs w:val="21"/>
          <w:highlight w:val="none"/>
          <w:lang w:bidi="ar"/>
        </w:rPr>
        <w:t>关于变更的范围的约定：</w:t>
      </w:r>
      <w:r>
        <w:rPr>
          <w:rFonts w:hint="eastAsia" w:ascii="宋体" w:hAnsi="宋体" w:cs="宋体"/>
          <w:color w:val="auto"/>
          <w:szCs w:val="21"/>
          <w:highlight w:val="none"/>
          <w:u w:val="single"/>
          <w:lang w:bidi="ar"/>
        </w:rPr>
        <w:t>同通用条款。</w:t>
      </w:r>
    </w:p>
    <w:p w14:paraId="01020102">
      <w:pPr>
        <w:pStyle w:val="330"/>
        <w:spacing w:line="400" w:lineRule="exact"/>
        <w:ind w:firstLine="448"/>
        <w:rPr>
          <w:rFonts w:ascii="宋体" w:hAnsi="宋体" w:cs="宋体"/>
          <w:color w:val="auto"/>
          <w:kern w:val="2"/>
          <w:sz w:val="21"/>
          <w:szCs w:val="21"/>
          <w:highlight w:val="none"/>
        </w:rPr>
      </w:pPr>
      <w:r>
        <w:rPr>
          <w:rFonts w:hint="eastAsia" w:ascii="宋体" w:hAnsi="宋体" w:cs="宋体"/>
          <w:color w:val="auto"/>
          <w:kern w:val="2"/>
          <w:sz w:val="21"/>
          <w:szCs w:val="21"/>
          <w:highlight w:val="none"/>
        </w:rPr>
        <w:t>10.3变更程序</w:t>
      </w:r>
    </w:p>
    <w:p w14:paraId="44ED496C">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10.3.1 国有投资项目：</w:t>
      </w:r>
    </w:p>
    <w:p w14:paraId="5E2687B4">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⑴设计变更和工程签证，按各市政府或相关部门的规定办理。属不可抗力（自然灾害、突发事件等）造成变更的，按特事特办原则予以办理。</w:t>
      </w:r>
    </w:p>
    <w:p w14:paraId="0730F709">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⑵发包人在实施项目过程中，若发生单价变动，由发包人、监理单位、施工单位及其他相关单位共同商定并签字确认。</w:t>
      </w:r>
    </w:p>
    <w:p w14:paraId="7C81C44C">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⑶ 当合同规定的合同价款调整情况发生后，承包人未在规定时间内通知发包人，或者未在规定时间内提出调整报告，发包人可以根据有关资料，决定是否调整和调整的金额，并书面通知承包人。</w:t>
      </w:r>
    </w:p>
    <w:p w14:paraId="19548203">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10.3.2 非国有投资项目：</w:t>
      </w:r>
      <w:r>
        <w:rPr>
          <w:rFonts w:hint="eastAsia" w:ascii="宋体" w:hAnsi="宋体" w:cs="宋体"/>
          <w:color w:val="auto"/>
          <w:kern w:val="2"/>
          <w:sz w:val="21"/>
          <w:szCs w:val="21"/>
          <w:highlight w:val="none"/>
          <w:u w:val="single"/>
          <w:lang w:bidi="ar"/>
        </w:rPr>
        <w:t xml:space="preserve"> 同通用条款</w:t>
      </w:r>
      <w:r>
        <w:rPr>
          <w:rFonts w:hint="eastAsia" w:ascii="宋体" w:hAnsi="宋体" w:cs="宋体"/>
          <w:color w:val="auto"/>
          <w:kern w:val="2"/>
          <w:sz w:val="21"/>
          <w:szCs w:val="21"/>
          <w:highlight w:val="none"/>
          <w:lang w:bidi="ar"/>
        </w:rPr>
        <w:t>。</w:t>
      </w:r>
    </w:p>
    <w:p w14:paraId="5A0C5DDE">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10.3.3 所有变更必须于 5 个日历天内由承包人、监理单位及发包人进行签字确认，逾期造成损失由承包人自行承担。</w:t>
      </w:r>
    </w:p>
    <w:p w14:paraId="2779F101">
      <w:pPr>
        <w:spacing w:after="120" w:line="400" w:lineRule="exact"/>
        <w:ind w:firstLine="420" w:firstLineChars="200"/>
        <w:jc w:val="left"/>
        <w:outlineLvl w:val="0"/>
        <w:rPr>
          <w:rFonts w:ascii="宋体" w:hAnsi="宋体" w:cs="宋体"/>
          <w:b/>
          <w:color w:val="auto"/>
          <w:szCs w:val="21"/>
          <w:highlight w:val="none"/>
        </w:rPr>
      </w:pPr>
      <w:r>
        <w:rPr>
          <w:rFonts w:hint="eastAsia" w:ascii="宋体" w:hAnsi="宋体" w:cs="宋体"/>
          <w:b/>
          <w:color w:val="auto"/>
          <w:szCs w:val="21"/>
          <w:highlight w:val="none"/>
          <w:lang w:bidi="ar"/>
        </w:rPr>
        <w:t>10.4 变更估价</w:t>
      </w:r>
    </w:p>
    <w:p w14:paraId="0C1F87A9">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u w:val="single"/>
        </w:rPr>
      </w:pPr>
      <w:r>
        <w:rPr>
          <w:rFonts w:hint="eastAsia" w:ascii="宋体" w:hAnsi="宋体" w:cs="宋体"/>
          <w:color w:val="auto"/>
          <w:kern w:val="2"/>
          <w:sz w:val="21"/>
          <w:szCs w:val="21"/>
          <w:highlight w:val="none"/>
          <w:lang w:bidi="ar"/>
        </w:rPr>
        <w:t>10.4.1 变更估价原则:</w:t>
      </w:r>
      <w:r>
        <w:rPr>
          <w:rFonts w:hint="eastAsia" w:ascii="宋体" w:hAnsi="宋体" w:cs="宋体"/>
          <w:color w:val="auto"/>
          <w:kern w:val="2"/>
          <w:sz w:val="21"/>
          <w:szCs w:val="21"/>
          <w:highlight w:val="none"/>
          <w:u w:val="single"/>
          <w:lang w:bidi="ar"/>
        </w:rPr>
        <w:t>因设计变更、招标工程量清单错项漏项及相关签证引起工程项目、工程量任何变化的，变更合同价款按下列方法进行：</w:t>
      </w:r>
    </w:p>
    <w:p w14:paraId="30A41F22">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u w:val="single"/>
        </w:rPr>
      </w:pPr>
      <w:r>
        <w:rPr>
          <w:rFonts w:hint="eastAsia" w:ascii="宋体" w:hAnsi="宋体" w:cs="宋体"/>
          <w:color w:val="auto"/>
          <w:kern w:val="2"/>
          <w:sz w:val="21"/>
          <w:szCs w:val="21"/>
          <w:highlight w:val="none"/>
          <w:u w:val="single"/>
          <w:lang w:bidi="ar"/>
        </w:rPr>
        <w:t>（1）投标总报价中已有适用于变更工程的综合单价，按已有的综合单价；</w:t>
      </w:r>
    </w:p>
    <w:p w14:paraId="234B32CC">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u w:val="single"/>
        </w:rPr>
      </w:pPr>
      <w:r>
        <w:rPr>
          <w:rFonts w:hint="eastAsia" w:ascii="宋体" w:hAnsi="宋体" w:cs="宋体"/>
          <w:color w:val="auto"/>
          <w:kern w:val="2"/>
          <w:sz w:val="21"/>
          <w:szCs w:val="21"/>
          <w:highlight w:val="none"/>
          <w:u w:val="single"/>
          <w:lang w:bidi="ar"/>
        </w:rPr>
        <w:t>（2）投标总报价中有类似变更工程的综合单价，可参照投标总报价中类似的综合单价确定；</w:t>
      </w:r>
    </w:p>
    <w:p w14:paraId="16E86E9D">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u w:val="single"/>
        </w:rPr>
      </w:pPr>
      <w:r>
        <w:rPr>
          <w:rFonts w:hint="eastAsia" w:ascii="宋体" w:hAnsi="宋体" w:cs="宋体"/>
          <w:color w:val="auto"/>
          <w:kern w:val="2"/>
          <w:sz w:val="21"/>
          <w:szCs w:val="21"/>
          <w:highlight w:val="none"/>
          <w:u w:val="single"/>
          <w:lang w:bidi="ar"/>
        </w:rPr>
        <w:t>（3）投标总报价中没有适用或类似于变更工程的综合单价，则有定额的套用定额计算，执行本工程编制招标控制价的参考依据，其中材料价格采用《桂林市建设工程造价信息》2024年第12期</w:t>
      </w:r>
      <w:r>
        <w:rPr>
          <w:rFonts w:hint="eastAsia" w:ascii="宋体" w:hAnsi="宋体" w:cs="宋体"/>
          <w:color w:val="auto"/>
          <w:kern w:val="2"/>
          <w:sz w:val="21"/>
          <w:szCs w:val="21"/>
          <w:highlight w:val="none"/>
          <w:u w:val="single"/>
          <w:lang w:eastAsia="zh-CN" w:bidi="ar"/>
        </w:rPr>
        <w:t>兴安县信息价</w:t>
      </w:r>
      <w:r>
        <w:rPr>
          <w:rFonts w:hint="eastAsia" w:ascii="宋体" w:hAnsi="宋体" w:cs="宋体"/>
          <w:color w:val="auto"/>
          <w:kern w:val="2"/>
          <w:sz w:val="21"/>
          <w:szCs w:val="21"/>
          <w:highlight w:val="none"/>
          <w:u w:val="single"/>
          <w:lang w:bidi="ar"/>
        </w:rPr>
        <w:t>，信息价没有的，按市场价格共同协商初步确定；此类工程结算综合单价=按现行定额计算（管理费、利润取中值）的综合单价×中标下浮系数（中标人的投标总报价÷招标控制价），新增项目无定额可套用时，由发包人、承包人、监理及跟踪审计四方共同协商初步确定，最终以财政评审中心或发包人委托的造价咨询机构审定并经发包人及承包人双方确认的金额为准。</w:t>
      </w:r>
    </w:p>
    <w:p w14:paraId="6DE840D8">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u w:val="single"/>
        </w:rPr>
      </w:pPr>
      <w:r>
        <w:rPr>
          <w:rFonts w:hint="eastAsia" w:ascii="宋体" w:hAnsi="宋体" w:cs="宋体"/>
          <w:color w:val="auto"/>
          <w:kern w:val="2"/>
          <w:sz w:val="21"/>
          <w:szCs w:val="21"/>
          <w:highlight w:val="none"/>
          <w:u w:val="single"/>
          <w:lang w:bidi="ar"/>
        </w:rPr>
        <w:t>（4）若发包人和监理人认为有关的工作不能以实物工程量的方法计算及估值时，则按以下的方法计算：若工程量清单中有计日工价目表，则以计日工价目表中相应的项目计价；若计日工作价目表中无类似项目，则按四方协商的价格估值。附带条件为，承包人须提交每天用于该项工作的时间的记录、相关工人的姓名及经发包人、跟踪审计、监理人复核的所用物料的清单。上述数据须于该项工作执行后的一星期内提交给发包人及监理人。</w:t>
      </w:r>
    </w:p>
    <w:p w14:paraId="020C8713">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u w:val="single"/>
        </w:rPr>
      </w:pPr>
      <w:r>
        <w:rPr>
          <w:rFonts w:hint="eastAsia" w:ascii="宋体" w:hAnsi="宋体" w:cs="宋体"/>
          <w:color w:val="auto"/>
          <w:kern w:val="2"/>
          <w:sz w:val="21"/>
          <w:szCs w:val="21"/>
          <w:highlight w:val="none"/>
          <w:u w:val="single"/>
          <w:lang w:bidi="ar"/>
        </w:rPr>
        <w:t>（5）暂定价调整方法为：暂定材料价格部分仅调整合同实施期间材料市场价与暂定价之间的材差并计相应的规费和税金，响应文件中相应的综合单价不再调整。专业工程暂估价的确定方法：由承包人申报单价，发包人组织监理人、发包人委托的有资质的造价咨询公司共同询价确定。如发包人现场审计人员认为材料暂估价及专业工程暂估价需要进行市场询价的，应以询价小组（询价小组由发包人、承包人、监理人、发包人委托的有资质的造价咨询公司组成）调查确认的单价为准。</w:t>
      </w:r>
    </w:p>
    <w:p w14:paraId="35A686E5">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u w:val="single"/>
        </w:rPr>
      </w:pPr>
      <w:r>
        <w:rPr>
          <w:rFonts w:hint="eastAsia" w:ascii="宋体" w:hAnsi="宋体" w:cs="宋体"/>
          <w:color w:val="auto"/>
          <w:kern w:val="2"/>
          <w:sz w:val="21"/>
          <w:szCs w:val="21"/>
          <w:highlight w:val="none"/>
          <w:u w:val="single"/>
          <w:lang w:bidi="ar"/>
        </w:rPr>
        <w:t>（6）无约定的参照我区现行《建设工程工程量清单计价规范》及配套定额相关规定执行。</w:t>
      </w:r>
    </w:p>
    <w:p w14:paraId="5091D25D">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u w:val="single"/>
        </w:rPr>
      </w:pPr>
      <w:r>
        <w:rPr>
          <w:rFonts w:hint="eastAsia" w:ascii="宋体" w:hAnsi="宋体" w:cs="宋体"/>
          <w:color w:val="auto"/>
          <w:kern w:val="2"/>
          <w:sz w:val="21"/>
          <w:szCs w:val="21"/>
          <w:highlight w:val="none"/>
          <w:u w:val="single"/>
          <w:lang w:bidi="ar"/>
        </w:rPr>
        <w:t>（7）技术措施费。施工单位已经充分考虑了施工过程中应采取的各项施工技术措施，并在综合单价中已经包含了因此产生的各项风险费用，结算时不予以调整。</w:t>
      </w:r>
    </w:p>
    <w:p w14:paraId="05401C18">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u w:val="single"/>
          <w:lang w:bidi="ar"/>
        </w:rPr>
        <w:t>（8）本工程最终结算以财政评审中心或发包人委托的有资质的造价咨询公司审定并经发包人及承包人双方确认的金额为准。</w:t>
      </w:r>
    </w:p>
    <w:p w14:paraId="07828430">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lang w:bidi="ar"/>
        </w:rPr>
        <w:t>工程变更导致实际完成的变更工程量与已标价清单或预算书中列明的该项目工程量有偏差时，其综合单价的确定按专用条款“1.13工程量清单错误的修正”执行。</w:t>
      </w:r>
    </w:p>
    <w:p w14:paraId="3515D325">
      <w:pPr>
        <w:rPr>
          <w:rFonts w:ascii="宋体" w:hAnsi="宋体" w:cs="宋体"/>
          <w:color w:val="auto"/>
          <w:szCs w:val="21"/>
          <w:highlight w:val="none"/>
        </w:rPr>
      </w:pPr>
      <w:r>
        <w:rPr>
          <w:rFonts w:hint="eastAsia" w:ascii="宋体" w:hAnsi="宋体" w:cs="宋体"/>
          <w:color w:val="auto"/>
          <w:szCs w:val="21"/>
          <w:highlight w:val="none"/>
          <w:lang w:bidi="ar"/>
        </w:rPr>
        <w:t xml:space="preserve"> </w:t>
      </w:r>
    </w:p>
    <w:p w14:paraId="215204A4">
      <w:pPr>
        <w:spacing w:after="120" w:line="400" w:lineRule="exact"/>
        <w:ind w:firstLine="420" w:firstLineChars="200"/>
        <w:rPr>
          <w:rFonts w:ascii="宋体" w:hAnsi="宋体" w:cs="宋体"/>
          <w:b/>
          <w:color w:val="auto"/>
          <w:szCs w:val="21"/>
          <w:highlight w:val="none"/>
        </w:rPr>
      </w:pPr>
      <w:r>
        <w:rPr>
          <w:rFonts w:hint="eastAsia" w:ascii="宋体" w:hAnsi="宋体" w:cs="宋体"/>
          <w:b/>
          <w:color w:val="auto"/>
          <w:szCs w:val="21"/>
          <w:highlight w:val="none"/>
          <w:lang w:bidi="ar"/>
        </w:rPr>
        <w:t>10.5承包人的合理化建议</w:t>
      </w:r>
    </w:p>
    <w:p w14:paraId="6288C504">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监理人审查承包人合理化建议的期限：</w:t>
      </w:r>
      <w:r>
        <w:rPr>
          <w:rFonts w:hint="eastAsia" w:ascii="宋体" w:hAnsi="宋体" w:cs="宋体"/>
          <w:color w:val="auto"/>
          <w:szCs w:val="21"/>
          <w:highlight w:val="none"/>
          <w:u w:val="single"/>
          <w:lang w:bidi="ar"/>
        </w:rPr>
        <w:t xml:space="preserve">  同通用条款 </w:t>
      </w:r>
      <w:r>
        <w:rPr>
          <w:rFonts w:hint="eastAsia" w:ascii="宋体" w:hAnsi="宋体" w:cs="宋体"/>
          <w:color w:val="auto"/>
          <w:szCs w:val="21"/>
          <w:highlight w:val="none"/>
          <w:lang w:bidi="ar"/>
        </w:rPr>
        <w:t>。</w:t>
      </w:r>
    </w:p>
    <w:p w14:paraId="33FB288F">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发包人审批承包人合理化建议的期限：</w:t>
      </w:r>
      <w:r>
        <w:rPr>
          <w:rFonts w:hint="eastAsia" w:ascii="宋体" w:hAnsi="宋体" w:cs="宋体"/>
          <w:color w:val="auto"/>
          <w:szCs w:val="21"/>
          <w:highlight w:val="none"/>
          <w:u w:val="single"/>
          <w:lang w:bidi="ar"/>
        </w:rPr>
        <w:t xml:space="preserve">  同通用条款 </w:t>
      </w:r>
      <w:r>
        <w:rPr>
          <w:rFonts w:hint="eastAsia" w:ascii="宋体" w:hAnsi="宋体" w:cs="宋体"/>
          <w:color w:val="auto"/>
          <w:szCs w:val="21"/>
          <w:highlight w:val="none"/>
          <w:lang w:bidi="ar"/>
        </w:rPr>
        <w:t>。</w:t>
      </w:r>
    </w:p>
    <w:p w14:paraId="454FC453">
      <w:pPr>
        <w:spacing w:line="400" w:lineRule="exact"/>
        <w:ind w:firstLine="420" w:firstLineChars="200"/>
        <w:jc w:val="left"/>
        <w:rPr>
          <w:rFonts w:ascii="宋体" w:hAnsi="宋体" w:cs="宋体"/>
          <w:b/>
          <w:color w:val="auto"/>
          <w:szCs w:val="21"/>
          <w:highlight w:val="none"/>
        </w:rPr>
      </w:pPr>
      <w:r>
        <w:rPr>
          <w:rFonts w:hint="eastAsia" w:ascii="宋体" w:hAnsi="宋体" w:cs="宋体"/>
          <w:color w:val="auto"/>
          <w:szCs w:val="21"/>
          <w:highlight w:val="none"/>
          <w:lang w:bidi="ar"/>
        </w:rPr>
        <w:t>承包人提出的合理化建议降低了合同价格或者提高了工程经济效益的奖励的方法和金额为：</w:t>
      </w:r>
      <w:r>
        <w:rPr>
          <w:rFonts w:hint="eastAsia" w:ascii="宋体" w:hAnsi="宋体" w:cs="宋体"/>
          <w:color w:val="auto"/>
          <w:szCs w:val="21"/>
          <w:highlight w:val="none"/>
          <w:u w:val="single"/>
          <w:lang w:bidi="ar"/>
        </w:rPr>
        <w:t xml:space="preserve">    无      </w:t>
      </w:r>
      <w:r>
        <w:rPr>
          <w:rFonts w:hint="eastAsia" w:ascii="宋体" w:hAnsi="宋体" w:cs="宋体"/>
          <w:color w:val="auto"/>
          <w:szCs w:val="21"/>
          <w:highlight w:val="none"/>
          <w:lang w:bidi="ar"/>
        </w:rPr>
        <w:t>。</w:t>
      </w:r>
    </w:p>
    <w:p w14:paraId="202B7DD8">
      <w:pPr>
        <w:spacing w:after="120" w:line="400" w:lineRule="exact"/>
        <w:ind w:firstLine="420" w:firstLineChars="200"/>
        <w:jc w:val="left"/>
        <w:outlineLvl w:val="0"/>
        <w:rPr>
          <w:rFonts w:ascii="宋体" w:hAnsi="宋体" w:cs="宋体"/>
          <w:b/>
          <w:color w:val="auto"/>
          <w:szCs w:val="21"/>
          <w:highlight w:val="none"/>
        </w:rPr>
      </w:pPr>
      <w:r>
        <w:rPr>
          <w:rFonts w:hint="eastAsia" w:ascii="宋体" w:hAnsi="宋体" w:cs="宋体"/>
          <w:b/>
          <w:color w:val="auto"/>
          <w:szCs w:val="21"/>
          <w:highlight w:val="none"/>
          <w:lang w:bidi="ar"/>
        </w:rPr>
        <w:t>10.7 暂估价</w:t>
      </w:r>
    </w:p>
    <w:p w14:paraId="3F878B34">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暂估价材料和工程设备的明细详见已标价工程量清单《材料（工程设备）暂估价格及调整表》（表12-2）和《专业工程暂估价表》（表12-3）。</w:t>
      </w:r>
    </w:p>
    <w:p w14:paraId="4DF42B86">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10.7.1 对于依法必须招标的暂估价项目</w:t>
      </w:r>
    </w:p>
    <w:p w14:paraId="2B368128">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对于依法必须招标的暂估价项目的确认和批准采取第</w:t>
      </w:r>
      <w:r>
        <w:rPr>
          <w:rFonts w:hint="eastAsia" w:ascii="宋体" w:hAnsi="宋体" w:cs="宋体"/>
          <w:color w:val="auto"/>
          <w:kern w:val="2"/>
          <w:sz w:val="21"/>
          <w:szCs w:val="21"/>
          <w:highlight w:val="none"/>
          <w:u w:val="single"/>
          <w:lang w:bidi="ar"/>
        </w:rPr>
        <w:t xml:space="preserve">  3  </w:t>
      </w:r>
      <w:r>
        <w:rPr>
          <w:rFonts w:hint="eastAsia" w:ascii="宋体" w:hAnsi="宋体" w:cs="宋体"/>
          <w:color w:val="auto"/>
          <w:kern w:val="2"/>
          <w:sz w:val="21"/>
          <w:szCs w:val="21"/>
          <w:highlight w:val="none"/>
          <w:lang w:bidi="ar"/>
        </w:rPr>
        <w:t>种方式确定。</w:t>
      </w:r>
    </w:p>
    <w:p w14:paraId="6505AE53">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第 1 种方式：对于依法必须招标的暂估价项目，由承包人招标，对该暂估价项目的确认和批准按照以下约定执行：</w:t>
      </w:r>
    </w:p>
    <w:p w14:paraId="25FD9B58">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1）承包人应当根据施工进度计划，在招标工作启动前14个日历天内将招标方案通过监理人报送发包人审查，发包人应当在收到承包人报送的招标方案后7天内批准或提出修改意见。承包人应当按照经过发包人批准的招标方案开展招标工作；</w:t>
      </w:r>
    </w:p>
    <w:p w14:paraId="0D3D35BF">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2）承包人应当根据施工进度计划，提前14个日历天将招标文件通过监理人报送发包人审批，发包人应当在收到承包人报送的相关文件后7个日历天内完成审批或提出修改意见；发包人有权确定招标控制价并委派评标委员会成员；</w:t>
      </w:r>
    </w:p>
    <w:p w14:paraId="00438B66">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3）承包人与供应商、分包人在签订暂估价合同前，应当提前7个日历天将确定的中标候选供应商或中标候选分包人的资料报送发包人，发包人应在收到资料后3个日历天内与承包人共同确定中标人；承包人应当在签订合同后7个日历天内，将暂估价合同副本报送发包人留存。</w:t>
      </w:r>
    </w:p>
    <w:p w14:paraId="3A478592">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第 2 种方式：对于依法必须招标的暂估价项目，由发包人和承包人共同招标确定暂估价供应商或分包人的，承包人应按照施工进度计划，在招标工作启动前14个日历天通知发包人，并提交暂估价招标方案和工作分工。发包人应在收到后7天内确认。确定中标人后，由发包人、承包人与中标人共同签订暂估价合同。</w:t>
      </w:r>
    </w:p>
    <w:p w14:paraId="64DC10BF">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第 3 种方式：</w:t>
      </w:r>
      <w:r>
        <w:rPr>
          <w:rFonts w:hint="eastAsia" w:ascii="宋体" w:hAnsi="宋体" w:cs="宋体"/>
          <w:color w:val="auto"/>
          <w:kern w:val="2"/>
          <w:sz w:val="21"/>
          <w:szCs w:val="21"/>
          <w:highlight w:val="none"/>
          <w:u w:val="single"/>
          <w:lang w:bidi="ar"/>
        </w:rPr>
        <w:t>发包人作为招标人，承包人配合、协助发包人的招标工作</w:t>
      </w:r>
      <w:r>
        <w:rPr>
          <w:rFonts w:hint="eastAsia" w:ascii="宋体" w:hAnsi="宋体" w:cs="宋体"/>
          <w:color w:val="auto"/>
          <w:kern w:val="2"/>
          <w:sz w:val="21"/>
          <w:szCs w:val="21"/>
          <w:highlight w:val="none"/>
          <w:lang w:bidi="ar"/>
        </w:rPr>
        <w:t>。</w:t>
      </w:r>
    </w:p>
    <w:p w14:paraId="697B6E63">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10.7.2对于不属于依法必须招标的暂估价项目，采取以下第</w:t>
      </w:r>
      <w:r>
        <w:rPr>
          <w:rFonts w:hint="eastAsia" w:ascii="宋体" w:hAnsi="宋体" w:cs="宋体"/>
          <w:color w:val="auto"/>
          <w:kern w:val="2"/>
          <w:sz w:val="21"/>
          <w:szCs w:val="21"/>
          <w:highlight w:val="none"/>
          <w:u w:val="single"/>
          <w:lang w:bidi="ar"/>
        </w:rPr>
        <w:t xml:space="preserve"> 1 </w:t>
      </w:r>
      <w:r>
        <w:rPr>
          <w:rFonts w:hint="eastAsia" w:ascii="宋体" w:hAnsi="宋体" w:cs="宋体"/>
          <w:color w:val="auto"/>
          <w:kern w:val="2"/>
          <w:sz w:val="21"/>
          <w:szCs w:val="21"/>
          <w:highlight w:val="none"/>
          <w:lang w:bidi="ar"/>
        </w:rPr>
        <w:t>种方式确定：</w:t>
      </w:r>
    </w:p>
    <w:p w14:paraId="3F46C799">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第 1 种方式：对于不属于依法必须招标的暂估价项目，按本项约定确认和批准：</w:t>
      </w:r>
    </w:p>
    <w:p w14:paraId="1964072F">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1）承包人应根据施工进度计划，在签订暂估价项目的采购合同、分包合同前28个日历天内向监理人提出书面申请。监理人应当在收到申请后3个日历天内报送发包人，发包人应当在收到申请后14天内给予批准或提出修改意见，发包人逾期未予批准或提出修改意见的，视为该书面申请已获得同意；</w:t>
      </w:r>
    </w:p>
    <w:p w14:paraId="2D745E4E">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（2）发包人认为承包人确定的供应商、分包人无法满足工程质量或合同要求的，发包人可以要求承包人重新确定暂估价项目的供应商、分包人；</w:t>
      </w:r>
    </w:p>
    <w:p w14:paraId="6452B412">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（3）承包人应当在签订暂估价合同后7个日历天内，将暂估价合同副本报送发包人留存。</w:t>
      </w:r>
    </w:p>
    <w:p w14:paraId="53D2F94B">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第 2 种方式：承包人按照第10.7.1项【依法必须招标的暂估价项目】约定的第1种方式确定暂估价项目。</w:t>
      </w:r>
    </w:p>
    <w:p w14:paraId="5FB29B85">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第 3 种方式：承包人直接实施的暂估价项目</w:t>
      </w:r>
    </w:p>
    <w:p w14:paraId="62051F05">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承包人具备实施暂估价项目的资格和条件的，经发包人和承包人协商一致后，可由承包人   自行实施暂估价项目，合同当事人可以在合同条款约定具体事项。</w:t>
      </w:r>
    </w:p>
    <w:p w14:paraId="7983FD9F">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承包人直接实施的暂估价项目的约定：</w:t>
      </w:r>
      <w:r>
        <w:rPr>
          <w:rFonts w:hint="eastAsia" w:ascii="宋体" w:hAnsi="宋体" w:cs="宋体"/>
          <w:color w:val="auto"/>
          <w:kern w:val="2"/>
          <w:sz w:val="21"/>
          <w:szCs w:val="21"/>
          <w:highlight w:val="none"/>
          <w:u w:val="single"/>
          <w:lang w:bidi="ar"/>
        </w:rPr>
        <w:t xml:space="preserve">  无  </w:t>
      </w:r>
      <w:r>
        <w:rPr>
          <w:rFonts w:hint="eastAsia" w:ascii="宋体" w:hAnsi="宋体" w:cs="宋体"/>
          <w:color w:val="auto"/>
          <w:kern w:val="2"/>
          <w:sz w:val="21"/>
          <w:szCs w:val="21"/>
          <w:highlight w:val="none"/>
          <w:lang w:bidi="ar"/>
        </w:rPr>
        <w:t>。</w:t>
      </w:r>
    </w:p>
    <w:p w14:paraId="57A5B1CC">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bookmarkStart w:id="1125" w:name="10.8_暂列金额"/>
      <w:bookmarkEnd w:id="1125"/>
      <w:r>
        <w:rPr>
          <w:rFonts w:hint="eastAsia" w:ascii="宋体" w:hAnsi="宋体" w:cs="宋体"/>
          <w:color w:val="auto"/>
          <w:kern w:val="2"/>
          <w:sz w:val="21"/>
          <w:szCs w:val="21"/>
          <w:highlight w:val="none"/>
          <w:lang w:bidi="ar"/>
        </w:rPr>
        <w:t>10.8  暂列金额</w:t>
      </w:r>
    </w:p>
    <w:p w14:paraId="0AA2D4D3">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合同当事人关于暂列金额使用的约定：</w:t>
      </w:r>
    </w:p>
    <w:p w14:paraId="23CB63D8">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（1）已签约合同价中的暂列金额由发包人掌握使用。</w:t>
      </w:r>
    </w:p>
    <w:p w14:paraId="4CC209FE">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（2）发包人按照规定所作支付后，暂列金额如有余额归发包人。</w:t>
      </w:r>
    </w:p>
    <w:p w14:paraId="4B063BC6">
      <w:pPr>
        <w:spacing w:after="120" w:line="400" w:lineRule="exact"/>
        <w:ind w:firstLine="420" w:firstLineChars="200"/>
        <w:jc w:val="left"/>
        <w:rPr>
          <w:rFonts w:ascii="宋体" w:hAnsi="宋体" w:cs="宋体"/>
          <w:b/>
          <w:color w:val="auto"/>
          <w:szCs w:val="21"/>
          <w:highlight w:val="none"/>
        </w:rPr>
      </w:pPr>
      <w:r>
        <w:rPr>
          <w:rFonts w:hint="eastAsia" w:ascii="宋体" w:hAnsi="宋体" w:cs="宋体"/>
          <w:b/>
          <w:color w:val="auto"/>
          <w:szCs w:val="21"/>
          <w:highlight w:val="none"/>
          <w:lang w:bidi="ar"/>
        </w:rPr>
        <w:t>10.8 暂列金额</w:t>
      </w:r>
    </w:p>
    <w:p w14:paraId="4930075A">
      <w:pPr>
        <w:keepNext/>
        <w:keepLines/>
        <w:spacing w:before="120" w:after="120" w:line="400" w:lineRule="exact"/>
        <w:jc w:val="left"/>
        <w:outlineLvl w:val="3"/>
        <w:rPr>
          <w:rFonts w:ascii="宋体" w:hAnsi="宋体" w:cs="宋体"/>
          <w:color w:val="auto"/>
          <w:szCs w:val="21"/>
          <w:highlight w:val="none"/>
          <w:u w:val="single"/>
        </w:rPr>
      </w:pPr>
      <w:r>
        <w:rPr>
          <w:rFonts w:hint="eastAsia" w:ascii="宋体" w:hAnsi="宋体" w:cs="宋体"/>
          <w:color w:val="auto"/>
          <w:kern w:val="0"/>
          <w:szCs w:val="21"/>
          <w:highlight w:val="none"/>
          <w:lang w:bidi="ar"/>
        </w:rPr>
        <w:t>合同当事人关于暂列金额使用的约定：</w:t>
      </w:r>
      <w:r>
        <w:rPr>
          <w:rFonts w:hint="eastAsia" w:ascii="宋体" w:hAnsi="宋体" w:cs="宋体"/>
          <w:color w:val="auto"/>
          <w:szCs w:val="21"/>
          <w:highlight w:val="none"/>
          <w:u w:val="single"/>
          <w:lang w:bidi="ar"/>
        </w:rPr>
        <w:t xml:space="preserve"> （1）已签约合同价中的暂列金额由发包人掌握使用。</w:t>
      </w:r>
    </w:p>
    <w:p w14:paraId="5296DB2A">
      <w:pPr>
        <w:keepNext/>
        <w:keepLines/>
        <w:spacing w:before="120" w:after="120" w:line="400" w:lineRule="exact"/>
        <w:jc w:val="left"/>
        <w:outlineLvl w:val="3"/>
        <w:rPr>
          <w:rFonts w:ascii="宋体" w:hAnsi="宋体" w:cs="宋体"/>
          <w:color w:val="auto"/>
          <w:szCs w:val="21"/>
          <w:highlight w:val="none"/>
          <w:u w:val="single"/>
        </w:rPr>
      </w:pPr>
      <w:r>
        <w:rPr>
          <w:rFonts w:hint="eastAsia" w:ascii="宋体" w:hAnsi="宋体" w:cs="宋体"/>
          <w:color w:val="auto"/>
          <w:szCs w:val="21"/>
          <w:highlight w:val="none"/>
          <w:u w:val="single"/>
          <w:lang w:bidi="ar"/>
        </w:rPr>
        <w:t>（2）发包人按照规定所作支付后，暂列金额如有余额归发包人。</w:t>
      </w:r>
    </w:p>
    <w:p w14:paraId="0062C170">
      <w:pPr>
        <w:keepNext/>
        <w:keepLines/>
        <w:spacing w:before="120" w:after="120" w:line="400" w:lineRule="exact"/>
        <w:jc w:val="left"/>
        <w:outlineLvl w:val="0"/>
        <w:rPr>
          <w:rFonts w:ascii="宋体" w:hAnsi="宋体" w:cs="宋体"/>
          <w:b/>
          <w:bCs/>
          <w:color w:val="auto"/>
          <w:szCs w:val="21"/>
          <w:highlight w:val="none"/>
        </w:rPr>
      </w:pPr>
      <w:r>
        <w:rPr>
          <w:rFonts w:hint="eastAsia" w:ascii="宋体" w:hAnsi="宋体" w:cs="宋体"/>
          <w:b/>
          <w:bCs/>
          <w:color w:val="auto"/>
          <w:szCs w:val="21"/>
          <w:highlight w:val="none"/>
          <w:lang w:bidi="ar"/>
        </w:rPr>
        <w:t>11. 价格调整</w:t>
      </w:r>
    </w:p>
    <w:p w14:paraId="67A39DBB">
      <w:pPr>
        <w:spacing w:after="120" w:line="400" w:lineRule="exact"/>
        <w:ind w:firstLine="420" w:firstLineChars="200"/>
        <w:rPr>
          <w:rFonts w:ascii="宋体" w:hAnsi="宋体" w:cs="宋体"/>
          <w:b/>
          <w:color w:val="auto"/>
          <w:szCs w:val="21"/>
          <w:highlight w:val="none"/>
        </w:rPr>
      </w:pPr>
      <w:r>
        <w:rPr>
          <w:rFonts w:hint="eastAsia" w:ascii="宋体" w:hAnsi="宋体" w:cs="宋体"/>
          <w:b/>
          <w:color w:val="auto"/>
          <w:szCs w:val="21"/>
          <w:highlight w:val="none"/>
          <w:lang w:bidi="ar"/>
        </w:rPr>
        <w:t>11.1 市场价格波动引起的调整</w:t>
      </w:r>
    </w:p>
    <w:p w14:paraId="0AE70A0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市场价格波动是否调整合同价格的约定：</w:t>
      </w:r>
      <w:r>
        <w:rPr>
          <w:rFonts w:hint="eastAsia" w:ascii="宋体" w:hAnsi="宋体" w:cs="宋体"/>
          <w:color w:val="auto"/>
          <w:kern w:val="0"/>
          <w:szCs w:val="21"/>
          <w:highlight w:val="none"/>
          <w:u w:val="single"/>
          <w:lang w:bidi="ar"/>
        </w:rPr>
        <w:t>施工过程中除钢材、水泥、商品混凝土外，其他均由投标人根据施工期间材料价格可能发生的价格变动，自行考虑由此引起的风险，并计入报价中，结算时不再调整。非施工单位原因造成的钢材、水泥、商品混凝土价差在5%以内（含5%）的，由施工单位承担；超过5%部分的价差，由建设单位承担</w:t>
      </w:r>
      <w:r>
        <w:rPr>
          <w:rFonts w:hint="eastAsia" w:ascii="宋体" w:hAnsi="宋体" w:cs="宋体"/>
          <w:color w:val="auto"/>
          <w:szCs w:val="21"/>
          <w:highlight w:val="none"/>
          <w:u w:val="single"/>
          <w:lang w:bidi="ar"/>
        </w:rPr>
        <w:t>。</w:t>
      </w:r>
    </w:p>
    <w:p w14:paraId="5C791A9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因市场价格波动调整合同价格，采用以下第</w:t>
      </w:r>
      <w:r>
        <w:rPr>
          <w:rFonts w:hint="eastAsia" w:ascii="宋体" w:hAnsi="宋体" w:cs="宋体"/>
          <w:color w:val="auto"/>
          <w:szCs w:val="21"/>
          <w:highlight w:val="none"/>
          <w:u w:val="single"/>
          <w:lang w:bidi="ar"/>
        </w:rPr>
        <w:t xml:space="preserve"> 3 </w:t>
      </w:r>
      <w:r>
        <w:rPr>
          <w:rFonts w:hint="eastAsia" w:ascii="宋体" w:hAnsi="宋体" w:cs="宋体"/>
          <w:color w:val="auto"/>
          <w:szCs w:val="21"/>
          <w:highlight w:val="none"/>
          <w:lang w:bidi="ar"/>
        </w:rPr>
        <w:t>种方式对合同价格进行调整：</w:t>
      </w:r>
    </w:p>
    <w:p w14:paraId="2CFD0CF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第1种方式：采用价格指数进行价格调整。</w:t>
      </w:r>
    </w:p>
    <w:p w14:paraId="02E6FC82">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lang w:bidi="ar"/>
        </w:rPr>
        <w:t>关于各可调因子、定值和变值权重，以及基本价格指数及其来源的约定：</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  </w:t>
      </w:r>
    </w:p>
    <w:p w14:paraId="7271B11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第2种方式：采用造价信息进行价格调整。</w:t>
      </w:r>
    </w:p>
    <w:p w14:paraId="0EA46D9F">
      <w:pPr>
        <w:pStyle w:val="42"/>
        <w:tabs>
          <w:tab w:val="left" w:pos="4980"/>
          <w:tab w:val="left" w:pos="6451"/>
        </w:tabs>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（2）关于基准价格的约定：</w:t>
      </w:r>
      <w:r>
        <w:rPr>
          <w:rFonts w:hint="eastAsia" w:ascii="宋体" w:hAnsi="宋体" w:cs="宋体"/>
          <w:color w:val="auto"/>
          <w:kern w:val="2"/>
          <w:sz w:val="21"/>
          <w:szCs w:val="21"/>
          <w:highlight w:val="none"/>
          <w:u w:val="single"/>
          <w:lang w:bidi="ar"/>
        </w:rPr>
        <w:t xml:space="preserve"> </w:t>
      </w:r>
      <w:r>
        <w:rPr>
          <w:rFonts w:hint="eastAsia" w:ascii="宋体" w:hAnsi="宋体" w:cs="宋体"/>
          <w:color w:val="auto"/>
          <w:kern w:val="2"/>
          <w:sz w:val="21"/>
          <w:szCs w:val="21"/>
          <w:highlight w:val="none"/>
          <w:u w:val="single"/>
          <w:lang w:bidi="ar"/>
        </w:rPr>
        <w:tab/>
      </w:r>
      <w:r>
        <w:rPr>
          <w:rFonts w:hint="eastAsia" w:ascii="宋体" w:hAnsi="宋体" w:cs="宋体"/>
          <w:color w:val="auto"/>
          <w:kern w:val="2"/>
          <w:sz w:val="21"/>
          <w:szCs w:val="21"/>
          <w:highlight w:val="none"/>
          <w:u w:val="single"/>
          <w:lang w:bidi="ar"/>
        </w:rPr>
        <w:t>/</w:t>
      </w:r>
      <w:r>
        <w:rPr>
          <w:rFonts w:hint="eastAsia" w:ascii="宋体" w:hAnsi="宋体" w:cs="宋体"/>
          <w:color w:val="auto"/>
          <w:kern w:val="2"/>
          <w:sz w:val="21"/>
          <w:szCs w:val="21"/>
          <w:highlight w:val="none"/>
          <w:u w:val="single"/>
          <w:lang w:bidi="ar"/>
        </w:rPr>
        <w:tab/>
      </w:r>
      <w:r>
        <w:rPr>
          <w:rFonts w:hint="eastAsia" w:ascii="宋体" w:hAnsi="宋体" w:cs="宋体"/>
          <w:color w:val="auto"/>
          <w:kern w:val="2"/>
          <w:sz w:val="21"/>
          <w:szCs w:val="21"/>
          <w:highlight w:val="none"/>
          <w:lang w:bidi="ar"/>
        </w:rPr>
        <w:t>。</w:t>
      </w:r>
    </w:p>
    <w:p w14:paraId="550E2D4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（1）允许调整主要材料和工程设备、基期价格、风险系数、投标报价详见《允许调整主要材料和工程设备一览表》</w:t>
      </w:r>
      <w:r>
        <w:rPr>
          <w:rFonts w:hint="eastAsia" w:ascii="宋体" w:hAnsi="宋体" w:cs="宋体"/>
          <w:color w:val="auto"/>
          <w:kern w:val="0"/>
          <w:szCs w:val="21"/>
          <w:highlight w:val="none"/>
          <w:lang w:bidi="ar"/>
        </w:rPr>
        <w:t>（表-22）</w:t>
      </w:r>
      <w:r>
        <w:rPr>
          <w:rFonts w:hint="eastAsia" w:ascii="宋体" w:hAnsi="宋体" w:cs="宋体"/>
          <w:color w:val="auto"/>
          <w:szCs w:val="21"/>
          <w:highlight w:val="none"/>
          <w:lang w:bidi="ar"/>
        </w:rPr>
        <w:t>,价差调整部分仅计算税金，除此表列明的材料、设备外，其余材料设备价差原则上不予调整。</w:t>
      </w:r>
    </w:p>
    <w:p w14:paraId="1BEBBF5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（2）主要材料和工程设备确认价：</w:t>
      </w:r>
    </w:p>
    <w:p w14:paraId="3E17DEB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按施工期间《桂林市建设工程造价信息》材料</w:t>
      </w:r>
      <w:r>
        <w:rPr>
          <w:rFonts w:hint="eastAsia" w:ascii="宋体" w:hAnsi="宋体" w:cs="宋体"/>
          <w:color w:val="auto"/>
          <w:szCs w:val="21"/>
          <w:highlight w:val="none"/>
          <w:lang w:eastAsia="zh-CN" w:bidi="ar"/>
        </w:rPr>
        <w:t>兴安县</w:t>
      </w:r>
      <w:r>
        <w:rPr>
          <w:rFonts w:hint="eastAsia" w:ascii="宋体" w:hAnsi="宋体" w:cs="宋体"/>
          <w:color w:val="auto"/>
          <w:szCs w:val="21"/>
          <w:highlight w:val="none"/>
          <w:lang w:bidi="ar"/>
        </w:rPr>
        <w:t>信息价的加权平均价计算，信息价没有的按通用条款规定确定。</w:t>
      </w:r>
    </w:p>
    <w:p w14:paraId="34C9081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（3）价差计算方法：</w:t>
      </w:r>
    </w:p>
    <w:p w14:paraId="1F478DB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①《允许调整主要材料和工程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14:paraId="1714133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②承包人在《允许调整主要材料和工程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7831591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③承包人在《允许调整主要材料和工程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18332E08">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第 3 种方式：其他价格调整方式：</w:t>
      </w:r>
      <w:r>
        <w:rPr>
          <w:rFonts w:hint="eastAsia" w:ascii="宋体" w:hAnsi="宋体" w:cs="宋体"/>
          <w:color w:val="auto"/>
          <w:kern w:val="2"/>
          <w:sz w:val="21"/>
          <w:szCs w:val="21"/>
          <w:highlight w:val="none"/>
          <w:u w:val="single"/>
          <w:lang w:bidi="ar"/>
        </w:rPr>
        <w:t>当材料价格涨跌幅在±5%内（含±5%）时，由投标人自行考虑由此引起的风险，结算时不予调整；当材料价格涨跌幅超出±5%时，结算时仅给予超出±5%以上（下）部分的价差调整（不含±5%）。材料价格调整={施工期间《桂林市建设工程造价信息》材料</w:t>
      </w:r>
      <w:r>
        <w:rPr>
          <w:rFonts w:hint="eastAsia" w:ascii="宋体" w:hAnsi="宋体" w:cs="宋体"/>
          <w:color w:val="auto"/>
          <w:kern w:val="2"/>
          <w:sz w:val="21"/>
          <w:szCs w:val="21"/>
          <w:highlight w:val="none"/>
          <w:u w:val="single"/>
          <w:lang w:eastAsia="zh-CN" w:bidi="ar"/>
        </w:rPr>
        <w:t>兴安县</w:t>
      </w:r>
      <w:r>
        <w:rPr>
          <w:rFonts w:hint="eastAsia" w:ascii="宋体" w:hAnsi="宋体" w:cs="宋体"/>
          <w:color w:val="auto"/>
          <w:kern w:val="2"/>
          <w:sz w:val="21"/>
          <w:szCs w:val="21"/>
          <w:highlight w:val="none"/>
          <w:u w:val="single"/>
          <w:lang w:bidi="ar"/>
        </w:rPr>
        <w:t>信息价的加权平均价-2024年《桂林市建设工程造价信息》</w:t>
      </w:r>
      <w:r>
        <w:rPr>
          <w:rFonts w:hint="eastAsia" w:ascii="宋体" w:hAnsi="宋体" w:cs="宋体"/>
          <w:color w:val="auto"/>
          <w:kern w:val="2"/>
          <w:sz w:val="21"/>
          <w:szCs w:val="21"/>
          <w:highlight w:val="none"/>
          <w:u w:val="single"/>
          <w:lang w:eastAsia="zh-CN" w:bidi="ar"/>
        </w:rPr>
        <w:t>兴安县信息价</w:t>
      </w:r>
      <w:r>
        <w:rPr>
          <w:rFonts w:hint="eastAsia" w:ascii="宋体" w:hAnsi="宋体" w:cs="宋体"/>
          <w:color w:val="auto"/>
          <w:kern w:val="2"/>
          <w:sz w:val="21"/>
          <w:szCs w:val="21"/>
          <w:highlight w:val="none"/>
          <w:u w:val="single"/>
          <w:lang w:bidi="ar"/>
        </w:rPr>
        <w:t>中</w:t>
      </w:r>
      <w:r>
        <w:rPr>
          <w:rFonts w:hint="eastAsia" w:ascii="宋体" w:hAnsi="宋体" w:cs="宋体"/>
          <w:b/>
          <w:bCs/>
          <w:color w:val="auto"/>
          <w:kern w:val="2"/>
          <w:sz w:val="21"/>
          <w:szCs w:val="21"/>
          <w:highlight w:val="none"/>
          <w:u w:val="single"/>
          <w:lang w:bidi="ar"/>
        </w:rPr>
        <w:t>第12期</w:t>
      </w:r>
      <w:r>
        <w:rPr>
          <w:rFonts w:hint="eastAsia" w:ascii="宋体" w:hAnsi="宋体" w:cs="宋体"/>
          <w:color w:val="auto"/>
          <w:kern w:val="2"/>
          <w:sz w:val="21"/>
          <w:szCs w:val="21"/>
          <w:highlight w:val="none"/>
          <w:u w:val="single"/>
          <w:lang w:bidi="ar"/>
        </w:rPr>
        <w:t>×（1±5%）}×下浮系数，并计入税前独立费。</w:t>
      </w:r>
      <w:bookmarkStart w:id="1126" w:name="12._合同价格、计量与支付"/>
      <w:bookmarkEnd w:id="1126"/>
    </w:p>
    <w:p w14:paraId="7E79B3C2">
      <w:pPr>
        <w:keepNext/>
        <w:keepLines/>
        <w:spacing w:before="120" w:after="120" w:line="400" w:lineRule="exact"/>
        <w:jc w:val="left"/>
        <w:outlineLvl w:val="0"/>
        <w:rPr>
          <w:rFonts w:ascii="宋体" w:hAnsi="宋体" w:cs="宋体"/>
          <w:b/>
          <w:bCs/>
          <w:color w:val="auto"/>
          <w:szCs w:val="21"/>
          <w:highlight w:val="none"/>
        </w:rPr>
      </w:pPr>
      <w:r>
        <w:rPr>
          <w:rFonts w:hint="eastAsia" w:ascii="宋体" w:hAnsi="宋体" w:cs="宋体"/>
          <w:b/>
          <w:bCs/>
          <w:color w:val="auto"/>
          <w:szCs w:val="21"/>
          <w:highlight w:val="none"/>
          <w:lang w:bidi="ar"/>
        </w:rPr>
        <w:t>12. 合同价格、计量与支付</w:t>
      </w:r>
    </w:p>
    <w:p w14:paraId="1DF204ED">
      <w:pPr>
        <w:spacing w:after="120" w:line="400" w:lineRule="exact"/>
        <w:ind w:firstLine="420" w:firstLineChars="200"/>
        <w:jc w:val="left"/>
        <w:rPr>
          <w:rFonts w:ascii="宋体" w:hAnsi="宋体" w:cs="宋体"/>
          <w:b/>
          <w:color w:val="auto"/>
          <w:szCs w:val="21"/>
          <w:highlight w:val="none"/>
        </w:rPr>
      </w:pPr>
      <w:r>
        <w:rPr>
          <w:rFonts w:hint="eastAsia" w:ascii="宋体" w:hAnsi="宋体" w:cs="宋体"/>
          <w:b/>
          <w:color w:val="auto"/>
          <w:szCs w:val="21"/>
          <w:highlight w:val="none"/>
          <w:lang w:bidi="ar"/>
        </w:rPr>
        <w:t>12.1 合同价格形式</w:t>
      </w:r>
    </w:p>
    <w:p w14:paraId="68B3BDD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本工程采用</w:t>
      </w:r>
      <w:r>
        <w:rPr>
          <w:rFonts w:hint="eastAsia" w:ascii="宋体" w:hAnsi="宋体" w:cs="宋体"/>
          <w:color w:val="auto"/>
          <w:szCs w:val="21"/>
          <w:highlight w:val="none"/>
          <w:u w:val="single"/>
          <w:lang w:bidi="ar"/>
        </w:rPr>
        <w:t xml:space="preserve">   固定综合单价  </w:t>
      </w:r>
      <w:r>
        <w:rPr>
          <w:rFonts w:hint="eastAsia" w:ascii="宋体" w:hAnsi="宋体" w:cs="宋体"/>
          <w:color w:val="auto"/>
          <w:szCs w:val="21"/>
          <w:highlight w:val="none"/>
          <w:lang w:bidi="ar"/>
        </w:rPr>
        <w:t>合同价格形式，合同价格包含增值税，本工程计价时采用的增值税计税方法为：☑一般计税法   £简易计税法。</w:t>
      </w:r>
    </w:p>
    <w:p w14:paraId="52875885">
      <w:pPr>
        <w:pStyle w:val="42"/>
        <w:numPr>
          <w:ilvl w:val="0"/>
          <w:numId w:val="4"/>
        </w:numPr>
        <w:adjustRightInd w:val="0"/>
        <w:spacing w:beforeAutospacing="1" w:after="60" w:line="400" w:lineRule="exact"/>
        <w:ind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单价合同。</w:t>
      </w:r>
    </w:p>
    <w:p w14:paraId="2D5BB79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采用综合单价合同方式时，工程量按建设单位、监理单位、施工单位三方确认的竣工图结算。</w:t>
      </w:r>
    </w:p>
    <w:p w14:paraId="329FDEF3">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综合单价包含的风险范围：</w:t>
      </w:r>
      <w:r>
        <w:rPr>
          <w:rFonts w:hint="eastAsia" w:ascii="宋体" w:hAnsi="宋体" w:cs="宋体"/>
          <w:color w:val="auto"/>
          <w:kern w:val="2"/>
          <w:sz w:val="21"/>
          <w:szCs w:val="21"/>
          <w:highlight w:val="none"/>
          <w:u w:val="single"/>
          <w:lang w:bidi="ar"/>
        </w:rPr>
        <w:t>除工程变更、项目特征不符、工程量清单缺项、工程量偏差、政策性调整、市场价格波动。</w:t>
      </w:r>
    </w:p>
    <w:p w14:paraId="3A38CCBF">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风险范围以外合同价格的调整方法：</w:t>
      </w:r>
    </w:p>
    <w:p w14:paraId="30138544">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①工程变更、项目特征不符、工程量清单缺项：按10.4.1变更估价原则的约定调整。</w:t>
      </w:r>
    </w:p>
    <w:p w14:paraId="77EC5F4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②工程量偏差：按1.13工程量清单错误修正的约定调整。</w:t>
      </w:r>
    </w:p>
    <w:p w14:paraId="42106EB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③政策性调整：按国家、自治区住房城乡建设厅或工程所在地市级住房城乡建设主管部门颁布的文件执行。</w:t>
      </w:r>
    </w:p>
    <w:p w14:paraId="0B73BA8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④市场波动引起的调整：按11.1的约定调整。</w:t>
      </w:r>
    </w:p>
    <w:p w14:paraId="71C8477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⑤其它：</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w:t>
      </w:r>
    </w:p>
    <w:p w14:paraId="2B6A08A1">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（2）总价合同。</w:t>
      </w:r>
    </w:p>
    <w:p w14:paraId="1DD9DA16">
      <w:pPr>
        <w:pStyle w:val="42"/>
        <w:tabs>
          <w:tab w:val="left" w:pos="4246"/>
          <w:tab w:val="left" w:pos="4771"/>
          <w:tab w:val="left" w:pos="7291"/>
        </w:tabs>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总价包含的风险范围：</w:t>
      </w:r>
      <w:r>
        <w:rPr>
          <w:rFonts w:hint="eastAsia" w:ascii="宋体" w:hAnsi="宋体" w:cs="宋体"/>
          <w:color w:val="auto"/>
          <w:kern w:val="2"/>
          <w:sz w:val="21"/>
          <w:szCs w:val="21"/>
          <w:highlight w:val="none"/>
          <w:u w:val="single"/>
          <w:lang w:bidi="ar"/>
        </w:rPr>
        <w:t xml:space="preserve"> 包含除工程变更、政策性调整、市场价格波动。除工程变更外，结算时不再对招标施工图对应的工程量重新计量 </w:t>
      </w:r>
      <w:r>
        <w:rPr>
          <w:rFonts w:hint="eastAsia" w:ascii="宋体" w:hAnsi="宋体" w:cs="宋体"/>
          <w:color w:val="auto"/>
          <w:kern w:val="2"/>
          <w:sz w:val="21"/>
          <w:szCs w:val="21"/>
          <w:highlight w:val="none"/>
          <w:u w:val="single"/>
          <w:lang w:bidi="ar"/>
        </w:rPr>
        <w:tab/>
      </w:r>
      <w:r>
        <w:rPr>
          <w:rFonts w:hint="eastAsia" w:ascii="宋体" w:hAnsi="宋体" w:cs="宋体"/>
          <w:color w:val="auto"/>
          <w:kern w:val="2"/>
          <w:sz w:val="21"/>
          <w:szCs w:val="21"/>
          <w:highlight w:val="none"/>
          <w:lang w:bidi="ar"/>
        </w:rPr>
        <w:t>。</w:t>
      </w:r>
    </w:p>
    <w:p w14:paraId="4990506A">
      <w:pPr>
        <w:spacing w:after="120" w:line="40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lang w:bidi="ar"/>
        </w:rPr>
        <w:t>风险范围以外合同价格的调整方法：</w:t>
      </w:r>
    </w:p>
    <w:p w14:paraId="4069C4DB">
      <w:pPr>
        <w:spacing w:after="120" w:line="40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lang w:bidi="ar"/>
        </w:rPr>
        <w:t>①工程变更：按10.4.1变更估价原则的约定调整。</w:t>
      </w:r>
    </w:p>
    <w:p w14:paraId="34B1D0F0">
      <w:pPr>
        <w:spacing w:after="120" w:line="40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lang w:bidi="ar"/>
        </w:rPr>
        <w:t>②政策性调整：按国家、自治区住房城乡建设厅或工程所在地市级住房城乡建设主管部门颁布的文件执行。</w:t>
      </w:r>
    </w:p>
    <w:p w14:paraId="24A956B0">
      <w:pPr>
        <w:spacing w:after="120" w:line="40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lang w:bidi="ar"/>
        </w:rPr>
        <w:t>③市场波动引起的调整：按11.1的约定调整。</w:t>
      </w:r>
    </w:p>
    <w:p w14:paraId="0F6F6D11">
      <w:pPr>
        <w:spacing w:after="120" w:line="40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lang w:bidi="ar"/>
        </w:rPr>
        <w:t>④其它：</w:t>
      </w:r>
      <w:r>
        <w:rPr>
          <w:rFonts w:hint="eastAsia" w:ascii="宋体" w:hAnsi="宋体" w:cs="宋体"/>
          <w:bCs/>
          <w:color w:val="auto"/>
          <w:szCs w:val="21"/>
          <w:highlight w:val="none"/>
          <w:u w:val="single"/>
          <w:lang w:bidi="ar"/>
        </w:rPr>
        <w:t xml:space="preserve">     </w:t>
      </w:r>
      <w:r>
        <w:rPr>
          <w:rFonts w:hint="eastAsia" w:ascii="宋体" w:hAnsi="宋体" w:cs="宋体"/>
          <w:bCs/>
          <w:color w:val="auto"/>
          <w:szCs w:val="21"/>
          <w:highlight w:val="none"/>
          <w:lang w:bidi="ar"/>
        </w:rPr>
        <w:t>。</w:t>
      </w:r>
    </w:p>
    <w:p w14:paraId="40B7D175">
      <w:pPr>
        <w:spacing w:after="120" w:line="400" w:lineRule="exact"/>
        <w:ind w:left="420" w:leftChars="200"/>
        <w:jc w:val="left"/>
        <w:rPr>
          <w:rFonts w:ascii="宋体" w:hAnsi="宋体" w:cs="宋体"/>
          <w:bCs/>
          <w:color w:val="auto"/>
          <w:szCs w:val="21"/>
          <w:highlight w:val="none"/>
        </w:rPr>
      </w:pPr>
      <w:r>
        <w:rPr>
          <w:rFonts w:hint="eastAsia" w:ascii="宋体" w:hAnsi="宋体" w:cs="宋体"/>
          <w:bCs/>
          <w:color w:val="auto"/>
          <w:szCs w:val="21"/>
          <w:highlight w:val="none"/>
          <w:lang w:bidi="ar"/>
        </w:rPr>
        <w:t xml:space="preserve">（3）其他价格方式： </w:t>
      </w:r>
      <w:r>
        <w:rPr>
          <w:rFonts w:hint="eastAsia" w:ascii="宋体" w:hAnsi="宋体" w:cs="宋体"/>
          <w:bCs/>
          <w:color w:val="auto"/>
          <w:szCs w:val="21"/>
          <w:highlight w:val="none"/>
          <w:u w:val="single"/>
          <w:lang w:bidi="ar"/>
        </w:rPr>
        <w:t xml:space="preserve">            </w:t>
      </w:r>
      <w:r>
        <w:rPr>
          <w:rFonts w:hint="eastAsia" w:ascii="宋体" w:hAnsi="宋体" w:cs="宋体"/>
          <w:bCs/>
          <w:color w:val="auto"/>
          <w:szCs w:val="21"/>
          <w:highlight w:val="none"/>
          <w:lang w:bidi="ar"/>
        </w:rPr>
        <w:t xml:space="preserve">  。</w:t>
      </w:r>
    </w:p>
    <w:p w14:paraId="66EB5CC1">
      <w:pPr>
        <w:spacing w:after="120" w:line="400" w:lineRule="exact"/>
        <w:jc w:val="left"/>
        <w:outlineLvl w:val="0"/>
        <w:rPr>
          <w:rFonts w:ascii="宋体" w:hAnsi="宋体" w:cs="宋体"/>
          <w:b/>
          <w:color w:val="auto"/>
          <w:szCs w:val="21"/>
          <w:highlight w:val="none"/>
        </w:rPr>
      </w:pPr>
      <w:r>
        <w:rPr>
          <w:rFonts w:hint="eastAsia" w:ascii="宋体" w:hAnsi="宋体" w:cs="宋体"/>
          <w:b/>
          <w:color w:val="auto"/>
          <w:szCs w:val="21"/>
          <w:highlight w:val="none"/>
          <w:lang w:bidi="ar"/>
        </w:rPr>
        <w:t>12.2 预付款</w:t>
      </w:r>
    </w:p>
    <w:p w14:paraId="6E523D7D">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12.2.1 预付款的支付</w:t>
      </w:r>
    </w:p>
    <w:p w14:paraId="640DDB65">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预付款支付比例或金额：</w:t>
      </w:r>
      <w:r>
        <w:rPr>
          <w:rFonts w:hint="eastAsia" w:ascii="宋体" w:hAnsi="宋体" w:cs="宋体"/>
          <w:color w:val="auto"/>
          <w:szCs w:val="21"/>
          <w:highlight w:val="none"/>
          <w:u w:val="single"/>
          <w:lang w:bidi="ar"/>
        </w:rPr>
        <w:t xml:space="preserve">合同总价（扣除暂列金额）的30%  </w:t>
      </w:r>
      <w:r>
        <w:rPr>
          <w:rFonts w:hint="eastAsia" w:ascii="宋体" w:hAnsi="宋体" w:cs="宋体"/>
          <w:color w:val="auto"/>
          <w:szCs w:val="21"/>
          <w:highlight w:val="none"/>
          <w:lang w:bidi="ar"/>
        </w:rPr>
        <w:t>【备注：政府投资项目应严格执行工程预付款制度，工程预付款应不低于合同总价（扣除暂列金额）的10%（最高不超过30%，并与工程进度款分期按约定比例抵扣）】。</w:t>
      </w:r>
    </w:p>
    <w:p w14:paraId="02A69C9E">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预付款支付期限：</w:t>
      </w:r>
      <w:r>
        <w:rPr>
          <w:rFonts w:hint="eastAsia" w:ascii="宋体" w:hAnsi="宋体" w:cs="宋体"/>
          <w:color w:val="auto"/>
          <w:szCs w:val="21"/>
          <w:highlight w:val="none"/>
          <w:u w:val="single"/>
          <w:lang w:bidi="ar"/>
        </w:rPr>
        <w:t xml:space="preserve">合同签订，建设资金拨付至发包人后的30日内支付       </w:t>
      </w:r>
      <w:r>
        <w:rPr>
          <w:rFonts w:hint="eastAsia" w:ascii="宋体" w:hAnsi="宋体" w:cs="宋体"/>
          <w:color w:val="auto"/>
          <w:szCs w:val="21"/>
          <w:highlight w:val="none"/>
          <w:lang w:bidi="ar"/>
        </w:rPr>
        <w:t>。</w:t>
      </w:r>
    </w:p>
    <w:p w14:paraId="4CD31497">
      <w:pPr>
        <w:spacing w:line="40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lang w:bidi="ar"/>
        </w:rPr>
        <w:t>预付款扣回的方式：</w:t>
      </w:r>
      <w:r>
        <w:rPr>
          <w:rFonts w:hint="eastAsia" w:ascii="宋体" w:hAnsi="宋体" w:cs="宋体"/>
          <w:color w:val="auto"/>
          <w:szCs w:val="21"/>
          <w:highlight w:val="none"/>
          <w:u w:val="single"/>
          <w:lang w:bidi="ar"/>
        </w:rPr>
        <w:t>进度款达到10%作为预付款起扣点，从此之后的每个月进度款中按预付款支付比例扣回 。</w:t>
      </w:r>
    </w:p>
    <w:p w14:paraId="58C9D1BA">
      <w:pPr>
        <w:spacing w:line="400" w:lineRule="exact"/>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lang w:bidi="ar"/>
        </w:rPr>
        <w:t>12.2.2 预付款担保</w:t>
      </w:r>
    </w:p>
    <w:p w14:paraId="517FBA7D">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承包人提交预付款担保的期限：</w:t>
      </w:r>
      <w:r>
        <w:rPr>
          <w:rFonts w:hint="eastAsia" w:ascii="宋体" w:hAnsi="宋体" w:cs="宋体"/>
          <w:color w:val="auto"/>
          <w:szCs w:val="21"/>
          <w:highlight w:val="none"/>
          <w:u w:val="single"/>
          <w:lang w:bidi="ar"/>
        </w:rPr>
        <w:t xml:space="preserve">签订施工合同后20个工作日内       </w:t>
      </w:r>
      <w:r>
        <w:rPr>
          <w:rFonts w:hint="eastAsia" w:ascii="宋体" w:hAnsi="宋体" w:cs="宋体"/>
          <w:color w:val="auto"/>
          <w:szCs w:val="21"/>
          <w:highlight w:val="none"/>
          <w:lang w:bidi="ar"/>
        </w:rPr>
        <w:t>。</w:t>
      </w:r>
    </w:p>
    <w:p w14:paraId="2C223929">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预付款担保的形式为：可以是银行转账，电汇或网上支付，保函（银行保函、电子保函、保证保险保函、工程担保保函），施工方开设业主、银行三方共管预付款账户等形式。工程担保保证人应将出具的保函相关信息录入“广西建筑市场监管云”平台（http://gxjzsc.caihcloud.com），以实现保函查询及验真功能。</w:t>
      </w:r>
    </w:p>
    <w:p w14:paraId="37F7950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预付款担保格式见合同附件8。预付款支付申请（核准）表见合同附件10。</w:t>
      </w:r>
    </w:p>
    <w:p w14:paraId="301C79FE">
      <w:pPr>
        <w:spacing w:line="400" w:lineRule="exact"/>
        <w:ind w:firstLine="420" w:firstLineChars="200"/>
        <w:jc w:val="left"/>
        <w:rPr>
          <w:rFonts w:ascii="宋体" w:hAnsi="宋体" w:cs="宋体"/>
          <w:b/>
          <w:color w:val="auto"/>
          <w:szCs w:val="21"/>
          <w:highlight w:val="none"/>
        </w:rPr>
      </w:pPr>
      <w:r>
        <w:rPr>
          <w:rFonts w:hint="eastAsia" w:ascii="宋体" w:hAnsi="宋体" w:cs="宋体"/>
          <w:b/>
          <w:color w:val="auto"/>
          <w:szCs w:val="21"/>
          <w:highlight w:val="none"/>
          <w:lang w:bidi="ar"/>
        </w:rPr>
        <w:t>12.3 计量</w:t>
      </w:r>
    </w:p>
    <w:p w14:paraId="4F80E050">
      <w:pPr>
        <w:spacing w:line="400" w:lineRule="exact"/>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lang w:bidi="ar"/>
        </w:rPr>
        <w:t>12.3.1 计量原则</w:t>
      </w:r>
    </w:p>
    <w:p w14:paraId="1E2A2B24">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工程量计算规则：</w:t>
      </w:r>
      <w:r>
        <w:rPr>
          <w:rFonts w:hint="eastAsia" w:ascii="宋体" w:hAnsi="宋体" w:cs="宋体"/>
          <w:color w:val="auto"/>
          <w:szCs w:val="21"/>
          <w:highlight w:val="none"/>
          <w:u w:val="single"/>
          <w:lang w:bidi="ar"/>
        </w:rPr>
        <w:t xml:space="preserve">  工程的计量均以《建设工程工程量清单计价规范》（GB50500－2013）和及其广西壮族自治区实施细则、《建设工程工程量清单计算规范》（GB50854~50862－2013）及其广西实施细则（修订本）、本工程补充项目清单为准。 </w:t>
      </w:r>
    </w:p>
    <w:p w14:paraId="52C5C1E5">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12.3.2 计量周期</w:t>
      </w:r>
    </w:p>
    <w:p w14:paraId="07AC426A">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关于计量周期的约定：</w:t>
      </w:r>
      <w:r>
        <w:rPr>
          <w:rFonts w:hint="eastAsia" w:ascii="宋体" w:hAnsi="宋体" w:cs="宋体"/>
          <w:color w:val="auto"/>
          <w:szCs w:val="21"/>
          <w:highlight w:val="none"/>
          <w:u w:val="single"/>
          <w:lang w:bidi="ar"/>
        </w:rPr>
        <w:t xml:space="preserve">   每月25日前  </w:t>
      </w:r>
      <w:r>
        <w:rPr>
          <w:rFonts w:hint="eastAsia" w:ascii="宋体" w:hAnsi="宋体" w:cs="宋体"/>
          <w:color w:val="auto"/>
          <w:szCs w:val="21"/>
          <w:highlight w:val="none"/>
          <w:lang w:bidi="ar"/>
        </w:rPr>
        <w:t>。</w:t>
      </w:r>
    </w:p>
    <w:p w14:paraId="767C9646">
      <w:pPr>
        <w:spacing w:line="400" w:lineRule="exact"/>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lang w:bidi="ar"/>
        </w:rPr>
        <w:t>12.3.3 单价合同的计量</w:t>
      </w:r>
    </w:p>
    <w:p w14:paraId="249DFD5B">
      <w:pPr>
        <w:spacing w:line="40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lang w:bidi="ar"/>
        </w:rPr>
        <w:t>关于单价合同计量的约定：</w:t>
      </w:r>
      <w:r>
        <w:rPr>
          <w:rFonts w:hint="eastAsia" w:ascii="宋体" w:hAnsi="宋体" w:cs="宋体"/>
          <w:color w:val="auto"/>
          <w:szCs w:val="21"/>
          <w:highlight w:val="none"/>
          <w:u w:val="single"/>
          <w:lang w:bidi="ar"/>
        </w:rPr>
        <w:t xml:space="preserve"> （1）工程量清单所列的工程量，不能作为承包人按合同履行其责任依据，实际施工中发生工程量增加或减少并不影响承包人履行合同的责任，工程结算以完成的实际工程量为准。</w:t>
      </w:r>
    </w:p>
    <w:p w14:paraId="5C0D64B3">
      <w:pPr>
        <w:spacing w:line="40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lang w:bidi="ar"/>
        </w:rPr>
        <w:t>（2）除另有规定外，工程师应按照合同通过计量来核实确定已完成的工作量和价款，承包人应得到该价款扣除保留金后的金额。当工程师对已完工的工程量进行计量时，应通知承包人参加。</w:t>
      </w:r>
    </w:p>
    <w:p w14:paraId="08DCFC4D">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12.3.4 总价合同的计量</w:t>
      </w:r>
    </w:p>
    <w:p w14:paraId="20C7BE36">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关于总价合同计量的约定：</w:t>
      </w:r>
      <w:r>
        <w:rPr>
          <w:rFonts w:hint="eastAsia" w:ascii="宋体" w:hAnsi="宋体" w:cs="宋体"/>
          <w:color w:val="auto"/>
          <w:kern w:val="2"/>
          <w:sz w:val="21"/>
          <w:szCs w:val="21"/>
          <w:highlight w:val="none"/>
          <w:u w:val="single"/>
          <w:lang w:bidi="ar"/>
        </w:rPr>
        <w:t xml:space="preserve">  进度款按支付分解表支付，支付分解表在招标完成后签合同之前制定，具体详见本专用合同条款12.4.6</w:t>
      </w:r>
      <w:r>
        <w:rPr>
          <w:rFonts w:hint="eastAsia" w:ascii="宋体" w:hAnsi="宋体" w:cs="宋体"/>
          <w:color w:val="auto"/>
          <w:kern w:val="2"/>
          <w:sz w:val="21"/>
          <w:szCs w:val="21"/>
          <w:highlight w:val="none"/>
          <w:lang w:bidi="ar"/>
        </w:rPr>
        <w:t>。</w:t>
      </w:r>
    </w:p>
    <w:p w14:paraId="29D8E5DA">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12.3.6 其他价格形式合同的计量</w:t>
      </w:r>
    </w:p>
    <w:p w14:paraId="00F69392">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其他价格形式的计量方式和程序：</w:t>
      </w:r>
      <w:r>
        <w:rPr>
          <w:rFonts w:hint="eastAsia" w:ascii="宋体" w:hAnsi="宋体" w:cs="宋体"/>
          <w:color w:val="auto"/>
          <w:kern w:val="2"/>
          <w:sz w:val="21"/>
          <w:szCs w:val="21"/>
          <w:highlight w:val="none"/>
          <w:u w:val="single"/>
          <w:lang w:bidi="ar"/>
        </w:rPr>
        <w:t xml:space="preserve"> </w:t>
      </w:r>
      <w:r>
        <w:rPr>
          <w:rFonts w:hint="eastAsia" w:ascii="宋体" w:hAnsi="宋体" w:cs="宋体"/>
          <w:color w:val="auto"/>
          <w:kern w:val="2"/>
          <w:sz w:val="21"/>
          <w:szCs w:val="21"/>
          <w:highlight w:val="none"/>
          <w:u w:val="single"/>
          <w:lang w:bidi="ar"/>
        </w:rPr>
        <w:tab/>
      </w:r>
      <w:r>
        <w:rPr>
          <w:rFonts w:hint="eastAsia" w:ascii="宋体" w:hAnsi="宋体" w:cs="宋体"/>
          <w:color w:val="auto"/>
          <w:kern w:val="2"/>
          <w:sz w:val="21"/>
          <w:szCs w:val="21"/>
          <w:highlight w:val="none"/>
          <w:u w:val="single"/>
          <w:lang w:bidi="ar"/>
        </w:rPr>
        <w:t>/</w:t>
      </w:r>
      <w:r>
        <w:rPr>
          <w:rFonts w:hint="eastAsia" w:ascii="宋体" w:hAnsi="宋体" w:cs="宋体"/>
          <w:color w:val="auto"/>
          <w:kern w:val="2"/>
          <w:sz w:val="21"/>
          <w:szCs w:val="21"/>
          <w:highlight w:val="none"/>
          <w:u w:val="single"/>
          <w:lang w:bidi="ar"/>
        </w:rPr>
        <w:tab/>
      </w:r>
      <w:r>
        <w:rPr>
          <w:rFonts w:hint="eastAsia" w:ascii="宋体" w:hAnsi="宋体" w:cs="宋体"/>
          <w:color w:val="auto"/>
          <w:kern w:val="2"/>
          <w:sz w:val="21"/>
          <w:szCs w:val="21"/>
          <w:highlight w:val="none"/>
          <w:lang w:bidi="ar"/>
        </w:rPr>
        <w:t>。</w:t>
      </w:r>
    </w:p>
    <w:p w14:paraId="0E88046F">
      <w:pPr>
        <w:spacing w:after="120" w:line="400" w:lineRule="exact"/>
        <w:ind w:firstLine="420" w:firstLineChars="200"/>
        <w:jc w:val="left"/>
        <w:rPr>
          <w:rFonts w:ascii="宋体" w:hAnsi="宋体" w:cs="宋体"/>
          <w:b/>
          <w:color w:val="auto"/>
          <w:szCs w:val="21"/>
          <w:highlight w:val="none"/>
        </w:rPr>
      </w:pPr>
      <w:r>
        <w:rPr>
          <w:rFonts w:hint="eastAsia" w:ascii="宋体" w:hAnsi="宋体" w:cs="宋体"/>
          <w:b/>
          <w:color w:val="auto"/>
          <w:szCs w:val="21"/>
          <w:highlight w:val="none"/>
          <w:lang w:bidi="ar"/>
        </w:rPr>
        <w:t>12.4 工程进度款支付</w:t>
      </w:r>
    </w:p>
    <w:p w14:paraId="131ED93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12.4.1 付款周期</w:t>
      </w:r>
    </w:p>
    <w:p w14:paraId="2180C002">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u w:val="single"/>
        </w:rPr>
      </w:pPr>
      <w:r>
        <w:rPr>
          <w:rFonts w:hint="eastAsia" w:ascii="宋体" w:hAnsi="宋体" w:cs="宋体"/>
          <w:color w:val="auto"/>
          <w:kern w:val="2"/>
          <w:sz w:val="21"/>
          <w:szCs w:val="21"/>
          <w:highlight w:val="none"/>
          <w:u w:val="single"/>
          <w:lang w:bidi="ar"/>
        </w:rPr>
        <w:t>①工程款原则上按月支付，工程进度款支付限额为已完成工程量的80%（政府机关、事业单位、国有企业建设工程进度款支付应不低于已完成工程价款的80%）。</w:t>
      </w:r>
    </w:p>
    <w:p w14:paraId="6352C974">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u w:val="single"/>
        </w:rPr>
      </w:pPr>
      <w:r>
        <w:rPr>
          <w:rFonts w:hint="eastAsia" w:ascii="宋体" w:hAnsi="宋体" w:cs="宋体"/>
          <w:color w:val="auto"/>
          <w:kern w:val="2"/>
          <w:sz w:val="21"/>
          <w:szCs w:val="21"/>
          <w:highlight w:val="none"/>
          <w:u w:val="single"/>
          <w:lang w:bidi="ar"/>
        </w:rPr>
        <w:t>②工程完工验收达到质量要求，结算经业主及财政或审计部门（如有）审定后，工程款支付至结算总价的100%（不得低于100%）。结算前，承包人按工程价款结算总额的3%（最高不超过3%）向发包人提交工程质量保证金。</w:t>
      </w:r>
    </w:p>
    <w:p w14:paraId="7A075C96">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u w:val="single"/>
        </w:rPr>
      </w:pPr>
      <w:r>
        <w:rPr>
          <w:rFonts w:hint="eastAsia" w:ascii="宋体" w:hAnsi="宋体" w:cs="宋体"/>
          <w:color w:val="auto"/>
          <w:kern w:val="2"/>
          <w:sz w:val="21"/>
          <w:szCs w:val="21"/>
          <w:highlight w:val="none"/>
          <w:u w:val="single"/>
          <w:lang w:bidi="ar"/>
        </w:rPr>
        <w:t>③合同约定的工程质量缺陷责任期（最长不超过2年）满后由承包人向发包人提出返还保证金的申请，发包人在接到承包人返还保证金申请后，于14天内会同承包人按照合同约定的内容进行核实。如无异议，发包人在核实后14天内将保证金返还承包人，逾期未返还的，依法承担违约责任。发包人在接到承包人返还保证金申请后14天内不予答复，经催告后14天内仍不予答复，视同认可承包人的返还保证金申请。</w:t>
      </w:r>
    </w:p>
    <w:p w14:paraId="0777EF2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12.4.2 进度付款申请单的编制</w:t>
      </w:r>
    </w:p>
    <w:p w14:paraId="1F1EDDB9">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lang w:bidi="ar"/>
        </w:rPr>
        <w:t>关于进度付款申请单编制的约定：</w:t>
      </w:r>
      <w:r>
        <w:rPr>
          <w:rFonts w:hint="eastAsia" w:ascii="宋体" w:hAnsi="宋体" w:cs="宋体"/>
          <w:color w:val="auto"/>
          <w:szCs w:val="21"/>
          <w:highlight w:val="none"/>
          <w:u w:val="single"/>
          <w:lang w:bidi="ar"/>
        </w:rPr>
        <w:t xml:space="preserve">   按通用条款执行       </w:t>
      </w:r>
      <w:r>
        <w:rPr>
          <w:rFonts w:hint="eastAsia" w:ascii="宋体" w:hAnsi="宋体" w:cs="宋体"/>
          <w:color w:val="auto"/>
          <w:szCs w:val="21"/>
          <w:highlight w:val="none"/>
          <w:lang w:bidi="ar"/>
        </w:rPr>
        <w:t>。</w:t>
      </w:r>
    </w:p>
    <w:p w14:paraId="7E2CD646">
      <w:pPr>
        <w:spacing w:line="400" w:lineRule="exact"/>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lang w:bidi="ar"/>
        </w:rPr>
        <w:t>12.4.3 进度付款申请单的提交</w:t>
      </w:r>
    </w:p>
    <w:p w14:paraId="192533FE">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（1）单价合同进度付款申请单提交的约定：</w:t>
      </w:r>
      <w:r>
        <w:rPr>
          <w:rFonts w:hint="eastAsia" w:ascii="宋体" w:hAnsi="宋体" w:cs="宋体"/>
          <w:color w:val="auto"/>
          <w:szCs w:val="21"/>
          <w:highlight w:val="none"/>
          <w:u w:val="single"/>
          <w:lang w:bidi="ar"/>
        </w:rPr>
        <w:t xml:space="preserve">  工程量清单所列的工程量，不能作为承包人按合同履行其责任依据，实际施工中发生工程量增加或减少并不影响承包人履行合同的责任，工程结算以完成的实际工程量为准, 达到形象进度支付节点后即可提交，原则上申请次数每月不得超过一次，如果有特殊情况需双方协商后可按照形象进度再进行申请。</w:t>
      </w:r>
    </w:p>
    <w:p w14:paraId="434854CA">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（2）总价合同进度付款申请单提交的约定：</w:t>
      </w:r>
      <w:r>
        <w:rPr>
          <w:rFonts w:hint="eastAsia" w:ascii="宋体" w:hAnsi="宋体" w:cs="宋体"/>
          <w:color w:val="auto"/>
          <w:szCs w:val="21"/>
          <w:highlight w:val="none"/>
          <w:u w:val="single"/>
          <w:lang w:bidi="ar"/>
        </w:rPr>
        <w:t xml:space="preserve">  监理人收到承包人进度付款申请单以及相关资料后7天内完成审查并报送发包人   </w:t>
      </w:r>
      <w:r>
        <w:rPr>
          <w:rFonts w:hint="eastAsia" w:ascii="宋体" w:hAnsi="宋体" w:cs="宋体"/>
          <w:color w:val="auto"/>
          <w:szCs w:val="21"/>
          <w:highlight w:val="none"/>
          <w:lang w:bidi="ar"/>
        </w:rPr>
        <w:t>。</w:t>
      </w:r>
    </w:p>
    <w:p w14:paraId="48E9A818">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（3）其他价格形式合同进度付款申请单提交的约定：</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w:t>
      </w:r>
    </w:p>
    <w:p w14:paraId="46E26AF9">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12.4.4 进度款审核和支付</w:t>
      </w:r>
    </w:p>
    <w:p w14:paraId="772EAC85">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（1）监理人审查并报送发包人的期限：</w:t>
      </w:r>
      <w:r>
        <w:rPr>
          <w:rFonts w:hint="eastAsia" w:ascii="宋体" w:hAnsi="宋体" w:cs="宋体"/>
          <w:color w:val="auto"/>
          <w:kern w:val="2"/>
          <w:sz w:val="21"/>
          <w:szCs w:val="21"/>
          <w:highlight w:val="none"/>
          <w:u w:val="single"/>
          <w:lang w:bidi="ar"/>
        </w:rPr>
        <w:t>监理人收到承包人进度付款申请单以及相关资料后7天内完成审查并报送发包人</w:t>
      </w:r>
      <w:r>
        <w:rPr>
          <w:rFonts w:hint="eastAsia" w:ascii="宋体" w:hAnsi="宋体" w:cs="宋体"/>
          <w:color w:val="auto"/>
          <w:kern w:val="2"/>
          <w:sz w:val="21"/>
          <w:szCs w:val="21"/>
          <w:highlight w:val="none"/>
          <w:lang w:bidi="ar"/>
        </w:rPr>
        <w:t>。</w:t>
      </w:r>
    </w:p>
    <w:p w14:paraId="549D50E4">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发包人完成审批并签发进度款支付证书的期限：</w:t>
      </w:r>
      <w:r>
        <w:rPr>
          <w:rFonts w:hint="eastAsia" w:ascii="宋体" w:hAnsi="宋体" w:cs="宋体"/>
          <w:color w:val="auto"/>
          <w:kern w:val="2"/>
          <w:sz w:val="21"/>
          <w:szCs w:val="21"/>
          <w:highlight w:val="none"/>
          <w:u w:val="single"/>
          <w:lang w:bidi="ar"/>
        </w:rPr>
        <w:t>收到后7个日历天内完成审批并签发。</w:t>
      </w:r>
    </w:p>
    <w:p w14:paraId="32352E4B">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（2）发包人支付进度款的期限：</w:t>
      </w:r>
      <w:r>
        <w:rPr>
          <w:rFonts w:hint="eastAsia" w:ascii="宋体" w:hAnsi="宋体" w:cs="宋体"/>
          <w:color w:val="auto"/>
          <w:kern w:val="2"/>
          <w:sz w:val="21"/>
          <w:szCs w:val="21"/>
          <w:highlight w:val="none"/>
          <w:u w:val="single"/>
          <w:lang w:bidi="ar"/>
        </w:rPr>
        <w:t>办理相关手续后15个工作日内</w:t>
      </w:r>
      <w:r>
        <w:rPr>
          <w:rFonts w:hint="eastAsia" w:ascii="宋体" w:hAnsi="宋体" w:cs="宋体"/>
          <w:color w:val="auto"/>
          <w:kern w:val="2"/>
          <w:sz w:val="21"/>
          <w:szCs w:val="21"/>
          <w:highlight w:val="none"/>
          <w:lang w:bidi="ar"/>
        </w:rPr>
        <w:t>。</w:t>
      </w:r>
    </w:p>
    <w:p w14:paraId="3D3DC990">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发包人逾期支付进度款的违约金的计算方式：</w:t>
      </w:r>
      <w:r>
        <w:rPr>
          <w:rFonts w:hint="eastAsia" w:ascii="宋体" w:hAnsi="宋体" w:cs="宋体"/>
          <w:color w:val="auto"/>
          <w:kern w:val="2"/>
          <w:sz w:val="21"/>
          <w:szCs w:val="21"/>
          <w:highlight w:val="none"/>
          <w:u w:val="single"/>
          <w:lang w:bidi="ar"/>
        </w:rPr>
        <w:t>同通用条款</w:t>
      </w:r>
      <w:r>
        <w:rPr>
          <w:rFonts w:hint="eastAsia" w:ascii="宋体" w:hAnsi="宋体" w:cs="宋体"/>
          <w:color w:val="auto"/>
          <w:kern w:val="2"/>
          <w:sz w:val="21"/>
          <w:szCs w:val="21"/>
          <w:highlight w:val="none"/>
          <w:lang w:bidi="ar"/>
        </w:rPr>
        <w:t>。</w:t>
      </w:r>
    </w:p>
    <w:p w14:paraId="066A7CBF">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进度款支付方式：银行转账。进度款支付申请（核准）表见合同附件11。</w:t>
      </w:r>
    </w:p>
    <w:p w14:paraId="3E406049">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（3） 农民工工资支付</w:t>
      </w:r>
    </w:p>
    <w:p w14:paraId="46BAB380">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03850D52">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2）人工费应应与工程进度款分帐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帐出来的人工费转入承包人农民工工资支付专用账户，转入农民工工资支付专用账户环节必须有银行流水凭证。</w:t>
      </w:r>
    </w:p>
    <w:p w14:paraId="225CB1C5">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3）发包人依据工程进度，审核承包人申报的工程进度款，按照与承包人约定的人工费支付比例20 %（房建项目不少于20%，市政项目不少于15%），将人工费及时足额拨付至承包人的农民工工资专用账户，其余工程进度款项由发包人支付到承包人的单位基本户。</w:t>
      </w:r>
    </w:p>
    <w:p w14:paraId="591CA822">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 xml:space="preserve">4）工程建设领域总包单位对农民工工资支付负总责，推行分包单位农民工工资委托总包单位代发制度（以下简称总包代发制度）。工程建设项目施行总包代发制度的，总包单位与分包单位签订委托工资支付协议。 </w:t>
      </w:r>
    </w:p>
    <w:p w14:paraId="3B6B0AD3">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5）凡未向付款单位提供农民工工资专用账户的，或者请款单位在申请工程进度款时未将人工费单列的，付款单位有权拒绝支付工程进度款。</w:t>
      </w:r>
    </w:p>
    <w:p w14:paraId="148B1EC4">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6）人工费使用要求：专款专用，除发放农民工工资外，不得用于其他用途。</w:t>
      </w:r>
    </w:p>
    <w:p w14:paraId="3827FE13">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7）承包人将人工费支付情况定期报告发包人和监理单位，并提供相应的材料接受建设行政主管部门和劳动保障行政主管部门对此事项监管。</w:t>
      </w:r>
    </w:p>
    <w:p w14:paraId="714AF392">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8）人工费支付专用账户：××××公司农民工工资支付专用账户。账号：</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w:t>
      </w:r>
    </w:p>
    <w:p w14:paraId="636F0B9E">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12.4.6 支付分解表的编制</w:t>
      </w:r>
    </w:p>
    <w:p w14:paraId="361D95AC">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（1）、总价合同支付分解表的编制与审批：</w:t>
      </w:r>
      <w:r>
        <w:rPr>
          <w:rFonts w:hint="eastAsia" w:ascii="宋体" w:hAnsi="宋体" w:cs="宋体"/>
          <w:color w:val="auto"/>
          <w:szCs w:val="21"/>
          <w:highlight w:val="none"/>
          <w:u w:val="single"/>
          <w:lang w:bidi="ar"/>
        </w:rPr>
        <w:t>无</w:t>
      </w:r>
      <w:r>
        <w:rPr>
          <w:rFonts w:hint="eastAsia" w:ascii="宋体" w:hAnsi="宋体" w:cs="宋体"/>
          <w:color w:val="auto"/>
          <w:szCs w:val="21"/>
          <w:highlight w:val="none"/>
          <w:lang w:bidi="ar"/>
        </w:rPr>
        <w:t>。</w:t>
      </w:r>
    </w:p>
    <w:p w14:paraId="2803C931">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（2）、单价合同的总价项目支付分解表的编制与审批：</w:t>
      </w:r>
      <w:r>
        <w:rPr>
          <w:rFonts w:hint="eastAsia" w:ascii="宋体" w:hAnsi="宋体" w:cs="宋体"/>
          <w:color w:val="auto"/>
          <w:szCs w:val="21"/>
          <w:highlight w:val="none"/>
          <w:u w:val="single"/>
          <w:lang w:bidi="ar"/>
        </w:rPr>
        <w:t xml:space="preserve"> 总价项目不采用支付分解表的方式计算，而按《建设工程工程量清单计价规范（GB50500-2013）广西壮族自治区实施细则》的规定执行 </w:t>
      </w:r>
      <w:r>
        <w:rPr>
          <w:rFonts w:hint="eastAsia" w:ascii="宋体" w:hAnsi="宋体" w:cs="宋体"/>
          <w:color w:val="auto"/>
          <w:szCs w:val="21"/>
          <w:highlight w:val="none"/>
          <w:lang w:bidi="ar"/>
        </w:rPr>
        <w:t>。</w:t>
      </w:r>
    </w:p>
    <w:p w14:paraId="344A313F">
      <w:pPr>
        <w:keepNext/>
        <w:keepLines/>
        <w:spacing w:before="120" w:after="120" w:line="400" w:lineRule="exact"/>
        <w:jc w:val="left"/>
        <w:outlineLvl w:val="0"/>
        <w:rPr>
          <w:rFonts w:ascii="宋体" w:hAnsi="宋体" w:cs="宋体"/>
          <w:b/>
          <w:bCs/>
          <w:color w:val="auto"/>
          <w:szCs w:val="21"/>
          <w:highlight w:val="none"/>
        </w:rPr>
      </w:pPr>
      <w:r>
        <w:rPr>
          <w:rFonts w:hint="eastAsia" w:ascii="宋体" w:hAnsi="宋体" w:cs="宋体"/>
          <w:b/>
          <w:bCs/>
          <w:color w:val="auto"/>
          <w:szCs w:val="21"/>
          <w:highlight w:val="none"/>
          <w:lang w:bidi="ar"/>
        </w:rPr>
        <w:t>13. 验收和工程试车</w:t>
      </w:r>
    </w:p>
    <w:p w14:paraId="1D500C90">
      <w:pPr>
        <w:spacing w:after="120" w:line="400" w:lineRule="exact"/>
        <w:ind w:firstLine="420" w:firstLineChars="200"/>
        <w:jc w:val="left"/>
        <w:rPr>
          <w:rFonts w:ascii="宋体" w:hAnsi="宋体" w:cs="宋体"/>
          <w:b/>
          <w:color w:val="auto"/>
          <w:szCs w:val="21"/>
          <w:highlight w:val="none"/>
        </w:rPr>
      </w:pPr>
      <w:r>
        <w:rPr>
          <w:rFonts w:hint="eastAsia" w:ascii="宋体" w:hAnsi="宋体" w:cs="宋体"/>
          <w:b/>
          <w:color w:val="auto"/>
          <w:szCs w:val="21"/>
          <w:highlight w:val="none"/>
          <w:lang w:bidi="ar"/>
        </w:rPr>
        <w:t>13.1 分部分项工程验收</w:t>
      </w:r>
    </w:p>
    <w:p w14:paraId="22FEBF84">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13.1.2监理人不能按时进行验收时，应提前</w:t>
      </w:r>
      <w:r>
        <w:rPr>
          <w:rFonts w:hint="eastAsia" w:ascii="宋体" w:hAnsi="宋体" w:cs="宋体"/>
          <w:color w:val="auto"/>
          <w:szCs w:val="21"/>
          <w:highlight w:val="none"/>
          <w:u w:val="single"/>
          <w:lang w:bidi="ar"/>
        </w:rPr>
        <w:t xml:space="preserve">     24  </w:t>
      </w:r>
      <w:r>
        <w:rPr>
          <w:rFonts w:hint="eastAsia" w:ascii="宋体" w:hAnsi="宋体" w:cs="宋体"/>
          <w:color w:val="auto"/>
          <w:szCs w:val="21"/>
          <w:highlight w:val="none"/>
          <w:lang w:bidi="ar"/>
        </w:rPr>
        <w:t>小时提交书面延期要求。</w:t>
      </w:r>
    </w:p>
    <w:p w14:paraId="2205DE35">
      <w:pPr>
        <w:spacing w:line="400" w:lineRule="exact"/>
        <w:ind w:firstLine="420" w:firstLineChars="200"/>
        <w:jc w:val="left"/>
        <w:rPr>
          <w:rFonts w:ascii="宋体" w:hAnsi="宋体" w:cs="宋体"/>
          <w:b/>
          <w:color w:val="auto"/>
          <w:szCs w:val="21"/>
          <w:highlight w:val="none"/>
        </w:rPr>
      </w:pPr>
      <w:r>
        <w:rPr>
          <w:rFonts w:hint="eastAsia" w:ascii="宋体" w:hAnsi="宋体" w:cs="宋体"/>
          <w:color w:val="auto"/>
          <w:szCs w:val="21"/>
          <w:highlight w:val="none"/>
          <w:lang w:bidi="ar"/>
        </w:rPr>
        <w:t>关于延期最长不得超过：</w:t>
      </w:r>
      <w:r>
        <w:rPr>
          <w:rFonts w:hint="eastAsia" w:ascii="宋体" w:hAnsi="宋体" w:cs="宋体"/>
          <w:color w:val="auto"/>
          <w:szCs w:val="21"/>
          <w:highlight w:val="none"/>
          <w:u w:val="single"/>
          <w:lang w:bidi="ar"/>
        </w:rPr>
        <w:t xml:space="preserve">   48      </w:t>
      </w:r>
      <w:r>
        <w:rPr>
          <w:rFonts w:hint="eastAsia" w:ascii="宋体" w:hAnsi="宋体" w:cs="宋体"/>
          <w:color w:val="auto"/>
          <w:szCs w:val="21"/>
          <w:highlight w:val="none"/>
          <w:lang w:bidi="ar"/>
        </w:rPr>
        <w:t>小时。</w:t>
      </w:r>
    </w:p>
    <w:p w14:paraId="562A5405">
      <w:pPr>
        <w:spacing w:after="120" w:line="400" w:lineRule="exact"/>
        <w:ind w:firstLine="420" w:firstLineChars="200"/>
        <w:jc w:val="left"/>
        <w:rPr>
          <w:rFonts w:ascii="宋体" w:hAnsi="宋体" w:cs="宋体"/>
          <w:b/>
          <w:color w:val="auto"/>
          <w:szCs w:val="21"/>
          <w:highlight w:val="none"/>
        </w:rPr>
      </w:pPr>
      <w:r>
        <w:rPr>
          <w:rFonts w:hint="eastAsia" w:ascii="宋体" w:hAnsi="宋体" w:cs="宋体"/>
          <w:b/>
          <w:color w:val="auto"/>
          <w:szCs w:val="21"/>
          <w:highlight w:val="none"/>
          <w:lang w:bidi="ar"/>
        </w:rPr>
        <w:t>13.2 竣工验收</w:t>
      </w:r>
    </w:p>
    <w:p w14:paraId="30E62992">
      <w:pPr>
        <w:spacing w:line="40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lang w:bidi="ar"/>
        </w:rPr>
        <w:t>13.2.1竣工验收条件</w:t>
      </w:r>
    </w:p>
    <w:p w14:paraId="08D59325">
      <w:pPr>
        <w:pStyle w:val="42"/>
        <w:numPr>
          <w:ilvl w:val="0"/>
          <w:numId w:val="4"/>
        </w:numPr>
        <w:adjustRightInd w:val="0"/>
        <w:spacing w:beforeAutospacing="1" w:after="60" w:line="400" w:lineRule="exact"/>
        <w:ind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承包人负责整理和提交的竣工验收资料应当符合工程所在地建设行政主管部门和(或)城市建设档案管理机构有关施工资料的要求，具体内容包括：</w:t>
      </w:r>
      <w:r>
        <w:rPr>
          <w:rFonts w:hint="eastAsia" w:ascii="宋体" w:hAnsi="宋体" w:cs="宋体"/>
          <w:color w:val="auto"/>
          <w:sz w:val="21"/>
          <w:szCs w:val="21"/>
          <w:highlight w:val="none"/>
          <w:u w:val="single"/>
          <w:lang w:bidi="ar"/>
        </w:rPr>
        <w:t>按城市建设档案馆要求提供，提交后60日历天内向发包人交付城市建设档案馆出具的档案预验收合格证（含消防工程部分）。因承包人的原因没有按期向发包人交付城市建设档案馆出具的档案预验收合格证的，每逾期一天支付给</w:t>
      </w:r>
      <w:r>
        <w:rPr>
          <w:rFonts w:hint="eastAsia" w:ascii="宋体" w:hAnsi="宋体" w:cs="宋体"/>
          <w:color w:val="auto"/>
          <w:kern w:val="2"/>
          <w:sz w:val="21"/>
          <w:szCs w:val="21"/>
          <w:highlight w:val="none"/>
          <w:u w:val="single"/>
          <w:lang w:bidi="ar"/>
        </w:rPr>
        <w:t>发包人</w:t>
      </w:r>
      <w:r>
        <w:rPr>
          <w:rFonts w:hint="eastAsia" w:ascii="宋体" w:hAnsi="宋体" w:cs="宋体"/>
          <w:color w:val="auto"/>
          <w:sz w:val="21"/>
          <w:szCs w:val="21"/>
          <w:highlight w:val="none"/>
          <w:u w:val="single"/>
          <w:lang w:bidi="ar"/>
        </w:rPr>
        <w:t>最络结算总价的</w:t>
      </w:r>
      <w:r>
        <w:rPr>
          <w:rFonts w:hint="eastAsia" w:ascii="宋体" w:hAnsi="宋体" w:cs="宋体"/>
          <w:color w:val="auto"/>
          <w:kern w:val="2"/>
          <w:sz w:val="21"/>
          <w:szCs w:val="21"/>
          <w:highlight w:val="none"/>
          <w:u w:val="single"/>
          <w:lang w:bidi="ar"/>
        </w:rPr>
        <w:t>0.4‰/天的违约金</w:t>
      </w:r>
      <w:r>
        <w:rPr>
          <w:rFonts w:hint="eastAsia" w:ascii="宋体" w:hAnsi="宋体" w:cs="宋体"/>
          <w:color w:val="auto"/>
          <w:kern w:val="2"/>
          <w:sz w:val="21"/>
          <w:szCs w:val="21"/>
          <w:highlight w:val="none"/>
          <w:lang w:bidi="ar"/>
        </w:rPr>
        <w:t>。</w:t>
      </w:r>
    </w:p>
    <w:p w14:paraId="047AA266">
      <w:pPr>
        <w:pStyle w:val="42"/>
        <w:adjustRightInd w:val="0"/>
        <w:spacing w:beforeAutospacing="1" w:after="60" w:line="400" w:lineRule="exact"/>
        <w:ind w:right="63" w:rightChars="3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 xml:space="preserve">   （3）竣工验收资料的份数：</w:t>
      </w:r>
      <w:r>
        <w:rPr>
          <w:rFonts w:hint="eastAsia" w:ascii="宋体" w:hAnsi="宋体" w:cs="宋体"/>
          <w:color w:val="auto"/>
          <w:kern w:val="2"/>
          <w:sz w:val="21"/>
          <w:szCs w:val="21"/>
          <w:highlight w:val="none"/>
          <w:u w:val="single"/>
          <w:lang w:bidi="ar"/>
        </w:rPr>
        <w:t>陆份，承包人承担竣工验收资料编制、立卷及至档案馆归档等一切费用，并提交所有竣工资料（竣工图除外）的PDF样式的电子版。</w:t>
      </w:r>
    </w:p>
    <w:p w14:paraId="6FB4E01E">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承包人提供竣工图的约定：</w:t>
      </w:r>
      <w:r>
        <w:rPr>
          <w:rFonts w:hint="eastAsia" w:ascii="宋体" w:hAnsi="宋体" w:cs="宋体"/>
          <w:color w:val="auto"/>
          <w:kern w:val="2"/>
          <w:sz w:val="21"/>
          <w:szCs w:val="21"/>
          <w:highlight w:val="none"/>
          <w:u w:val="single"/>
          <w:lang w:bidi="ar"/>
        </w:rPr>
        <w:t>竣工验收正式通过后15天，提供竣工图的数量为6套。</w:t>
      </w:r>
    </w:p>
    <w:p w14:paraId="0906E087">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13.2.2  竣工验收程序</w:t>
      </w:r>
    </w:p>
    <w:p w14:paraId="67E057CF">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关于竣工验收程序的约定：</w:t>
      </w:r>
      <w:r>
        <w:rPr>
          <w:rFonts w:hint="eastAsia" w:ascii="宋体" w:hAnsi="宋体" w:cs="宋体"/>
          <w:color w:val="auto"/>
          <w:kern w:val="2"/>
          <w:sz w:val="21"/>
          <w:szCs w:val="21"/>
          <w:highlight w:val="none"/>
          <w:u w:val="single"/>
          <w:lang w:bidi="ar"/>
        </w:rPr>
        <w:t>由承包人提出申请，经监理工程师及承包人同意后，通知各质检及监督部门进行竣工验收。本工程竣工验收合格后，双方应在验收报告上签字认可，本工程实际竣工日期以建设、设计、勘察、监理、施工五家单位验收小组正式验收签字日期为准。工程保修按合同附件2《工程质量保修书》有关规定执行。</w:t>
      </w:r>
    </w:p>
    <w:p w14:paraId="249585F4">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发包人不按照本项约定组织竣工验收、颁发工程接收证书的违约金的计算方法：</w:t>
      </w:r>
      <w:r>
        <w:rPr>
          <w:rFonts w:hint="eastAsia" w:ascii="宋体" w:hAnsi="宋体" w:cs="宋体"/>
          <w:color w:val="auto"/>
          <w:kern w:val="2"/>
          <w:sz w:val="21"/>
          <w:szCs w:val="21"/>
          <w:highlight w:val="none"/>
          <w:u w:val="single"/>
          <w:lang w:bidi="ar"/>
        </w:rPr>
        <w:t>无</w:t>
      </w:r>
      <w:r>
        <w:rPr>
          <w:rFonts w:hint="eastAsia" w:ascii="宋体" w:hAnsi="宋体" w:cs="宋体"/>
          <w:color w:val="auto"/>
          <w:kern w:val="2"/>
          <w:sz w:val="21"/>
          <w:szCs w:val="21"/>
          <w:highlight w:val="none"/>
          <w:lang w:bidi="ar"/>
        </w:rPr>
        <w:t>。</w:t>
      </w:r>
    </w:p>
    <w:p w14:paraId="1740AEBF">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13.2.5 移交、接收全部与部分工程</w:t>
      </w:r>
    </w:p>
    <w:p w14:paraId="277C8558">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承包人向发包人移交工程的期限：</w:t>
      </w:r>
      <w:r>
        <w:rPr>
          <w:rFonts w:hint="eastAsia" w:ascii="宋体" w:hAnsi="宋体" w:cs="宋体"/>
          <w:color w:val="auto"/>
          <w:kern w:val="2"/>
          <w:sz w:val="21"/>
          <w:szCs w:val="21"/>
          <w:highlight w:val="none"/>
          <w:u w:val="single"/>
          <w:lang w:bidi="ar"/>
        </w:rPr>
        <w:t>同通用条款</w:t>
      </w:r>
      <w:r>
        <w:rPr>
          <w:rFonts w:hint="eastAsia" w:ascii="宋体" w:hAnsi="宋体" w:cs="宋体"/>
          <w:color w:val="auto"/>
          <w:kern w:val="2"/>
          <w:sz w:val="21"/>
          <w:szCs w:val="21"/>
          <w:highlight w:val="none"/>
          <w:lang w:bidi="ar"/>
        </w:rPr>
        <w:t>。</w:t>
      </w:r>
    </w:p>
    <w:p w14:paraId="6F143E08">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承包人未按时移交工程的，违约金的计算方法为：</w:t>
      </w:r>
      <w:r>
        <w:rPr>
          <w:rFonts w:hint="eastAsia" w:ascii="宋体" w:hAnsi="宋体" w:cs="宋体"/>
          <w:color w:val="auto"/>
          <w:kern w:val="2"/>
          <w:sz w:val="21"/>
          <w:szCs w:val="21"/>
          <w:highlight w:val="none"/>
          <w:u w:val="single"/>
          <w:lang w:bidi="ar"/>
        </w:rPr>
        <w:t>每拖延一天工期支付给发包人最终结算总价的0.4‰/天的违约金，违约金最高限额为整个工程总价款的2%</w:t>
      </w:r>
      <w:r>
        <w:rPr>
          <w:rFonts w:hint="eastAsia" w:ascii="宋体" w:hAnsi="宋体" w:cs="宋体"/>
          <w:color w:val="auto"/>
          <w:kern w:val="2"/>
          <w:sz w:val="21"/>
          <w:szCs w:val="21"/>
          <w:highlight w:val="none"/>
          <w:lang w:bidi="ar"/>
        </w:rPr>
        <w:t>。</w:t>
      </w:r>
    </w:p>
    <w:p w14:paraId="769CBA87">
      <w:pPr>
        <w:spacing w:after="120" w:line="400" w:lineRule="exact"/>
        <w:ind w:firstLine="420" w:firstLineChars="200"/>
        <w:jc w:val="left"/>
        <w:rPr>
          <w:rFonts w:ascii="宋体" w:hAnsi="宋体" w:cs="宋体"/>
          <w:b/>
          <w:color w:val="auto"/>
          <w:szCs w:val="21"/>
          <w:highlight w:val="none"/>
        </w:rPr>
      </w:pPr>
      <w:r>
        <w:rPr>
          <w:rFonts w:hint="eastAsia" w:ascii="宋体" w:hAnsi="宋体" w:cs="宋体"/>
          <w:b/>
          <w:color w:val="auto"/>
          <w:szCs w:val="21"/>
          <w:highlight w:val="none"/>
          <w:lang w:bidi="ar"/>
        </w:rPr>
        <w:t>13.3 工程试车</w:t>
      </w:r>
    </w:p>
    <w:p w14:paraId="75ACD689">
      <w:pPr>
        <w:spacing w:line="400" w:lineRule="exact"/>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lang w:bidi="ar"/>
        </w:rPr>
        <w:t>13.3.1 试车程序</w:t>
      </w:r>
    </w:p>
    <w:p w14:paraId="02AF2B9A">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工程试车内容：</w:t>
      </w:r>
      <w:r>
        <w:rPr>
          <w:rFonts w:hint="eastAsia" w:ascii="宋体" w:hAnsi="宋体" w:cs="宋体"/>
          <w:color w:val="auto"/>
          <w:szCs w:val="21"/>
          <w:highlight w:val="none"/>
          <w:u w:val="single"/>
          <w:lang w:bidi="ar"/>
        </w:rPr>
        <w:t xml:space="preserve">   同通用条款    </w:t>
      </w:r>
      <w:r>
        <w:rPr>
          <w:rFonts w:hint="eastAsia" w:ascii="宋体" w:hAnsi="宋体" w:cs="宋体"/>
          <w:color w:val="auto"/>
          <w:szCs w:val="21"/>
          <w:highlight w:val="none"/>
          <w:lang w:bidi="ar"/>
        </w:rPr>
        <w:t>。</w:t>
      </w:r>
    </w:p>
    <w:p w14:paraId="152860BB">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（1）单机无负荷试车费用由</w:t>
      </w:r>
      <w:r>
        <w:rPr>
          <w:rFonts w:hint="eastAsia" w:ascii="宋体" w:hAnsi="宋体" w:cs="宋体"/>
          <w:color w:val="auto"/>
          <w:szCs w:val="21"/>
          <w:highlight w:val="none"/>
          <w:u w:val="single"/>
          <w:lang w:bidi="ar"/>
        </w:rPr>
        <w:t xml:space="preserve">  承包人    </w:t>
      </w:r>
      <w:r>
        <w:rPr>
          <w:rFonts w:hint="eastAsia" w:ascii="宋体" w:hAnsi="宋体" w:cs="宋体"/>
          <w:color w:val="auto"/>
          <w:kern w:val="0"/>
          <w:szCs w:val="21"/>
          <w:highlight w:val="none"/>
          <w:lang w:bidi="ar"/>
        </w:rPr>
        <w:t>承担；</w:t>
      </w:r>
    </w:p>
    <w:p w14:paraId="491398BD">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（2）无负荷联动试车费用由</w:t>
      </w:r>
      <w:r>
        <w:rPr>
          <w:rFonts w:hint="eastAsia" w:ascii="宋体" w:hAnsi="宋体" w:cs="宋体"/>
          <w:color w:val="auto"/>
          <w:szCs w:val="21"/>
          <w:highlight w:val="none"/>
          <w:u w:val="single"/>
          <w:lang w:bidi="ar"/>
        </w:rPr>
        <w:t xml:space="preserve">    承包人</w:t>
      </w:r>
      <w:r>
        <w:rPr>
          <w:rFonts w:hint="eastAsia" w:ascii="宋体" w:hAnsi="宋体" w:cs="宋体"/>
          <w:color w:val="auto"/>
          <w:kern w:val="0"/>
          <w:szCs w:val="21"/>
          <w:highlight w:val="none"/>
          <w:lang w:bidi="ar"/>
        </w:rPr>
        <w:t>承担。</w:t>
      </w:r>
    </w:p>
    <w:p w14:paraId="0FD75AFD">
      <w:pPr>
        <w:spacing w:line="400" w:lineRule="exact"/>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lang w:bidi="ar"/>
        </w:rPr>
        <w:t>13.3.3 投料试车</w:t>
      </w:r>
    </w:p>
    <w:p w14:paraId="53CA4498">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关于投料试车相关事项的约定：</w:t>
      </w:r>
      <w:r>
        <w:rPr>
          <w:rFonts w:hint="eastAsia" w:ascii="宋体" w:hAnsi="宋体" w:cs="宋体"/>
          <w:color w:val="auto"/>
          <w:szCs w:val="21"/>
          <w:highlight w:val="none"/>
          <w:u w:val="single"/>
          <w:lang w:bidi="ar"/>
        </w:rPr>
        <w:t xml:space="preserve">     无     </w:t>
      </w:r>
      <w:r>
        <w:rPr>
          <w:rFonts w:hint="eastAsia" w:ascii="宋体" w:hAnsi="宋体" w:cs="宋体"/>
          <w:color w:val="auto"/>
          <w:szCs w:val="21"/>
          <w:highlight w:val="none"/>
          <w:lang w:bidi="ar"/>
        </w:rPr>
        <w:t>。</w:t>
      </w:r>
    </w:p>
    <w:p w14:paraId="11B66D43">
      <w:pPr>
        <w:spacing w:after="120" w:line="400" w:lineRule="exact"/>
        <w:ind w:firstLine="420" w:firstLineChars="200"/>
        <w:jc w:val="left"/>
        <w:outlineLvl w:val="0"/>
        <w:rPr>
          <w:rFonts w:ascii="宋体" w:hAnsi="宋体" w:cs="宋体"/>
          <w:b/>
          <w:color w:val="auto"/>
          <w:szCs w:val="21"/>
          <w:highlight w:val="none"/>
        </w:rPr>
      </w:pPr>
      <w:r>
        <w:rPr>
          <w:rFonts w:hint="eastAsia" w:ascii="宋体" w:hAnsi="宋体" w:cs="宋体"/>
          <w:b/>
          <w:color w:val="auto"/>
          <w:szCs w:val="21"/>
          <w:highlight w:val="none"/>
          <w:lang w:bidi="ar"/>
        </w:rPr>
        <w:t>13.4竣工清理</w:t>
      </w:r>
    </w:p>
    <w:p w14:paraId="1E8A685A">
      <w:pPr>
        <w:spacing w:after="120" w:line="400" w:lineRule="exact"/>
        <w:ind w:firstLine="420" w:firstLineChars="200"/>
        <w:jc w:val="left"/>
        <w:outlineLvl w:val="0"/>
        <w:rPr>
          <w:rFonts w:ascii="宋体" w:hAnsi="宋体" w:cs="宋体"/>
          <w:bCs/>
          <w:color w:val="auto"/>
          <w:szCs w:val="21"/>
          <w:highlight w:val="none"/>
        </w:rPr>
      </w:pPr>
      <w:r>
        <w:rPr>
          <w:rFonts w:hint="eastAsia" w:ascii="宋体" w:hAnsi="宋体" w:cs="宋体"/>
          <w:bCs/>
          <w:color w:val="auto"/>
          <w:szCs w:val="21"/>
          <w:highlight w:val="none"/>
          <w:lang w:bidi="ar"/>
        </w:rPr>
        <w:t>在工程竣工后，不管发包人是否已办妥政府有关机构所要求的一切必要的批准、备案手续以及是否已发布移交证书，承包人应全面履行其合同责任和义务，包括:</w:t>
      </w:r>
    </w:p>
    <w:p w14:paraId="3ED20356">
      <w:pPr>
        <w:spacing w:after="120" w:line="400" w:lineRule="exact"/>
        <w:ind w:firstLine="420" w:firstLineChars="200"/>
        <w:jc w:val="left"/>
        <w:outlineLvl w:val="0"/>
        <w:rPr>
          <w:rFonts w:ascii="宋体" w:hAnsi="宋体" w:cs="宋体"/>
          <w:bCs/>
          <w:color w:val="auto"/>
          <w:szCs w:val="21"/>
          <w:highlight w:val="none"/>
        </w:rPr>
      </w:pPr>
      <w:r>
        <w:rPr>
          <w:rFonts w:hint="eastAsia" w:ascii="宋体" w:hAnsi="宋体" w:cs="宋体"/>
          <w:bCs/>
          <w:color w:val="auto"/>
          <w:szCs w:val="21"/>
          <w:highlight w:val="none"/>
          <w:lang w:bidi="ar"/>
        </w:rPr>
        <w:t>(1)从现场清除所有剩余材料、杂物、垃圾等；</w:t>
      </w:r>
    </w:p>
    <w:p w14:paraId="19D6CE64">
      <w:pPr>
        <w:spacing w:after="120" w:line="400" w:lineRule="exact"/>
        <w:ind w:firstLine="420" w:firstLineChars="200"/>
        <w:jc w:val="left"/>
        <w:outlineLvl w:val="0"/>
        <w:rPr>
          <w:rFonts w:ascii="宋体" w:hAnsi="宋体" w:cs="宋体"/>
          <w:bCs/>
          <w:color w:val="auto"/>
          <w:szCs w:val="21"/>
          <w:highlight w:val="none"/>
        </w:rPr>
      </w:pPr>
      <w:r>
        <w:rPr>
          <w:rFonts w:hint="eastAsia" w:ascii="宋体" w:hAnsi="宋体" w:cs="宋体"/>
          <w:bCs/>
          <w:color w:val="auto"/>
          <w:szCs w:val="21"/>
          <w:highlight w:val="none"/>
          <w:lang w:bidi="ar"/>
        </w:rPr>
        <w:t>(2)从现场拆除所有的临时建筑物、构筑物和临时设施并恢复地面原状，但经监理工程师批准的；</w:t>
      </w:r>
    </w:p>
    <w:p w14:paraId="60B88521">
      <w:pPr>
        <w:spacing w:after="120" w:line="400" w:lineRule="exact"/>
        <w:ind w:firstLine="420" w:firstLineChars="200"/>
        <w:jc w:val="left"/>
        <w:outlineLvl w:val="0"/>
        <w:rPr>
          <w:rFonts w:ascii="宋体" w:hAnsi="宋体" w:cs="宋体"/>
          <w:bCs/>
          <w:color w:val="auto"/>
          <w:szCs w:val="21"/>
          <w:highlight w:val="none"/>
        </w:rPr>
      </w:pPr>
      <w:r>
        <w:rPr>
          <w:rFonts w:hint="eastAsia" w:ascii="宋体" w:hAnsi="宋体" w:cs="宋体"/>
          <w:bCs/>
          <w:color w:val="auto"/>
          <w:szCs w:val="21"/>
          <w:highlight w:val="none"/>
          <w:lang w:bidi="ar"/>
        </w:rPr>
        <w:t>（3）护坡桩、锚杆等无法或无需拆除的临时设施允许保留；</w:t>
      </w:r>
    </w:p>
    <w:p w14:paraId="21D822AD">
      <w:pPr>
        <w:spacing w:after="120" w:line="400" w:lineRule="exact"/>
        <w:ind w:firstLine="420" w:firstLineChars="200"/>
        <w:jc w:val="left"/>
        <w:outlineLvl w:val="0"/>
        <w:rPr>
          <w:rFonts w:ascii="宋体" w:hAnsi="宋体" w:cs="宋体"/>
          <w:bCs/>
          <w:color w:val="auto"/>
          <w:szCs w:val="21"/>
          <w:highlight w:val="none"/>
        </w:rPr>
      </w:pPr>
      <w:r>
        <w:rPr>
          <w:rFonts w:hint="eastAsia" w:ascii="宋体" w:hAnsi="宋体" w:cs="宋体"/>
          <w:bCs/>
          <w:color w:val="auto"/>
          <w:szCs w:val="21"/>
          <w:highlight w:val="none"/>
          <w:lang w:bidi="ar"/>
        </w:rPr>
        <w:t>（4）清洗工程的所有墙面、地面、楼面等表面;清洗和擦洗所有玻璃、</w:t>
      </w:r>
      <w:r>
        <w:rPr>
          <w:rFonts w:hint="eastAsia" w:ascii="宋体" w:hAnsi="宋体" w:cs="宋体"/>
          <w:color w:val="auto"/>
          <w:szCs w:val="21"/>
          <w:highlight w:val="none"/>
          <w:lang w:bidi="ar"/>
        </w:rPr>
        <w:t>瓷砖</w:t>
      </w:r>
      <w:r>
        <w:rPr>
          <w:rFonts w:hint="eastAsia" w:ascii="宋体" w:hAnsi="宋体" w:cs="宋体"/>
          <w:bCs/>
          <w:color w:val="auto"/>
          <w:szCs w:val="21"/>
          <w:highlight w:val="none"/>
          <w:lang w:bidi="ar"/>
        </w:rPr>
        <w:t>、石材和所有金属面；</w:t>
      </w:r>
    </w:p>
    <w:p w14:paraId="7BB6F899">
      <w:pPr>
        <w:spacing w:after="120" w:line="400" w:lineRule="exact"/>
        <w:ind w:firstLine="420" w:firstLineChars="200"/>
        <w:jc w:val="left"/>
        <w:outlineLvl w:val="0"/>
        <w:rPr>
          <w:rFonts w:ascii="宋体" w:hAnsi="宋体" w:cs="宋体"/>
          <w:bCs/>
          <w:color w:val="auto"/>
          <w:szCs w:val="21"/>
          <w:highlight w:val="none"/>
        </w:rPr>
      </w:pPr>
      <w:r>
        <w:rPr>
          <w:rFonts w:hint="eastAsia" w:ascii="宋体" w:hAnsi="宋体" w:cs="宋体"/>
          <w:bCs/>
          <w:color w:val="auto"/>
          <w:szCs w:val="21"/>
          <w:highlight w:val="none"/>
          <w:lang w:bidi="ar"/>
        </w:rPr>
        <w:t>（5）修缮所有损坏、清除所有污迹、替换所有需更换的材料；</w:t>
      </w:r>
    </w:p>
    <w:p w14:paraId="356BF6CD">
      <w:pPr>
        <w:spacing w:after="120" w:line="400" w:lineRule="exact"/>
        <w:ind w:firstLine="420" w:firstLineChars="200"/>
        <w:jc w:val="left"/>
        <w:outlineLvl w:val="0"/>
        <w:rPr>
          <w:rFonts w:ascii="宋体" w:hAnsi="宋体" w:cs="宋体"/>
          <w:bCs/>
          <w:color w:val="auto"/>
          <w:szCs w:val="21"/>
          <w:highlight w:val="none"/>
        </w:rPr>
      </w:pPr>
      <w:r>
        <w:rPr>
          <w:rFonts w:hint="eastAsia" w:ascii="宋体" w:hAnsi="宋体" w:cs="宋体"/>
          <w:bCs/>
          <w:color w:val="auto"/>
          <w:szCs w:val="21"/>
          <w:highlight w:val="none"/>
          <w:lang w:bidi="ar"/>
        </w:rPr>
        <w:t>（6）所有表面完成约定的装修和装饰；</w:t>
      </w:r>
    </w:p>
    <w:p w14:paraId="09E7DBA3">
      <w:pPr>
        <w:spacing w:after="120" w:line="400" w:lineRule="exact"/>
        <w:ind w:firstLine="420" w:firstLineChars="200"/>
        <w:jc w:val="left"/>
        <w:outlineLvl w:val="0"/>
        <w:rPr>
          <w:rFonts w:ascii="宋体" w:hAnsi="宋体" w:cs="宋体"/>
          <w:bCs/>
          <w:color w:val="auto"/>
          <w:szCs w:val="21"/>
          <w:highlight w:val="none"/>
        </w:rPr>
      </w:pPr>
      <w:r>
        <w:rPr>
          <w:rFonts w:hint="eastAsia" w:ascii="宋体" w:hAnsi="宋体" w:cs="宋体"/>
          <w:bCs/>
          <w:color w:val="auto"/>
          <w:szCs w:val="21"/>
          <w:highlight w:val="none"/>
          <w:lang w:bidi="ar"/>
        </w:rPr>
        <w:t>（7）查和调试所有的门、窗、抽等以确保他们开启的顺畅;检查和调试所有的五金件并上油；</w:t>
      </w:r>
    </w:p>
    <w:p w14:paraId="1EE1A26E">
      <w:pPr>
        <w:spacing w:after="120" w:line="400" w:lineRule="exact"/>
        <w:ind w:firstLine="420" w:firstLineChars="200"/>
        <w:jc w:val="left"/>
        <w:outlineLvl w:val="0"/>
        <w:rPr>
          <w:rFonts w:ascii="宋体" w:hAnsi="宋体" w:cs="宋体"/>
          <w:bCs/>
          <w:color w:val="auto"/>
          <w:szCs w:val="21"/>
          <w:highlight w:val="none"/>
        </w:rPr>
      </w:pPr>
      <w:r>
        <w:rPr>
          <w:rFonts w:hint="eastAsia" w:ascii="宋体" w:hAnsi="宋体" w:cs="宋体"/>
          <w:bCs/>
          <w:color w:val="auto"/>
          <w:szCs w:val="21"/>
          <w:highlight w:val="none"/>
          <w:lang w:bidi="ar"/>
        </w:rPr>
        <w:t>（8）检查、测试和确保所有的服务系统、设施和设备达到良好的运行状态和效果；</w:t>
      </w:r>
    </w:p>
    <w:p w14:paraId="512121DD">
      <w:pPr>
        <w:spacing w:after="120" w:line="400" w:lineRule="exact"/>
        <w:ind w:firstLine="420" w:firstLineChars="200"/>
        <w:jc w:val="left"/>
        <w:outlineLvl w:val="0"/>
        <w:rPr>
          <w:rFonts w:ascii="宋体" w:hAnsi="宋体" w:cs="宋体"/>
          <w:bCs/>
          <w:color w:val="auto"/>
          <w:szCs w:val="21"/>
          <w:highlight w:val="none"/>
        </w:rPr>
      </w:pPr>
      <w:r>
        <w:rPr>
          <w:rFonts w:hint="eastAsia" w:ascii="宋体" w:hAnsi="宋体" w:cs="宋体"/>
          <w:bCs/>
          <w:color w:val="auto"/>
          <w:szCs w:val="21"/>
          <w:highlight w:val="none"/>
          <w:lang w:bidi="ar"/>
        </w:rPr>
        <w:t>（9）为所有钥匙贴上标签并固定到匙排上交给监理工程师；</w:t>
      </w:r>
    </w:p>
    <w:p w14:paraId="7F1CF532">
      <w:pPr>
        <w:numPr>
          <w:ilvl w:val="0"/>
          <w:numId w:val="5"/>
        </w:numPr>
        <w:spacing w:after="120" w:line="400" w:lineRule="exact"/>
        <w:ind w:firstLine="420" w:firstLineChars="200"/>
        <w:jc w:val="left"/>
        <w:outlineLvl w:val="0"/>
        <w:rPr>
          <w:rFonts w:ascii="宋体" w:hAnsi="宋体" w:cs="宋体"/>
          <w:bCs/>
          <w:color w:val="auto"/>
          <w:szCs w:val="21"/>
          <w:highlight w:val="none"/>
        </w:rPr>
      </w:pPr>
      <w:r>
        <w:rPr>
          <w:rFonts w:hint="eastAsia" w:ascii="宋体" w:hAnsi="宋体" w:cs="宋体"/>
          <w:bCs/>
          <w:color w:val="auto"/>
          <w:szCs w:val="21"/>
          <w:highlight w:val="none"/>
          <w:lang w:bidi="ar"/>
        </w:rPr>
        <w:t>整个工程应达到干净、整洁和能随时投入使用的状态。</w:t>
      </w:r>
    </w:p>
    <w:p w14:paraId="14F77E2C">
      <w:pPr>
        <w:spacing w:after="120" w:line="400" w:lineRule="exact"/>
        <w:ind w:firstLine="420" w:firstLineChars="200"/>
        <w:jc w:val="left"/>
        <w:outlineLvl w:val="0"/>
        <w:rPr>
          <w:rFonts w:ascii="宋体" w:hAnsi="宋体" w:cs="宋体"/>
          <w:bCs/>
          <w:color w:val="auto"/>
          <w:szCs w:val="21"/>
          <w:highlight w:val="none"/>
        </w:rPr>
      </w:pPr>
      <w:r>
        <w:rPr>
          <w:rFonts w:hint="eastAsia" w:ascii="宋体" w:hAnsi="宋体" w:cs="宋体"/>
          <w:bCs/>
          <w:color w:val="auto"/>
          <w:szCs w:val="21"/>
          <w:highlight w:val="none"/>
          <w:lang w:bidi="ar"/>
        </w:rPr>
        <w:t>工程竣工验收通过后壹个月内或根据发包方的要求，施工单位必须退场，并清理干净现场及周边所有施工单位的建筑材料，施工机械、建筑垃圾及临时设施拆除，平整场地，所有产生的费用由承包人负责（报价时自行考虑），如有逾期按每天5000元人民币处罚；同时，承包方如不按发包方的要求清理场地，发包方可以直接安排人员清场，所发生的一切费用和后果由承包方承担。</w:t>
      </w:r>
    </w:p>
    <w:p w14:paraId="75B00CF6">
      <w:pPr>
        <w:spacing w:after="120" w:line="400" w:lineRule="exact"/>
        <w:ind w:firstLine="420" w:firstLineChars="200"/>
        <w:jc w:val="left"/>
        <w:outlineLvl w:val="0"/>
        <w:rPr>
          <w:rFonts w:ascii="宋体" w:hAnsi="宋体" w:cs="宋体"/>
          <w:b/>
          <w:color w:val="auto"/>
          <w:szCs w:val="21"/>
          <w:highlight w:val="none"/>
        </w:rPr>
      </w:pPr>
      <w:r>
        <w:rPr>
          <w:rFonts w:hint="eastAsia" w:ascii="宋体" w:hAnsi="宋体" w:cs="宋体"/>
          <w:b/>
          <w:color w:val="auto"/>
          <w:szCs w:val="21"/>
          <w:highlight w:val="none"/>
          <w:lang w:bidi="ar"/>
        </w:rPr>
        <w:t>13.6 竣工退场</w:t>
      </w:r>
    </w:p>
    <w:p w14:paraId="7DEE354C">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13.6.1 竣工退场</w:t>
      </w:r>
    </w:p>
    <w:p w14:paraId="367F8F3C">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承包人完成竣工退场的期限：</w:t>
      </w:r>
      <w:r>
        <w:rPr>
          <w:rFonts w:hint="eastAsia" w:ascii="宋体" w:hAnsi="宋体" w:cs="宋体"/>
          <w:color w:val="auto"/>
          <w:szCs w:val="21"/>
          <w:highlight w:val="none"/>
          <w:u w:val="single"/>
          <w:lang w:bidi="ar"/>
        </w:rPr>
        <w:t xml:space="preserve">   竣工验收合格后15个日历天内   </w:t>
      </w:r>
      <w:r>
        <w:rPr>
          <w:rFonts w:hint="eastAsia" w:ascii="宋体" w:hAnsi="宋体" w:cs="宋体"/>
          <w:color w:val="auto"/>
          <w:kern w:val="0"/>
          <w:szCs w:val="21"/>
          <w:highlight w:val="none"/>
          <w:lang w:bidi="ar"/>
        </w:rPr>
        <w:t>。</w:t>
      </w:r>
    </w:p>
    <w:p w14:paraId="56A6B68E">
      <w:pPr>
        <w:keepNext/>
        <w:keepLines/>
        <w:spacing w:before="120" w:after="120" w:line="400" w:lineRule="exact"/>
        <w:jc w:val="left"/>
        <w:outlineLvl w:val="0"/>
        <w:rPr>
          <w:rFonts w:ascii="宋体" w:hAnsi="宋体" w:cs="宋体"/>
          <w:b/>
          <w:bCs/>
          <w:color w:val="auto"/>
          <w:szCs w:val="21"/>
          <w:highlight w:val="none"/>
        </w:rPr>
      </w:pPr>
      <w:r>
        <w:rPr>
          <w:rFonts w:hint="eastAsia" w:ascii="宋体" w:hAnsi="宋体" w:cs="宋体"/>
          <w:b/>
          <w:bCs/>
          <w:color w:val="auto"/>
          <w:szCs w:val="21"/>
          <w:highlight w:val="none"/>
          <w:lang w:bidi="ar"/>
        </w:rPr>
        <w:t>14. 竣工结算</w:t>
      </w:r>
    </w:p>
    <w:p w14:paraId="54B6438C">
      <w:pPr>
        <w:spacing w:after="120" w:line="400" w:lineRule="exact"/>
        <w:ind w:firstLine="420" w:firstLineChars="200"/>
        <w:jc w:val="left"/>
        <w:rPr>
          <w:rFonts w:ascii="宋体" w:hAnsi="宋体" w:cs="宋体"/>
          <w:b/>
          <w:color w:val="auto"/>
          <w:szCs w:val="21"/>
          <w:highlight w:val="none"/>
        </w:rPr>
      </w:pPr>
      <w:r>
        <w:rPr>
          <w:rFonts w:hint="eastAsia" w:ascii="宋体" w:hAnsi="宋体" w:cs="宋体"/>
          <w:b/>
          <w:color w:val="auto"/>
          <w:szCs w:val="21"/>
          <w:highlight w:val="none"/>
          <w:lang w:bidi="ar"/>
        </w:rPr>
        <w:t>14.1 竣工付款申请</w:t>
      </w:r>
    </w:p>
    <w:p w14:paraId="6F4A2327">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承包人提交竣工结算申请单的期限：</w:t>
      </w:r>
      <w:r>
        <w:rPr>
          <w:rFonts w:hint="eastAsia" w:ascii="宋体" w:hAnsi="宋体" w:cs="宋体"/>
          <w:color w:val="auto"/>
          <w:szCs w:val="21"/>
          <w:highlight w:val="none"/>
          <w:u w:val="single"/>
          <w:lang w:bidi="ar"/>
        </w:rPr>
        <w:t xml:space="preserve">  竣工验收合格后28个日历天内   </w:t>
      </w:r>
      <w:r>
        <w:rPr>
          <w:rFonts w:hint="eastAsia" w:ascii="宋体" w:hAnsi="宋体" w:cs="宋体"/>
          <w:color w:val="auto"/>
          <w:szCs w:val="21"/>
          <w:highlight w:val="none"/>
          <w:lang w:bidi="ar"/>
        </w:rPr>
        <w:t>。</w:t>
      </w:r>
    </w:p>
    <w:p w14:paraId="0A339272">
      <w:pPr>
        <w:spacing w:line="360" w:lineRule="auto"/>
        <w:ind w:firstLine="420" w:firstLineChars="200"/>
        <w:jc w:val="left"/>
        <w:rPr>
          <w:rFonts w:ascii="宋体" w:hAnsi="宋体" w:cs="宋体"/>
          <w:color w:val="auto"/>
          <w:szCs w:val="21"/>
          <w:highlight w:val="none"/>
          <w:u w:val="single"/>
        </w:rPr>
      </w:pPr>
      <w:r>
        <w:rPr>
          <w:rFonts w:hint="eastAsia" w:ascii="宋体" w:hAnsi="宋体" w:cs="宋体"/>
          <w:bCs/>
          <w:color w:val="auto"/>
          <w:szCs w:val="21"/>
          <w:highlight w:val="none"/>
          <w:lang w:bidi="ar"/>
        </w:rPr>
        <w:t>竣工结算申请单应包括的内容：竣工结算由承包人提交相关结算资料（包括但不限于施工合同、工程量计算书、结算书、变更设计通知单、签证单、竣工图、有关材料价格调整的依据、有关工期调整的依据等, 具体以财政评审中心要求为准）报监理初审，监理初审后报发包人审核，审核后送至财政评审中心或发包人委托的造价咨询机构审核，承包人所编制的工程竣工资料经发包人审核确认后，承包人所遗漏的与工程造价有关的签证、资料不再作为结算审核依据，按自动放弃处理。</w:t>
      </w:r>
      <w:r>
        <w:rPr>
          <w:rFonts w:hint="eastAsia" w:ascii="宋体" w:hAnsi="宋体" w:cs="宋体"/>
          <w:color w:val="auto"/>
          <w:szCs w:val="21"/>
          <w:highlight w:val="none"/>
          <w:lang w:bidi="ar"/>
        </w:rPr>
        <w:t>竣工结算款支付申请（核准）表见合同附件12。</w:t>
      </w:r>
    </w:p>
    <w:p w14:paraId="7785DBE1">
      <w:pPr>
        <w:spacing w:after="120" w:line="400" w:lineRule="exact"/>
        <w:ind w:firstLine="420" w:firstLineChars="200"/>
        <w:jc w:val="left"/>
        <w:outlineLvl w:val="0"/>
        <w:rPr>
          <w:rFonts w:ascii="宋体" w:hAnsi="宋体" w:cs="宋体"/>
          <w:b/>
          <w:color w:val="auto"/>
          <w:szCs w:val="21"/>
          <w:highlight w:val="none"/>
        </w:rPr>
      </w:pPr>
      <w:r>
        <w:rPr>
          <w:rFonts w:hint="eastAsia" w:ascii="宋体" w:hAnsi="宋体" w:cs="宋体"/>
          <w:b/>
          <w:color w:val="auto"/>
          <w:szCs w:val="21"/>
          <w:highlight w:val="none"/>
          <w:lang w:bidi="ar"/>
        </w:rPr>
        <w:t>14.2 竣工结算审核</w:t>
      </w:r>
    </w:p>
    <w:p w14:paraId="655136FB">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发包人审批竣工付款申请单的期限：</w:t>
      </w:r>
    </w:p>
    <w:tbl>
      <w:tblPr>
        <w:tblStyle w:val="46"/>
        <w:tblW w:w="843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17"/>
        <w:gridCol w:w="2259"/>
        <w:gridCol w:w="5629"/>
      </w:tblGrid>
      <w:tr w14:paraId="7CA55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542" w:type="dxa"/>
            <w:gridSpan w:val="2"/>
            <w:tcBorders>
              <w:top w:val="single" w:color="000000" w:sz="4" w:space="0"/>
              <w:left w:val="single" w:color="000000" w:sz="4" w:space="0"/>
              <w:bottom w:val="single" w:color="000000" w:sz="4" w:space="0"/>
              <w:right w:val="single" w:color="000000" w:sz="4" w:space="0"/>
            </w:tcBorders>
          </w:tcPr>
          <w:p w14:paraId="77B718EA">
            <w:pPr>
              <w:pStyle w:val="42"/>
              <w:keepNext w:val="0"/>
              <w:keepLines w:val="0"/>
              <w:suppressLineNumbers w:val="0"/>
              <w:spacing w:before="0" w:beforeAutospacing="0" w:after="0" w:afterAutospacing="0" w:line="400" w:lineRule="exact"/>
              <w:ind w:left="0" w:right="0" w:firstLine="420" w:firstLineChars="200"/>
              <w:rPr>
                <w:rFonts w:hint="default" w:ascii="宋体" w:hAnsi="宋体" w:cs="宋体"/>
                <w:color w:val="auto"/>
                <w:kern w:val="2"/>
                <w:sz w:val="21"/>
                <w:szCs w:val="21"/>
                <w:highlight w:val="none"/>
              </w:rPr>
            </w:pPr>
          </w:p>
        </w:tc>
        <w:tc>
          <w:tcPr>
            <w:tcW w:w="2259" w:type="dxa"/>
            <w:tcBorders>
              <w:top w:val="single" w:color="000000" w:sz="4" w:space="0"/>
              <w:left w:val="nil"/>
              <w:bottom w:val="single" w:color="000000" w:sz="4" w:space="0"/>
              <w:right w:val="single" w:color="000000" w:sz="4" w:space="0"/>
            </w:tcBorders>
          </w:tcPr>
          <w:p w14:paraId="4643D220">
            <w:pPr>
              <w:pStyle w:val="42"/>
              <w:keepNext w:val="0"/>
              <w:keepLines w:val="0"/>
              <w:suppressLineNumbers w:val="0"/>
              <w:spacing w:before="0" w:beforeAutospacing="0" w:after="0" w:afterAutospacing="0" w:line="400" w:lineRule="exact"/>
              <w:ind w:left="0" w:right="0"/>
              <w:rPr>
                <w:rFonts w:hint="default" w:ascii="宋体" w:hAnsi="宋体" w:cs="宋体"/>
                <w:color w:val="auto"/>
                <w:kern w:val="2"/>
                <w:sz w:val="21"/>
                <w:szCs w:val="21"/>
                <w:highlight w:val="none"/>
              </w:rPr>
            </w:pPr>
            <w:r>
              <w:rPr>
                <w:rFonts w:hint="eastAsia" w:ascii="宋体" w:hAnsi="宋体" w:cs="宋体"/>
                <w:color w:val="auto"/>
                <w:kern w:val="2"/>
                <w:sz w:val="21"/>
                <w:szCs w:val="21"/>
                <w:highlight w:val="none"/>
                <w:lang w:bidi="ar"/>
              </w:rPr>
              <w:t>工程竣工结算报告金额</w:t>
            </w:r>
          </w:p>
        </w:tc>
        <w:tc>
          <w:tcPr>
            <w:tcW w:w="5629" w:type="dxa"/>
            <w:tcBorders>
              <w:top w:val="single" w:color="000000" w:sz="4" w:space="0"/>
              <w:left w:val="nil"/>
              <w:bottom w:val="single" w:color="000000" w:sz="4" w:space="0"/>
              <w:right w:val="single" w:color="000000" w:sz="4" w:space="0"/>
            </w:tcBorders>
          </w:tcPr>
          <w:p w14:paraId="32E0FF0D">
            <w:pPr>
              <w:pStyle w:val="42"/>
              <w:keepNext w:val="0"/>
              <w:keepLines w:val="0"/>
              <w:suppressLineNumbers w:val="0"/>
              <w:spacing w:before="0" w:beforeAutospacing="0" w:after="0" w:afterAutospacing="0" w:line="400" w:lineRule="exact"/>
              <w:ind w:left="0" w:right="0"/>
              <w:rPr>
                <w:rFonts w:hint="default" w:ascii="宋体" w:hAnsi="宋体" w:cs="宋体"/>
                <w:color w:val="auto"/>
                <w:kern w:val="2"/>
                <w:sz w:val="21"/>
                <w:szCs w:val="21"/>
                <w:highlight w:val="none"/>
              </w:rPr>
            </w:pPr>
            <w:r>
              <w:rPr>
                <w:rFonts w:hint="eastAsia" w:ascii="宋体" w:hAnsi="宋体" w:cs="宋体"/>
                <w:color w:val="auto"/>
                <w:kern w:val="2"/>
                <w:sz w:val="21"/>
                <w:szCs w:val="21"/>
                <w:highlight w:val="none"/>
                <w:lang w:bidi="ar"/>
              </w:rPr>
              <w:t>发包人审查时间</w:t>
            </w:r>
          </w:p>
        </w:tc>
      </w:tr>
      <w:tr w14:paraId="62B6B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42" w:type="dxa"/>
            <w:gridSpan w:val="2"/>
            <w:tcBorders>
              <w:top w:val="single" w:color="000000" w:sz="4" w:space="0"/>
              <w:left w:val="single" w:color="000000" w:sz="4" w:space="0"/>
              <w:bottom w:val="single" w:color="000000" w:sz="4" w:space="0"/>
              <w:right w:val="single" w:color="000000" w:sz="4" w:space="0"/>
            </w:tcBorders>
          </w:tcPr>
          <w:p w14:paraId="6F3A7590">
            <w:pPr>
              <w:pStyle w:val="42"/>
              <w:keepNext w:val="0"/>
              <w:keepLines w:val="0"/>
              <w:suppressLineNumbers w:val="0"/>
              <w:spacing w:before="0" w:beforeAutospacing="0" w:after="0" w:afterAutospacing="0" w:line="400" w:lineRule="exact"/>
              <w:ind w:left="0" w:right="0"/>
              <w:jc w:val="center"/>
              <w:rPr>
                <w:rFonts w:hint="default" w:ascii="宋体" w:hAnsi="宋体" w:cs="宋体"/>
                <w:color w:val="auto"/>
                <w:kern w:val="2"/>
                <w:sz w:val="21"/>
                <w:szCs w:val="21"/>
                <w:highlight w:val="none"/>
              </w:rPr>
            </w:pPr>
            <w:r>
              <w:rPr>
                <w:rFonts w:hint="eastAsia" w:ascii="宋体" w:hAnsi="宋体" w:cs="宋体"/>
                <w:color w:val="auto"/>
                <w:kern w:val="2"/>
                <w:sz w:val="21"/>
                <w:szCs w:val="21"/>
                <w:highlight w:val="none"/>
                <w:lang w:bidi="ar"/>
              </w:rPr>
              <w:t>1</w:t>
            </w:r>
          </w:p>
        </w:tc>
        <w:tc>
          <w:tcPr>
            <w:tcW w:w="2259" w:type="dxa"/>
            <w:tcBorders>
              <w:top w:val="single" w:color="000000" w:sz="4" w:space="0"/>
              <w:left w:val="nil"/>
              <w:bottom w:val="single" w:color="000000" w:sz="4" w:space="0"/>
              <w:right w:val="single" w:color="000000" w:sz="4" w:space="0"/>
            </w:tcBorders>
          </w:tcPr>
          <w:p w14:paraId="30BD0B2D">
            <w:pPr>
              <w:pStyle w:val="42"/>
              <w:keepNext w:val="0"/>
              <w:keepLines w:val="0"/>
              <w:suppressLineNumbers w:val="0"/>
              <w:spacing w:before="0" w:beforeAutospacing="0" w:after="0" w:afterAutospacing="0" w:line="400" w:lineRule="exact"/>
              <w:ind w:left="0" w:right="0"/>
              <w:rPr>
                <w:rFonts w:hint="default" w:ascii="宋体" w:hAnsi="宋体" w:cs="宋体"/>
                <w:color w:val="auto"/>
                <w:kern w:val="2"/>
                <w:sz w:val="21"/>
                <w:szCs w:val="21"/>
                <w:highlight w:val="none"/>
              </w:rPr>
            </w:pPr>
            <w:r>
              <w:rPr>
                <w:rFonts w:hint="eastAsia" w:ascii="宋体" w:hAnsi="宋体" w:cs="宋体"/>
                <w:color w:val="auto"/>
                <w:kern w:val="2"/>
                <w:sz w:val="21"/>
                <w:szCs w:val="21"/>
                <w:highlight w:val="none"/>
                <w:lang w:bidi="ar"/>
              </w:rPr>
              <w:t>500万元以下</w:t>
            </w:r>
          </w:p>
        </w:tc>
        <w:tc>
          <w:tcPr>
            <w:tcW w:w="5629" w:type="dxa"/>
            <w:tcBorders>
              <w:top w:val="single" w:color="000000" w:sz="4" w:space="0"/>
              <w:left w:val="nil"/>
              <w:bottom w:val="single" w:color="000000" w:sz="4" w:space="0"/>
              <w:right w:val="single" w:color="000000" w:sz="4" w:space="0"/>
            </w:tcBorders>
          </w:tcPr>
          <w:p w14:paraId="5F628C8C">
            <w:pPr>
              <w:pStyle w:val="42"/>
              <w:keepNext w:val="0"/>
              <w:keepLines w:val="0"/>
              <w:suppressLineNumbers w:val="0"/>
              <w:spacing w:before="0" w:beforeAutospacing="0" w:after="0" w:afterAutospacing="0" w:line="400" w:lineRule="exact"/>
              <w:ind w:left="0" w:right="0"/>
              <w:rPr>
                <w:rFonts w:hint="default" w:ascii="宋体" w:hAnsi="宋体" w:cs="宋体"/>
                <w:color w:val="auto"/>
                <w:kern w:val="2"/>
                <w:sz w:val="21"/>
                <w:szCs w:val="21"/>
                <w:highlight w:val="none"/>
              </w:rPr>
            </w:pPr>
            <w:r>
              <w:rPr>
                <w:rFonts w:hint="eastAsia" w:ascii="宋体" w:hAnsi="宋体" w:cs="宋体"/>
                <w:color w:val="auto"/>
                <w:kern w:val="2"/>
                <w:sz w:val="21"/>
                <w:szCs w:val="21"/>
                <w:highlight w:val="none"/>
                <w:lang w:bidi="ar"/>
              </w:rPr>
              <w:t>从接到竣工结算报告和完整的竣工结算资料之日起90天</w:t>
            </w:r>
          </w:p>
        </w:tc>
      </w:tr>
      <w:tr w14:paraId="5C900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542" w:type="dxa"/>
            <w:gridSpan w:val="2"/>
            <w:tcBorders>
              <w:top w:val="single" w:color="000000" w:sz="4" w:space="0"/>
              <w:left w:val="single" w:color="000000" w:sz="4" w:space="0"/>
              <w:bottom w:val="single" w:color="000000" w:sz="4" w:space="0"/>
              <w:right w:val="single" w:color="000000" w:sz="4" w:space="0"/>
            </w:tcBorders>
          </w:tcPr>
          <w:p w14:paraId="159CF517">
            <w:pPr>
              <w:pStyle w:val="42"/>
              <w:keepNext w:val="0"/>
              <w:keepLines w:val="0"/>
              <w:suppressLineNumbers w:val="0"/>
              <w:spacing w:before="0" w:beforeAutospacing="0" w:after="0" w:afterAutospacing="0" w:line="400" w:lineRule="exact"/>
              <w:ind w:left="0" w:right="0"/>
              <w:jc w:val="center"/>
              <w:rPr>
                <w:rFonts w:hint="default" w:ascii="宋体" w:hAnsi="宋体" w:cs="宋体"/>
                <w:color w:val="auto"/>
                <w:kern w:val="2"/>
                <w:sz w:val="21"/>
                <w:szCs w:val="21"/>
                <w:highlight w:val="none"/>
              </w:rPr>
            </w:pPr>
            <w:r>
              <w:rPr>
                <w:rFonts w:hint="eastAsia" w:ascii="宋体" w:hAnsi="宋体" w:cs="宋体"/>
                <w:color w:val="auto"/>
                <w:kern w:val="2"/>
                <w:sz w:val="21"/>
                <w:szCs w:val="21"/>
                <w:highlight w:val="none"/>
                <w:lang w:bidi="ar"/>
              </w:rPr>
              <w:t>2</w:t>
            </w:r>
          </w:p>
        </w:tc>
        <w:tc>
          <w:tcPr>
            <w:tcW w:w="2259" w:type="dxa"/>
            <w:tcBorders>
              <w:top w:val="single" w:color="000000" w:sz="4" w:space="0"/>
              <w:left w:val="nil"/>
              <w:bottom w:val="single" w:color="000000" w:sz="4" w:space="0"/>
              <w:right w:val="single" w:color="000000" w:sz="4" w:space="0"/>
            </w:tcBorders>
          </w:tcPr>
          <w:p w14:paraId="417332BF">
            <w:pPr>
              <w:pStyle w:val="42"/>
              <w:keepNext w:val="0"/>
              <w:keepLines w:val="0"/>
              <w:suppressLineNumbers w:val="0"/>
              <w:spacing w:before="0" w:beforeAutospacing="0" w:after="0" w:afterAutospacing="0" w:line="400" w:lineRule="exact"/>
              <w:ind w:left="0" w:right="0"/>
              <w:rPr>
                <w:rFonts w:hint="default" w:ascii="宋体" w:hAnsi="宋体" w:cs="宋体"/>
                <w:color w:val="auto"/>
                <w:kern w:val="2"/>
                <w:sz w:val="21"/>
                <w:szCs w:val="21"/>
                <w:highlight w:val="none"/>
              </w:rPr>
            </w:pPr>
            <w:r>
              <w:rPr>
                <w:rFonts w:hint="eastAsia" w:ascii="宋体" w:hAnsi="宋体" w:cs="宋体"/>
                <w:color w:val="auto"/>
                <w:kern w:val="2"/>
                <w:sz w:val="21"/>
                <w:szCs w:val="21"/>
                <w:highlight w:val="none"/>
                <w:lang w:bidi="ar"/>
              </w:rPr>
              <w:t>500万元-2000万元</w:t>
            </w:r>
          </w:p>
        </w:tc>
        <w:tc>
          <w:tcPr>
            <w:tcW w:w="5629" w:type="dxa"/>
            <w:tcBorders>
              <w:top w:val="single" w:color="000000" w:sz="4" w:space="0"/>
              <w:left w:val="nil"/>
              <w:bottom w:val="single" w:color="000000" w:sz="4" w:space="0"/>
              <w:right w:val="single" w:color="000000" w:sz="4" w:space="0"/>
            </w:tcBorders>
          </w:tcPr>
          <w:p w14:paraId="7B6E967C">
            <w:pPr>
              <w:pStyle w:val="42"/>
              <w:keepNext w:val="0"/>
              <w:keepLines w:val="0"/>
              <w:suppressLineNumbers w:val="0"/>
              <w:spacing w:before="0" w:beforeAutospacing="0" w:after="0" w:afterAutospacing="0" w:line="400" w:lineRule="exact"/>
              <w:ind w:left="0" w:right="0"/>
              <w:rPr>
                <w:rFonts w:hint="default" w:ascii="宋体" w:hAnsi="宋体" w:cs="宋体"/>
                <w:color w:val="auto"/>
                <w:kern w:val="2"/>
                <w:sz w:val="21"/>
                <w:szCs w:val="21"/>
                <w:highlight w:val="none"/>
              </w:rPr>
            </w:pPr>
            <w:r>
              <w:rPr>
                <w:rFonts w:hint="eastAsia" w:ascii="宋体" w:hAnsi="宋体" w:cs="宋体"/>
                <w:color w:val="auto"/>
                <w:kern w:val="2"/>
                <w:sz w:val="21"/>
                <w:szCs w:val="21"/>
                <w:highlight w:val="none"/>
                <w:lang w:bidi="ar"/>
              </w:rPr>
              <w:t>从接到竣工结算报告和完整的竣工结算资料之日起120天</w:t>
            </w:r>
          </w:p>
        </w:tc>
      </w:tr>
      <w:tr w14:paraId="7A2B3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42" w:type="dxa"/>
            <w:gridSpan w:val="2"/>
            <w:tcBorders>
              <w:top w:val="single" w:color="000000" w:sz="4" w:space="0"/>
              <w:left w:val="single" w:color="000000" w:sz="4" w:space="0"/>
              <w:bottom w:val="single" w:color="000000" w:sz="4" w:space="0"/>
              <w:right w:val="single" w:color="000000" w:sz="4" w:space="0"/>
            </w:tcBorders>
          </w:tcPr>
          <w:p w14:paraId="1DB83601">
            <w:pPr>
              <w:pStyle w:val="42"/>
              <w:keepNext w:val="0"/>
              <w:keepLines w:val="0"/>
              <w:suppressLineNumbers w:val="0"/>
              <w:spacing w:before="0" w:beforeAutospacing="0" w:after="0" w:afterAutospacing="0" w:line="400" w:lineRule="exact"/>
              <w:ind w:left="0" w:right="0"/>
              <w:jc w:val="center"/>
              <w:rPr>
                <w:rFonts w:hint="default" w:ascii="宋体" w:hAnsi="宋体" w:cs="宋体"/>
                <w:color w:val="auto"/>
                <w:kern w:val="2"/>
                <w:sz w:val="21"/>
                <w:szCs w:val="21"/>
                <w:highlight w:val="none"/>
              </w:rPr>
            </w:pPr>
            <w:r>
              <w:rPr>
                <w:rFonts w:hint="eastAsia" w:ascii="宋体" w:hAnsi="宋体" w:cs="宋体"/>
                <w:color w:val="auto"/>
                <w:kern w:val="2"/>
                <w:sz w:val="21"/>
                <w:szCs w:val="21"/>
                <w:highlight w:val="none"/>
                <w:lang w:bidi="ar"/>
              </w:rPr>
              <w:t>3</w:t>
            </w:r>
          </w:p>
        </w:tc>
        <w:tc>
          <w:tcPr>
            <w:tcW w:w="2259" w:type="dxa"/>
            <w:tcBorders>
              <w:top w:val="single" w:color="000000" w:sz="4" w:space="0"/>
              <w:left w:val="nil"/>
              <w:bottom w:val="single" w:color="000000" w:sz="4" w:space="0"/>
              <w:right w:val="single" w:color="000000" w:sz="4" w:space="0"/>
            </w:tcBorders>
          </w:tcPr>
          <w:p w14:paraId="3EFC7943">
            <w:pPr>
              <w:pStyle w:val="42"/>
              <w:keepNext w:val="0"/>
              <w:keepLines w:val="0"/>
              <w:suppressLineNumbers w:val="0"/>
              <w:spacing w:before="0" w:beforeAutospacing="0" w:after="0" w:afterAutospacing="0" w:line="400" w:lineRule="exact"/>
              <w:ind w:left="0" w:right="0"/>
              <w:rPr>
                <w:rFonts w:hint="default" w:ascii="宋体" w:hAnsi="宋体" w:cs="宋体"/>
                <w:color w:val="auto"/>
                <w:kern w:val="2"/>
                <w:sz w:val="21"/>
                <w:szCs w:val="21"/>
                <w:highlight w:val="none"/>
              </w:rPr>
            </w:pPr>
            <w:r>
              <w:rPr>
                <w:rFonts w:hint="eastAsia" w:ascii="宋体" w:hAnsi="宋体" w:cs="宋体"/>
                <w:color w:val="auto"/>
                <w:kern w:val="2"/>
                <w:sz w:val="21"/>
                <w:szCs w:val="21"/>
                <w:highlight w:val="none"/>
                <w:lang w:bidi="ar"/>
              </w:rPr>
              <w:t>2000万元-5000万元</w:t>
            </w:r>
          </w:p>
        </w:tc>
        <w:tc>
          <w:tcPr>
            <w:tcW w:w="5629" w:type="dxa"/>
            <w:tcBorders>
              <w:top w:val="single" w:color="000000" w:sz="4" w:space="0"/>
              <w:left w:val="nil"/>
              <w:bottom w:val="single" w:color="000000" w:sz="4" w:space="0"/>
              <w:right w:val="single" w:color="000000" w:sz="4" w:space="0"/>
            </w:tcBorders>
          </w:tcPr>
          <w:p w14:paraId="76C4E251">
            <w:pPr>
              <w:pStyle w:val="42"/>
              <w:keepNext w:val="0"/>
              <w:keepLines w:val="0"/>
              <w:suppressLineNumbers w:val="0"/>
              <w:spacing w:before="0" w:beforeAutospacing="0" w:after="0" w:afterAutospacing="0" w:line="400" w:lineRule="exact"/>
              <w:ind w:left="0" w:right="0"/>
              <w:rPr>
                <w:rFonts w:hint="default" w:ascii="宋体" w:hAnsi="宋体" w:cs="宋体"/>
                <w:color w:val="auto"/>
                <w:kern w:val="2"/>
                <w:sz w:val="21"/>
                <w:szCs w:val="21"/>
                <w:highlight w:val="none"/>
              </w:rPr>
            </w:pPr>
            <w:r>
              <w:rPr>
                <w:rFonts w:hint="eastAsia" w:ascii="宋体" w:hAnsi="宋体" w:cs="宋体"/>
                <w:color w:val="auto"/>
                <w:kern w:val="2"/>
                <w:sz w:val="21"/>
                <w:szCs w:val="21"/>
                <w:highlight w:val="none"/>
                <w:lang w:bidi="ar"/>
              </w:rPr>
              <w:t>从接到竣工结算报告和完整的竣工结算资料之日起180天</w:t>
            </w:r>
          </w:p>
        </w:tc>
      </w:tr>
      <w:tr w14:paraId="1B5D1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525" w:type="dxa"/>
            <w:tcBorders>
              <w:top w:val="single" w:color="000000" w:sz="4" w:space="0"/>
              <w:left w:val="single" w:color="000000" w:sz="4" w:space="0"/>
              <w:bottom w:val="single" w:color="000000" w:sz="4" w:space="0"/>
              <w:right w:val="single" w:color="000000" w:sz="4" w:space="0"/>
            </w:tcBorders>
          </w:tcPr>
          <w:p w14:paraId="679A7EA6">
            <w:pPr>
              <w:pStyle w:val="42"/>
              <w:keepNext w:val="0"/>
              <w:keepLines w:val="0"/>
              <w:suppressLineNumbers w:val="0"/>
              <w:spacing w:before="0" w:beforeAutospacing="0" w:after="0" w:afterAutospacing="0" w:line="400" w:lineRule="exact"/>
              <w:ind w:left="0" w:right="0"/>
              <w:jc w:val="center"/>
              <w:rPr>
                <w:rFonts w:hint="default" w:ascii="宋体" w:hAnsi="宋体" w:cs="宋体"/>
                <w:color w:val="auto"/>
                <w:kern w:val="2"/>
                <w:sz w:val="21"/>
                <w:szCs w:val="21"/>
                <w:highlight w:val="none"/>
              </w:rPr>
            </w:pPr>
            <w:r>
              <w:rPr>
                <w:rFonts w:hint="eastAsia" w:ascii="宋体" w:hAnsi="宋体" w:cs="宋体"/>
                <w:color w:val="auto"/>
                <w:kern w:val="2"/>
                <w:sz w:val="21"/>
                <w:szCs w:val="21"/>
                <w:highlight w:val="none"/>
                <w:lang w:bidi="ar"/>
              </w:rPr>
              <w:t>4</w:t>
            </w:r>
          </w:p>
        </w:tc>
        <w:tc>
          <w:tcPr>
            <w:tcW w:w="2276" w:type="dxa"/>
            <w:gridSpan w:val="2"/>
            <w:tcBorders>
              <w:top w:val="single" w:color="000000" w:sz="4" w:space="0"/>
              <w:left w:val="nil"/>
              <w:bottom w:val="single" w:color="000000" w:sz="4" w:space="0"/>
              <w:right w:val="single" w:color="000000" w:sz="4" w:space="0"/>
            </w:tcBorders>
          </w:tcPr>
          <w:p w14:paraId="2CF9A250">
            <w:pPr>
              <w:pStyle w:val="42"/>
              <w:keepNext w:val="0"/>
              <w:keepLines w:val="0"/>
              <w:suppressLineNumbers w:val="0"/>
              <w:spacing w:before="0" w:beforeAutospacing="0" w:after="0" w:afterAutospacing="0" w:line="400" w:lineRule="exact"/>
              <w:ind w:left="0" w:right="0"/>
              <w:rPr>
                <w:rFonts w:hint="default" w:ascii="宋体" w:hAnsi="宋体" w:cs="宋体"/>
                <w:color w:val="auto"/>
                <w:kern w:val="2"/>
                <w:sz w:val="21"/>
                <w:szCs w:val="21"/>
                <w:highlight w:val="none"/>
              </w:rPr>
            </w:pPr>
            <w:r>
              <w:rPr>
                <w:rFonts w:hint="eastAsia" w:ascii="宋体" w:hAnsi="宋体" w:cs="宋体"/>
                <w:color w:val="auto"/>
                <w:kern w:val="2"/>
                <w:sz w:val="21"/>
                <w:szCs w:val="21"/>
                <w:highlight w:val="none"/>
                <w:lang w:bidi="ar"/>
              </w:rPr>
              <w:t>5000万元以上</w:t>
            </w:r>
          </w:p>
        </w:tc>
        <w:tc>
          <w:tcPr>
            <w:tcW w:w="5629" w:type="dxa"/>
            <w:tcBorders>
              <w:top w:val="single" w:color="000000" w:sz="4" w:space="0"/>
              <w:left w:val="nil"/>
              <w:bottom w:val="single" w:color="000000" w:sz="4" w:space="0"/>
              <w:right w:val="single" w:color="000000" w:sz="4" w:space="0"/>
            </w:tcBorders>
          </w:tcPr>
          <w:p w14:paraId="7FD4A223">
            <w:pPr>
              <w:pStyle w:val="42"/>
              <w:keepNext w:val="0"/>
              <w:keepLines w:val="0"/>
              <w:suppressLineNumbers w:val="0"/>
              <w:spacing w:before="0" w:beforeAutospacing="0" w:after="0" w:afterAutospacing="0" w:line="400" w:lineRule="exact"/>
              <w:ind w:left="0" w:right="0"/>
              <w:rPr>
                <w:rFonts w:hint="default" w:ascii="宋体" w:hAnsi="宋体" w:cs="宋体"/>
                <w:color w:val="auto"/>
                <w:kern w:val="2"/>
                <w:sz w:val="21"/>
                <w:szCs w:val="21"/>
                <w:highlight w:val="none"/>
              </w:rPr>
            </w:pPr>
            <w:r>
              <w:rPr>
                <w:rFonts w:hint="eastAsia" w:ascii="宋体" w:hAnsi="宋体" w:cs="宋体"/>
                <w:color w:val="auto"/>
                <w:kern w:val="2"/>
                <w:sz w:val="21"/>
                <w:szCs w:val="21"/>
                <w:highlight w:val="none"/>
                <w:lang w:bidi="ar"/>
              </w:rPr>
              <w:t>从接到竣工结算报告和完整的竣工结算资料之日起240天</w:t>
            </w:r>
          </w:p>
        </w:tc>
      </w:tr>
    </w:tbl>
    <w:p w14:paraId="5D9780DC">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 xml:space="preserve"> </w:t>
      </w:r>
    </w:p>
    <w:p w14:paraId="1837500A">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因承包人提供的结算资料不完整而需要补充或承包人不按时对账耽误时间时，审查时间应相应顺延。</w:t>
      </w:r>
    </w:p>
    <w:p w14:paraId="1D065A7D">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发包人审批竣工付款申请单的期限：</w:t>
      </w:r>
      <w:r>
        <w:rPr>
          <w:rFonts w:hint="eastAsia" w:ascii="宋体" w:hAnsi="宋体" w:cs="宋体"/>
          <w:color w:val="auto"/>
          <w:kern w:val="2"/>
          <w:sz w:val="21"/>
          <w:szCs w:val="21"/>
          <w:highlight w:val="none"/>
          <w:u w:val="single"/>
          <w:lang w:bidi="ar"/>
        </w:rPr>
        <w:t>从接到竣工结算报告和完整的竣工结算资料之日起计算，以上时间仅供参考，如为财政资金项目，则以财政或审计机关审定工程造价的时间为准；</w:t>
      </w:r>
    </w:p>
    <w:p w14:paraId="17CA327F">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发包人完成竣工付款的期限：</w:t>
      </w:r>
      <w:r>
        <w:rPr>
          <w:rFonts w:hint="eastAsia" w:ascii="宋体" w:hAnsi="宋体" w:cs="宋体"/>
          <w:color w:val="auto"/>
          <w:kern w:val="2"/>
          <w:sz w:val="21"/>
          <w:szCs w:val="21"/>
          <w:highlight w:val="none"/>
          <w:u w:val="single"/>
          <w:lang w:bidi="ar"/>
        </w:rPr>
        <w:t>签发竣工付款证书后28个工作日内</w:t>
      </w:r>
      <w:r>
        <w:rPr>
          <w:rFonts w:hint="eastAsia" w:ascii="宋体" w:hAnsi="宋体" w:cs="宋体"/>
          <w:color w:val="auto"/>
          <w:kern w:val="2"/>
          <w:sz w:val="21"/>
          <w:szCs w:val="21"/>
          <w:highlight w:val="none"/>
          <w:lang w:bidi="ar"/>
        </w:rPr>
        <w:t>。</w:t>
      </w:r>
    </w:p>
    <w:p w14:paraId="42FFF7BF">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关于竣工付款证书异议部分复核的方式和程序：</w:t>
      </w:r>
      <w:r>
        <w:rPr>
          <w:rFonts w:hint="eastAsia" w:ascii="宋体" w:hAnsi="宋体" w:cs="宋体"/>
          <w:color w:val="auto"/>
          <w:kern w:val="2"/>
          <w:sz w:val="21"/>
          <w:szCs w:val="21"/>
          <w:highlight w:val="none"/>
          <w:u w:val="single"/>
          <w:lang w:bidi="ar"/>
        </w:rPr>
        <w:t>同通用条款</w:t>
      </w:r>
      <w:r>
        <w:rPr>
          <w:rFonts w:hint="eastAsia" w:ascii="宋体" w:hAnsi="宋体" w:cs="宋体"/>
          <w:color w:val="auto"/>
          <w:kern w:val="2"/>
          <w:sz w:val="21"/>
          <w:szCs w:val="21"/>
          <w:highlight w:val="none"/>
          <w:lang w:bidi="ar"/>
        </w:rPr>
        <w:t>。</w:t>
      </w:r>
    </w:p>
    <w:p w14:paraId="70D02A68">
      <w:pPr>
        <w:pStyle w:val="331"/>
        <w:widowControl/>
        <w:tabs>
          <w:tab w:val="left" w:pos="1100"/>
        </w:tabs>
        <w:spacing w:line="400" w:lineRule="exact"/>
        <w:ind w:firstLine="422"/>
        <w:jc w:val="left"/>
        <w:rPr>
          <w:rFonts w:ascii="宋体" w:hAnsi="宋体" w:cs="宋体"/>
          <w:b/>
          <w:bCs/>
          <w:color w:val="auto"/>
          <w:highlight w:val="none"/>
        </w:rPr>
      </w:pPr>
      <w:r>
        <w:rPr>
          <w:rFonts w:hint="eastAsia" w:ascii="宋体" w:hAnsi="宋体" w:cs="宋体"/>
          <w:b/>
          <w:bCs/>
          <w:color w:val="auto"/>
          <w:highlight w:val="none"/>
        </w:rPr>
        <w:t>14.4  最终结清</w:t>
      </w:r>
    </w:p>
    <w:p w14:paraId="7CF7D7AE">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14.4.1 最终结清申请单</w:t>
      </w:r>
    </w:p>
    <w:p w14:paraId="4B1A30D0">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承包人提交最终结清申请单的份数：</w:t>
      </w:r>
      <w:r>
        <w:rPr>
          <w:rFonts w:hint="eastAsia" w:ascii="宋体" w:hAnsi="宋体" w:cs="宋体"/>
          <w:color w:val="auto"/>
          <w:kern w:val="2"/>
          <w:sz w:val="21"/>
          <w:szCs w:val="21"/>
          <w:highlight w:val="none"/>
          <w:u w:val="single"/>
          <w:lang w:bidi="ar"/>
        </w:rPr>
        <w:t>壹式肆份</w:t>
      </w:r>
      <w:r>
        <w:rPr>
          <w:rFonts w:hint="eastAsia" w:ascii="宋体" w:hAnsi="宋体" w:cs="宋体"/>
          <w:color w:val="auto"/>
          <w:kern w:val="2"/>
          <w:sz w:val="21"/>
          <w:szCs w:val="21"/>
          <w:highlight w:val="none"/>
          <w:lang w:bidi="ar"/>
        </w:rPr>
        <w:t>。</w:t>
      </w:r>
    </w:p>
    <w:p w14:paraId="46CF661E">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承包人提交最终结算申请单的期限：</w:t>
      </w:r>
      <w:r>
        <w:rPr>
          <w:rFonts w:hint="eastAsia" w:ascii="宋体" w:hAnsi="宋体" w:cs="宋体"/>
          <w:color w:val="auto"/>
          <w:kern w:val="2"/>
          <w:sz w:val="21"/>
          <w:szCs w:val="21"/>
          <w:highlight w:val="none"/>
          <w:u w:val="single"/>
          <w:lang w:bidi="ar"/>
        </w:rPr>
        <w:t>质量保修期终止证书签发后14个日历天内向监理人提交 4 份竣工付款申请单及相关证明材料</w:t>
      </w:r>
      <w:r>
        <w:rPr>
          <w:rFonts w:hint="eastAsia" w:ascii="宋体" w:hAnsi="宋体" w:cs="宋体"/>
          <w:color w:val="auto"/>
          <w:kern w:val="2"/>
          <w:sz w:val="21"/>
          <w:szCs w:val="21"/>
          <w:highlight w:val="none"/>
          <w:lang w:bidi="ar"/>
        </w:rPr>
        <w:t>。</w:t>
      </w:r>
    </w:p>
    <w:p w14:paraId="1D8D5C7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14.4.2 最终结清证书和支付</w:t>
      </w:r>
    </w:p>
    <w:p w14:paraId="5321640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（1）发包人完成最终结清申请单的审批并颁发最终结清证书的期限：</w:t>
      </w:r>
      <w:r>
        <w:rPr>
          <w:rFonts w:hint="eastAsia" w:ascii="宋体" w:hAnsi="宋体" w:cs="宋体"/>
          <w:color w:val="auto"/>
          <w:szCs w:val="21"/>
          <w:highlight w:val="none"/>
          <w:u w:val="single"/>
          <w:lang w:bidi="ar"/>
        </w:rPr>
        <w:t xml:space="preserve"> 按通用条款执行</w:t>
      </w:r>
      <w:r>
        <w:rPr>
          <w:rFonts w:hint="eastAsia" w:ascii="宋体" w:hAnsi="宋体" w:cs="宋体"/>
          <w:color w:val="auto"/>
          <w:szCs w:val="21"/>
          <w:highlight w:val="none"/>
          <w:lang w:bidi="ar"/>
        </w:rPr>
        <w:t>。</w:t>
      </w:r>
    </w:p>
    <w:p w14:paraId="4308153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（2）发包人完成支付的期限：</w:t>
      </w:r>
      <w:r>
        <w:rPr>
          <w:rFonts w:hint="eastAsia" w:ascii="宋体" w:hAnsi="宋体" w:cs="宋体"/>
          <w:color w:val="auto"/>
          <w:szCs w:val="21"/>
          <w:highlight w:val="none"/>
          <w:u w:val="single"/>
          <w:lang w:bidi="ar"/>
        </w:rPr>
        <w:t xml:space="preserve">    按通用条款执行     </w:t>
      </w:r>
      <w:r>
        <w:rPr>
          <w:rFonts w:hint="eastAsia" w:ascii="宋体" w:hAnsi="宋体" w:cs="宋体"/>
          <w:color w:val="auto"/>
          <w:szCs w:val="21"/>
          <w:highlight w:val="none"/>
          <w:lang w:bidi="ar"/>
        </w:rPr>
        <w:t>。</w:t>
      </w:r>
    </w:p>
    <w:p w14:paraId="2823F984">
      <w:pPr>
        <w:pStyle w:val="331"/>
        <w:widowControl/>
        <w:tabs>
          <w:tab w:val="left" w:pos="1100"/>
        </w:tabs>
        <w:spacing w:line="400" w:lineRule="exact"/>
        <w:ind w:firstLine="422"/>
        <w:jc w:val="left"/>
        <w:rPr>
          <w:rFonts w:ascii="宋体" w:hAnsi="宋体" w:cs="宋体"/>
          <w:b/>
          <w:bCs/>
          <w:color w:val="auto"/>
          <w:highlight w:val="none"/>
        </w:rPr>
      </w:pPr>
      <w:bookmarkStart w:id="1127" w:name="15._缺陷责任期与保修"/>
      <w:bookmarkEnd w:id="1127"/>
      <w:r>
        <w:rPr>
          <w:rFonts w:hint="eastAsia" w:ascii="宋体" w:hAnsi="宋体" w:cs="宋体"/>
          <w:b/>
          <w:bCs/>
          <w:color w:val="auto"/>
          <w:highlight w:val="none"/>
        </w:rPr>
        <w:t>15.  缺陷责任期与保修</w:t>
      </w:r>
    </w:p>
    <w:p w14:paraId="0727F873">
      <w:pPr>
        <w:pStyle w:val="331"/>
        <w:widowControl/>
        <w:tabs>
          <w:tab w:val="left" w:pos="1100"/>
        </w:tabs>
        <w:spacing w:line="400" w:lineRule="exact"/>
        <w:ind w:firstLine="422"/>
        <w:jc w:val="left"/>
        <w:rPr>
          <w:rFonts w:ascii="宋体" w:hAnsi="宋体" w:cs="宋体"/>
          <w:b/>
          <w:bCs/>
          <w:color w:val="auto"/>
          <w:highlight w:val="none"/>
        </w:rPr>
      </w:pPr>
      <w:bookmarkStart w:id="1128" w:name="15.2缺陷责任期"/>
      <w:bookmarkEnd w:id="1128"/>
      <w:r>
        <w:rPr>
          <w:rFonts w:hint="eastAsia" w:ascii="宋体" w:hAnsi="宋体" w:cs="宋体"/>
          <w:b/>
          <w:bCs/>
          <w:color w:val="auto"/>
          <w:highlight w:val="none"/>
        </w:rPr>
        <w:t>15.2  缺陷责任期</w:t>
      </w:r>
    </w:p>
    <w:p w14:paraId="23730FCC">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缺陷责任期的具体期限：</w:t>
      </w:r>
      <w:r>
        <w:rPr>
          <w:rFonts w:hint="eastAsia" w:ascii="宋体" w:hAnsi="宋体" w:cs="宋体"/>
          <w:color w:val="auto"/>
          <w:kern w:val="2"/>
          <w:sz w:val="21"/>
          <w:szCs w:val="21"/>
          <w:highlight w:val="none"/>
          <w:u w:val="single"/>
          <w:lang w:bidi="ar"/>
        </w:rPr>
        <w:t xml:space="preserve"> 24 </w:t>
      </w:r>
      <w:r>
        <w:rPr>
          <w:rFonts w:hint="eastAsia" w:ascii="宋体" w:hAnsi="宋体" w:cs="宋体"/>
          <w:color w:val="auto"/>
          <w:kern w:val="2"/>
          <w:sz w:val="21"/>
          <w:szCs w:val="21"/>
          <w:highlight w:val="none"/>
          <w:lang w:bidi="ar"/>
        </w:rPr>
        <w:t>个月，缺陷责任期自工程实际竣工之日起计算。单位工程先于全部工程进行验收，单位工程缺陷责任期自单位工程验收合格之日起算。</w:t>
      </w:r>
    </w:p>
    <w:p w14:paraId="1031CB8C">
      <w:pPr>
        <w:pStyle w:val="331"/>
        <w:widowControl/>
        <w:tabs>
          <w:tab w:val="left" w:pos="1100"/>
        </w:tabs>
        <w:spacing w:line="400" w:lineRule="exact"/>
        <w:ind w:firstLine="422"/>
        <w:jc w:val="left"/>
        <w:rPr>
          <w:rFonts w:ascii="宋体" w:hAnsi="宋体" w:cs="宋体"/>
          <w:b/>
          <w:bCs/>
          <w:color w:val="auto"/>
          <w:highlight w:val="none"/>
        </w:rPr>
      </w:pPr>
      <w:bookmarkStart w:id="1129" w:name="15.3_质量保证金"/>
      <w:bookmarkEnd w:id="1129"/>
      <w:r>
        <w:rPr>
          <w:rFonts w:hint="eastAsia" w:ascii="宋体" w:hAnsi="宋体" w:cs="宋体"/>
          <w:b/>
          <w:bCs/>
          <w:color w:val="auto"/>
          <w:highlight w:val="none"/>
        </w:rPr>
        <w:t>15.3  质量保证金</w:t>
      </w:r>
    </w:p>
    <w:p w14:paraId="615A6371">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关于是否扣留质量保证金的约定：</w:t>
      </w:r>
      <w:r>
        <w:rPr>
          <w:rFonts w:hint="eastAsia" w:ascii="宋体" w:hAnsi="宋体" w:cs="宋体"/>
          <w:color w:val="auto"/>
          <w:kern w:val="2"/>
          <w:sz w:val="21"/>
          <w:szCs w:val="21"/>
          <w:highlight w:val="none"/>
          <w:u w:val="single"/>
          <w:lang w:val="en-US" w:eastAsia="zh-CN" w:bidi="ar"/>
        </w:rPr>
        <w:t xml:space="preserve"> 否  </w:t>
      </w:r>
      <w:r>
        <w:rPr>
          <w:rFonts w:hint="eastAsia" w:ascii="宋体" w:hAnsi="宋体" w:cs="宋体"/>
          <w:color w:val="auto"/>
          <w:kern w:val="2"/>
          <w:sz w:val="21"/>
          <w:szCs w:val="21"/>
          <w:highlight w:val="none"/>
          <w:lang w:bidi="ar"/>
        </w:rPr>
        <w:t>。</w:t>
      </w:r>
    </w:p>
    <w:p w14:paraId="63A5DEF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在工程项目竣工前，承包人按专用合同条款第3.7条提供履约担保的，发包人不得同时预留工程质量保证金。</w:t>
      </w:r>
    </w:p>
    <w:p w14:paraId="6D6849D4">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15.3.1 承包人提供质量保证金的方式</w:t>
      </w:r>
    </w:p>
    <w:p w14:paraId="54E53384">
      <w:pPr>
        <w:pStyle w:val="42"/>
        <w:adjustRightInd w:val="0"/>
        <w:spacing w:beforeAutospacing="1" w:after="60" w:line="400" w:lineRule="exact"/>
        <w:ind w:left="63" w:leftChars="30" w:right="63" w:rightChars="30" w:firstLine="630" w:firstLineChars="3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质量保证金采用以下第</w:t>
      </w:r>
      <w:r>
        <w:rPr>
          <w:rFonts w:hint="eastAsia" w:ascii="宋体" w:hAnsi="宋体" w:cs="宋体"/>
          <w:color w:val="auto"/>
          <w:kern w:val="2"/>
          <w:sz w:val="21"/>
          <w:szCs w:val="21"/>
          <w:highlight w:val="none"/>
          <w:u w:val="single"/>
          <w:lang w:val="en-US" w:eastAsia="zh-CN" w:bidi="ar"/>
        </w:rPr>
        <w:t xml:space="preserve">        </w:t>
      </w:r>
      <w:r>
        <w:rPr>
          <w:rFonts w:hint="eastAsia" w:ascii="宋体" w:hAnsi="宋体" w:cs="宋体"/>
          <w:color w:val="auto"/>
          <w:kern w:val="2"/>
          <w:sz w:val="21"/>
          <w:szCs w:val="21"/>
          <w:highlight w:val="none"/>
          <w:lang w:bidi="ar"/>
        </w:rPr>
        <w:t>种方式：</w:t>
      </w:r>
    </w:p>
    <w:p w14:paraId="77F61F33">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 xml:space="preserve">（1）质量保证金保函（银行保函、电子保函、保证保险保函、工程担保保函，工程担保保证人应将出具的保函相关信息录入“广西建筑市场监管云”平台（http://gxjzsc.caihcloud.com），以实现保函查询及验真功能。），保证金额为： </w:t>
      </w:r>
      <w:r>
        <w:rPr>
          <w:rFonts w:hint="eastAsia" w:ascii="宋体" w:hAnsi="宋体" w:cs="宋体"/>
          <w:color w:val="auto"/>
          <w:kern w:val="2"/>
          <w:sz w:val="21"/>
          <w:szCs w:val="21"/>
          <w:highlight w:val="none"/>
          <w:u w:val="single"/>
          <w:lang w:bidi="ar"/>
        </w:rPr>
        <w:t xml:space="preserve">                </w:t>
      </w:r>
      <w:r>
        <w:rPr>
          <w:rFonts w:hint="eastAsia" w:ascii="宋体" w:hAnsi="宋体" w:cs="宋体"/>
          <w:color w:val="auto"/>
          <w:kern w:val="2"/>
          <w:sz w:val="21"/>
          <w:szCs w:val="21"/>
          <w:highlight w:val="none"/>
          <w:lang w:bidi="ar"/>
        </w:rPr>
        <w:t>；</w:t>
      </w:r>
    </w:p>
    <w:p w14:paraId="3817D5F9">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（2）发包人按工程价款结算总额的</w:t>
      </w:r>
      <w:r>
        <w:rPr>
          <w:rFonts w:hint="eastAsia" w:ascii="宋体" w:hAnsi="宋体" w:cs="宋体"/>
          <w:color w:val="auto"/>
          <w:kern w:val="2"/>
          <w:sz w:val="21"/>
          <w:szCs w:val="21"/>
          <w:highlight w:val="none"/>
          <w:u w:val="single"/>
          <w:lang w:bidi="ar"/>
        </w:rPr>
        <w:t xml:space="preserve">  </w:t>
      </w:r>
      <w:r>
        <w:rPr>
          <w:rFonts w:hint="eastAsia" w:ascii="宋体" w:hAnsi="宋体" w:cs="宋体"/>
          <w:color w:val="auto"/>
          <w:kern w:val="2"/>
          <w:sz w:val="21"/>
          <w:szCs w:val="21"/>
          <w:highlight w:val="none"/>
          <w:u w:val="single"/>
          <w:lang w:val="en-US" w:eastAsia="zh-CN" w:bidi="ar"/>
        </w:rPr>
        <w:t xml:space="preserve">   </w:t>
      </w:r>
      <w:r>
        <w:rPr>
          <w:rFonts w:hint="eastAsia" w:ascii="宋体" w:hAnsi="宋体" w:cs="宋体"/>
          <w:color w:val="auto"/>
          <w:kern w:val="2"/>
          <w:sz w:val="21"/>
          <w:szCs w:val="21"/>
          <w:highlight w:val="none"/>
          <w:u w:val="single"/>
          <w:lang w:bidi="ar"/>
        </w:rPr>
        <w:t xml:space="preserve"> </w:t>
      </w:r>
      <w:r>
        <w:rPr>
          <w:rFonts w:hint="eastAsia" w:ascii="宋体" w:hAnsi="宋体" w:cs="宋体"/>
          <w:color w:val="auto"/>
          <w:kern w:val="2"/>
          <w:sz w:val="21"/>
          <w:szCs w:val="21"/>
          <w:highlight w:val="none"/>
          <w:lang w:bidi="ar"/>
        </w:rPr>
        <w:t>%（不得超过3%）预留工程质量保证金，待缺陷责任期满后返还。发包人在工程质量保修期满后14天内将保修金（不计利息）全部返回给承包人。质量保证金的返还，并不能免除承包人按照合同约定应承担的质量保修责任和应履行的质量保修义务。是否付息及利息计算方式为：</w:t>
      </w:r>
      <w:r>
        <w:rPr>
          <w:rFonts w:hint="eastAsia" w:ascii="宋体" w:hAnsi="宋体" w:cs="宋体"/>
          <w:color w:val="auto"/>
          <w:kern w:val="2"/>
          <w:sz w:val="21"/>
          <w:szCs w:val="21"/>
          <w:highlight w:val="none"/>
          <w:u w:val="single"/>
          <w:lang w:bidi="ar"/>
        </w:rPr>
        <w:t xml:space="preserve">    否     </w:t>
      </w:r>
      <w:r>
        <w:rPr>
          <w:rFonts w:hint="eastAsia" w:ascii="宋体" w:hAnsi="宋体" w:cs="宋体"/>
          <w:color w:val="auto"/>
          <w:kern w:val="2"/>
          <w:sz w:val="21"/>
          <w:szCs w:val="21"/>
          <w:highlight w:val="none"/>
          <w:lang w:bidi="ar"/>
        </w:rPr>
        <w:t>；</w:t>
      </w:r>
    </w:p>
    <w:p w14:paraId="05788169">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（3）其他方式:银行转账、电汇或网上支付等形式。</w:t>
      </w:r>
    </w:p>
    <w:p w14:paraId="7B094559">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15.3.2 质量保证金的扣留</w:t>
      </w:r>
    </w:p>
    <w:p w14:paraId="2DB66DFB">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质量保证金的扣留采取以下第</w:t>
      </w:r>
      <w:r>
        <w:rPr>
          <w:rFonts w:hint="eastAsia" w:ascii="宋体" w:hAnsi="宋体" w:cs="宋体"/>
          <w:color w:val="auto"/>
          <w:kern w:val="2"/>
          <w:sz w:val="21"/>
          <w:szCs w:val="21"/>
          <w:highlight w:val="none"/>
          <w:u w:val="single"/>
          <w:lang w:val="en-US" w:eastAsia="zh-CN" w:bidi="ar"/>
        </w:rPr>
        <w:t xml:space="preserve">      </w:t>
      </w:r>
      <w:r>
        <w:rPr>
          <w:rFonts w:hint="eastAsia" w:ascii="宋体" w:hAnsi="宋体" w:cs="宋体"/>
          <w:color w:val="auto"/>
          <w:kern w:val="2"/>
          <w:sz w:val="21"/>
          <w:szCs w:val="21"/>
          <w:highlight w:val="none"/>
          <w:lang w:bidi="ar"/>
        </w:rPr>
        <w:t>种方式：</w:t>
      </w:r>
    </w:p>
    <w:p w14:paraId="4AA5F965">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（1）在不缴纳履保证金情况下，按支付工程进度款时逐次扣留，质量保证金的计算基数不包括预付款的支付、扣回以及价格调整的金额；</w:t>
      </w:r>
    </w:p>
    <w:p w14:paraId="5C5D6EE8">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（2）工程竣工结算时，一次性扣留质量保证金，金额不得高于工程价款结算总额的3%，由发包人确定质量保证金的暂扣方式；</w:t>
      </w:r>
    </w:p>
    <w:p w14:paraId="0774A49C">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（3）其他扣留方式: 银行转账、电汇或网上支付、保函（银行保函、电子保函、保证保险保函、工程担保保函）等形式。</w:t>
      </w:r>
    </w:p>
    <w:p w14:paraId="20DB9E7C">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u w:val="single"/>
        </w:rPr>
      </w:pPr>
      <w:r>
        <w:rPr>
          <w:rFonts w:hint="eastAsia" w:ascii="宋体" w:hAnsi="宋体" w:cs="宋体"/>
          <w:color w:val="auto"/>
          <w:kern w:val="2"/>
          <w:sz w:val="21"/>
          <w:szCs w:val="21"/>
          <w:highlight w:val="none"/>
          <w:lang w:bidi="ar"/>
        </w:rPr>
        <w:t>关于质量保证金的补充约定：</w:t>
      </w:r>
      <w:r>
        <w:rPr>
          <w:rFonts w:hint="eastAsia" w:ascii="宋体" w:hAnsi="宋体" w:cs="宋体"/>
          <w:color w:val="auto"/>
          <w:kern w:val="2"/>
          <w:sz w:val="21"/>
          <w:szCs w:val="21"/>
          <w:highlight w:val="none"/>
          <w:u w:val="single"/>
          <w:lang w:bidi="ar"/>
        </w:rPr>
        <w:t>发包人在工程质量保修期满后14天内将保修金（不计利息）全部返回给承包人。质量保证金的返还，并不能免除承包人按照合同约定应承担的质量保修责任和应履行的质量保修义务。</w:t>
      </w:r>
    </w:p>
    <w:p w14:paraId="245BBC29">
      <w:pPr>
        <w:pStyle w:val="331"/>
        <w:widowControl/>
        <w:tabs>
          <w:tab w:val="left" w:pos="1100"/>
        </w:tabs>
        <w:spacing w:line="400" w:lineRule="exact"/>
        <w:ind w:firstLine="422"/>
        <w:jc w:val="left"/>
        <w:rPr>
          <w:rFonts w:ascii="宋体" w:hAnsi="宋体" w:cs="宋体"/>
          <w:b/>
          <w:bCs/>
          <w:color w:val="auto"/>
          <w:highlight w:val="none"/>
        </w:rPr>
      </w:pPr>
      <w:bookmarkStart w:id="1130" w:name="15.4保修"/>
      <w:bookmarkEnd w:id="1130"/>
      <w:r>
        <w:rPr>
          <w:rFonts w:hint="eastAsia" w:ascii="宋体" w:hAnsi="宋体" w:cs="宋体"/>
          <w:b/>
          <w:bCs/>
          <w:color w:val="auto"/>
          <w:highlight w:val="none"/>
        </w:rPr>
        <w:t>15.4  保修</w:t>
      </w:r>
    </w:p>
    <w:p w14:paraId="6E4E44D0">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15.4.1 保修责任</w:t>
      </w:r>
    </w:p>
    <w:p w14:paraId="4BB2CA2F">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工程保修期为：</w:t>
      </w:r>
      <w:r>
        <w:rPr>
          <w:rFonts w:hint="eastAsia" w:ascii="宋体" w:hAnsi="宋体" w:cs="宋体"/>
          <w:color w:val="auto"/>
          <w:kern w:val="2"/>
          <w:sz w:val="21"/>
          <w:szCs w:val="21"/>
          <w:highlight w:val="none"/>
          <w:u w:val="single"/>
          <w:lang w:bidi="ar"/>
        </w:rPr>
        <w:t>根据《建设工程质量管理条例》及有关规定，约定本工程的保修期详见《工程质量保修书》</w:t>
      </w:r>
      <w:r>
        <w:rPr>
          <w:rFonts w:hint="eastAsia" w:ascii="宋体" w:hAnsi="宋体" w:cs="宋体"/>
          <w:color w:val="auto"/>
          <w:kern w:val="2"/>
          <w:sz w:val="21"/>
          <w:szCs w:val="21"/>
          <w:highlight w:val="none"/>
          <w:lang w:bidi="ar"/>
        </w:rPr>
        <w:t>。</w:t>
      </w:r>
    </w:p>
    <w:p w14:paraId="25035933">
      <w:pPr>
        <w:spacing w:line="360" w:lineRule="auto"/>
        <w:ind w:firstLine="409" w:firstLineChars="195"/>
        <w:jc w:val="left"/>
        <w:rPr>
          <w:rFonts w:ascii="宋体" w:hAnsi="宋体" w:cs="宋体"/>
          <w:color w:val="auto"/>
          <w:kern w:val="0"/>
          <w:szCs w:val="21"/>
          <w:highlight w:val="none"/>
          <w:u w:val="single"/>
        </w:rPr>
      </w:pPr>
      <w:r>
        <w:rPr>
          <w:rFonts w:hint="eastAsia" w:ascii="宋体" w:hAnsi="宋体" w:cs="宋体"/>
          <w:color w:val="auto"/>
          <w:szCs w:val="21"/>
          <w:highlight w:val="none"/>
          <w:lang w:bidi="ar"/>
        </w:rPr>
        <w:t>工程保修书具体内容见合同附件2。</w:t>
      </w:r>
    </w:p>
    <w:p w14:paraId="0C81B121">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15.4.3 修复通知</w:t>
      </w:r>
    </w:p>
    <w:p w14:paraId="6674E9EC">
      <w:pPr>
        <w:spacing w:line="360" w:lineRule="auto"/>
        <w:ind w:firstLine="409" w:firstLineChars="195"/>
        <w:jc w:val="left"/>
        <w:rPr>
          <w:rFonts w:ascii="宋体" w:hAnsi="宋体" w:cs="宋体"/>
          <w:color w:val="auto"/>
          <w:szCs w:val="21"/>
          <w:highlight w:val="none"/>
        </w:rPr>
      </w:pPr>
      <w:r>
        <w:rPr>
          <w:rFonts w:hint="eastAsia" w:ascii="宋体" w:hAnsi="宋体" w:cs="宋体"/>
          <w:color w:val="auto"/>
          <w:szCs w:val="21"/>
          <w:highlight w:val="none"/>
          <w:lang w:bidi="ar"/>
        </w:rPr>
        <w:t>承包人收到保修通知并到达工程现场的合理时间：</w:t>
      </w:r>
      <w:r>
        <w:rPr>
          <w:rFonts w:hint="eastAsia" w:ascii="宋体" w:hAnsi="宋体" w:cs="宋体"/>
          <w:color w:val="auto"/>
          <w:szCs w:val="21"/>
          <w:highlight w:val="none"/>
          <w:u w:val="single"/>
          <w:lang w:bidi="ar"/>
        </w:rPr>
        <w:t>1、一般工程2天内到达，紧急工程4小时内到达。</w:t>
      </w:r>
      <w:r>
        <w:rPr>
          <w:rFonts w:hint="eastAsia" w:ascii="宋体" w:hAnsi="宋体" w:cs="宋体"/>
          <w:color w:val="auto"/>
          <w:spacing w:val="-6"/>
          <w:szCs w:val="21"/>
          <w:highlight w:val="none"/>
          <w:u w:val="single"/>
          <w:lang w:bidi="ar"/>
        </w:rPr>
        <w:t>于保修范围、内容的项目，承包人</w:t>
      </w:r>
      <w:r>
        <w:rPr>
          <w:rFonts w:hint="eastAsia" w:ascii="宋体" w:hAnsi="宋体" w:cs="宋体"/>
          <w:color w:val="auto"/>
          <w:spacing w:val="-2"/>
          <w:szCs w:val="21"/>
          <w:highlight w:val="none"/>
          <w:u w:val="single"/>
          <w:lang w:bidi="ar"/>
        </w:rPr>
        <w:t>应当在接到保修通知之日起</w:t>
      </w:r>
      <w:r>
        <w:rPr>
          <w:rFonts w:hint="eastAsia" w:ascii="宋体" w:hAnsi="宋体" w:cs="宋体"/>
          <w:color w:val="auto"/>
          <w:spacing w:val="-1"/>
          <w:szCs w:val="21"/>
          <w:highlight w:val="none"/>
          <w:u w:val="single"/>
          <w:lang w:bidi="ar"/>
        </w:rPr>
        <w:t>两天内派人保修。承包人不在约定期限内派人保修的，发包人有权</w:t>
      </w:r>
      <w:r>
        <w:rPr>
          <w:rFonts w:hint="eastAsia" w:ascii="宋体" w:hAnsi="宋体" w:cs="宋体"/>
          <w:color w:val="auto"/>
          <w:spacing w:val="-6"/>
          <w:szCs w:val="21"/>
          <w:highlight w:val="none"/>
          <w:u w:val="single"/>
          <w:lang w:bidi="ar"/>
        </w:rPr>
        <w:t>直接安排维修，费用从工程保修金中扣除，不足部分发包人有权向承包人追索。2、发生紧急</w:t>
      </w:r>
      <w:r>
        <w:rPr>
          <w:rFonts w:hint="eastAsia" w:ascii="宋体" w:hAnsi="宋体" w:cs="宋体"/>
          <w:color w:val="auto"/>
          <w:szCs w:val="21"/>
          <w:highlight w:val="none"/>
          <w:u w:val="single"/>
          <w:lang w:bidi="ar"/>
        </w:rPr>
        <w:t>抢</w:t>
      </w:r>
      <w:r>
        <w:rPr>
          <w:rFonts w:hint="eastAsia" w:ascii="宋体" w:hAnsi="宋体" w:cs="宋体"/>
          <w:color w:val="auto"/>
          <w:spacing w:val="-6"/>
          <w:szCs w:val="21"/>
          <w:highlight w:val="none"/>
          <w:u w:val="single"/>
          <w:lang w:bidi="ar"/>
        </w:rPr>
        <w:t>修事故的，承包</w:t>
      </w:r>
      <w:r>
        <w:rPr>
          <w:rFonts w:hint="eastAsia" w:ascii="宋体" w:hAnsi="宋体" w:cs="宋体"/>
          <w:color w:val="auto"/>
          <w:spacing w:val="-4"/>
          <w:szCs w:val="21"/>
          <w:highlight w:val="none"/>
          <w:u w:val="single"/>
          <w:lang w:bidi="ar"/>
        </w:rPr>
        <w:t>人</w:t>
      </w:r>
      <w:r>
        <w:rPr>
          <w:rFonts w:hint="eastAsia" w:ascii="宋体" w:hAnsi="宋体" w:cs="宋体"/>
          <w:color w:val="auto"/>
          <w:spacing w:val="-3"/>
          <w:szCs w:val="21"/>
          <w:highlight w:val="none"/>
          <w:u w:val="single"/>
          <w:lang w:bidi="ar"/>
        </w:rPr>
        <w:t>在接到事故通知后，应当立即到达事故现场抢修。3、对于涉及设备的质量问</w:t>
      </w:r>
      <w:r>
        <w:rPr>
          <w:rFonts w:hint="eastAsia" w:ascii="宋体" w:hAnsi="宋体" w:cs="宋体"/>
          <w:color w:val="auto"/>
          <w:spacing w:val="-2"/>
          <w:szCs w:val="21"/>
          <w:highlight w:val="none"/>
          <w:u w:val="single"/>
          <w:lang w:bidi="ar"/>
        </w:rPr>
        <w:t>题，应当提出保修方案，及</w:t>
      </w:r>
      <w:r>
        <w:rPr>
          <w:rFonts w:hint="eastAsia" w:ascii="宋体" w:hAnsi="宋体" w:cs="宋体"/>
          <w:color w:val="auto"/>
          <w:spacing w:val="-1"/>
          <w:szCs w:val="21"/>
          <w:highlight w:val="none"/>
          <w:u w:val="single"/>
          <w:lang w:bidi="ar"/>
        </w:rPr>
        <w:t>时更换设备，承包人实施保修。属于涉及结构安全的质量问题，应</w:t>
      </w:r>
      <w:r>
        <w:rPr>
          <w:rFonts w:hint="eastAsia" w:ascii="宋体" w:hAnsi="宋体" w:cs="宋体"/>
          <w:color w:val="auto"/>
          <w:spacing w:val="2"/>
          <w:szCs w:val="21"/>
          <w:highlight w:val="none"/>
          <w:u w:val="single"/>
          <w:lang w:bidi="ar"/>
        </w:rPr>
        <w:t>当按照《房屋建筑工程</w:t>
      </w:r>
      <w:r>
        <w:rPr>
          <w:rFonts w:hint="eastAsia" w:ascii="宋体" w:hAnsi="宋体" w:cs="宋体"/>
          <w:color w:val="auto"/>
          <w:spacing w:val="1"/>
          <w:szCs w:val="21"/>
          <w:highlight w:val="none"/>
          <w:u w:val="single"/>
          <w:lang w:bidi="ar"/>
        </w:rPr>
        <w:t>质量保修办法》的规定，立即向当地建设行政主管部门报告，采取安全</w:t>
      </w:r>
      <w:r>
        <w:rPr>
          <w:rFonts w:hint="eastAsia" w:ascii="宋体" w:hAnsi="宋体" w:cs="宋体"/>
          <w:color w:val="auto"/>
          <w:spacing w:val="-12"/>
          <w:szCs w:val="21"/>
          <w:highlight w:val="none"/>
          <w:u w:val="single"/>
          <w:lang w:bidi="ar"/>
        </w:rPr>
        <w:t>防范措</w:t>
      </w:r>
      <w:r>
        <w:rPr>
          <w:rFonts w:hint="eastAsia" w:ascii="宋体" w:hAnsi="宋体" w:cs="宋体"/>
          <w:color w:val="auto"/>
          <w:spacing w:val="-11"/>
          <w:szCs w:val="21"/>
          <w:highlight w:val="none"/>
          <w:u w:val="single"/>
          <w:lang w:bidi="ar"/>
        </w:rPr>
        <w:t>施</w:t>
      </w:r>
      <w:r>
        <w:rPr>
          <w:rFonts w:hint="eastAsia" w:ascii="宋体" w:hAnsi="宋体" w:cs="宋体"/>
          <w:color w:val="auto"/>
          <w:spacing w:val="-6"/>
          <w:szCs w:val="21"/>
          <w:highlight w:val="none"/>
          <w:u w:val="single"/>
          <w:lang w:bidi="ar"/>
        </w:rPr>
        <w:t>；由原设计单位或者具有相应资质等级的设计单位提出保修方案，承包人实施保修。4、</w:t>
      </w:r>
      <w:r>
        <w:rPr>
          <w:rFonts w:hint="eastAsia" w:ascii="宋体" w:hAnsi="宋体" w:cs="宋体"/>
          <w:color w:val="auto"/>
          <w:spacing w:val="-4"/>
          <w:szCs w:val="21"/>
          <w:highlight w:val="none"/>
          <w:u w:val="single"/>
          <w:lang w:bidi="ar"/>
        </w:rPr>
        <w:t>质量保修完成后，由</w:t>
      </w:r>
      <w:r>
        <w:rPr>
          <w:rFonts w:hint="eastAsia" w:ascii="宋体" w:hAnsi="宋体" w:cs="宋体"/>
          <w:color w:val="auto"/>
          <w:spacing w:val="-3"/>
          <w:szCs w:val="21"/>
          <w:highlight w:val="none"/>
          <w:u w:val="single"/>
          <w:lang w:bidi="ar"/>
        </w:rPr>
        <w:t>发</w:t>
      </w:r>
      <w:r>
        <w:rPr>
          <w:rFonts w:hint="eastAsia" w:ascii="宋体" w:hAnsi="宋体" w:cs="宋体"/>
          <w:color w:val="auto"/>
          <w:spacing w:val="-2"/>
          <w:szCs w:val="21"/>
          <w:highlight w:val="none"/>
          <w:u w:val="single"/>
          <w:lang w:bidi="ar"/>
        </w:rPr>
        <w:t>包人组织验收。5、保修费用由造成质量缺陷的责任方承担</w:t>
      </w:r>
      <w:r>
        <w:rPr>
          <w:rFonts w:hint="eastAsia" w:ascii="宋体" w:hAnsi="宋体" w:cs="宋体"/>
          <w:color w:val="auto"/>
          <w:szCs w:val="21"/>
          <w:highlight w:val="none"/>
          <w:lang w:bidi="ar"/>
        </w:rPr>
        <w:t>。</w:t>
      </w:r>
      <w:r>
        <w:rPr>
          <w:rFonts w:hint="eastAsia" w:ascii="宋体" w:hAnsi="宋体" w:cs="宋体"/>
          <w:b/>
          <w:bCs/>
          <w:color w:val="auto"/>
          <w:szCs w:val="21"/>
          <w:highlight w:val="none"/>
          <w:lang w:bidi="ar"/>
        </w:rPr>
        <w:t>如不能按约定到达，或同一问题半年内反复修理3次及以上发包人有权另安排工人抢修，费用由承包人负责，发包人有权直接从质保金扣减。</w:t>
      </w:r>
    </w:p>
    <w:p w14:paraId="2E3EDFA6">
      <w:pPr>
        <w:pStyle w:val="331"/>
        <w:widowControl/>
        <w:tabs>
          <w:tab w:val="left" w:pos="1100"/>
        </w:tabs>
        <w:spacing w:line="400" w:lineRule="exact"/>
        <w:ind w:firstLine="422"/>
        <w:jc w:val="left"/>
        <w:rPr>
          <w:rFonts w:ascii="宋体" w:hAnsi="宋体" w:cs="宋体"/>
          <w:b/>
          <w:bCs/>
          <w:color w:val="auto"/>
          <w:highlight w:val="none"/>
        </w:rPr>
      </w:pPr>
      <w:bookmarkStart w:id="1131" w:name="16._违约"/>
      <w:bookmarkEnd w:id="1131"/>
      <w:r>
        <w:rPr>
          <w:rFonts w:hint="eastAsia" w:ascii="宋体" w:hAnsi="宋体" w:cs="宋体"/>
          <w:b/>
          <w:bCs/>
          <w:color w:val="auto"/>
          <w:highlight w:val="none"/>
        </w:rPr>
        <w:t>16.  违约</w:t>
      </w:r>
    </w:p>
    <w:p w14:paraId="3D169FC6">
      <w:pPr>
        <w:pStyle w:val="331"/>
        <w:widowControl/>
        <w:tabs>
          <w:tab w:val="left" w:pos="1100"/>
        </w:tabs>
        <w:spacing w:line="400" w:lineRule="exact"/>
        <w:ind w:firstLine="422"/>
        <w:jc w:val="left"/>
        <w:rPr>
          <w:rFonts w:ascii="宋体" w:hAnsi="宋体" w:cs="宋体"/>
          <w:b/>
          <w:bCs/>
          <w:color w:val="auto"/>
          <w:highlight w:val="none"/>
        </w:rPr>
      </w:pPr>
      <w:bookmarkStart w:id="1132" w:name="16.1_发包人违约"/>
      <w:bookmarkEnd w:id="1132"/>
      <w:r>
        <w:rPr>
          <w:rFonts w:hint="eastAsia" w:ascii="宋体" w:hAnsi="宋体" w:cs="宋体"/>
          <w:b/>
          <w:bCs/>
          <w:color w:val="auto"/>
          <w:highlight w:val="none"/>
        </w:rPr>
        <w:t>16.1  发包人违约</w:t>
      </w:r>
    </w:p>
    <w:p w14:paraId="27FC38D0">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16.1.1 发包人违约的情形</w:t>
      </w:r>
    </w:p>
    <w:p w14:paraId="121C3ACA">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发包人违约的其他情形：</w:t>
      </w:r>
      <w:r>
        <w:rPr>
          <w:rFonts w:hint="eastAsia" w:ascii="宋体" w:hAnsi="宋体" w:cs="宋体"/>
          <w:color w:val="auto"/>
          <w:kern w:val="2"/>
          <w:sz w:val="21"/>
          <w:szCs w:val="21"/>
          <w:highlight w:val="none"/>
          <w:u w:val="single"/>
          <w:lang w:bidi="ar"/>
        </w:rPr>
        <w:t>同通用条款</w:t>
      </w:r>
      <w:r>
        <w:rPr>
          <w:rFonts w:hint="eastAsia" w:ascii="宋体" w:hAnsi="宋体" w:cs="宋体"/>
          <w:color w:val="auto"/>
          <w:kern w:val="2"/>
          <w:sz w:val="21"/>
          <w:szCs w:val="21"/>
          <w:highlight w:val="none"/>
          <w:lang w:bidi="ar"/>
        </w:rPr>
        <w:t>。</w:t>
      </w:r>
    </w:p>
    <w:p w14:paraId="600805D6">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16.1.2 发包人违约的责任</w:t>
      </w:r>
    </w:p>
    <w:p w14:paraId="2ED4D443">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发包人违约责任的承担方式和计算方法：</w:t>
      </w:r>
    </w:p>
    <w:p w14:paraId="35DFC8EF">
      <w:pPr>
        <w:pStyle w:val="42"/>
        <w:numPr>
          <w:ilvl w:val="0"/>
          <w:numId w:val="6"/>
        </w:numPr>
        <w:adjustRightInd w:val="0"/>
        <w:spacing w:beforeAutospacing="1" w:after="60" w:line="400" w:lineRule="exact"/>
        <w:ind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因发包人原因未能在计划开工日期前 7 个日历天内下达开工通知的违约责任：</w:t>
      </w:r>
      <w:r>
        <w:rPr>
          <w:rFonts w:hint="eastAsia" w:ascii="宋体" w:hAnsi="宋体" w:cs="宋体"/>
          <w:color w:val="auto"/>
          <w:kern w:val="2"/>
          <w:sz w:val="21"/>
          <w:szCs w:val="21"/>
          <w:highlight w:val="none"/>
          <w:u w:val="single"/>
          <w:lang w:bidi="ar"/>
        </w:rPr>
        <w:t>同通用条款</w:t>
      </w:r>
      <w:r>
        <w:rPr>
          <w:rFonts w:hint="eastAsia" w:ascii="宋体" w:hAnsi="宋体" w:cs="宋体"/>
          <w:color w:val="auto"/>
          <w:kern w:val="2"/>
          <w:sz w:val="21"/>
          <w:szCs w:val="21"/>
          <w:highlight w:val="none"/>
          <w:lang w:bidi="ar"/>
        </w:rPr>
        <w:t>。</w:t>
      </w:r>
    </w:p>
    <w:p w14:paraId="652C544F">
      <w:pPr>
        <w:pStyle w:val="42"/>
        <w:numPr>
          <w:ilvl w:val="0"/>
          <w:numId w:val="6"/>
        </w:numPr>
        <w:adjustRightInd w:val="0"/>
        <w:spacing w:beforeAutospacing="1" w:after="60" w:line="400" w:lineRule="exact"/>
        <w:ind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因发包人原因未能按合同约定支付合同价款的违约责任：</w:t>
      </w:r>
      <w:r>
        <w:rPr>
          <w:rFonts w:hint="eastAsia" w:ascii="宋体" w:hAnsi="宋体" w:cs="宋体"/>
          <w:color w:val="auto"/>
          <w:kern w:val="2"/>
          <w:sz w:val="21"/>
          <w:szCs w:val="21"/>
          <w:highlight w:val="none"/>
          <w:u w:val="single"/>
          <w:lang w:bidi="ar"/>
        </w:rPr>
        <w:t>无</w:t>
      </w:r>
      <w:r>
        <w:rPr>
          <w:rFonts w:hint="eastAsia" w:ascii="宋体" w:hAnsi="宋体" w:cs="宋体"/>
          <w:color w:val="auto"/>
          <w:kern w:val="2"/>
          <w:sz w:val="21"/>
          <w:szCs w:val="21"/>
          <w:highlight w:val="none"/>
          <w:lang w:bidi="ar"/>
        </w:rPr>
        <w:t>。</w:t>
      </w:r>
    </w:p>
    <w:p w14:paraId="70AB5295">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（3）发包人违反第 10.1 款〔变更的范围〕第（2）项约定，自行实施被取消的工作或转由他人实施的违约责任：</w:t>
      </w:r>
      <w:r>
        <w:rPr>
          <w:rFonts w:hint="eastAsia" w:ascii="宋体" w:hAnsi="宋体" w:cs="宋体"/>
          <w:color w:val="auto"/>
          <w:kern w:val="2"/>
          <w:sz w:val="21"/>
          <w:szCs w:val="21"/>
          <w:highlight w:val="none"/>
          <w:u w:val="single"/>
          <w:lang w:bidi="ar"/>
        </w:rPr>
        <w:t>同通用条款</w:t>
      </w:r>
      <w:r>
        <w:rPr>
          <w:rFonts w:hint="eastAsia" w:ascii="宋体" w:hAnsi="宋体" w:cs="宋体"/>
          <w:color w:val="auto"/>
          <w:kern w:val="2"/>
          <w:sz w:val="21"/>
          <w:szCs w:val="21"/>
          <w:highlight w:val="none"/>
          <w:lang w:bidi="ar"/>
        </w:rPr>
        <w:t>。</w:t>
      </w:r>
    </w:p>
    <w:p w14:paraId="778C0FF1">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（4）发包人提供的材料、工程设备的规格、数量或质量不符合合同约定，或因发包人原因  导致交货日期延误或交货地点变更等情况的违约责任：</w:t>
      </w:r>
      <w:r>
        <w:rPr>
          <w:rFonts w:hint="eastAsia" w:ascii="宋体" w:hAnsi="宋体" w:cs="宋体"/>
          <w:color w:val="auto"/>
          <w:kern w:val="2"/>
          <w:sz w:val="21"/>
          <w:szCs w:val="21"/>
          <w:highlight w:val="none"/>
          <w:u w:val="single"/>
          <w:lang w:bidi="ar"/>
        </w:rPr>
        <w:t>发同通用条款</w:t>
      </w:r>
      <w:r>
        <w:rPr>
          <w:rFonts w:hint="eastAsia" w:ascii="宋体" w:hAnsi="宋体" w:cs="宋体"/>
          <w:color w:val="auto"/>
          <w:kern w:val="2"/>
          <w:sz w:val="21"/>
          <w:szCs w:val="21"/>
          <w:highlight w:val="none"/>
          <w:lang w:bidi="ar"/>
        </w:rPr>
        <w:t>。</w:t>
      </w:r>
    </w:p>
    <w:p w14:paraId="534C8D75">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（5）因发包人违反合同约定造成暂停施工的违约责任：</w:t>
      </w:r>
      <w:r>
        <w:rPr>
          <w:rFonts w:hint="eastAsia" w:ascii="宋体" w:hAnsi="宋体" w:cs="宋体"/>
          <w:color w:val="auto"/>
          <w:kern w:val="2"/>
          <w:sz w:val="21"/>
          <w:szCs w:val="21"/>
          <w:highlight w:val="none"/>
          <w:u w:val="single"/>
          <w:lang w:bidi="ar"/>
        </w:rPr>
        <w:t>同通用条款</w:t>
      </w:r>
      <w:r>
        <w:rPr>
          <w:rFonts w:hint="eastAsia" w:ascii="宋体" w:hAnsi="宋体" w:cs="宋体"/>
          <w:color w:val="auto"/>
          <w:kern w:val="2"/>
          <w:sz w:val="21"/>
          <w:szCs w:val="21"/>
          <w:highlight w:val="none"/>
          <w:lang w:bidi="ar"/>
        </w:rPr>
        <w:t>。</w:t>
      </w:r>
    </w:p>
    <w:p w14:paraId="3ADB938D">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（6）发包人无正当理由没有在约定期限内发出复工指示，导致承包人无法复工的违约责任：</w:t>
      </w:r>
      <w:r>
        <w:rPr>
          <w:rFonts w:hint="eastAsia" w:ascii="宋体" w:hAnsi="宋体" w:cs="宋体"/>
          <w:color w:val="auto"/>
          <w:kern w:val="2"/>
          <w:sz w:val="21"/>
          <w:szCs w:val="21"/>
          <w:highlight w:val="none"/>
          <w:u w:val="single"/>
          <w:lang w:bidi="ar"/>
        </w:rPr>
        <w:t>同通用条款</w:t>
      </w:r>
      <w:r>
        <w:rPr>
          <w:rFonts w:hint="eastAsia" w:ascii="宋体" w:hAnsi="宋体" w:cs="宋体"/>
          <w:color w:val="auto"/>
          <w:kern w:val="2"/>
          <w:sz w:val="21"/>
          <w:szCs w:val="21"/>
          <w:highlight w:val="none"/>
          <w:lang w:bidi="ar"/>
        </w:rPr>
        <w:t>。</w:t>
      </w:r>
    </w:p>
    <w:p w14:paraId="14B85E18">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（7）其他：</w:t>
      </w:r>
      <w:r>
        <w:rPr>
          <w:rFonts w:hint="eastAsia" w:ascii="宋体" w:hAnsi="宋体" w:cs="宋体"/>
          <w:color w:val="auto"/>
          <w:kern w:val="2"/>
          <w:sz w:val="21"/>
          <w:szCs w:val="21"/>
          <w:highlight w:val="none"/>
          <w:u w:val="single"/>
          <w:lang w:bidi="ar"/>
        </w:rPr>
        <w:t xml:space="preserve"> 无</w:t>
      </w:r>
      <w:r>
        <w:rPr>
          <w:rFonts w:hint="eastAsia" w:ascii="宋体" w:hAnsi="宋体" w:cs="宋体"/>
          <w:color w:val="auto"/>
          <w:kern w:val="2"/>
          <w:sz w:val="21"/>
          <w:szCs w:val="21"/>
          <w:highlight w:val="none"/>
          <w:u w:val="single"/>
          <w:lang w:bidi="ar"/>
        </w:rPr>
        <w:tab/>
      </w:r>
      <w:r>
        <w:rPr>
          <w:rFonts w:hint="eastAsia" w:ascii="宋体" w:hAnsi="宋体" w:cs="宋体"/>
          <w:color w:val="auto"/>
          <w:kern w:val="2"/>
          <w:sz w:val="21"/>
          <w:szCs w:val="21"/>
          <w:highlight w:val="none"/>
          <w:lang w:bidi="ar"/>
        </w:rPr>
        <w:t>。</w:t>
      </w:r>
    </w:p>
    <w:p w14:paraId="7FFE7856">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16.1.3 因发包人违约解除合同</w:t>
      </w:r>
    </w:p>
    <w:p w14:paraId="605B6F3B">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承包人按 16.1.1 项〔发包人违约的情形〕约定满 150个日历天后发包人仍不纠正其违约行为并致使合同目的不能实现的，承包人有权解除合同。</w:t>
      </w:r>
    </w:p>
    <w:p w14:paraId="2EC70B2B">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bookmarkStart w:id="1133" w:name="16.2_承包人违约"/>
      <w:bookmarkEnd w:id="1133"/>
      <w:r>
        <w:rPr>
          <w:rFonts w:hint="eastAsia" w:ascii="宋体" w:hAnsi="宋体" w:cs="宋体"/>
          <w:color w:val="auto"/>
          <w:kern w:val="2"/>
          <w:sz w:val="21"/>
          <w:szCs w:val="21"/>
          <w:highlight w:val="none"/>
          <w:lang w:bidi="ar"/>
        </w:rPr>
        <w:t>16.2  承包人违约</w:t>
      </w:r>
    </w:p>
    <w:p w14:paraId="25043735">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16.2.1 承包人违约的情形</w:t>
      </w:r>
    </w:p>
    <w:p w14:paraId="2DC6A3C7">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承包人违约的其他情形：承包人出现工人违法、违规事宜（打架斗殴、黄、赌、毒）或安全事故因此造成的一切法律责任、经济损失由承包人全部负责，发包人有权勒令承包人停工整顿，确保工程按质按量完成。</w:t>
      </w:r>
    </w:p>
    <w:p w14:paraId="3885D39F">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16.2.2 承包人违约的责任</w:t>
      </w:r>
    </w:p>
    <w:p w14:paraId="01145BCC">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承包人违约责任的承担方式和计算方法：</w:t>
      </w:r>
    </w:p>
    <w:p w14:paraId="05125D35">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1）承包人有本合同通用条款第16.2.1（2）、（3）条内容情形的，承包人无条件返工处理，修复至工程质量要求并承担相关费用，并在发包人规定的时间内完成返工，否则发包人有权扣罚该分项工程10%的工程款作为处罚。</w:t>
      </w:r>
    </w:p>
    <w:p w14:paraId="2C8E614B">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（2）承包人有本合同通用条款第16.2.1（6）条情形的，或经监理人检验认为修复质量不合格而承包人拒绝再进行修补的，发包人将扣除承包人全部质量保证金。</w:t>
      </w:r>
    </w:p>
    <w:p w14:paraId="6D375191">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7E4127FD">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16.2.3 因承包人违约解除合同</w:t>
      </w:r>
    </w:p>
    <w:p w14:paraId="24A80455">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关于承包人违约解除合同的特别约定：</w:t>
      </w:r>
      <w:r>
        <w:rPr>
          <w:rFonts w:hint="eastAsia" w:ascii="宋体" w:hAnsi="宋体" w:cs="宋体"/>
          <w:color w:val="auto"/>
          <w:kern w:val="2"/>
          <w:sz w:val="21"/>
          <w:szCs w:val="21"/>
          <w:highlight w:val="none"/>
          <w:u w:val="single"/>
          <w:lang w:bidi="ar"/>
        </w:rPr>
        <w:t>承包人有违反以下情况之一的，发包人有权解除合同, 且没收其履约保证金:</w:t>
      </w:r>
    </w:p>
    <w:p w14:paraId="5CBAE840">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（1）承包人无正当理由不按开工通知的要求及时进场组织施工和不按签订协议书的时间定的进度计划有效的开展施工准备，造成延期开工超过30个日历天的；拒绝返工、复工超过30个日历天的。</w:t>
      </w:r>
    </w:p>
    <w:p w14:paraId="096CC202">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（2）承包人违反本合同通用条款第3.5条规定私自将合同或合同的任何部分或任何权利转让给其他人，或私自将工程或工程的一部分分包出去的；</w:t>
      </w:r>
    </w:p>
    <w:p w14:paraId="2C5B89A4">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（3）未经监理人批准，承包人私自将已按投标文件承诺进入工地的工程设备、施工设备、临时工程或材料撤离工地的；</w:t>
      </w:r>
    </w:p>
    <w:p w14:paraId="4EBC13EC">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（4）由于承包人原因拒绝按合同进度计划及时完成合同规定的工程，而又未采取有效措施赶上进度，造成工期严重延误的；</w:t>
      </w:r>
    </w:p>
    <w:p w14:paraId="2055192E">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（5）承包人否认合同有效或拒绝履行合同规定的承包人义务，或由于法律、财务等原因导致承包人无法继续履行或实质上已停止履行合同的义务的；</w:t>
      </w:r>
    </w:p>
    <w:p w14:paraId="7BB3C862">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（6）合同签订且具备法定开工条件后之日起十五日内，承包人无法按合同规定及投标文件的承诺进场经监理工程师认可的该施工阶段应有的全部人员和机械的。</w:t>
      </w:r>
    </w:p>
    <w:p w14:paraId="3B1B4D2A">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（7）承包人未经发包人同意的工程延期超过15个日历天的。</w:t>
      </w:r>
    </w:p>
    <w:p w14:paraId="216C1DF3">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（8）项目经理、技术负责人与投标文件不一致或擅自更换项目经理、技术负责人。</w:t>
      </w:r>
    </w:p>
    <w:p w14:paraId="4BC5B703">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因以上原因导致发包人解除合同的，承包人还应一次性支付违约金300万元，如造成的损失大于违约金的，按实际损失赔偿。</w:t>
      </w:r>
    </w:p>
    <w:p w14:paraId="7B0ACFB8">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发包人继续使用承包人在施工现场的材料、设备、临时工程、承包人文件和由承包人或以其名义编制的其他文件的费用承担方式</w:t>
      </w:r>
      <w:r>
        <w:rPr>
          <w:rFonts w:hint="eastAsia" w:ascii="宋体" w:hAnsi="宋体" w:cs="宋体"/>
          <w:color w:val="auto"/>
          <w:kern w:val="2"/>
          <w:sz w:val="21"/>
          <w:szCs w:val="21"/>
          <w:highlight w:val="none"/>
          <w:u w:val="single"/>
          <w:lang w:bidi="ar"/>
        </w:rPr>
        <w:t>：无偿使用</w:t>
      </w:r>
      <w:r>
        <w:rPr>
          <w:rFonts w:hint="eastAsia" w:ascii="宋体" w:hAnsi="宋体" w:cs="宋体"/>
          <w:color w:val="auto"/>
          <w:kern w:val="2"/>
          <w:sz w:val="21"/>
          <w:szCs w:val="21"/>
          <w:highlight w:val="none"/>
          <w:lang w:bidi="ar"/>
        </w:rPr>
        <w:t>。</w:t>
      </w:r>
    </w:p>
    <w:p w14:paraId="68CFB9AE">
      <w:pPr>
        <w:pStyle w:val="331"/>
        <w:widowControl/>
        <w:tabs>
          <w:tab w:val="left" w:pos="1100"/>
        </w:tabs>
        <w:spacing w:line="400" w:lineRule="exact"/>
        <w:ind w:firstLine="422"/>
        <w:jc w:val="left"/>
        <w:rPr>
          <w:rFonts w:ascii="宋体" w:hAnsi="宋体" w:cs="宋体"/>
          <w:b/>
          <w:bCs/>
          <w:color w:val="auto"/>
          <w:highlight w:val="none"/>
        </w:rPr>
      </w:pPr>
      <w:bookmarkStart w:id="1134" w:name="17._不可抗力_"/>
      <w:bookmarkEnd w:id="1134"/>
      <w:r>
        <w:rPr>
          <w:rFonts w:hint="eastAsia" w:ascii="宋体" w:hAnsi="宋体" w:cs="宋体"/>
          <w:b/>
          <w:bCs/>
          <w:color w:val="auto"/>
          <w:highlight w:val="none"/>
        </w:rPr>
        <w:t>17.  不可抗力</w:t>
      </w:r>
    </w:p>
    <w:p w14:paraId="04134186">
      <w:pPr>
        <w:pStyle w:val="331"/>
        <w:widowControl/>
        <w:tabs>
          <w:tab w:val="left" w:pos="1100"/>
        </w:tabs>
        <w:spacing w:line="400" w:lineRule="exact"/>
        <w:ind w:firstLine="422"/>
        <w:jc w:val="left"/>
        <w:rPr>
          <w:rFonts w:ascii="宋体" w:hAnsi="宋体" w:cs="宋体"/>
          <w:b/>
          <w:bCs/>
          <w:color w:val="auto"/>
          <w:highlight w:val="none"/>
        </w:rPr>
      </w:pPr>
      <w:bookmarkStart w:id="1135" w:name="17.1_不可抗力的确认"/>
      <w:bookmarkEnd w:id="1135"/>
      <w:r>
        <w:rPr>
          <w:rFonts w:hint="eastAsia" w:ascii="宋体" w:hAnsi="宋体" w:cs="宋体"/>
          <w:b/>
          <w:bCs/>
          <w:color w:val="auto"/>
          <w:highlight w:val="none"/>
        </w:rPr>
        <w:t>17.1  不可抗力的确认</w:t>
      </w:r>
    </w:p>
    <w:p w14:paraId="71C56813">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除通用合同条款约定的不可抗力事件之外，视为不可抗力的其他情形：</w:t>
      </w:r>
      <w:r>
        <w:rPr>
          <w:rFonts w:hint="eastAsia" w:ascii="宋体" w:hAnsi="宋体" w:cs="宋体"/>
          <w:color w:val="auto"/>
          <w:kern w:val="2"/>
          <w:sz w:val="21"/>
          <w:szCs w:val="21"/>
          <w:highlight w:val="none"/>
          <w:u w:val="single"/>
          <w:lang w:bidi="ar"/>
        </w:rPr>
        <w:t>不可抗力包括（1）恐怖主义、动乱、空中飞行整体坠落；（2）非发包人、承包人责任造成的爆炸、停工、火灾；（3）当地气象部门规定的情形；（4）当地地震部门规定的情形；（5）当地卫生部门规定的情形 ；（6）当地政府相关部门提供的对不可抗力的证明材料。</w:t>
      </w:r>
    </w:p>
    <w:p w14:paraId="3D369C29">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17.4 因不可抗力解除合同</w:t>
      </w:r>
    </w:p>
    <w:p w14:paraId="7311A317">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合同解除后，发包人应在商定或确定发包人应支付款项后</w:t>
      </w:r>
      <w:r>
        <w:rPr>
          <w:rFonts w:hint="eastAsia" w:ascii="宋体" w:hAnsi="宋体" w:cs="宋体"/>
          <w:color w:val="auto"/>
          <w:kern w:val="2"/>
          <w:sz w:val="21"/>
          <w:szCs w:val="21"/>
          <w:highlight w:val="none"/>
          <w:u w:val="single"/>
          <w:lang w:bidi="ar"/>
        </w:rPr>
        <w:t xml:space="preserve"> 28</w:t>
      </w:r>
      <w:r>
        <w:rPr>
          <w:rFonts w:hint="eastAsia" w:ascii="宋体" w:hAnsi="宋体" w:cs="宋体"/>
          <w:color w:val="auto"/>
          <w:kern w:val="2"/>
          <w:sz w:val="21"/>
          <w:szCs w:val="21"/>
          <w:highlight w:val="none"/>
          <w:lang w:bidi="ar"/>
        </w:rPr>
        <w:t xml:space="preserve"> 个工作日内完成款项的支付。</w:t>
      </w:r>
    </w:p>
    <w:p w14:paraId="06AA8D2A">
      <w:pPr>
        <w:pStyle w:val="331"/>
        <w:widowControl/>
        <w:tabs>
          <w:tab w:val="left" w:pos="1100"/>
        </w:tabs>
        <w:spacing w:line="400" w:lineRule="exact"/>
        <w:ind w:firstLine="422"/>
        <w:jc w:val="left"/>
        <w:rPr>
          <w:rFonts w:ascii="宋体" w:hAnsi="宋体" w:cs="宋体"/>
          <w:b/>
          <w:bCs/>
          <w:color w:val="auto"/>
          <w:highlight w:val="none"/>
        </w:rPr>
      </w:pPr>
      <w:bookmarkStart w:id="1136" w:name="18._保险"/>
      <w:bookmarkEnd w:id="1136"/>
      <w:r>
        <w:rPr>
          <w:rFonts w:hint="eastAsia" w:ascii="宋体" w:hAnsi="宋体" w:cs="宋体"/>
          <w:b/>
          <w:bCs/>
          <w:color w:val="auto"/>
          <w:highlight w:val="none"/>
        </w:rPr>
        <w:t>18.  保险</w:t>
      </w:r>
    </w:p>
    <w:p w14:paraId="57F635A2">
      <w:pPr>
        <w:pStyle w:val="331"/>
        <w:widowControl/>
        <w:tabs>
          <w:tab w:val="left" w:pos="1100"/>
        </w:tabs>
        <w:spacing w:line="400" w:lineRule="exact"/>
        <w:ind w:firstLine="422"/>
        <w:jc w:val="left"/>
        <w:rPr>
          <w:rFonts w:ascii="宋体" w:hAnsi="宋体" w:cs="宋体"/>
          <w:b/>
          <w:bCs/>
          <w:color w:val="auto"/>
          <w:highlight w:val="none"/>
        </w:rPr>
      </w:pPr>
      <w:bookmarkStart w:id="1137" w:name="18.1_工程保险"/>
      <w:bookmarkEnd w:id="1137"/>
      <w:r>
        <w:rPr>
          <w:rFonts w:hint="eastAsia" w:ascii="宋体" w:hAnsi="宋体" w:cs="宋体"/>
          <w:b/>
          <w:bCs/>
          <w:color w:val="auto"/>
          <w:highlight w:val="none"/>
        </w:rPr>
        <w:t>18.1  工程保险</w:t>
      </w:r>
    </w:p>
    <w:p w14:paraId="1B747C98">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关于工程保险的特别约定：</w:t>
      </w:r>
      <w:r>
        <w:rPr>
          <w:rFonts w:hint="eastAsia" w:ascii="宋体" w:hAnsi="宋体" w:cs="宋体"/>
          <w:color w:val="auto"/>
          <w:kern w:val="2"/>
          <w:sz w:val="21"/>
          <w:szCs w:val="21"/>
          <w:highlight w:val="none"/>
          <w:u w:val="single"/>
          <w:lang w:bidi="ar"/>
        </w:rPr>
        <w:t>承包人应投保建筑工程一切险并承担与之相关的所有费用</w:t>
      </w:r>
      <w:r>
        <w:rPr>
          <w:rFonts w:hint="eastAsia" w:ascii="宋体" w:hAnsi="宋体" w:cs="宋体"/>
          <w:color w:val="auto"/>
          <w:kern w:val="2"/>
          <w:sz w:val="21"/>
          <w:szCs w:val="21"/>
          <w:highlight w:val="none"/>
          <w:lang w:bidi="ar"/>
        </w:rPr>
        <w:t>。</w:t>
      </w:r>
    </w:p>
    <w:p w14:paraId="5EDC868B">
      <w:pPr>
        <w:pStyle w:val="331"/>
        <w:widowControl/>
        <w:tabs>
          <w:tab w:val="left" w:pos="1100"/>
        </w:tabs>
        <w:spacing w:line="400" w:lineRule="exact"/>
        <w:ind w:firstLine="422"/>
        <w:jc w:val="left"/>
        <w:rPr>
          <w:rFonts w:ascii="宋体" w:hAnsi="宋体" w:cs="宋体"/>
          <w:b/>
          <w:bCs/>
          <w:color w:val="auto"/>
          <w:highlight w:val="none"/>
        </w:rPr>
      </w:pPr>
      <w:bookmarkStart w:id="1138" w:name="18.3_其他保险"/>
      <w:bookmarkEnd w:id="1138"/>
      <w:r>
        <w:rPr>
          <w:rFonts w:hint="eastAsia" w:ascii="宋体" w:hAnsi="宋体" w:cs="宋体"/>
          <w:b/>
          <w:bCs/>
          <w:color w:val="auto"/>
          <w:highlight w:val="none"/>
        </w:rPr>
        <w:t>18.3  其他保险</w:t>
      </w:r>
    </w:p>
    <w:p w14:paraId="4D226C98">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关于其他保险的约定：关于其他保险的约定：</w:t>
      </w:r>
      <w:r>
        <w:rPr>
          <w:rFonts w:hint="eastAsia" w:ascii="宋体" w:hAnsi="宋体" w:cs="宋体"/>
          <w:color w:val="auto"/>
          <w:kern w:val="2"/>
          <w:sz w:val="21"/>
          <w:szCs w:val="21"/>
          <w:highlight w:val="none"/>
          <w:u w:val="single"/>
          <w:lang w:bidi="ar"/>
        </w:rPr>
        <w:t>承包人按</w:t>
      </w:r>
      <w:r>
        <w:rPr>
          <w:rFonts w:hint="eastAsia" w:ascii="宋体" w:hAnsi="宋体" w:cs="宋体"/>
          <w:color w:val="auto"/>
          <w:sz w:val="21"/>
          <w:szCs w:val="21"/>
          <w:highlight w:val="none"/>
          <w:u w:val="single"/>
          <w:lang w:bidi="ar"/>
        </w:rPr>
        <w:t>承包人根据市建协字【2009】3号文须缴纳建筑工伤保险费（意外伤害险）及</w:t>
      </w:r>
      <w:r>
        <w:rPr>
          <w:rFonts w:hint="eastAsia" w:ascii="宋体" w:hAnsi="宋体" w:cs="宋体"/>
          <w:color w:val="auto"/>
          <w:kern w:val="2"/>
          <w:sz w:val="21"/>
          <w:szCs w:val="21"/>
          <w:highlight w:val="none"/>
          <w:u w:val="single"/>
          <w:lang w:bidi="ar"/>
        </w:rPr>
        <w:t xml:space="preserve">广西壮族自治区、桂林市相关规定缴纳建筑意外伤害保险费，按《自治区住房城乡建设厅关于印发广西壮族自治区房屋建筑和市政基础设施工程安全生产责任保险计价规定的通知》（〔2023〕6号）规定投保安全生产责任保险 </w:t>
      </w:r>
      <w:r>
        <w:rPr>
          <w:rFonts w:hint="eastAsia" w:ascii="宋体" w:hAnsi="宋体" w:cs="宋体"/>
          <w:color w:val="auto"/>
          <w:kern w:val="2"/>
          <w:sz w:val="21"/>
          <w:szCs w:val="21"/>
          <w:highlight w:val="none"/>
          <w:lang w:bidi="ar"/>
        </w:rPr>
        <w:t>。</w:t>
      </w:r>
    </w:p>
    <w:p w14:paraId="3CACE4DA">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承包人是否应为其施工设备等办理财产保险：</w:t>
      </w:r>
      <w:r>
        <w:rPr>
          <w:rFonts w:hint="eastAsia" w:ascii="宋体" w:hAnsi="宋体" w:cs="宋体"/>
          <w:color w:val="auto"/>
          <w:kern w:val="2"/>
          <w:sz w:val="21"/>
          <w:szCs w:val="21"/>
          <w:highlight w:val="none"/>
          <w:u w:val="single"/>
          <w:lang w:bidi="ar"/>
        </w:rPr>
        <w:t>同通用条款</w:t>
      </w:r>
      <w:r>
        <w:rPr>
          <w:rFonts w:hint="eastAsia" w:ascii="宋体" w:hAnsi="宋体" w:cs="宋体"/>
          <w:color w:val="auto"/>
          <w:kern w:val="2"/>
          <w:sz w:val="21"/>
          <w:szCs w:val="21"/>
          <w:highlight w:val="none"/>
          <w:lang w:bidi="ar"/>
        </w:rPr>
        <w:t>。</w:t>
      </w:r>
    </w:p>
    <w:p w14:paraId="4FD44CAC">
      <w:pPr>
        <w:pStyle w:val="331"/>
        <w:widowControl/>
        <w:tabs>
          <w:tab w:val="left" w:pos="1100"/>
        </w:tabs>
        <w:spacing w:line="400" w:lineRule="exact"/>
        <w:ind w:firstLine="422"/>
        <w:jc w:val="left"/>
        <w:rPr>
          <w:rFonts w:ascii="宋体" w:hAnsi="宋体" w:cs="宋体"/>
          <w:b/>
          <w:bCs/>
          <w:color w:val="auto"/>
          <w:highlight w:val="none"/>
        </w:rPr>
      </w:pPr>
      <w:bookmarkStart w:id="1139" w:name="18.7_通知义务"/>
      <w:bookmarkEnd w:id="1139"/>
      <w:r>
        <w:rPr>
          <w:rFonts w:hint="eastAsia" w:ascii="宋体" w:hAnsi="宋体" w:cs="宋体"/>
          <w:b/>
          <w:bCs/>
          <w:color w:val="auto"/>
          <w:highlight w:val="none"/>
        </w:rPr>
        <w:t>18.7 通知义务</w:t>
      </w:r>
    </w:p>
    <w:p w14:paraId="1E8E3548">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关于变更保险合同时的通知义务的约定：</w:t>
      </w:r>
      <w:r>
        <w:rPr>
          <w:rFonts w:hint="eastAsia" w:ascii="宋体" w:hAnsi="宋体" w:cs="宋体"/>
          <w:color w:val="auto"/>
          <w:kern w:val="2"/>
          <w:sz w:val="21"/>
          <w:szCs w:val="21"/>
          <w:highlight w:val="none"/>
          <w:u w:val="single"/>
          <w:lang w:bidi="ar"/>
        </w:rPr>
        <w:t>同通用条款</w:t>
      </w:r>
      <w:r>
        <w:rPr>
          <w:rFonts w:hint="eastAsia" w:ascii="宋体" w:hAnsi="宋体" w:cs="宋体"/>
          <w:color w:val="auto"/>
          <w:kern w:val="2"/>
          <w:sz w:val="21"/>
          <w:szCs w:val="21"/>
          <w:highlight w:val="none"/>
          <w:lang w:bidi="ar"/>
        </w:rPr>
        <w:t>。</w:t>
      </w:r>
    </w:p>
    <w:p w14:paraId="509ED9FB">
      <w:pPr>
        <w:pStyle w:val="331"/>
        <w:widowControl/>
        <w:tabs>
          <w:tab w:val="left" w:pos="1100"/>
        </w:tabs>
        <w:spacing w:line="400" w:lineRule="exact"/>
        <w:ind w:firstLine="422"/>
        <w:jc w:val="left"/>
        <w:rPr>
          <w:rFonts w:ascii="宋体" w:hAnsi="宋体" w:cs="宋体"/>
          <w:b/>
          <w:bCs/>
          <w:color w:val="auto"/>
          <w:highlight w:val="none"/>
        </w:rPr>
      </w:pPr>
      <w:bookmarkStart w:id="1140" w:name="20._争议解决"/>
      <w:bookmarkEnd w:id="1140"/>
      <w:r>
        <w:rPr>
          <w:rFonts w:hint="eastAsia" w:ascii="宋体" w:hAnsi="宋体" w:cs="宋体"/>
          <w:b/>
          <w:bCs/>
          <w:color w:val="auto"/>
          <w:highlight w:val="none"/>
        </w:rPr>
        <w:t>20. 争议解决</w:t>
      </w:r>
    </w:p>
    <w:p w14:paraId="791D4F51">
      <w:pPr>
        <w:pStyle w:val="331"/>
        <w:widowControl/>
        <w:tabs>
          <w:tab w:val="left" w:pos="1100"/>
        </w:tabs>
        <w:spacing w:line="400" w:lineRule="exact"/>
        <w:ind w:firstLine="422"/>
        <w:jc w:val="left"/>
        <w:rPr>
          <w:rFonts w:ascii="宋体" w:hAnsi="宋体" w:cs="宋体"/>
          <w:b/>
          <w:bCs/>
          <w:color w:val="auto"/>
          <w:highlight w:val="none"/>
        </w:rPr>
      </w:pPr>
      <w:bookmarkStart w:id="1141" w:name="20.3_争议评审"/>
      <w:bookmarkEnd w:id="1141"/>
      <w:r>
        <w:rPr>
          <w:rFonts w:hint="eastAsia" w:ascii="宋体" w:hAnsi="宋体" w:cs="宋体"/>
          <w:b/>
          <w:bCs/>
          <w:color w:val="auto"/>
          <w:highlight w:val="none"/>
        </w:rPr>
        <w:t>20.3  争议评审</w:t>
      </w:r>
    </w:p>
    <w:p w14:paraId="7478CE29">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合同当事人是否同意将工程争议提交争议评审小组决定：</w:t>
      </w:r>
      <w:r>
        <w:rPr>
          <w:rFonts w:hint="eastAsia" w:ascii="宋体" w:hAnsi="宋体" w:cs="宋体"/>
          <w:color w:val="auto"/>
          <w:kern w:val="2"/>
          <w:sz w:val="21"/>
          <w:szCs w:val="21"/>
          <w:highlight w:val="none"/>
          <w:u w:val="single"/>
          <w:lang w:bidi="ar"/>
        </w:rPr>
        <w:t>不同意</w:t>
      </w:r>
      <w:r>
        <w:rPr>
          <w:rFonts w:hint="eastAsia" w:ascii="宋体" w:hAnsi="宋体" w:cs="宋体"/>
          <w:color w:val="auto"/>
          <w:kern w:val="2"/>
          <w:sz w:val="21"/>
          <w:szCs w:val="21"/>
          <w:highlight w:val="none"/>
          <w:lang w:bidi="ar"/>
        </w:rPr>
        <w:t>。</w:t>
      </w:r>
    </w:p>
    <w:p w14:paraId="5989DEEC">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20.3.1 争议评审小组的确定</w:t>
      </w:r>
    </w:p>
    <w:p w14:paraId="1939F075">
      <w:pPr>
        <w:pStyle w:val="42"/>
        <w:tabs>
          <w:tab w:val="left" w:pos="3720"/>
          <w:tab w:val="left" w:pos="4245"/>
          <w:tab w:val="left" w:pos="4876"/>
        </w:tabs>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争议评审小组成员的确定：</w:t>
      </w:r>
      <w:r>
        <w:rPr>
          <w:rFonts w:hint="eastAsia" w:ascii="宋体" w:hAnsi="宋体" w:cs="宋体"/>
          <w:color w:val="auto"/>
          <w:kern w:val="2"/>
          <w:sz w:val="21"/>
          <w:szCs w:val="21"/>
          <w:highlight w:val="none"/>
          <w:u w:val="single"/>
          <w:lang w:bidi="ar"/>
        </w:rPr>
        <w:t xml:space="preserve">      </w:t>
      </w:r>
      <w:r>
        <w:rPr>
          <w:rFonts w:hint="eastAsia" w:ascii="宋体" w:hAnsi="宋体" w:cs="宋体"/>
          <w:color w:val="auto"/>
          <w:kern w:val="2"/>
          <w:sz w:val="21"/>
          <w:szCs w:val="21"/>
          <w:highlight w:val="none"/>
          <w:u w:val="single"/>
          <w:lang w:bidi="ar"/>
        </w:rPr>
        <w:tab/>
      </w:r>
      <w:r>
        <w:rPr>
          <w:rFonts w:hint="eastAsia" w:ascii="宋体" w:hAnsi="宋体" w:cs="宋体"/>
          <w:color w:val="auto"/>
          <w:kern w:val="2"/>
          <w:sz w:val="21"/>
          <w:szCs w:val="21"/>
          <w:highlight w:val="none"/>
          <w:lang w:bidi="ar"/>
        </w:rPr>
        <w:t>。</w:t>
      </w:r>
    </w:p>
    <w:p w14:paraId="5ECA817C">
      <w:pPr>
        <w:pStyle w:val="42"/>
        <w:tabs>
          <w:tab w:val="left" w:pos="3720"/>
          <w:tab w:val="left" w:pos="4245"/>
          <w:tab w:val="left" w:pos="4876"/>
        </w:tabs>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选定争议评审员的期限：</w:t>
      </w:r>
      <w:r>
        <w:rPr>
          <w:rFonts w:hint="eastAsia" w:ascii="宋体" w:hAnsi="宋体" w:cs="宋体"/>
          <w:color w:val="auto"/>
          <w:kern w:val="2"/>
          <w:sz w:val="21"/>
          <w:szCs w:val="21"/>
          <w:highlight w:val="none"/>
          <w:u w:val="single"/>
          <w:lang w:bidi="ar"/>
        </w:rPr>
        <w:t xml:space="preserve"> </w:t>
      </w:r>
      <w:r>
        <w:rPr>
          <w:rFonts w:hint="eastAsia" w:ascii="宋体" w:hAnsi="宋体" w:cs="宋体"/>
          <w:color w:val="auto"/>
          <w:kern w:val="2"/>
          <w:sz w:val="21"/>
          <w:szCs w:val="21"/>
          <w:highlight w:val="none"/>
          <w:u w:val="single"/>
          <w:lang w:bidi="ar"/>
        </w:rPr>
        <w:tab/>
      </w:r>
      <w:r>
        <w:rPr>
          <w:rFonts w:hint="eastAsia" w:ascii="宋体" w:hAnsi="宋体" w:cs="宋体"/>
          <w:color w:val="auto"/>
          <w:kern w:val="2"/>
          <w:sz w:val="21"/>
          <w:szCs w:val="21"/>
          <w:highlight w:val="none"/>
          <w:u w:val="single"/>
          <w:lang w:bidi="ar"/>
        </w:rPr>
        <w:t>/</w:t>
      </w:r>
      <w:r>
        <w:rPr>
          <w:rFonts w:hint="eastAsia" w:ascii="宋体" w:hAnsi="宋体" w:cs="宋体"/>
          <w:color w:val="auto"/>
          <w:kern w:val="2"/>
          <w:sz w:val="21"/>
          <w:szCs w:val="21"/>
          <w:highlight w:val="none"/>
          <w:u w:val="single"/>
          <w:lang w:bidi="ar"/>
        </w:rPr>
        <w:tab/>
      </w:r>
      <w:r>
        <w:rPr>
          <w:rFonts w:hint="eastAsia" w:ascii="宋体" w:hAnsi="宋体" w:cs="宋体"/>
          <w:color w:val="auto"/>
          <w:kern w:val="2"/>
          <w:sz w:val="21"/>
          <w:szCs w:val="21"/>
          <w:highlight w:val="none"/>
          <w:lang w:bidi="ar"/>
        </w:rPr>
        <w:t>。</w:t>
      </w:r>
    </w:p>
    <w:p w14:paraId="19D648BE">
      <w:pPr>
        <w:pStyle w:val="42"/>
        <w:tabs>
          <w:tab w:val="left" w:pos="3405"/>
          <w:tab w:val="left" w:pos="4877"/>
          <w:tab w:val="left" w:pos="5191"/>
        </w:tabs>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争议评审小组成员的报酬承担方式：</w:t>
      </w:r>
      <w:r>
        <w:rPr>
          <w:rFonts w:hint="eastAsia" w:ascii="宋体" w:hAnsi="宋体" w:cs="宋体"/>
          <w:color w:val="auto"/>
          <w:kern w:val="2"/>
          <w:sz w:val="21"/>
          <w:szCs w:val="21"/>
          <w:highlight w:val="none"/>
          <w:u w:val="single"/>
          <w:lang w:bidi="ar"/>
        </w:rPr>
        <w:t xml:space="preserve">    /</w:t>
      </w:r>
      <w:r>
        <w:rPr>
          <w:rFonts w:hint="eastAsia" w:ascii="宋体" w:hAnsi="宋体" w:cs="宋体"/>
          <w:color w:val="auto"/>
          <w:kern w:val="2"/>
          <w:sz w:val="21"/>
          <w:szCs w:val="21"/>
          <w:highlight w:val="none"/>
          <w:u w:val="single"/>
          <w:lang w:bidi="ar"/>
        </w:rPr>
        <w:tab/>
      </w:r>
      <w:r>
        <w:rPr>
          <w:rFonts w:hint="eastAsia" w:ascii="宋体" w:hAnsi="宋体" w:cs="宋体"/>
          <w:color w:val="auto"/>
          <w:kern w:val="2"/>
          <w:sz w:val="21"/>
          <w:szCs w:val="21"/>
          <w:highlight w:val="none"/>
          <w:lang w:bidi="ar"/>
        </w:rPr>
        <w:t>。</w:t>
      </w:r>
    </w:p>
    <w:p w14:paraId="4CB15A91">
      <w:pPr>
        <w:pStyle w:val="42"/>
        <w:tabs>
          <w:tab w:val="left" w:pos="3405"/>
          <w:tab w:val="left" w:pos="4877"/>
          <w:tab w:val="left" w:pos="5191"/>
        </w:tabs>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其他事项的约定：</w:t>
      </w:r>
      <w:r>
        <w:rPr>
          <w:rFonts w:hint="eastAsia" w:ascii="宋体" w:hAnsi="宋体" w:cs="宋体"/>
          <w:color w:val="auto"/>
          <w:kern w:val="2"/>
          <w:sz w:val="21"/>
          <w:szCs w:val="21"/>
          <w:highlight w:val="none"/>
          <w:u w:val="single"/>
          <w:lang w:bidi="ar"/>
        </w:rPr>
        <w:t xml:space="preserve">     </w:t>
      </w:r>
      <w:r>
        <w:rPr>
          <w:rFonts w:hint="eastAsia" w:ascii="宋体" w:hAnsi="宋体" w:cs="宋体"/>
          <w:color w:val="auto"/>
          <w:kern w:val="2"/>
          <w:sz w:val="21"/>
          <w:szCs w:val="21"/>
          <w:highlight w:val="none"/>
          <w:u w:val="single"/>
          <w:lang w:bidi="ar"/>
        </w:rPr>
        <w:tab/>
      </w:r>
      <w:r>
        <w:rPr>
          <w:rFonts w:hint="eastAsia" w:ascii="宋体" w:hAnsi="宋体" w:cs="宋体"/>
          <w:color w:val="auto"/>
          <w:kern w:val="2"/>
          <w:sz w:val="21"/>
          <w:szCs w:val="21"/>
          <w:highlight w:val="none"/>
          <w:lang w:bidi="ar"/>
        </w:rPr>
        <w:t>。</w:t>
      </w:r>
    </w:p>
    <w:p w14:paraId="4AEC59B2">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20.3.2 争议评审小组的决定</w:t>
      </w:r>
    </w:p>
    <w:p w14:paraId="6839E684">
      <w:pPr>
        <w:pStyle w:val="42"/>
        <w:tabs>
          <w:tab w:val="left" w:pos="4245"/>
        </w:tabs>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合同当事人关于本项的约定：</w:t>
      </w:r>
      <w:r>
        <w:rPr>
          <w:rFonts w:hint="eastAsia" w:ascii="宋体" w:hAnsi="宋体" w:cs="宋体"/>
          <w:color w:val="auto"/>
          <w:kern w:val="2"/>
          <w:sz w:val="21"/>
          <w:szCs w:val="21"/>
          <w:highlight w:val="none"/>
          <w:u w:val="single"/>
          <w:lang w:bidi="ar"/>
        </w:rPr>
        <w:t xml:space="preserve">    /  </w:t>
      </w:r>
      <w:r>
        <w:rPr>
          <w:rFonts w:hint="eastAsia" w:ascii="宋体" w:hAnsi="宋体" w:cs="宋体"/>
          <w:color w:val="auto"/>
          <w:kern w:val="2"/>
          <w:sz w:val="21"/>
          <w:szCs w:val="21"/>
          <w:highlight w:val="none"/>
          <w:lang w:bidi="ar"/>
        </w:rPr>
        <w:t>。</w:t>
      </w:r>
    </w:p>
    <w:p w14:paraId="104D4287">
      <w:pPr>
        <w:pStyle w:val="331"/>
        <w:widowControl/>
        <w:tabs>
          <w:tab w:val="left" w:pos="1100"/>
        </w:tabs>
        <w:spacing w:line="400" w:lineRule="exact"/>
        <w:ind w:firstLine="422"/>
        <w:jc w:val="left"/>
        <w:rPr>
          <w:rFonts w:ascii="宋体" w:hAnsi="宋体" w:cs="宋体"/>
          <w:b/>
          <w:bCs/>
          <w:color w:val="auto"/>
          <w:highlight w:val="none"/>
        </w:rPr>
      </w:pPr>
      <w:bookmarkStart w:id="1142" w:name="20.4仲裁或诉讼"/>
      <w:bookmarkEnd w:id="1142"/>
      <w:r>
        <w:rPr>
          <w:rFonts w:hint="eastAsia" w:ascii="宋体" w:hAnsi="宋体" w:cs="宋体"/>
          <w:b/>
          <w:bCs/>
          <w:color w:val="auto"/>
          <w:highlight w:val="none"/>
        </w:rPr>
        <w:t>20.4  仲裁或诉讼</w:t>
      </w:r>
    </w:p>
    <w:p w14:paraId="7EFDF015">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因合同及合同有关事项发生的争议，按下列第</w:t>
      </w:r>
      <w:r>
        <w:rPr>
          <w:rFonts w:hint="eastAsia" w:ascii="宋体" w:hAnsi="宋体" w:cs="宋体"/>
          <w:color w:val="auto"/>
          <w:kern w:val="2"/>
          <w:sz w:val="21"/>
          <w:szCs w:val="21"/>
          <w:highlight w:val="none"/>
          <w:u w:val="single"/>
          <w:lang w:bidi="ar"/>
        </w:rPr>
        <w:t>（2）</w:t>
      </w:r>
      <w:r>
        <w:rPr>
          <w:rFonts w:hint="eastAsia" w:ascii="宋体" w:hAnsi="宋体" w:cs="宋体"/>
          <w:color w:val="auto"/>
          <w:kern w:val="2"/>
          <w:sz w:val="21"/>
          <w:szCs w:val="21"/>
          <w:highlight w:val="none"/>
          <w:lang w:bidi="ar"/>
        </w:rPr>
        <w:t>种方式解决：</w:t>
      </w:r>
    </w:p>
    <w:p w14:paraId="6EF05AEC">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（1）向</w:t>
      </w:r>
      <w:r>
        <w:rPr>
          <w:rFonts w:hint="eastAsia" w:ascii="宋体" w:hAnsi="宋体" w:cs="宋体"/>
          <w:color w:val="auto"/>
          <w:kern w:val="2"/>
          <w:sz w:val="21"/>
          <w:szCs w:val="21"/>
          <w:highlight w:val="none"/>
          <w:u w:val="single"/>
          <w:lang w:bidi="ar"/>
        </w:rPr>
        <w:t xml:space="preserve">    </w:t>
      </w:r>
      <w:r>
        <w:rPr>
          <w:rFonts w:hint="eastAsia" w:ascii="宋体" w:hAnsi="宋体" w:cs="宋体"/>
          <w:color w:val="auto"/>
          <w:kern w:val="2"/>
          <w:sz w:val="21"/>
          <w:szCs w:val="21"/>
          <w:highlight w:val="none"/>
          <w:lang w:bidi="ar"/>
        </w:rPr>
        <w:t xml:space="preserve"> 仲裁委员会申请仲裁；</w:t>
      </w:r>
    </w:p>
    <w:p w14:paraId="15DD1556">
      <w:pPr>
        <w:tabs>
          <w:tab w:val="left" w:pos="995"/>
        </w:tabs>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（2）向</w:t>
      </w:r>
      <w:r>
        <w:rPr>
          <w:rFonts w:hint="eastAsia" w:ascii="宋体" w:hAnsi="宋体" w:cs="宋体"/>
          <w:color w:val="auto"/>
          <w:szCs w:val="21"/>
          <w:highlight w:val="none"/>
          <w:u w:val="single"/>
          <w:lang w:bidi="ar"/>
        </w:rPr>
        <w:t>工程所在地</w:t>
      </w:r>
      <w:r>
        <w:rPr>
          <w:rFonts w:hint="eastAsia" w:ascii="宋体" w:hAnsi="宋体" w:cs="宋体"/>
          <w:color w:val="auto"/>
          <w:szCs w:val="21"/>
          <w:highlight w:val="none"/>
          <w:lang w:bidi="ar"/>
        </w:rPr>
        <w:t>人民法院起诉。</w:t>
      </w:r>
      <w:bookmarkStart w:id="1143" w:name="21_补充条款"/>
      <w:bookmarkEnd w:id="1143"/>
    </w:p>
    <w:p w14:paraId="5D88329F">
      <w:pPr>
        <w:pStyle w:val="331"/>
        <w:widowControl/>
        <w:tabs>
          <w:tab w:val="left" w:pos="1100"/>
        </w:tabs>
        <w:spacing w:line="400" w:lineRule="exact"/>
        <w:ind w:firstLine="422"/>
        <w:jc w:val="left"/>
        <w:rPr>
          <w:rFonts w:ascii="宋体" w:hAnsi="宋体" w:cs="宋体"/>
          <w:b/>
          <w:bCs/>
          <w:color w:val="auto"/>
          <w:highlight w:val="none"/>
        </w:rPr>
      </w:pPr>
      <w:r>
        <w:rPr>
          <w:rFonts w:hint="eastAsia" w:ascii="宋体" w:hAnsi="宋体" w:cs="宋体"/>
          <w:b/>
          <w:bCs/>
          <w:color w:val="auto"/>
          <w:highlight w:val="none"/>
        </w:rPr>
        <w:t>21.  补充条款</w:t>
      </w:r>
    </w:p>
    <w:p w14:paraId="4D0AE84F">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21.1.1按广西壮族自治区人力资源和社会保障厅等8部门《关于印发广西壮族自治区工程建设领域农民工工资专用</w:t>
      </w:r>
      <w:r>
        <w:rPr>
          <w:rFonts w:hint="eastAsia" w:ascii="宋体" w:hAnsi="宋体" w:cs="宋体"/>
          <w:color w:val="auto"/>
          <w:kern w:val="2"/>
          <w:sz w:val="21"/>
          <w:szCs w:val="21"/>
          <w:highlight w:val="none"/>
          <w:lang w:eastAsia="zh-CN" w:bidi="ar"/>
        </w:rPr>
        <w:t>账户</w:t>
      </w:r>
      <w:r>
        <w:rPr>
          <w:rFonts w:hint="eastAsia" w:ascii="宋体" w:hAnsi="宋体" w:cs="宋体"/>
          <w:color w:val="auto"/>
          <w:kern w:val="2"/>
          <w:sz w:val="21"/>
          <w:szCs w:val="21"/>
          <w:highlight w:val="none"/>
          <w:lang w:bidi="ar"/>
        </w:rPr>
        <w:t>管理暂行办法实施细则的通知》(桂人社规[2022]5号)执行，承包人在</w:t>
      </w:r>
      <w:r>
        <w:rPr>
          <w:rFonts w:hint="eastAsia" w:ascii="宋体" w:hAnsi="宋体" w:cs="宋体"/>
          <w:color w:val="auto"/>
          <w:kern w:val="2"/>
          <w:sz w:val="21"/>
          <w:szCs w:val="21"/>
          <w:highlight w:val="none"/>
          <w:lang w:eastAsia="zh-CN" w:bidi="ar"/>
        </w:rPr>
        <w:t>合同</w:t>
      </w:r>
      <w:r>
        <w:rPr>
          <w:rFonts w:hint="eastAsia" w:ascii="宋体" w:hAnsi="宋体" w:cs="宋体"/>
          <w:color w:val="auto"/>
          <w:kern w:val="2"/>
          <w:sz w:val="21"/>
          <w:szCs w:val="21"/>
          <w:highlight w:val="none"/>
          <w:lang w:bidi="ar"/>
        </w:rPr>
        <w:t>签订之日起30日内，自主选择在自治区行政区域内依法设立或设有分支机构的银行开立专用账户。办理得施工许可证后，按照《关于印发广西壮族自治区工程建设领域农民工工资保证金规定实施办法的通知》桂人社规[2021]16号)缴存保证金，也可以使用银行保函。工程竣工验收结算经审定后，按照规定程序，将农民工工资保证金没有使用或剩余的金额退还给承包人。</w:t>
      </w:r>
    </w:p>
    <w:p w14:paraId="367F03C7">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21.1.2发包人支付工程款后，承包人应将工程款优先用于支付农民工工资。承包人应每月按时足额支付农民工工资，将农民工的名单和劳动合同报发包人备案，发包人每季度检查农民工工资的发放情况和台账资料(台账资料包括但不限于无欠薪承诺书、农民工工资专户、农民工工资支付保证金、工伤保险、劳动合同、考勤表、工资表、工资代发委托书、农民工工资发放凭证等)，承包人不能按要求及时提供台账资料或提供虚假台账资料的，发包人有权处违约金1万元/次(人民币)；如若出现拖欠农民工工资、聚众闹事、上访等事件之一，视为承包人违约，发包人有权处违约金，每发生一次扣最终结算价的0.1％。</w:t>
      </w:r>
    </w:p>
    <w:p w14:paraId="41C0C468">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21.1.3发包人按合同支付工程进度款后，因承包人原因造成有材料商到发包方单位或其他相关部门反映的现象也视为违约（（只要有材料商书面投诉材料及发包方认定即可），每发生一次扣最终结算价的0.1％，发包方可从应向承包方支付的款项中扣除，如造成物品损坏，由承包人全部负责赔偿。</w:t>
      </w:r>
    </w:p>
    <w:p w14:paraId="1B3B9ED4">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21.2承包人若不按投标文件所列的施工机械设备进场施工，则在承包人履约保证金中扣罚违约金1-10万元/件（套）。进场后，施工单位的项目经理必须与投标文件中的附表项目经理简历表的人员一致，否则甲方有权终止合同。本工程必须是中标人具有本工程施工总承包资质的建筑企业独立完成，不得转包。如一经发现转包，甲方有权终止合同，另行选择施工队伍，原施工队伍无条件退出现场，并承担由此引起的一切责任。</w:t>
      </w:r>
    </w:p>
    <w:p w14:paraId="5948E4B6">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21.3如因政策性原因导致开工延误或无法开工，发包方不支付赔偿或补偿，并可根据政策要求延时开工或取消合同。</w:t>
      </w:r>
    </w:p>
    <w:p w14:paraId="5C7AEEB6">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21.4承包人若不能按发包人认可的月进度计划完成施工任务，经监理工程师或发包方发出整改通知3天后无明显改进措施和效果，视为违约，发包人有权直接从履约保证金中扣除承包人1万元/天的违约金，也可要求施工方直接到学校财务处交现金，直至切实改进并有明显效果。承包人不按时提交月进度计划，视为违约，每次直接从履约保证金中扣除承包人2万元的违约金，也可要求施工方直接到学校财务处交现金，并承担工期延误的一切责任。</w:t>
      </w:r>
    </w:p>
    <w:p w14:paraId="732498BA">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21.5 结算方式：</w:t>
      </w:r>
    </w:p>
    <w:p w14:paraId="5E0404E4">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(1)工程量数量按清单计价规定计算。</w:t>
      </w:r>
    </w:p>
    <w:p w14:paraId="5B3C7944">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(2)工程施工过程中及结算时发包人将不再对任何材料(含商品混凝土、预拌砂浆)和设备的超运距进行签证，土方堆放、外弃、运距、渣土费用等承包人在投标时在相应清单项目中自行考虑，以后施工中发包人不再另行签认该费用。</w:t>
      </w:r>
    </w:p>
    <w:p w14:paraId="3A0508C2">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21.6 根据《建设工程质量检测管理办法》（建设部令第141号）以及《广西壮族自治区建设工程质量检测管理规定》（桂建管〔2013〕11号）规定，工程质量检测业务由招标人委托有相应资质的检测机构检测。费用从招标人的项目建设经费中支出并直接支付给检测机构，不计入合同价款内，但仅包含一次检测费用。若因承包方的原因，导致项目产生复检，承包人必须整改至检验合格为止，期间造成的任何费用由承包人自行承担，由发包人在结算款中直接扣除或承包人直接支付至检测机构。</w:t>
      </w:r>
    </w:p>
    <w:p w14:paraId="6E2DD942">
      <w:pPr>
        <w:pStyle w:val="42"/>
        <w:adjustRightInd w:val="0"/>
        <w:spacing w:beforeAutospacing="1" w:after="60" w:line="400" w:lineRule="exact"/>
        <w:ind w:left="63"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21.7  结算审核：承包人所编制的工程竣工资料经发包人审核后，送到有资质的造价咨询公司审核之日起，承包人所遗漏的与工程造价有关的签证不再作为结算审核依据，按自动放弃处理。本工程造价以发包人委托的有资质的造价咨询公司审定的工程造价为工程结算总造价，如为财政资金项目，则以财政或审计机关审定的工程造价为工程结算总造价。</w:t>
      </w:r>
    </w:p>
    <w:p w14:paraId="6FF4B08F">
      <w:pPr>
        <w:pStyle w:val="42"/>
        <w:adjustRightInd w:val="0"/>
        <w:spacing w:beforeAutospacing="1" w:after="60" w:line="400" w:lineRule="exact"/>
        <w:ind w:left="63"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审核费的支付：结算时工程结算总价与送审结算价对比净核增（减）额在±5%（含 5%）以内的审核费，审增额向承包人收取，审减额向发包人收取；工程结算总价与送审结算价对比净核增（减）额超过±5%以上时，所有审核费全部由承包人支付，由承包人负责的审核费在结算余款时一次性从工程款中扣除。</w:t>
      </w:r>
    </w:p>
    <w:p w14:paraId="19265A42">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21.8  承包人有以下情形之一者，视为违约，发包人有权依法解除合同，没收其全部履约保证金，承包人还应承担相应的法律责任。</w:t>
      </w:r>
    </w:p>
    <w:p w14:paraId="6F6156A3">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① 经有关建设主管部门鉴定确认，承包人有挂靠行为。</w:t>
      </w:r>
    </w:p>
    <w:p w14:paraId="0445A20E">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② 转包工程，以牟取转让费、管理费。</w:t>
      </w:r>
    </w:p>
    <w:p w14:paraId="7E66A9DB">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③ 自签订合同之日起15个日历天内，因承包人责任无法组织合同规定的人员、机械进场或进场人员机械与合同严重不符。</w:t>
      </w:r>
    </w:p>
    <w:p w14:paraId="438F2E4B">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21.9发包人按合同约定支付给承包人的各项价款应专用于合同工程。承包人承诺在施工期间必须保证资金的专项使用，不得挪作他用，并自觉接受发包人的监督。发包人仅向合同约定的承包人基本银行账户拨付工程款。</w:t>
      </w:r>
    </w:p>
    <w:p w14:paraId="66EFD746">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21.10 承包人投标时所报的材料品牌原则上不允许更换，确需更换时须经发包人认可。否则，一经发现，承包人应立即更换，所更换的产品，应再次征得发包人的书面同意，所有费用由承包人承担，由此造成的相关损失和责任全部由承包人承担。</w:t>
      </w:r>
    </w:p>
    <w:p w14:paraId="1A228514">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21.11 因承包人不能按发包方下函要求的时间提供有关资料，致使发包人不能按时办理施工许可证，或致使发包人不能组织节能、防雷、消防验收、环评验收、竣工验收及规划验收，造成发包人的经济损失和相关不良后果及危害，均由承包人承担，发包方以下函形式要求整改，如不能改进，扣除违约金，可从履约金中扣5000-50000元/天，直至达到验收合格为止。</w:t>
      </w:r>
    </w:p>
    <w:p w14:paraId="39581247">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21.12承包人必须按发包方要求的时间及时完成节能、防雷、消防等验收；积极配合消防、防雷、环保、节能、规划验收，验收过程中所需的检测费用按有关文件执行。</w:t>
      </w:r>
    </w:p>
    <w:p w14:paraId="02C2089C">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21.13基础施工时遇不良地质，需进行地基处理，则施工单位需根据地理处理设计图纸编制专项施工方案，并报发包人的监理人认可，确认的专项施工方案涉及的施工机械，施工单位需足额进场施工，否则，视为施工单位违约，造成的工期延误，发包人有权按每延误一天2万元进行违约处罚，直至地基处理完毕。因处理特殊地基所造成的工期延误，将视具体情况补偿。</w:t>
      </w:r>
    </w:p>
    <w:p w14:paraId="68D101D7">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21.14对承包人的违约罚金或扣款，发包人有权从支付其工程款中或从承包方的履约保证金中扣除。</w:t>
      </w:r>
    </w:p>
    <w:p w14:paraId="354085A7">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21.15承包人如不按投标文件或合同的承诺，投入人员及机械施工，超过10日的，招标人有权终止合同，另择施工单位。</w:t>
      </w:r>
    </w:p>
    <w:p w14:paraId="07541B68">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21.16未经监理工程师审查批准，施工期内自行调走主要施工机械，经发现不及时调回的，视为承包人违约，发包人有权处罚承包人的违约金标准为：履约保证金金额（依据的金额按中标价的8%计算）的10%-50%（视情节严重而定）。</w:t>
      </w:r>
    </w:p>
    <w:p w14:paraId="40AC200D">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21.17材料设备品牌、规格型号原则上不变更，如需变更，变更造价调整原则为：承包人在施工过程中需要使用代用材料设备或调整材料设备的生产厂家、产地、产品型号、品牌，需发包人审查并书面批准：变更后的材料设备高于原材料设备合同价的部分由承包人承担，低于原材料设备合同价的，按实际调整减少的价款从原合同价中扣减，在材料设备技术规格要求类似的前提下，若调整的品牌在招标推荐品牌中的，不予调整造价。施工过程中发包人可根据工程需要进行材料设备品牌(技术规格要求应类似)的变更，若变更的品牌在发包人推荐的品牌列表中，工程造价不予调整；若变更的品牌，不在发包人推荐的品牌列表中(或在发包人推荐的品牌列表中但技术规格要求发生变化)，材料设备价格差价调整，按照材料设备变更时两品牌(同时考虑技术规格要求)之间的信息价价差(在当期《桂林市建设工程造价信息》中能找到类似材料设备的前提下)的具体计价原则进行计算，若在当期《桂林市建设工程造价信息》中找不到类似材料设备的，按发包人市场询价价差（即不考虑投标报价，按承包方、发包方双方市场询价，减去原标底&lt;经审定未下浮的工程预算价&gt;材料设备的差价进行计算），以上差价调整均不受投标报价影响，且差价部分仅计取税金，其他取费不予调整。</w:t>
      </w:r>
    </w:p>
    <w:p w14:paraId="26566033">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21.18 承包人需无条件配合发包人分包的本项目其他工程，如：电梯工程、设备安装工程等。本工程无配合费，免费提供使用施工电梯、塔吊、脚手架等设施，如施工方拒绝配合其他施工单位，承包人每延误一日按合同价款0.4‰向发包人支付违约金。</w:t>
      </w:r>
    </w:p>
    <w:p w14:paraId="5AB55752">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21.19  工程签证</w:t>
      </w:r>
    </w:p>
    <w:p w14:paraId="79E3D9F9">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1. 工程签证程序：在施工过程中，发生的签证在实施签证工作内容2个日历天前，承包人应在提交联系函（附费用估算）。签证内容并经发包人审批签字同意，加盖公章后，承包人方可实施相应签证工作内容。</w:t>
      </w:r>
    </w:p>
    <w:p w14:paraId="352E28F5">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2. 签证工作内容完成后7天内，承包人应提交签证单及相关签证资料。相关签证资料应包括施工现场照片、现场收方单（须有发包人、监理人、承包人、第三方审计等的代表签字认可）等材料。</w:t>
      </w:r>
    </w:p>
    <w:p w14:paraId="46E61073">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3. 在实施签证工作内容前24小时，承包人应通知发包人、监理人、跟踪审计、发包人工地代表、监理人、跟踪审计现场负责人将对施工过程实施全程跟踪，认定签证事实，并对工程量或初步计量进行草签。如签证项目属于隐蔽工程或不可再复查工程，承包人又未通知发包人工地代表、监理人、跟踪审计现场负责人，造成工作内容无法核实，则按无效签证处理。发包人对签证工作内容不予认可，由此产生的后果由承包人自负承包人需对签证单的内容真实性和签证工程量的准确性负责。如签证单内容与实际施工内容不符,发包人将不予签证，并扣除相应项目的全部费用。为防止高估冒算，当填报工程量超出实际工程量在10%以上的，发包人将对承包人处以罚款，处虚报部分费用 2倍的罚款。罚款从当期进度工程款中直接扣除。承包人须重新如实填报。</w:t>
      </w:r>
    </w:p>
    <w:p w14:paraId="0311F6A1">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4. 未经发包人审批或逾期提交的联系函、签证单，按无效处理，相应工作内容发包人不予认可。结算时直接扣除相应项目的全部费用。产生的后果由承包人自负。</w:t>
      </w:r>
    </w:p>
    <w:p w14:paraId="632F32B6">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5. 工程结算时，必须要联系函、签证单及相关照片、现场收方单等材料。仅有联系函、没有签证单的项目，发包人不予认可，结算时发包人不认可该项目的全部费用，产生的后果由承包人自负。</w:t>
      </w:r>
    </w:p>
    <w:p w14:paraId="24B9611D">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6. 承包人提交工程结算书后，发包人不再补办承包人提出的任何联系函和签证单。</w:t>
      </w:r>
    </w:p>
    <w:p w14:paraId="76CF5CB7">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7.承包人在进行隐蔽工程施工时，工程资料需附有隐蔽工程施工前、施工中、施工后的影像资料。如若未提供相关影像资料，则该隐蔽工程不予以计量。</w:t>
      </w:r>
    </w:p>
    <w:p w14:paraId="0C24C7C1">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21.20本工程在合同期内发生政策性调整按相关政策执行。如施工单位延误工期，延误工期内发生的政策调整，发包方不予以执行，其风险由施工单位承担。</w:t>
      </w:r>
    </w:p>
    <w:p w14:paraId="7A0FE08C">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21.21如发包方下函给施工单位，拒绝接收函件的，视为违约，每次从履约金</w:t>
      </w:r>
      <w:r>
        <w:rPr>
          <w:rFonts w:hint="eastAsia" w:ascii="宋体" w:hAnsi="宋体" w:cs="宋体"/>
          <w:color w:val="auto"/>
          <w:szCs w:val="21"/>
          <w:highlight w:val="none"/>
          <w:lang w:eastAsia="zh-CN" w:bidi="ar"/>
        </w:rPr>
        <w:t>中</w:t>
      </w:r>
      <w:r>
        <w:rPr>
          <w:rFonts w:hint="eastAsia" w:ascii="宋体" w:hAnsi="宋体" w:cs="宋体"/>
          <w:color w:val="auto"/>
          <w:szCs w:val="21"/>
          <w:highlight w:val="none"/>
          <w:lang w:bidi="ar"/>
        </w:rPr>
        <w:t>扣除壹万元，同时只要监理签字证明情况即视为该函件已送达。</w:t>
      </w:r>
    </w:p>
    <w:p w14:paraId="4E2645DB">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21.22 发包方扣除履约金的数额不受本合同的其他条款限制，履约金不足部分可以直接从工程款中扣除或要求另行补足。</w:t>
      </w:r>
    </w:p>
    <w:p w14:paraId="2D52CB16">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21.23 所有隐蔽工程（雨水、污水、给水、热水等）掩埋前必须通知发包方检查验收合格后方可掩埋，未经发包方检查就掩埋的，发现一次罚款1万元，同时施工方必须重新开挖接受发包方的检查，由此产生的一切费用施工方负责。</w:t>
      </w:r>
    </w:p>
    <w:p w14:paraId="5C45CD61">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21.24 施工方不按工程进度组织施工，经监理、发包方两次函告后仍没有采取积极措施赶上进度的，发包方有权采取其他措施，一切责任由施工方承担。</w:t>
      </w:r>
    </w:p>
    <w:p w14:paraId="7CE4D987">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21.25本项目以发包方通知进场时间为准（办理相关施工许可），在通知进场之前产生的费用由施工方自行负责、风险自行承担。</w:t>
      </w:r>
    </w:p>
    <w:p w14:paraId="727A0155">
      <w:pPr>
        <w:pStyle w:val="42"/>
        <w:adjustRightInd w:val="0"/>
        <w:spacing w:beforeAutospacing="1" w:after="60" w:line="360" w:lineRule="atLeast"/>
        <w:ind w:left="63" w:leftChars="30" w:right="63" w:rightChars="3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 xml:space="preserve">     21.27 工程竣工验收合格后，承包人在接到发包人通知后，按照发包人规定时间，拆除所有临时设施和工程机械、转运周转材料、清理建筑垃圾等并承担相关费用，否则发包人按2000元/日收取承包人场地占用费，从工程款中直接扣除。</w:t>
      </w:r>
    </w:p>
    <w:p w14:paraId="4D920C4B">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21.28  如发现施工现场堆放或正在使用的建筑、装修、水电等材料，其品牌、品种、规格、型号与合同、清单约定的不符，或其性能参数指标不符合国家及有关规范、标准的要求，或被相关部门认定为假冒伪劣产品，承包人必须将相应材料清退出场。如不退场，发包人将在付款和结算时扣除涉及此材料的相应清单项目的全部费用，并处以双倍罚款承包人还须承担由此产生的相应后果。</w:t>
      </w:r>
    </w:p>
    <w:p w14:paraId="76EE812B">
      <w:pPr>
        <w:pStyle w:val="42"/>
        <w:adjustRightInd w:val="0"/>
        <w:spacing w:beforeAutospacing="1" w:after="60" w:line="400" w:lineRule="exac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21.29  如发现工程质量问题，承包人应及时整改并通知发包人、监理人员查验。如承包人不按要求及时整改，发包人将在付款和结算时扣除涉及未整改的相应清单项目的全部费用，承包人还须承担由此产生的相应后果。</w:t>
      </w:r>
    </w:p>
    <w:p w14:paraId="36DE4C5A">
      <w:pPr>
        <w:widowControl/>
        <w:kinsoku w:val="0"/>
        <w:autoSpaceDE w:val="0"/>
        <w:autoSpaceDN w:val="0"/>
        <w:adjustRightInd w:val="0"/>
        <w:snapToGrid w:val="0"/>
        <w:spacing w:before="2" w:line="352" w:lineRule="auto"/>
        <w:ind w:left="22" w:right="91" w:firstLine="419"/>
        <w:jc w:val="left"/>
        <w:rPr>
          <w:rFonts w:ascii="宋体" w:hAnsi="宋体" w:cs="宋体"/>
          <w:color w:val="auto"/>
          <w:spacing w:val="-5"/>
          <w:kern w:val="0"/>
          <w:szCs w:val="21"/>
          <w:highlight w:val="none"/>
        </w:rPr>
      </w:pPr>
      <w:r>
        <w:rPr>
          <w:rFonts w:hint="eastAsia" w:ascii="宋体" w:hAnsi="宋体" w:cs="宋体"/>
          <w:color w:val="auto"/>
          <w:spacing w:val="-1"/>
          <w:kern w:val="0"/>
          <w:szCs w:val="21"/>
          <w:highlight w:val="none"/>
          <w:lang w:bidi="ar"/>
        </w:rPr>
        <w:t xml:space="preserve">21.30 </w:t>
      </w:r>
      <w:r>
        <w:rPr>
          <w:rFonts w:hint="eastAsia" w:ascii="宋体" w:hAnsi="宋体" w:cs="宋体"/>
          <w:color w:val="auto"/>
          <w:spacing w:val="-2"/>
          <w:kern w:val="0"/>
          <w:szCs w:val="21"/>
          <w:highlight w:val="none"/>
          <w:lang w:bidi="ar"/>
        </w:rPr>
        <w:t>在施工期间，</w:t>
      </w:r>
      <w:r>
        <w:rPr>
          <w:rFonts w:hint="eastAsia" w:ascii="宋体" w:hAnsi="宋体" w:cs="宋体"/>
          <w:color w:val="auto"/>
          <w:spacing w:val="-1"/>
          <w:kern w:val="0"/>
          <w:szCs w:val="21"/>
          <w:highlight w:val="none"/>
          <w:lang w:bidi="ar"/>
        </w:rPr>
        <w:t>当单项工程工程量超出合同工程量时，承包人应事先报发包人审核同</w:t>
      </w:r>
      <w:r>
        <w:rPr>
          <w:rFonts w:hint="eastAsia" w:ascii="宋体" w:hAnsi="宋体" w:cs="宋体"/>
          <w:color w:val="auto"/>
          <w:spacing w:val="-9"/>
          <w:kern w:val="0"/>
          <w:szCs w:val="21"/>
          <w:highlight w:val="none"/>
          <w:lang w:bidi="ar"/>
        </w:rPr>
        <w:t>意</w:t>
      </w:r>
      <w:r>
        <w:rPr>
          <w:rFonts w:hint="eastAsia" w:ascii="宋体" w:hAnsi="宋体" w:cs="宋体"/>
          <w:color w:val="auto"/>
          <w:spacing w:val="-5"/>
          <w:kern w:val="0"/>
          <w:szCs w:val="21"/>
          <w:highlight w:val="none"/>
          <w:lang w:bidi="ar"/>
        </w:rPr>
        <w:t>后方可继续施工，否则发包人对超出工程量不予计量。</w:t>
      </w:r>
    </w:p>
    <w:p w14:paraId="0923EABF">
      <w:pPr>
        <w:widowControl/>
        <w:kinsoku w:val="0"/>
        <w:autoSpaceDE w:val="0"/>
        <w:autoSpaceDN w:val="0"/>
        <w:adjustRightInd w:val="0"/>
        <w:snapToGrid w:val="0"/>
        <w:spacing w:before="2" w:line="352" w:lineRule="auto"/>
        <w:ind w:left="22" w:right="91" w:firstLine="419"/>
        <w:jc w:val="left"/>
        <w:rPr>
          <w:rFonts w:ascii="宋体" w:hAnsi="宋体" w:cs="宋体"/>
          <w:color w:val="auto"/>
          <w:szCs w:val="21"/>
          <w:highlight w:val="none"/>
        </w:rPr>
      </w:pPr>
      <w:r>
        <w:rPr>
          <w:rFonts w:hint="eastAsia" w:ascii="宋体" w:hAnsi="宋体" w:cs="宋体"/>
          <w:color w:val="auto"/>
          <w:spacing w:val="-2"/>
          <w:kern w:val="0"/>
          <w:szCs w:val="21"/>
          <w:highlight w:val="none"/>
          <w:lang w:bidi="ar"/>
        </w:rPr>
        <w:t>21.31发包人需</w:t>
      </w:r>
      <w:r>
        <w:rPr>
          <w:rFonts w:hint="eastAsia" w:ascii="宋体" w:hAnsi="宋体" w:cs="宋体"/>
          <w:color w:val="auto"/>
          <w:spacing w:val="-1"/>
          <w:kern w:val="0"/>
          <w:szCs w:val="21"/>
          <w:highlight w:val="none"/>
          <w:lang w:bidi="ar"/>
        </w:rPr>
        <w:t>要持散装水泥、多孔砖、砼砌块的材料发票原件到政府有关部门办理退款手</w:t>
      </w:r>
      <w:r>
        <w:rPr>
          <w:rFonts w:hint="eastAsia" w:ascii="宋体" w:hAnsi="宋体" w:cs="宋体"/>
          <w:color w:val="auto"/>
          <w:spacing w:val="2"/>
          <w:kern w:val="0"/>
          <w:szCs w:val="21"/>
          <w:highlight w:val="none"/>
          <w:lang w:bidi="ar"/>
        </w:rPr>
        <w:t>续，承包人必须</w:t>
      </w:r>
      <w:r>
        <w:rPr>
          <w:rFonts w:hint="eastAsia" w:ascii="宋体" w:hAnsi="宋体" w:cs="宋体"/>
          <w:color w:val="auto"/>
          <w:spacing w:val="1"/>
          <w:kern w:val="0"/>
          <w:szCs w:val="21"/>
          <w:highlight w:val="none"/>
          <w:lang w:bidi="ar"/>
        </w:rPr>
        <w:t>及时提供。否则，发包人有权按政府有关部门收缴标准及数额在承包人工程款</w:t>
      </w:r>
      <w:r>
        <w:rPr>
          <w:rFonts w:hint="eastAsia" w:ascii="宋体" w:hAnsi="宋体" w:cs="宋体"/>
          <w:color w:val="auto"/>
          <w:spacing w:val="-2"/>
          <w:kern w:val="0"/>
          <w:szCs w:val="21"/>
          <w:highlight w:val="none"/>
          <w:lang w:bidi="ar"/>
        </w:rPr>
        <w:t>中扣罚。</w:t>
      </w:r>
    </w:p>
    <w:p w14:paraId="41F150E4">
      <w:pPr>
        <w:widowControl/>
        <w:kinsoku w:val="0"/>
        <w:autoSpaceDE w:val="0"/>
        <w:autoSpaceDN w:val="0"/>
        <w:adjustRightInd w:val="0"/>
        <w:snapToGrid w:val="0"/>
        <w:spacing w:before="1" w:line="352" w:lineRule="auto"/>
        <w:ind w:left="20" w:right="97" w:firstLine="422"/>
        <w:jc w:val="left"/>
        <w:rPr>
          <w:rFonts w:ascii="宋体" w:hAnsi="宋体" w:cs="宋体"/>
          <w:color w:val="auto"/>
          <w:szCs w:val="21"/>
          <w:highlight w:val="none"/>
        </w:rPr>
      </w:pPr>
      <w:r>
        <w:rPr>
          <w:rFonts w:hint="eastAsia" w:ascii="宋体" w:hAnsi="宋体" w:cs="宋体"/>
          <w:color w:val="auto"/>
          <w:spacing w:val="6"/>
          <w:kern w:val="0"/>
          <w:szCs w:val="21"/>
          <w:highlight w:val="none"/>
          <w:lang w:bidi="ar"/>
        </w:rPr>
        <w:t>21.32 由于承包</w:t>
      </w:r>
      <w:r>
        <w:rPr>
          <w:rFonts w:hint="eastAsia" w:ascii="宋体" w:hAnsi="宋体" w:cs="宋体"/>
          <w:color w:val="auto"/>
          <w:spacing w:val="5"/>
          <w:kern w:val="0"/>
          <w:szCs w:val="21"/>
          <w:highlight w:val="none"/>
          <w:lang w:bidi="ar"/>
        </w:rPr>
        <w:t>人</w:t>
      </w:r>
      <w:r>
        <w:rPr>
          <w:rFonts w:hint="eastAsia" w:ascii="宋体" w:hAnsi="宋体" w:cs="宋体"/>
          <w:color w:val="auto"/>
          <w:spacing w:val="3"/>
          <w:kern w:val="0"/>
          <w:szCs w:val="21"/>
          <w:highlight w:val="none"/>
          <w:lang w:bidi="ar"/>
        </w:rPr>
        <w:t>不能按时提供属承包人应提供的文件导致发包人不能及时办理施工许可</w:t>
      </w:r>
      <w:r>
        <w:rPr>
          <w:rFonts w:hint="eastAsia" w:ascii="宋体" w:hAnsi="宋体" w:cs="宋体"/>
          <w:color w:val="auto"/>
          <w:spacing w:val="-4"/>
          <w:kern w:val="0"/>
          <w:szCs w:val="21"/>
          <w:highlight w:val="none"/>
          <w:lang w:bidi="ar"/>
        </w:rPr>
        <w:t>证，所有造成的后果由承包</w:t>
      </w:r>
      <w:r>
        <w:rPr>
          <w:rFonts w:hint="eastAsia" w:ascii="宋体" w:hAnsi="宋体" w:cs="宋体"/>
          <w:color w:val="auto"/>
          <w:spacing w:val="-3"/>
          <w:kern w:val="0"/>
          <w:szCs w:val="21"/>
          <w:highlight w:val="none"/>
          <w:lang w:bidi="ar"/>
        </w:rPr>
        <w:t>人</w:t>
      </w:r>
      <w:r>
        <w:rPr>
          <w:rFonts w:hint="eastAsia" w:ascii="宋体" w:hAnsi="宋体" w:cs="宋体"/>
          <w:color w:val="auto"/>
          <w:spacing w:val="-2"/>
          <w:kern w:val="0"/>
          <w:szCs w:val="21"/>
          <w:highlight w:val="none"/>
          <w:lang w:bidi="ar"/>
        </w:rPr>
        <w:t>承担责任。造成发包人损失的，承包人应赔偿发包人损失。</w:t>
      </w:r>
    </w:p>
    <w:p w14:paraId="61B91ACF">
      <w:pPr>
        <w:widowControl/>
        <w:kinsoku w:val="0"/>
        <w:autoSpaceDE w:val="0"/>
        <w:autoSpaceDN w:val="0"/>
        <w:adjustRightInd w:val="0"/>
        <w:snapToGrid w:val="0"/>
        <w:spacing w:before="2" w:line="352" w:lineRule="auto"/>
        <w:ind w:left="22" w:right="91" w:firstLine="419"/>
        <w:jc w:val="left"/>
        <w:rPr>
          <w:rFonts w:ascii="宋体" w:hAnsi="宋体" w:cs="宋体"/>
          <w:color w:val="auto"/>
          <w:spacing w:val="1"/>
          <w:kern w:val="0"/>
          <w:szCs w:val="21"/>
          <w:highlight w:val="none"/>
        </w:rPr>
      </w:pPr>
      <w:r>
        <w:rPr>
          <w:rFonts w:hint="eastAsia" w:ascii="宋体" w:hAnsi="宋体" w:cs="宋体"/>
          <w:color w:val="auto"/>
          <w:spacing w:val="1"/>
          <w:kern w:val="0"/>
          <w:szCs w:val="21"/>
          <w:highlight w:val="none"/>
          <w:lang w:bidi="ar"/>
        </w:rPr>
        <w:t>21.33 工地实行周报制度，周报在每周工程例会前一天报送发包人和监理。周报包括本周计划和上周完成工作、未完成情况说明(包括拟采措施、最终完成时间》等。如不按时、按要求报送，发包人有权在下期进度款时进行扣罚，第一次1000元，第二次2000元，第三次4000元，以此类推。</w:t>
      </w:r>
    </w:p>
    <w:p w14:paraId="15466B31">
      <w:pPr>
        <w:widowControl/>
        <w:kinsoku w:val="0"/>
        <w:autoSpaceDE w:val="0"/>
        <w:autoSpaceDN w:val="0"/>
        <w:adjustRightInd w:val="0"/>
        <w:snapToGrid w:val="0"/>
        <w:spacing w:before="2" w:line="352" w:lineRule="auto"/>
        <w:ind w:left="22" w:right="35" w:firstLine="419"/>
        <w:jc w:val="left"/>
        <w:rPr>
          <w:rFonts w:ascii="宋体" w:hAnsi="宋体" w:cs="宋体"/>
          <w:color w:val="auto"/>
          <w:szCs w:val="21"/>
          <w:highlight w:val="none"/>
        </w:rPr>
      </w:pPr>
      <w:r>
        <w:rPr>
          <w:rFonts w:hint="eastAsia" w:ascii="宋体" w:hAnsi="宋体" w:cs="宋体"/>
          <w:color w:val="auto"/>
          <w:spacing w:val="1"/>
          <w:kern w:val="0"/>
          <w:szCs w:val="21"/>
          <w:highlight w:val="none"/>
          <w:lang w:bidi="ar"/>
        </w:rPr>
        <w:t>21.34 如因市财政资金安排，支付不及时等原因，未经发包方同意，承包方不得擅自停工，否则</w:t>
      </w:r>
      <w:r>
        <w:rPr>
          <w:rFonts w:hint="eastAsia" w:ascii="宋体" w:hAnsi="宋体" w:cs="宋体"/>
          <w:color w:val="auto"/>
          <w:spacing w:val="-2"/>
          <w:kern w:val="0"/>
          <w:szCs w:val="21"/>
          <w:highlight w:val="none"/>
          <w:lang w:bidi="ar"/>
        </w:rPr>
        <w:t>视为承包人违约，</w:t>
      </w:r>
      <w:r>
        <w:rPr>
          <w:rFonts w:hint="eastAsia" w:ascii="宋体" w:hAnsi="宋体" w:cs="宋体"/>
          <w:color w:val="auto"/>
          <w:spacing w:val="3"/>
          <w:kern w:val="0"/>
          <w:szCs w:val="21"/>
          <w:highlight w:val="none"/>
          <w:lang w:bidi="ar"/>
        </w:rPr>
        <w:t>发包人有权处违约金，</w:t>
      </w:r>
      <w:r>
        <w:rPr>
          <w:rFonts w:hint="eastAsia" w:ascii="宋体" w:hAnsi="宋体" w:cs="宋体"/>
          <w:color w:val="auto"/>
          <w:szCs w:val="21"/>
          <w:highlight w:val="none"/>
          <w:lang w:bidi="ar"/>
        </w:rPr>
        <w:t>每发生一次扣最终结算价的0.1％。</w:t>
      </w:r>
    </w:p>
    <w:p w14:paraId="498AF12B">
      <w:pPr>
        <w:pStyle w:val="42"/>
        <w:adjustRightInd w:val="0"/>
        <w:spacing w:beforeAutospacing="1" w:after="60" w:line="360" w:lineRule="atLeast"/>
        <w:ind w:left="63" w:leftChars="30" w:right="63" w:rightChars="30" w:firstLine="420" w:firstLineChars="200"/>
        <w:jc w:val="lef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bidi="ar"/>
        </w:rPr>
        <w:t>21.35合同签订后，承包人应于15个工作日内提供办理施工许可证需要的文件资料，逾期的，每日按工程延期进行处罚。</w:t>
      </w:r>
    </w:p>
    <w:p w14:paraId="7252EB90">
      <w:pPr>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lang w:bidi="ar"/>
        </w:rPr>
        <w:t xml:space="preserve"> </w:t>
      </w:r>
    </w:p>
    <w:p w14:paraId="7223F78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 xml:space="preserve"> </w:t>
      </w:r>
    </w:p>
    <w:p w14:paraId="68DD19B7">
      <w:pPr>
        <w:spacing w:line="360" w:lineRule="auto"/>
        <w:jc w:val="left"/>
        <w:rPr>
          <w:rFonts w:ascii="宋体" w:hAnsi="宋体" w:cs="宋体"/>
          <w:b/>
          <w:bCs/>
          <w:color w:val="auto"/>
          <w:szCs w:val="21"/>
          <w:highlight w:val="none"/>
        </w:rPr>
      </w:pPr>
      <w:bookmarkStart w:id="1144" w:name="_Toc351203652"/>
      <w:bookmarkEnd w:id="1144"/>
      <w:r>
        <w:rPr>
          <w:rFonts w:hint="eastAsia" w:ascii="宋体" w:hAnsi="宋体" w:cs="宋体"/>
          <w:b/>
          <w:bCs/>
          <w:color w:val="auto"/>
          <w:szCs w:val="21"/>
          <w:highlight w:val="none"/>
          <w:lang w:bidi="ar"/>
        </w:rPr>
        <w:t>附件</w:t>
      </w:r>
    </w:p>
    <w:p w14:paraId="0530698F">
      <w:pPr>
        <w:spacing w:line="440" w:lineRule="exact"/>
        <w:rPr>
          <w:rFonts w:ascii="宋体" w:hAnsi="宋体" w:cs="宋体"/>
          <w:color w:val="auto"/>
          <w:szCs w:val="21"/>
          <w:highlight w:val="none"/>
          <w:lang w:bidi="ar"/>
        </w:rPr>
      </w:pPr>
      <w:r>
        <w:rPr>
          <w:rFonts w:hint="eastAsia" w:ascii="宋体" w:hAnsi="宋体" w:cs="宋体"/>
          <w:color w:val="auto"/>
          <w:szCs w:val="21"/>
          <w:highlight w:val="none"/>
          <w:lang w:bidi="ar"/>
        </w:rPr>
        <w:t>附件1：承包人承揽工程项目一览表</w:t>
      </w:r>
    </w:p>
    <w:p w14:paraId="2D4E51E4">
      <w:pPr>
        <w:spacing w:line="440" w:lineRule="exact"/>
        <w:rPr>
          <w:rFonts w:ascii="宋体" w:hAnsi="宋体" w:cs="宋体"/>
          <w:color w:val="auto"/>
          <w:szCs w:val="21"/>
          <w:highlight w:val="none"/>
          <w:lang w:bidi="ar"/>
        </w:rPr>
      </w:pPr>
      <w:r>
        <w:rPr>
          <w:rFonts w:hint="eastAsia" w:ascii="宋体" w:hAnsi="宋体" w:cs="宋体"/>
          <w:color w:val="auto"/>
          <w:szCs w:val="21"/>
          <w:highlight w:val="none"/>
          <w:lang w:bidi="ar"/>
        </w:rPr>
        <w:t>专用合同条款附件：</w:t>
      </w:r>
    </w:p>
    <w:p w14:paraId="30A8617C">
      <w:pPr>
        <w:spacing w:line="440" w:lineRule="exact"/>
        <w:rPr>
          <w:rFonts w:ascii="宋体" w:hAnsi="宋体" w:cs="宋体"/>
          <w:color w:val="auto"/>
          <w:szCs w:val="21"/>
          <w:highlight w:val="none"/>
          <w:lang w:bidi="ar"/>
        </w:rPr>
      </w:pPr>
      <w:r>
        <w:rPr>
          <w:rFonts w:hint="eastAsia" w:ascii="宋体" w:hAnsi="宋体" w:cs="宋体"/>
          <w:color w:val="auto"/>
          <w:szCs w:val="21"/>
          <w:highlight w:val="none"/>
          <w:lang w:bidi="ar"/>
        </w:rPr>
        <w:t>附件2：发包人供应材料设备一览表</w:t>
      </w:r>
    </w:p>
    <w:p w14:paraId="46B09ABA">
      <w:pPr>
        <w:spacing w:line="440" w:lineRule="exact"/>
        <w:rPr>
          <w:rFonts w:ascii="宋体" w:hAnsi="宋体" w:cs="宋体"/>
          <w:color w:val="auto"/>
          <w:szCs w:val="21"/>
          <w:highlight w:val="none"/>
          <w:lang w:bidi="ar"/>
        </w:rPr>
      </w:pPr>
      <w:r>
        <w:rPr>
          <w:rFonts w:hint="eastAsia" w:ascii="宋体" w:hAnsi="宋体" w:cs="宋体"/>
          <w:color w:val="auto"/>
          <w:szCs w:val="21"/>
          <w:highlight w:val="none"/>
          <w:lang w:bidi="ar"/>
        </w:rPr>
        <w:t>附件3：工程质量保修书</w:t>
      </w:r>
    </w:p>
    <w:p w14:paraId="002CB2C2">
      <w:pPr>
        <w:spacing w:line="440" w:lineRule="exact"/>
        <w:rPr>
          <w:rFonts w:ascii="宋体" w:hAnsi="宋体" w:cs="宋体"/>
          <w:color w:val="auto"/>
          <w:szCs w:val="21"/>
          <w:highlight w:val="none"/>
          <w:lang w:bidi="ar"/>
        </w:rPr>
      </w:pPr>
      <w:r>
        <w:rPr>
          <w:rFonts w:hint="eastAsia" w:ascii="宋体" w:hAnsi="宋体" w:cs="宋体"/>
          <w:color w:val="auto"/>
          <w:szCs w:val="21"/>
          <w:highlight w:val="none"/>
          <w:lang w:bidi="ar"/>
        </w:rPr>
        <w:t>附件4：主要建设工程文件目录</w:t>
      </w:r>
    </w:p>
    <w:p w14:paraId="4DD26024">
      <w:pPr>
        <w:spacing w:line="440" w:lineRule="exact"/>
        <w:rPr>
          <w:rFonts w:ascii="宋体" w:hAnsi="宋体" w:cs="宋体"/>
          <w:color w:val="auto"/>
          <w:szCs w:val="21"/>
          <w:highlight w:val="none"/>
          <w:lang w:bidi="ar"/>
        </w:rPr>
      </w:pPr>
      <w:r>
        <w:rPr>
          <w:rFonts w:hint="eastAsia" w:ascii="宋体" w:hAnsi="宋体" w:cs="宋体"/>
          <w:color w:val="auto"/>
          <w:szCs w:val="21"/>
          <w:highlight w:val="none"/>
          <w:lang w:bidi="ar"/>
        </w:rPr>
        <w:t>附件5：承包人用于本工程施工的机械设备表</w:t>
      </w:r>
    </w:p>
    <w:p w14:paraId="1ABF309B">
      <w:pPr>
        <w:spacing w:line="440" w:lineRule="exact"/>
        <w:rPr>
          <w:rFonts w:ascii="宋体" w:hAnsi="宋体" w:cs="宋体"/>
          <w:color w:val="auto"/>
          <w:szCs w:val="21"/>
          <w:highlight w:val="none"/>
          <w:lang w:bidi="ar"/>
        </w:rPr>
      </w:pPr>
      <w:r>
        <w:rPr>
          <w:rFonts w:hint="eastAsia" w:ascii="宋体" w:hAnsi="宋体" w:cs="宋体"/>
          <w:color w:val="auto"/>
          <w:szCs w:val="21"/>
          <w:highlight w:val="none"/>
          <w:lang w:bidi="ar"/>
        </w:rPr>
        <w:t>附件6：承包人主要施工管理人员表</w:t>
      </w:r>
    </w:p>
    <w:p w14:paraId="33B85EE9">
      <w:pPr>
        <w:spacing w:line="440" w:lineRule="exact"/>
        <w:rPr>
          <w:rFonts w:ascii="宋体" w:hAnsi="宋体" w:cs="宋体"/>
          <w:color w:val="auto"/>
          <w:szCs w:val="21"/>
          <w:highlight w:val="none"/>
          <w:lang w:bidi="ar"/>
        </w:rPr>
      </w:pPr>
      <w:r>
        <w:rPr>
          <w:rFonts w:hint="eastAsia" w:ascii="宋体" w:hAnsi="宋体" w:cs="宋体"/>
          <w:color w:val="auto"/>
          <w:szCs w:val="21"/>
          <w:highlight w:val="none"/>
          <w:lang w:bidi="ar"/>
        </w:rPr>
        <w:t>附件7：分包人主要施工管理人员表</w:t>
      </w:r>
    </w:p>
    <w:p w14:paraId="431DD7C0">
      <w:pPr>
        <w:spacing w:line="440" w:lineRule="exact"/>
        <w:rPr>
          <w:rFonts w:ascii="宋体" w:hAnsi="宋体" w:cs="宋体"/>
          <w:color w:val="auto"/>
          <w:szCs w:val="21"/>
          <w:highlight w:val="none"/>
          <w:lang w:bidi="ar"/>
        </w:rPr>
      </w:pPr>
      <w:r>
        <w:rPr>
          <w:rFonts w:hint="eastAsia" w:ascii="宋体" w:hAnsi="宋体" w:cs="宋体"/>
          <w:color w:val="auto"/>
          <w:szCs w:val="21"/>
          <w:highlight w:val="none"/>
          <w:lang w:bidi="ar"/>
        </w:rPr>
        <w:t>附件8：履约担保格式</w:t>
      </w:r>
    </w:p>
    <w:p w14:paraId="6AEAC90C">
      <w:pPr>
        <w:spacing w:line="440" w:lineRule="exact"/>
        <w:rPr>
          <w:rFonts w:ascii="宋体" w:hAnsi="宋体" w:cs="宋体"/>
          <w:color w:val="auto"/>
          <w:szCs w:val="21"/>
          <w:highlight w:val="none"/>
          <w:lang w:bidi="ar"/>
        </w:rPr>
      </w:pPr>
      <w:r>
        <w:rPr>
          <w:rFonts w:hint="eastAsia" w:ascii="宋体" w:hAnsi="宋体" w:cs="宋体"/>
          <w:color w:val="auto"/>
          <w:szCs w:val="21"/>
          <w:highlight w:val="none"/>
          <w:lang w:bidi="ar"/>
        </w:rPr>
        <w:t>附件9：预付款担保格式</w:t>
      </w:r>
    </w:p>
    <w:p w14:paraId="4C2FCB91">
      <w:pPr>
        <w:spacing w:line="440" w:lineRule="exact"/>
        <w:rPr>
          <w:rFonts w:ascii="宋体" w:hAnsi="宋体" w:cs="宋体"/>
          <w:color w:val="auto"/>
          <w:szCs w:val="21"/>
          <w:highlight w:val="none"/>
          <w:lang w:bidi="ar"/>
        </w:rPr>
      </w:pPr>
      <w:r>
        <w:rPr>
          <w:rFonts w:hint="eastAsia" w:ascii="宋体" w:hAnsi="宋体" w:cs="宋体"/>
          <w:color w:val="auto"/>
          <w:szCs w:val="21"/>
          <w:highlight w:val="none"/>
          <w:lang w:bidi="ar"/>
        </w:rPr>
        <w:t xml:space="preserve">附件10：暂估价一览表 </w:t>
      </w:r>
    </w:p>
    <w:p w14:paraId="60A15D67">
      <w:pPr>
        <w:spacing w:line="440" w:lineRule="exact"/>
        <w:rPr>
          <w:rFonts w:ascii="宋体" w:hAnsi="宋体" w:cs="宋体"/>
          <w:color w:val="auto"/>
          <w:szCs w:val="21"/>
          <w:highlight w:val="none"/>
        </w:rPr>
      </w:pPr>
    </w:p>
    <w:p w14:paraId="29892F8E">
      <w:pPr>
        <w:spacing w:line="440" w:lineRule="exact"/>
        <w:rPr>
          <w:rFonts w:ascii="宋体" w:hAnsi="宋体" w:cs="宋体"/>
          <w:color w:val="auto"/>
          <w:szCs w:val="21"/>
          <w:highlight w:val="none"/>
        </w:rPr>
      </w:pPr>
    </w:p>
    <w:p w14:paraId="0EF22D16">
      <w:pPr>
        <w:spacing w:line="440" w:lineRule="exact"/>
        <w:rPr>
          <w:rFonts w:ascii="宋体" w:hAnsi="宋体" w:cs="宋体"/>
          <w:color w:val="auto"/>
          <w:szCs w:val="21"/>
          <w:highlight w:val="none"/>
        </w:rPr>
      </w:pPr>
    </w:p>
    <w:p w14:paraId="7BB857F1">
      <w:pPr>
        <w:spacing w:line="440" w:lineRule="exact"/>
        <w:rPr>
          <w:rFonts w:ascii="宋体" w:hAnsi="宋体" w:cs="宋体"/>
          <w:color w:val="auto"/>
          <w:szCs w:val="21"/>
          <w:highlight w:val="none"/>
        </w:rPr>
      </w:pPr>
    </w:p>
    <w:p w14:paraId="6A12A62B">
      <w:pPr>
        <w:spacing w:line="440" w:lineRule="exact"/>
        <w:rPr>
          <w:rFonts w:ascii="宋体" w:hAnsi="宋体" w:cs="宋体"/>
          <w:color w:val="auto"/>
          <w:szCs w:val="21"/>
          <w:highlight w:val="none"/>
        </w:rPr>
        <w:sectPr>
          <w:pgSz w:w="11906" w:h="16838"/>
          <w:pgMar w:top="1418" w:right="1531" w:bottom="1418" w:left="1554" w:header="851" w:footer="992" w:gutter="0"/>
          <w:cols w:space="720" w:num="1"/>
          <w:docGrid w:type="linesAndChars" w:linePitch="312" w:charSpace="0"/>
        </w:sectPr>
      </w:pPr>
    </w:p>
    <w:p w14:paraId="687DB5EE">
      <w:pPr>
        <w:spacing w:line="440" w:lineRule="exact"/>
        <w:rPr>
          <w:rFonts w:ascii="宋体" w:hAnsi="宋体" w:cs="宋体"/>
          <w:color w:val="auto"/>
          <w:szCs w:val="21"/>
          <w:highlight w:val="none"/>
        </w:rPr>
      </w:pPr>
      <w:r>
        <w:rPr>
          <w:rFonts w:hint="eastAsia" w:ascii="宋体" w:hAnsi="宋体" w:cs="宋体"/>
          <w:color w:val="auto"/>
          <w:szCs w:val="21"/>
          <w:highlight w:val="none"/>
        </w:rPr>
        <w:t>附件1：</w:t>
      </w:r>
    </w:p>
    <w:p w14:paraId="39B96465">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承包人承揽工程项目一览表</w:t>
      </w:r>
    </w:p>
    <w:tbl>
      <w:tblPr>
        <w:tblStyle w:val="46"/>
        <w:tblW w:w="0" w:type="auto"/>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9"/>
        <w:gridCol w:w="1700"/>
        <w:gridCol w:w="1416"/>
        <w:gridCol w:w="2409"/>
        <w:gridCol w:w="850"/>
        <w:gridCol w:w="1559"/>
        <w:gridCol w:w="2125"/>
        <w:gridCol w:w="1416"/>
        <w:gridCol w:w="851"/>
        <w:gridCol w:w="850"/>
      </w:tblGrid>
      <w:tr w14:paraId="485A0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184D56FA">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单位工程名称</w:t>
            </w:r>
          </w:p>
        </w:tc>
        <w:tc>
          <w:tcPr>
            <w:tcW w:w="1700" w:type="dxa"/>
            <w:vAlign w:val="center"/>
          </w:tcPr>
          <w:p w14:paraId="6A0E77F4">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建设规模</w:t>
            </w:r>
          </w:p>
        </w:tc>
        <w:tc>
          <w:tcPr>
            <w:tcW w:w="1416" w:type="dxa"/>
            <w:vAlign w:val="center"/>
          </w:tcPr>
          <w:p w14:paraId="481CC240">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建筑面积（平方米）</w:t>
            </w:r>
          </w:p>
        </w:tc>
        <w:tc>
          <w:tcPr>
            <w:tcW w:w="2409" w:type="dxa"/>
            <w:vAlign w:val="center"/>
          </w:tcPr>
          <w:p w14:paraId="1254FFB3">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结构形式</w:t>
            </w:r>
          </w:p>
        </w:tc>
        <w:tc>
          <w:tcPr>
            <w:tcW w:w="850" w:type="dxa"/>
            <w:vAlign w:val="center"/>
          </w:tcPr>
          <w:p w14:paraId="61E21F76">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层数</w:t>
            </w:r>
          </w:p>
        </w:tc>
        <w:tc>
          <w:tcPr>
            <w:tcW w:w="1559" w:type="dxa"/>
            <w:vAlign w:val="center"/>
          </w:tcPr>
          <w:p w14:paraId="3ADDDCDE">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生产能力</w:t>
            </w:r>
          </w:p>
        </w:tc>
        <w:tc>
          <w:tcPr>
            <w:tcW w:w="2125" w:type="dxa"/>
            <w:vAlign w:val="center"/>
          </w:tcPr>
          <w:p w14:paraId="6C6EF2CF">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设备安装内容</w:t>
            </w:r>
          </w:p>
        </w:tc>
        <w:tc>
          <w:tcPr>
            <w:tcW w:w="1416" w:type="dxa"/>
            <w:vAlign w:val="center"/>
          </w:tcPr>
          <w:p w14:paraId="7765D7F2">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合同价格（元）</w:t>
            </w:r>
          </w:p>
        </w:tc>
        <w:tc>
          <w:tcPr>
            <w:tcW w:w="851" w:type="dxa"/>
            <w:vAlign w:val="center"/>
          </w:tcPr>
          <w:p w14:paraId="191A5CB9">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开工日期</w:t>
            </w:r>
          </w:p>
        </w:tc>
        <w:tc>
          <w:tcPr>
            <w:tcW w:w="850" w:type="dxa"/>
            <w:vAlign w:val="center"/>
          </w:tcPr>
          <w:p w14:paraId="2363D7C9">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竣工日期</w:t>
            </w:r>
          </w:p>
        </w:tc>
      </w:tr>
      <w:tr w14:paraId="0440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4076EA97">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700" w:type="dxa"/>
            <w:vAlign w:val="center"/>
          </w:tcPr>
          <w:p w14:paraId="2D126C96">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16" w:type="dxa"/>
            <w:vAlign w:val="center"/>
          </w:tcPr>
          <w:p w14:paraId="36DC8624">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2409" w:type="dxa"/>
            <w:vAlign w:val="center"/>
          </w:tcPr>
          <w:p w14:paraId="4512F024">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0" w:type="dxa"/>
            <w:vAlign w:val="center"/>
          </w:tcPr>
          <w:p w14:paraId="02935F7C">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559" w:type="dxa"/>
            <w:vAlign w:val="center"/>
          </w:tcPr>
          <w:p w14:paraId="6AC2D9AF">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2125" w:type="dxa"/>
            <w:vAlign w:val="center"/>
          </w:tcPr>
          <w:p w14:paraId="5025ECE9">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16" w:type="dxa"/>
            <w:vAlign w:val="center"/>
          </w:tcPr>
          <w:p w14:paraId="59FE8B6C">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1" w:type="dxa"/>
            <w:vAlign w:val="center"/>
          </w:tcPr>
          <w:p w14:paraId="153793D7">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0" w:type="dxa"/>
            <w:vAlign w:val="center"/>
          </w:tcPr>
          <w:p w14:paraId="102F5E46">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6255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3407EBCE">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700" w:type="dxa"/>
            <w:vAlign w:val="center"/>
          </w:tcPr>
          <w:p w14:paraId="2EEE2025">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16" w:type="dxa"/>
            <w:vAlign w:val="center"/>
          </w:tcPr>
          <w:p w14:paraId="0053EAE9">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2409" w:type="dxa"/>
            <w:vAlign w:val="center"/>
          </w:tcPr>
          <w:p w14:paraId="2E679A5A">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0" w:type="dxa"/>
            <w:vAlign w:val="center"/>
          </w:tcPr>
          <w:p w14:paraId="579940E4">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559" w:type="dxa"/>
            <w:vAlign w:val="center"/>
          </w:tcPr>
          <w:p w14:paraId="2D5B5D05">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2125" w:type="dxa"/>
            <w:vAlign w:val="center"/>
          </w:tcPr>
          <w:p w14:paraId="250C5BC4">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16" w:type="dxa"/>
            <w:vAlign w:val="center"/>
          </w:tcPr>
          <w:p w14:paraId="66292499">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1" w:type="dxa"/>
            <w:vAlign w:val="center"/>
          </w:tcPr>
          <w:p w14:paraId="536DFCD7">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0" w:type="dxa"/>
            <w:vAlign w:val="center"/>
          </w:tcPr>
          <w:p w14:paraId="3D89963A">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57E05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73B69F24">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700" w:type="dxa"/>
            <w:vAlign w:val="center"/>
          </w:tcPr>
          <w:p w14:paraId="40041C71">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16" w:type="dxa"/>
            <w:vAlign w:val="center"/>
          </w:tcPr>
          <w:p w14:paraId="78C3F855">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2409" w:type="dxa"/>
            <w:vAlign w:val="center"/>
          </w:tcPr>
          <w:p w14:paraId="111ADA8E">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0" w:type="dxa"/>
            <w:vAlign w:val="center"/>
          </w:tcPr>
          <w:p w14:paraId="4E3F2EDC">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559" w:type="dxa"/>
            <w:vAlign w:val="center"/>
          </w:tcPr>
          <w:p w14:paraId="68F58D61">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2125" w:type="dxa"/>
            <w:vAlign w:val="center"/>
          </w:tcPr>
          <w:p w14:paraId="2F3DABD0">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16" w:type="dxa"/>
            <w:vAlign w:val="center"/>
          </w:tcPr>
          <w:p w14:paraId="6BF521C7">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1" w:type="dxa"/>
            <w:vAlign w:val="center"/>
          </w:tcPr>
          <w:p w14:paraId="361DB99E">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0" w:type="dxa"/>
            <w:vAlign w:val="center"/>
          </w:tcPr>
          <w:p w14:paraId="2D66B2A6">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3AB03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53C56FC3">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700" w:type="dxa"/>
            <w:vAlign w:val="center"/>
          </w:tcPr>
          <w:p w14:paraId="585D76D6">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16" w:type="dxa"/>
            <w:vAlign w:val="center"/>
          </w:tcPr>
          <w:p w14:paraId="14A4D845">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2409" w:type="dxa"/>
            <w:vAlign w:val="center"/>
          </w:tcPr>
          <w:p w14:paraId="13099175">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0" w:type="dxa"/>
            <w:vAlign w:val="center"/>
          </w:tcPr>
          <w:p w14:paraId="711DE66E">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559" w:type="dxa"/>
            <w:vAlign w:val="center"/>
          </w:tcPr>
          <w:p w14:paraId="231DFB41">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2125" w:type="dxa"/>
            <w:vAlign w:val="center"/>
          </w:tcPr>
          <w:p w14:paraId="503CB8AA">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16" w:type="dxa"/>
            <w:vAlign w:val="center"/>
          </w:tcPr>
          <w:p w14:paraId="4485399C">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1" w:type="dxa"/>
            <w:vAlign w:val="center"/>
          </w:tcPr>
          <w:p w14:paraId="45FFE612">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0" w:type="dxa"/>
            <w:vAlign w:val="center"/>
          </w:tcPr>
          <w:p w14:paraId="052A1690">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0B0B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14B4C79D">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700" w:type="dxa"/>
            <w:vAlign w:val="center"/>
          </w:tcPr>
          <w:p w14:paraId="765A8D27">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16" w:type="dxa"/>
            <w:vAlign w:val="center"/>
          </w:tcPr>
          <w:p w14:paraId="0AE5F713">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2409" w:type="dxa"/>
            <w:vAlign w:val="center"/>
          </w:tcPr>
          <w:p w14:paraId="33444894">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0" w:type="dxa"/>
            <w:vAlign w:val="center"/>
          </w:tcPr>
          <w:p w14:paraId="5DA123D7">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559" w:type="dxa"/>
            <w:vAlign w:val="center"/>
          </w:tcPr>
          <w:p w14:paraId="09E8D34A">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2125" w:type="dxa"/>
            <w:vAlign w:val="center"/>
          </w:tcPr>
          <w:p w14:paraId="43FE6BBD">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16" w:type="dxa"/>
            <w:vAlign w:val="center"/>
          </w:tcPr>
          <w:p w14:paraId="127811CC">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1" w:type="dxa"/>
            <w:vAlign w:val="center"/>
          </w:tcPr>
          <w:p w14:paraId="234F744F">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0" w:type="dxa"/>
            <w:vAlign w:val="center"/>
          </w:tcPr>
          <w:p w14:paraId="3A2DD331">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1BFB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5DBCDD31">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700" w:type="dxa"/>
            <w:vAlign w:val="center"/>
          </w:tcPr>
          <w:p w14:paraId="317E8EA6">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16" w:type="dxa"/>
            <w:vAlign w:val="center"/>
          </w:tcPr>
          <w:p w14:paraId="5F3334B8">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2409" w:type="dxa"/>
            <w:vAlign w:val="center"/>
          </w:tcPr>
          <w:p w14:paraId="4A7A5C72">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0" w:type="dxa"/>
            <w:vAlign w:val="center"/>
          </w:tcPr>
          <w:p w14:paraId="533966F1">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559" w:type="dxa"/>
            <w:vAlign w:val="center"/>
          </w:tcPr>
          <w:p w14:paraId="5C2F0A1C">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2125" w:type="dxa"/>
            <w:vAlign w:val="center"/>
          </w:tcPr>
          <w:p w14:paraId="13A3B6DB">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16" w:type="dxa"/>
            <w:vAlign w:val="center"/>
          </w:tcPr>
          <w:p w14:paraId="0AAAAB81">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1" w:type="dxa"/>
            <w:vAlign w:val="center"/>
          </w:tcPr>
          <w:p w14:paraId="50823354">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0" w:type="dxa"/>
            <w:vAlign w:val="center"/>
          </w:tcPr>
          <w:p w14:paraId="2DF7F196">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09587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27DB18BE">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700" w:type="dxa"/>
            <w:vAlign w:val="center"/>
          </w:tcPr>
          <w:p w14:paraId="1B5108C4">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16" w:type="dxa"/>
            <w:vAlign w:val="center"/>
          </w:tcPr>
          <w:p w14:paraId="0ECA1595">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2409" w:type="dxa"/>
            <w:vAlign w:val="center"/>
          </w:tcPr>
          <w:p w14:paraId="79AAA874">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0" w:type="dxa"/>
            <w:vAlign w:val="center"/>
          </w:tcPr>
          <w:p w14:paraId="230D543E">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559" w:type="dxa"/>
            <w:vAlign w:val="center"/>
          </w:tcPr>
          <w:p w14:paraId="516589CA">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2125" w:type="dxa"/>
            <w:vAlign w:val="center"/>
          </w:tcPr>
          <w:p w14:paraId="3F63FE39">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16" w:type="dxa"/>
            <w:vAlign w:val="center"/>
          </w:tcPr>
          <w:p w14:paraId="7A1CA380">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1" w:type="dxa"/>
            <w:vAlign w:val="center"/>
          </w:tcPr>
          <w:p w14:paraId="37B95AB0">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0" w:type="dxa"/>
            <w:vAlign w:val="center"/>
          </w:tcPr>
          <w:p w14:paraId="5CD8EF12">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17263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22CACA50">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700" w:type="dxa"/>
            <w:vAlign w:val="center"/>
          </w:tcPr>
          <w:p w14:paraId="58C01768">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16" w:type="dxa"/>
            <w:vAlign w:val="center"/>
          </w:tcPr>
          <w:p w14:paraId="5C4EE166">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2409" w:type="dxa"/>
            <w:vAlign w:val="center"/>
          </w:tcPr>
          <w:p w14:paraId="5929E01E">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0" w:type="dxa"/>
            <w:vAlign w:val="center"/>
          </w:tcPr>
          <w:p w14:paraId="3687C57A">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559" w:type="dxa"/>
            <w:vAlign w:val="center"/>
          </w:tcPr>
          <w:p w14:paraId="11AFA65A">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2125" w:type="dxa"/>
            <w:vAlign w:val="center"/>
          </w:tcPr>
          <w:p w14:paraId="1A8D73AF">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16" w:type="dxa"/>
            <w:vAlign w:val="center"/>
          </w:tcPr>
          <w:p w14:paraId="3F9BC1C3">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1" w:type="dxa"/>
            <w:vAlign w:val="center"/>
          </w:tcPr>
          <w:p w14:paraId="556530BA">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0" w:type="dxa"/>
            <w:vAlign w:val="center"/>
          </w:tcPr>
          <w:p w14:paraId="260B3613">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4CDB4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30FD7CD7">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700" w:type="dxa"/>
            <w:vAlign w:val="center"/>
          </w:tcPr>
          <w:p w14:paraId="07AB04EC">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16" w:type="dxa"/>
            <w:vAlign w:val="center"/>
          </w:tcPr>
          <w:p w14:paraId="46E889C8">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2409" w:type="dxa"/>
            <w:vAlign w:val="center"/>
          </w:tcPr>
          <w:p w14:paraId="61FA9266">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0" w:type="dxa"/>
            <w:vAlign w:val="center"/>
          </w:tcPr>
          <w:p w14:paraId="64CF3D9A">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559" w:type="dxa"/>
            <w:vAlign w:val="center"/>
          </w:tcPr>
          <w:p w14:paraId="7D7B2205">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2125" w:type="dxa"/>
            <w:vAlign w:val="center"/>
          </w:tcPr>
          <w:p w14:paraId="77D51B4A">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16" w:type="dxa"/>
            <w:vAlign w:val="center"/>
          </w:tcPr>
          <w:p w14:paraId="4584E14A">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1" w:type="dxa"/>
            <w:vAlign w:val="center"/>
          </w:tcPr>
          <w:p w14:paraId="15C3B405">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0" w:type="dxa"/>
            <w:vAlign w:val="center"/>
          </w:tcPr>
          <w:p w14:paraId="0FDDD905">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4B96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133D7940">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700" w:type="dxa"/>
            <w:vAlign w:val="center"/>
          </w:tcPr>
          <w:p w14:paraId="38613CBB">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16" w:type="dxa"/>
            <w:vAlign w:val="center"/>
          </w:tcPr>
          <w:p w14:paraId="0563996B">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2409" w:type="dxa"/>
            <w:vAlign w:val="center"/>
          </w:tcPr>
          <w:p w14:paraId="59015C49">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0" w:type="dxa"/>
            <w:vAlign w:val="center"/>
          </w:tcPr>
          <w:p w14:paraId="243E4220">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559" w:type="dxa"/>
            <w:vAlign w:val="center"/>
          </w:tcPr>
          <w:p w14:paraId="037B84CB">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2125" w:type="dxa"/>
            <w:vAlign w:val="center"/>
          </w:tcPr>
          <w:p w14:paraId="34A217F1">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16" w:type="dxa"/>
            <w:vAlign w:val="center"/>
          </w:tcPr>
          <w:p w14:paraId="497D5B3B">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1" w:type="dxa"/>
            <w:vAlign w:val="center"/>
          </w:tcPr>
          <w:p w14:paraId="6921C8BD">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0" w:type="dxa"/>
            <w:vAlign w:val="center"/>
          </w:tcPr>
          <w:p w14:paraId="501EE07D">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bl>
    <w:p w14:paraId="786E13E0">
      <w:pPr>
        <w:widowControl/>
        <w:jc w:val="left"/>
        <w:rPr>
          <w:rFonts w:ascii="宋体" w:hAnsi="宋体" w:cs="宋体"/>
          <w:b/>
          <w:color w:val="auto"/>
          <w:szCs w:val="21"/>
          <w:highlight w:val="none"/>
        </w:rPr>
        <w:sectPr>
          <w:pgSz w:w="16838" w:h="11906" w:orient="landscape"/>
          <w:pgMar w:top="1553" w:right="1418" w:bottom="1531" w:left="1418" w:header="851" w:footer="992" w:gutter="0"/>
          <w:cols w:space="0" w:num="1"/>
          <w:docGrid w:type="linesAndChars" w:linePitch="315" w:charSpace="0"/>
        </w:sectPr>
      </w:pPr>
    </w:p>
    <w:p w14:paraId="31FD828B">
      <w:pPr>
        <w:spacing w:line="440" w:lineRule="exact"/>
        <w:rPr>
          <w:rFonts w:ascii="宋体" w:hAnsi="宋体" w:cs="宋体"/>
          <w:color w:val="auto"/>
          <w:szCs w:val="21"/>
          <w:highlight w:val="none"/>
        </w:rPr>
      </w:pPr>
      <w:r>
        <w:rPr>
          <w:rFonts w:hint="eastAsia" w:ascii="宋体" w:hAnsi="宋体" w:cs="宋体"/>
          <w:color w:val="auto"/>
          <w:szCs w:val="21"/>
          <w:highlight w:val="none"/>
        </w:rPr>
        <w:t>附</w:t>
      </w:r>
      <w:bookmarkStart w:id="1145" w:name="_Toc296347224"/>
      <w:bookmarkStart w:id="1146" w:name="_Toc296891053"/>
      <w:bookmarkStart w:id="1147" w:name="_Toc296891265"/>
      <w:bookmarkStart w:id="1148" w:name="_Toc296503225"/>
      <w:bookmarkStart w:id="1149" w:name="_Toc267261692"/>
      <w:bookmarkStart w:id="1150" w:name="_Toc296944564"/>
      <w:bookmarkStart w:id="1151" w:name="_Toc296346726"/>
      <w:r>
        <w:rPr>
          <w:rFonts w:hint="eastAsia" w:ascii="宋体" w:hAnsi="宋体" w:cs="宋体"/>
          <w:color w:val="auto"/>
          <w:szCs w:val="21"/>
          <w:highlight w:val="none"/>
        </w:rPr>
        <w:t>件2：</w:t>
      </w:r>
    </w:p>
    <w:bookmarkEnd w:id="1145"/>
    <w:bookmarkEnd w:id="1146"/>
    <w:bookmarkEnd w:id="1147"/>
    <w:bookmarkEnd w:id="1148"/>
    <w:bookmarkEnd w:id="1149"/>
    <w:bookmarkEnd w:id="1150"/>
    <w:bookmarkEnd w:id="1151"/>
    <w:p w14:paraId="6585E63C">
      <w:pPr>
        <w:spacing w:before="156" w:beforeLines="50" w:after="156" w:afterLines="50" w:line="440" w:lineRule="exact"/>
        <w:jc w:val="center"/>
        <w:rPr>
          <w:rFonts w:ascii="宋体" w:hAnsi="宋体" w:cs="宋体"/>
          <w:color w:val="auto"/>
          <w:szCs w:val="21"/>
          <w:highlight w:val="none"/>
        </w:rPr>
      </w:pPr>
      <w:r>
        <w:rPr>
          <w:rFonts w:hint="eastAsia" w:ascii="宋体" w:hAnsi="宋体" w:cs="宋体"/>
          <w:color w:val="auto"/>
          <w:szCs w:val="21"/>
          <w:highlight w:val="none"/>
        </w:rPr>
        <w:t>发包人供应材料设备一览表</w:t>
      </w:r>
    </w:p>
    <w:tbl>
      <w:tblPr>
        <w:tblStyle w:val="4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75"/>
        <w:gridCol w:w="1047"/>
        <w:gridCol w:w="1274"/>
        <w:gridCol w:w="993"/>
        <w:gridCol w:w="850"/>
        <w:gridCol w:w="851"/>
        <w:gridCol w:w="992"/>
        <w:gridCol w:w="1134"/>
        <w:gridCol w:w="1134"/>
        <w:gridCol w:w="850"/>
      </w:tblGrid>
      <w:tr w14:paraId="04F25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12" w:hRule="atLeast"/>
          <w:jc w:val="center"/>
        </w:trPr>
        <w:tc>
          <w:tcPr>
            <w:tcW w:w="775" w:type="dxa"/>
            <w:tcBorders>
              <w:top w:val="single" w:color="auto" w:sz="12" w:space="0"/>
              <w:left w:val="single" w:color="auto" w:sz="12" w:space="0"/>
              <w:bottom w:val="double" w:color="auto" w:sz="6" w:space="0"/>
              <w:right w:val="single" w:color="auto" w:sz="6" w:space="0"/>
            </w:tcBorders>
            <w:vAlign w:val="center"/>
          </w:tcPr>
          <w:p w14:paraId="5CDE8089">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序号</w:t>
            </w:r>
          </w:p>
        </w:tc>
        <w:tc>
          <w:tcPr>
            <w:tcW w:w="1047" w:type="dxa"/>
            <w:tcBorders>
              <w:top w:val="single" w:color="auto" w:sz="12" w:space="0"/>
              <w:left w:val="single" w:color="auto" w:sz="6" w:space="0"/>
              <w:bottom w:val="double" w:color="auto" w:sz="6" w:space="0"/>
              <w:right w:val="single" w:color="auto" w:sz="6" w:space="0"/>
            </w:tcBorders>
            <w:vAlign w:val="center"/>
          </w:tcPr>
          <w:p w14:paraId="5EF5E175">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材料、</w:t>
            </w:r>
          </w:p>
          <w:p w14:paraId="19D72F9B">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设备品种</w:t>
            </w:r>
          </w:p>
        </w:tc>
        <w:tc>
          <w:tcPr>
            <w:tcW w:w="1274" w:type="dxa"/>
            <w:tcBorders>
              <w:top w:val="single" w:color="auto" w:sz="12" w:space="0"/>
              <w:left w:val="single" w:color="auto" w:sz="6" w:space="0"/>
              <w:bottom w:val="double" w:color="auto" w:sz="6" w:space="0"/>
              <w:right w:val="single" w:color="auto" w:sz="6" w:space="0"/>
            </w:tcBorders>
            <w:vAlign w:val="center"/>
          </w:tcPr>
          <w:p w14:paraId="6F4A0893">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规格型号</w:t>
            </w:r>
          </w:p>
        </w:tc>
        <w:tc>
          <w:tcPr>
            <w:tcW w:w="993" w:type="dxa"/>
            <w:tcBorders>
              <w:top w:val="single" w:color="auto" w:sz="12" w:space="0"/>
              <w:left w:val="single" w:color="auto" w:sz="6" w:space="0"/>
              <w:bottom w:val="double" w:color="auto" w:sz="6" w:space="0"/>
              <w:right w:val="single" w:color="auto" w:sz="6" w:space="0"/>
            </w:tcBorders>
            <w:vAlign w:val="center"/>
          </w:tcPr>
          <w:p w14:paraId="0637E33F">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单位</w:t>
            </w:r>
          </w:p>
        </w:tc>
        <w:tc>
          <w:tcPr>
            <w:tcW w:w="850" w:type="dxa"/>
            <w:tcBorders>
              <w:top w:val="single" w:color="auto" w:sz="12" w:space="0"/>
              <w:left w:val="single" w:color="auto" w:sz="6" w:space="0"/>
              <w:bottom w:val="double" w:color="auto" w:sz="6" w:space="0"/>
              <w:right w:val="single" w:color="auto" w:sz="6" w:space="0"/>
            </w:tcBorders>
            <w:vAlign w:val="center"/>
          </w:tcPr>
          <w:p w14:paraId="29159479">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数量</w:t>
            </w:r>
          </w:p>
        </w:tc>
        <w:tc>
          <w:tcPr>
            <w:tcW w:w="851" w:type="dxa"/>
            <w:tcBorders>
              <w:top w:val="single" w:color="auto" w:sz="12" w:space="0"/>
              <w:left w:val="single" w:color="auto" w:sz="6" w:space="0"/>
              <w:bottom w:val="double" w:color="auto" w:sz="6" w:space="0"/>
              <w:right w:val="single" w:color="auto" w:sz="6" w:space="0"/>
            </w:tcBorders>
            <w:vAlign w:val="center"/>
          </w:tcPr>
          <w:p w14:paraId="3BED9C5B">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单价（元）</w:t>
            </w:r>
          </w:p>
        </w:tc>
        <w:tc>
          <w:tcPr>
            <w:tcW w:w="992" w:type="dxa"/>
            <w:tcBorders>
              <w:top w:val="single" w:color="auto" w:sz="12" w:space="0"/>
              <w:left w:val="single" w:color="auto" w:sz="6" w:space="0"/>
              <w:bottom w:val="double" w:color="auto" w:sz="6" w:space="0"/>
              <w:right w:val="single" w:color="auto" w:sz="6" w:space="0"/>
            </w:tcBorders>
            <w:vAlign w:val="center"/>
          </w:tcPr>
          <w:p w14:paraId="259423F4">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质量</w:t>
            </w:r>
          </w:p>
          <w:p w14:paraId="3F3419C3">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等级</w:t>
            </w:r>
          </w:p>
        </w:tc>
        <w:tc>
          <w:tcPr>
            <w:tcW w:w="1134" w:type="dxa"/>
            <w:tcBorders>
              <w:top w:val="single" w:color="auto" w:sz="12" w:space="0"/>
              <w:left w:val="single" w:color="auto" w:sz="6" w:space="0"/>
              <w:bottom w:val="double" w:color="auto" w:sz="6" w:space="0"/>
              <w:right w:val="single" w:color="auto" w:sz="6" w:space="0"/>
            </w:tcBorders>
            <w:vAlign w:val="center"/>
          </w:tcPr>
          <w:p w14:paraId="4CCD2AAD">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供应</w:t>
            </w:r>
          </w:p>
          <w:p w14:paraId="75EB0AB5">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时间</w:t>
            </w:r>
          </w:p>
        </w:tc>
        <w:tc>
          <w:tcPr>
            <w:tcW w:w="1134" w:type="dxa"/>
            <w:tcBorders>
              <w:top w:val="single" w:color="auto" w:sz="12" w:space="0"/>
              <w:left w:val="single" w:color="auto" w:sz="6" w:space="0"/>
              <w:bottom w:val="double" w:color="auto" w:sz="6" w:space="0"/>
              <w:right w:val="single" w:color="auto" w:sz="6" w:space="0"/>
            </w:tcBorders>
            <w:vAlign w:val="center"/>
          </w:tcPr>
          <w:p w14:paraId="5506B61E">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送达</w:t>
            </w:r>
          </w:p>
          <w:p w14:paraId="7D857A2E">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地点</w:t>
            </w:r>
          </w:p>
        </w:tc>
        <w:tc>
          <w:tcPr>
            <w:tcW w:w="850" w:type="dxa"/>
            <w:tcBorders>
              <w:top w:val="single" w:color="auto" w:sz="12" w:space="0"/>
              <w:left w:val="single" w:color="auto" w:sz="6" w:space="0"/>
              <w:bottom w:val="double" w:color="auto" w:sz="6" w:space="0"/>
              <w:right w:val="single" w:color="auto" w:sz="12" w:space="0"/>
            </w:tcBorders>
            <w:vAlign w:val="center"/>
          </w:tcPr>
          <w:p w14:paraId="04AD3C63">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备注</w:t>
            </w:r>
          </w:p>
        </w:tc>
      </w:tr>
      <w:tr w14:paraId="3779F6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double" w:color="auto" w:sz="6" w:space="0"/>
              <w:left w:val="single" w:color="auto" w:sz="12" w:space="0"/>
              <w:bottom w:val="single" w:color="auto" w:sz="6" w:space="0"/>
              <w:right w:val="single" w:color="auto" w:sz="6" w:space="0"/>
            </w:tcBorders>
            <w:vAlign w:val="center"/>
          </w:tcPr>
          <w:p w14:paraId="60099E9E">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047" w:type="dxa"/>
            <w:tcBorders>
              <w:top w:val="double" w:color="auto" w:sz="6" w:space="0"/>
              <w:left w:val="single" w:color="auto" w:sz="6" w:space="0"/>
              <w:bottom w:val="single" w:color="auto" w:sz="6" w:space="0"/>
              <w:right w:val="single" w:color="auto" w:sz="6" w:space="0"/>
            </w:tcBorders>
            <w:vAlign w:val="center"/>
          </w:tcPr>
          <w:p w14:paraId="6C16FCF8">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274" w:type="dxa"/>
            <w:tcBorders>
              <w:top w:val="double" w:color="auto" w:sz="6" w:space="0"/>
              <w:left w:val="single" w:color="auto" w:sz="6" w:space="0"/>
              <w:bottom w:val="single" w:color="auto" w:sz="6" w:space="0"/>
              <w:right w:val="single" w:color="auto" w:sz="6" w:space="0"/>
            </w:tcBorders>
            <w:vAlign w:val="center"/>
          </w:tcPr>
          <w:p w14:paraId="48F3B3A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993" w:type="dxa"/>
            <w:tcBorders>
              <w:top w:val="double" w:color="auto" w:sz="6" w:space="0"/>
              <w:left w:val="single" w:color="auto" w:sz="6" w:space="0"/>
              <w:bottom w:val="single" w:color="auto" w:sz="6" w:space="0"/>
              <w:right w:val="single" w:color="auto" w:sz="6" w:space="0"/>
            </w:tcBorders>
            <w:vAlign w:val="center"/>
          </w:tcPr>
          <w:p w14:paraId="4840B7CF">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0" w:type="dxa"/>
            <w:tcBorders>
              <w:top w:val="double" w:color="auto" w:sz="6" w:space="0"/>
              <w:left w:val="single" w:color="auto" w:sz="6" w:space="0"/>
              <w:bottom w:val="single" w:color="auto" w:sz="6" w:space="0"/>
              <w:right w:val="single" w:color="auto" w:sz="6" w:space="0"/>
            </w:tcBorders>
            <w:vAlign w:val="center"/>
          </w:tcPr>
          <w:p w14:paraId="75D8505F">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double" w:color="auto" w:sz="6" w:space="0"/>
              <w:left w:val="single" w:color="auto" w:sz="6" w:space="0"/>
              <w:bottom w:val="single" w:color="auto" w:sz="6" w:space="0"/>
              <w:right w:val="single" w:color="auto" w:sz="6" w:space="0"/>
            </w:tcBorders>
            <w:vAlign w:val="center"/>
          </w:tcPr>
          <w:p w14:paraId="069033FE">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992" w:type="dxa"/>
            <w:tcBorders>
              <w:top w:val="double" w:color="auto" w:sz="6" w:space="0"/>
              <w:left w:val="single" w:color="auto" w:sz="6" w:space="0"/>
              <w:bottom w:val="single" w:color="auto" w:sz="6" w:space="0"/>
              <w:right w:val="single" w:color="auto" w:sz="6" w:space="0"/>
            </w:tcBorders>
            <w:vAlign w:val="center"/>
          </w:tcPr>
          <w:p w14:paraId="652744E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tcBorders>
              <w:top w:val="double" w:color="auto" w:sz="6" w:space="0"/>
              <w:left w:val="single" w:color="auto" w:sz="6" w:space="0"/>
              <w:bottom w:val="single" w:color="auto" w:sz="6" w:space="0"/>
              <w:right w:val="single" w:color="auto" w:sz="6" w:space="0"/>
            </w:tcBorders>
            <w:vAlign w:val="center"/>
          </w:tcPr>
          <w:p w14:paraId="2E8B4383">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tcBorders>
              <w:top w:val="double" w:color="auto" w:sz="6" w:space="0"/>
              <w:left w:val="single" w:color="auto" w:sz="6" w:space="0"/>
              <w:bottom w:val="single" w:color="auto" w:sz="6" w:space="0"/>
              <w:right w:val="single" w:color="auto" w:sz="6" w:space="0"/>
            </w:tcBorders>
            <w:vAlign w:val="center"/>
          </w:tcPr>
          <w:p w14:paraId="2FA9BA2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0" w:type="dxa"/>
            <w:tcBorders>
              <w:top w:val="double" w:color="auto" w:sz="6" w:space="0"/>
              <w:left w:val="single" w:color="auto" w:sz="6" w:space="0"/>
              <w:bottom w:val="single" w:color="auto" w:sz="6" w:space="0"/>
              <w:right w:val="single" w:color="auto" w:sz="12" w:space="0"/>
            </w:tcBorders>
            <w:vAlign w:val="center"/>
          </w:tcPr>
          <w:p w14:paraId="1D574189">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21B48E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nil"/>
              <w:left w:val="single" w:color="auto" w:sz="12" w:space="0"/>
              <w:bottom w:val="single" w:color="auto" w:sz="6" w:space="0"/>
              <w:right w:val="single" w:color="auto" w:sz="6" w:space="0"/>
            </w:tcBorders>
            <w:vAlign w:val="center"/>
          </w:tcPr>
          <w:p w14:paraId="5CF8C60D">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047" w:type="dxa"/>
            <w:tcBorders>
              <w:top w:val="nil"/>
              <w:left w:val="single" w:color="auto" w:sz="6" w:space="0"/>
              <w:bottom w:val="single" w:color="auto" w:sz="6" w:space="0"/>
              <w:right w:val="single" w:color="auto" w:sz="6" w:space="0"/>
            </w:tcBorders>
            <w:vAlign w:val="center"/>
          </w:tcPr>
          <w:p w14:paraId="4ED2C8F3">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274" w:type="dxa"/>
            <w:tcBorders>
              <w:top w:val="nil"/>
              <w:left w:val="single" w:color="auto" w:sz="6" w:space="0"/>
              <w:bottom w:val="single" w:color="auto" w:sz="6" w:space="0"/>
              <w:right w:val="single" w:color="auto" w:sz="6" w:space="0"/>
            </w:tcBorders>
            <w:vAlign w:val="center"/>
          </w:tcPr>
          <w:p w14:paraId="0773DF28">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993" w:type="dxa"/>
            <w:tcBorders>
              <w:top w:val="nil"/>
              <w:left w:val="single" w:color="auto" w:sz="6" w:space="0"/>
              <w:bottom w:val="single" w:color="auto" w:sz="6" w:space="0"/>
              <w:right w:val="single" w:color="auto" w:sz="6" w:space="0"/>
            </w:tcBorders>
            <w:vAlign w:val="center"/>
          </w:tcPr>
          <w:p w14:paraId="0344C2F3">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0" w:type="dxa"/>
            <w:tcBorders>
              <w:top w:val="nil"/>
              <w:left w:val="single" w:color="auto" w:sz="6" w:space="0"/>
              <w:bottom w:val="single" w:color="auto" w:sz="6" w:space="0"/>
              <w:right w:val="single" w:color="auto" w:sz="6" w:space="0"/>
            </w:tcBorders>
            <w:vAlign w:val="center"/>
          </w:tcPr>
          <w:p w14:paraId="7FF7875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nil"/>
              <w:left w:val="single" w:color="auto" w:sz="6" w:space="0"/>
              <w:bottom w:val="single" w:color="auto" w:sz="6" w:space="0"/>
              <w:right w:val="single" w:color="auto" w:sz="6" w:space="0"/>
            </w:tcBorders>
            <w:vAlign w:val="center"/>
          </w:tcPr>
          <w:p w14:paraId="5610151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992" w:type="dxa"/>
            <w:tcBorders>
              <w:top w:val="nil"/>
              <w:left w:val="single" w:color="auto" w:sz="6" w:space="0"/>
              <w:bottom w:val="single" w:color="auto" w:sz="6" w:space="0"/>
              <w:right w:val="single" w:color="auto" w:sz="6" w:space="0"/>
            </w:tcBorders>
            <w:vAlign w:val="center"/>
          </w:tcPr>
          <w:p w14:paraId="4206B15B">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tcBorders>
              <w:top w:val="nil"/>
              <w:left w:val="single" w:color="auto" w:sz="6" w:space="0"/>
              <w:bottom w:val="single" w:color="auto" w:sz="6" w:space="0"/>
              <w:right w:val="single" w:color="auto" w:sz="6" w:space="0"/>
            </w:tcBorders>
            <w:vAlign w:val="center"/>
          </w:tcPr>
          <w:p w14:paraId="15CED64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tcBorders>
              <w:top w:val="nil"/>
              <w:left w:val="single" w:color="auto" w:sz="6" w:space="0"/>
              <w:bottom w:val="single" w:color="auto" w:sz="6" w:space="0"/>
              <w:right w:val="single" w:color="auto" w:sz="6" w:space="0"/>
            </w:tcBorders>
            <w:vAlign w:val="center"/>
          </w:tcPr>
          <w:p w14:paraId="3AFE98E3">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0" w:type="dxa"/>
            <w:tcBorders>
              <w:top w:val="nil"/>
              <w:left w:val="single" w:color="auto" w:sz="6" w:space="0"/>
              <w:bottom w:val="single" w:color="auto" w:sz="6" w:space="0"/>
              <w:right w:val="single" w:color="auto" w:sz="12" w:space="0"/>
            </w:tcBorders>
            <w:vAlign w:val="center"/>
          </w:tcPr>
          <w:p w14:paraId="543C206B">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33658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26CD7D5B">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344EE680">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51ED7931">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1E4F2B96">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5E47EAB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0804446D">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26C1CA30">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3765CF0">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1ED86AA9">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6F80987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6AAFAB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5963B05F">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607209DF">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11F1964B">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7C1F6C65">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5C8E64E3">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5DC13E9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598B16C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47F6782F">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556D8860">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6615BAE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0AE06E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70616B31">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645A2731">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719E6E52">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65FB32B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70D5FBF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5C30DA65">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59374B9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395C36E6">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21B2FB3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6A5CF2ED">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4C4E72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5F0B509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50204F75">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02950CBB">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2B16118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08AAB58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18037602">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57D2DC6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4F5E45A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6EA37A53">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1098ADC1">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5FF2EA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78839563">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6B06F79D">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05563D99">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5885B7ED">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1CEDD26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6AAE2C1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36DF14D3">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272EB6A6">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4621C988">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193D4E56">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3F9FE5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051144C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02889AF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4DAD4481">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0B29D5BF">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5EF9B270">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2C3F596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15561279">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220F7311">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45BE151D">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283CCD62">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0A9CBB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74434BFE">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54C74C41">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7CC5328D">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34313C5E">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5FE5A06A">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0747DA2D">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6A89B7C1">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405B44EC">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86FFB76">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4B0E9CA8">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6CC505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39C31875">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0C8E20F1">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43926843">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62B69A58">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124C112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0B3B410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7B39F83D">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9F5286E">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4D1CEFEF">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6A2D73E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0808A9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5D66F390">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519AC5A3">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399CCE64">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4FA69371">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447329F8">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111DF9B8">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4601CD87">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4E368B09">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1D80ADB1">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6C941579">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735B3E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4F541A55">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68831887">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0850D13B">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1F778446">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471A41FA">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5561F7C6">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2A6B4C9C">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166C2CD">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E4C3347">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1C57E790">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61CF6D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0E814C7F">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1160542B">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3789B9A8">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39A4392C">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6C323056">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5C754DE6">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1B3A57BC">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28447F58">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66D627B6">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40BE5BAA">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4BFD54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6DB585DA">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67DCF79A">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2313AF15">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45306DD4">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6DF23681">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0021E090">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2EB0A4CB">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49AEC73B">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511DEF3C">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046FB19C">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25B83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50AD55AF">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24BD0BA5">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03747018">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24FCF035">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1697F088">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5DF34BA0">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59A91822">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470FB67B">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40D85643">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4672306A">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67EC20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2741F038">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27A95D07">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2762905D">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0B4909D1">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0C0A5C17">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047B8493">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1199A0F2">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4DC01777">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5D5108DF">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08CE2849">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199DA6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68B17AB5">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7BBD4F7C">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289F512B">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02F9A1B0">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3DBC7FDB">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0381C0C4">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23CCDF45">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59E1929">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1D37EB20">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0543EB11">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0ECAC5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12" w:space="0"/>
              <w:right w:val="single" w:color="auto" w:sz="6" w:space="0"/>
            </w:tcBorders>
            <w:vAlign w:val="center"/>
          </w:tcPr>
          <w:p w14:paraId="5012B05F">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047" w:type="dxa"/>
            <w:tcBorders>
              <w:top w:val="single" w:color="auto" w:sz="6" w:space="0"/>
              <w:left w:val="single" w:color="auto" w:sz="6" w:space="0"/>
              <w:bottom w:val="single" w:color="auto" w:sz="12" w:space="0"/>
              <w:right w:val="single" w:color="auto" w:sz="6" w:space="0"/>
            </w:tcBorders>
            <w:vAlign w:val="center"/>
          </w:tcPr>
          <w:p w14:paraId="7805152F">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274" w:type="dxa"/>
            <w:tcBorders>
              <w:top w:val="single" w:color="auto" w:sz="6" w:space="0"/>
              <w:left w:val="single" w:color="auto" w:sz="6" w:space="0"/>
              <w:bottom w:val="single" w:color="auto" w:sz="12" w:space="0"/>
              <w:right w:val="single" w:color="auto" w:sz="6" w:space="0"/>
            </w:tcBorders>
            <w:vAlign w:val="center"/>
          </w:tcPr>
          <w:p w14:paraId="760AA2C2">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993" w:type="dxa"/>
            <w:tcBorders>
              <w:top w:val="single" w:color="auto" w:sz="6" w:space="0"/>
              <w:left w:val="single" w:color="auto" w:sz="6" w:space="0"/>
              <w:bottom w:val="single" w:color="auto" w:sz="12" w:space="0"/>
              <w:right w:val="single" w:color="auto" w:sz="6" w:space="0"/>
            </w:tcBorders>
            <w:vAlign w:val="center"/>
          </w:tcPr>
          <w:p w14:paraId="1112E1E4">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850" w:type="dxa"/>
            <w:tcBorders>
              <w:top w:val="single" w:color="auto" w:sz="6" w:space="0"/>
              <w:left w:val="single" w:color="auto" w:sz="6" w:space="0"/>
              <w:bottom w:val="single" w:color="auto" w:sz="12" w:space="0"/>
              <w:right w:val="single" w:color="auto" w:sz="6" w:space="0"/>
            </w:tcBorders>
            <w:vAlign w:val="center"/>
          </w:tcPr>
          <w:p w14:paraId="1C70B395">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851" w:type="dxa"/>
            <w:tcBorders>
              <w:top w:val="single" w:color="auto" w:sz="6" w:space="0"/>
              <w:left w:val="single" w:color="auto" w:sz="6" w:space="0"/>
              <w:bottom w:val="single" w:color="auto" w:sz="12" w:space="0"/>
              <w:right w:val="single" w:color="auto" w:sz="6" w:space="0"/>
            </w:tcBorders>
            <w:vAlign w:val="center"/>
          </w:tcPr>
          <w:p w14:paraId="2AA6271C">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992" w:type="dxa"/>
            <w:tcBorders>
              <w:top w:val="single" w:color="auto" w:sz="6" w:space="0"/>
              <w:left w:val="single" w:color="auto" w:sz="6" w:space="0"/>
              <w:bottom w:val="single" w:color="auto" w:sz="12" w:space="0"/>
              <w:right w:val="single" w:color="auto" w:sz="6" w:space="0"/>
            </w:tcBorders>
            <w:vAlign w:val="center"/>
          </w:tcPr>
          <w:p w14:paraId="433717B1">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134" w:type="dxa"/>
            <w:tcBorders>
              <w:top w:val="single" w:color="auto" w:sz="6" w:space="0"/>
              <w:left w:val="single" w:color="auto" w:sz="6" w:space="0"/>
              <w:bottom w:val="single" w:color="auto" w:sz="12" w:space="0"/>
              <w:right w:val="single" w:color="auto" w:sz="6" w:space="0"/>
            </w:tcBorders>
            <w:vAlign w:val="center"/>
          </w:tcPr>
          <w:p w14:paraId="3394B5D2">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134" w:type="dxa"/>
            <w:tcBorders>
              <w:top w:val="single" w:color="auto" w:sz="6" w:space="0"/>
              <w:left w:val="single" w:color="auto" w:sz="6" w:space="0"/>
              <w:bottom w:val="single" w:color="auto" w:sz="12" w:space="0"/>
              <w:right w:val="single" w:color="auto" w:sz="6" w:space="0"/>
            </w:tcBorders>
            <w:vAlign w:val="center"/>
          </w:tcPr>
          <w:p w14:paraId="6B100EEE">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850" w:type="dxa"/>
            <w:tcBorders>
              <w:top w:val="single" w:color="auto" w:sz="6" w:space="0"/>
              <w:left w:val="single" w:color="auto" w:sz="6" w:space="0"/>
              <w:bottom w:val="single" w:color="auto" w:sz="12" w:space="0"/>
              <w:right w:val="single" w:color="auto" w:sz="12" w:space="0"/>
            </w:tcBorders>
            <w:vAlign w:val="center"/>
          </w:tcPr>
          <w:p w14:paraId="6219B1E7">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bl>
    <w:p w14:paraId="13F697A2">
      <w:pPr>
        <w:spacing w:line="440" w:lineRule="exact"/>
        <w:rPr>
          <w:rFonts w:ascii="宋体" w:hAnsi="宋体" w:cs="宋体"/>
          <w:color w:val="auto"/>
          <w:szCs w:val="21"/>
          <w:highlight w:val="none"/>
        </w:rPr>
      </w:pPr>
    </w:p>
    <w:p w14:paraId="7623EAC1">
      <w:pPr>
        <w:spacing w:line="440" w:lineRule="exact"/>
        <w:rPr>
          <w:rFonts w:ascii="宋体" w:hAnsi="宋体" w:cs="宋体"/>
          <w:color w:val="auto"/>
          <w:szCs w:val="21"/>
          <w:highlight w:val="none"/>
        </w:rPr>
      </w:pPr>
      <w:r>
        <w:rPr>
          <w:rFonts w:hint="eastAsia" w:ascii="宋体" w:hAnsi="宋体" w:cs="宋体"/>
          <w:color w:val="auto"/>
          <w:szCs w:val="21"/>
          <w:highlight w:val="none"/>
        </w:rPr>
        <w:t>附</w:t>
      </w:r>
      <w:bookmarkStart w:id="1152" w:name="_Toc296944565"/>
      <w:bookmarkStart w:id="1153" w:name="_Toc296347225"/>
      <w:bookmarkStart w:id="1154" w:name="_Toc296891054"/>
      <w:bookmarkStart w:id="1155" w:name="_Toc267261693"/>
      <w:bookmarkStart w:id="1156" w:name="_Toc296503226"/>
      <w:bookmarkStart w:id="1157" w:name="_Toc296346727"/>
      <w:bookmarkStart w:id="1158" w:name="_Toc296891266"/>
      <w:r>
        <w:rPr>
          <w:rFonts w:hint="eastAsia" w:ascii="宋体" w:hAnsi="宋体" w:cs="宋体"/>
          <w:color w:val="auto"/>
          <w:szCs w:val="21"/>
          <w:highlight w:val="none"/>
        </w:rPr>
        <w:t>件3：</w:t>
      </w:r>
      <w:bookmarkEnd w:id="1152"/>
      <w:bookmarkEnd w:id="1153"/>
      <w:bookmarkEnd w:id="1154"/>
      <w:bookmarkEnd w:id="1155"/>
      <w:bookmarkEnd w:id="1156"/>
      <w:bookmarkEnd w:id="1157"/>
      <w:bookmarkEnd w:id="1158"/>
      <w:r>
        <w:rPr>
          <w:rFonts w:hint="eastAsia" w:ascii="宋体" w:hAnsi="宋体" w:cs="宋体"/>
          <w:color w:val="auto"/>
          <w:szCs w:val="21"/>
          <w:highlight w:val="none"/>
        </w:rPr>
        <w:t xml:space="preserve">    </w:t>
      </w:r>
    </w:p>
    <w:p w14:paraId="5AF1E433">
      <w:pPr>
        <w:spacing w:before="156" w:beforeLines="50" w:after="156" w:afterLines="50" w:line="440" w:lineRule="exact"/>
        <w:jc w:val="center"/>
        <w:rPr>
          <w:rFonts w:ascii="宋体" w:hAnsi="宋体" w:cs="宋体"/>
          <w:color w:val="auto"/>
          <w:szCs w:val="21"/>
          <w:highlight w:val="none"/>
        </w:rPr>
      </w:pPr>
      <w:r>
        <w:rPr>
          <w:rFonts w:hint="eastAsia" w:ascii="宋体" w:hAnsi="宋体" w:cs="宋体"/>
          <w:color w:val="auto"/>
          <w:szCs w:val="21"/>
          <w:highlight w:val="none"/>
        </w:rPr>
        <w:t>工程质量保修书</w:t>
      </w:r>
    </w:p>
    <w:p w14:paraId="0CCC5C8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707A03C">
      <w:pPr>
        <w:spacing w:line="440" w:lineRule="exact"/>
        <w:rPr>
          <w:rFonts w:ascii="宋体" w:hAnsi="宋体" w:cs="宋体"/>
          <w:color w:val="auto"/>
          <w:szCs w:val="21"/>
          <w:highlight w:val="none"/>
        </w:rPr>
      </w:pPr>
      <w:r>
        <w:rPr>
          <w:rFonts w:hint="eastAsia" w:ascii="宋体" w:hAnsi="宋体" w:cs="宋体"/>
          <w:color w:val="auto"/>
          <w:szCs w:val="21"/>
          <w:highlight w:val="none"/>
        </w:rPr>
        <w:t>　　承包人（全称）：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A9ADFD0">
      <w:pPr>
        <w:spacing w:line="440" w:lineRule="exact"/>
        <w:rPr>
          <w:rFonts w:ascii="宋体" w:hAnsi="宋体" w:cs="宋体"/>
          <w:color w:val="auto"/>
          <w:szCs w:val="21"/>
          <w:highlight w:val="none"/>
        </w:rPr>
      </w:pPr>
    </w:p>
    <w:p w14:paraId="4288E303">
      <w:pPr>
        <w:spacing w:line="360" w:lineRule="auto"/>
        <w:rPr>
          <w:rFonts w:ascii="宋体" w:hAnsi="宋体" w:cs="宋体"/>
          <w:color w:val="auto"/>
          <w:szCs w:val="21"/>
          <w:highlight w:val="none"/>
        </w:rPr>
      </w:pPr>
      <w:r>
        <w:rPr>
          <w:rFonts w:hint="eastAsia" w:ascii="宋体" w:hAnsi="宋体" w:cs="宋体"/>
          <w:color w:val="auto"/>
          <w:szCs w:val="21"/>
          <w:highlight w:val="none"/>
        </w:rPr>
        <w:t>　　发包人和承包人根据《中华人民共和国建筑法》和《建设工程质量管理条例》，经协商一致就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（工程全称）签订工程质量保修书。</w:t>
      </w:r>
    </w:p>
    <w:p w14:paraId="1879C9A0">
      <w:pPr>
        <w:spacing w:line="360" w:lineRule="auto"/>
        <w:rPr>
          <w:rFonts w:ascii="宋体" w:hAnsi="宋体" w:cs="宋体"/>
          <w:color w:val="auto"/>
          <w:szCs w:val="21"/>
          <w:highlight w:val="none"/>
        </w:rPr>
      </w:pPr>
      <w:r>
        <w:rPr>
          <w:rFonts w:hint="eastAsia" w:ascii="宋体" w:hAnsi="宋体" w:cs="宋体"/>
          <w:color w:val="auto"/>
          <w:szCs w:val="21"/>
          <w:highlight w:val="none"/>
        </w:rPr>
        <w:t>　　一、工程质量保修范围和内容</w:t>
      </w:r>
    </w:p>
    <w:p w14:paraId="1338C94F">
      <w:pPr>
        <w:spacing w:line="360" w:lineRule="auto"/>
        <w:rPr>
          <w:rFonts w:ascii="宋体" w:hAnsi="宋体" w:cs="宋体"/>
          <w:color w:val="auto"/>
          <w:szCs w:val="21"/>
          <w:highlight w:val="none"/>
        </w:rPr>
      </w:pPr>
      <w:r>
        <w:rPr>
          <w:rFonts w:hint="eastAsia" w:ascii="宋体" w:hAnsi="宋体" w:cs="宋体"/>
          <w:color w:val="auto"/>
          <w:szCs w:val="21"/>
          <w:highlight w:val="none"/>
        </w:rPr>
        <w:t>　　承包人在质量保修期内，按照有关法律规定和合同约定，承担工程质量保修责任。</w:t>
      </w:r>
    </w:p>
    <w:p w14:paraId="048F886F">
      <w:pPr>
        <w:spacing w:line="360" w:lineRule="auto"/>
        <w:rPr>
          <w:rFonts w:ascii="宋体" w:hAnsi="宋体" w:cs="宋体"/>
          <w:color w:val="auto"/>
          <w:szCs w:val="21"/>
          <w:highlight w:val="none"/>
        </w:rPr>
      </w:pPr>
      <w:r>
        <w:rPr>
          <w:rFonts w:hint="eastAsia" w:ascii="宋体" w:hAnsi="宋体" w:cs="宋体"/>
          <w:color w:val="auto"/>
          <w:szCs w:val="21"/>
          <w:highlight w:val="none"/>
        </w:rPr>
        <w:t>　　质量保修范围包括</w:t>
      </w:r>
      <w:r>
        <w:rPr>
          <w:rFonts w:hint="eastAsia" w:ascii="宋体" w:hAnsi="宋体"/>
          <w:color w:val="auto"/>
          <w:szCs w:val="21"/>
          <w:highlight w:val="none"/>
          <w:u w:val="single"/>
          <w:lang w:eastAsia="zh-CN"/>
        </w:rPr>
        <w:t>兴安县人民医院门诊及住院楼装修项目（增加补充部分电力，墙板，门窗柜子等）</w:t>
      </w:r>
      <w:r>
        <w:rPr>
          <w:rFonts w:hint="eastAsia" w:ascii="宋体" w:hAnsi="宋体"/>
          <w:color w:val="auto"/>
          <w:szCs w:val="21"/>
          <w:highlight w:val="none"/>
          <w:u w:val="single"/>
        </w:rPr>
        <w:t>所涉及的相关保修</w:t>
      </w:r>
      <w:r>
        <w:rPr>
          <w:rFonts w:hint="eastAsia" w:ascii="宋体" w:hAnsi="宋体" w:cs="宋体"/>
          <w:color w:val="auto"/>
          <w:szCs w:val="21"/>
          <w:highlight w:val="none"/>
        </w:rPr>
        <w:t>，以及双方约定的其他项目。具体保修的内容，双方约定如下：</w:t>
      </w:r>
    </w:p>
    <w:p w14:paraId="1171CEA9">
      <w:pPr>
        <w:autoSpaceDE w:val="0"/>
        <w:autoSpaceDN w:val="0"/>
        <w:adjustRightInd w:val="0"/>
        <w:spacing w:line="500" w:lineRule="exact"/>
        <w:ind w:left="-85" w:firstLine="420" w:firstLineChars="200"/>
        <w:rPr>
          <w:rFonts w:ascii="宋体" w:hAnsi="宋体" w:cs="宋体"/>
          <w:b/>
          <w:color w:val="auto"/>
          <w:highlight w:val="none"/>
          <w:u w:val="single"/>
        </w:rPr>
      </w:pPr>
      <w:r>
        <w:rPr>
          <w:rFonts w:hint="eastAsia" w:ascii="宋体" w:hAnsi="宋体" w:cs="宋体"/>
          <w:color w:val="auto"/>
          <w:szCs w:val="21"/>
          <w:highlight w:val="none"/>
        </w:rPr>
        <w:t>　　</w:t>
      </w:r>
      <w:r>
        <w:rPr>
          <w:rFonts w:hint="eastAsia" w:ascii="宋体" w:hAnsi="宋体" w:cs="宋体"/>
          <w:b/>
          <w:color w:val="auto"/>
          <w:highlight w:val="none"/>
          <w:u w:val="single"/>
          <w:lang w:val="zh-CN"/>
        </w:rPr>
        <w:t>在承包人承包范围内，属承包人责任造成的工程质量问题，由承包人承担质量保修责任</w:t>
      </w:r>
      <w:r>
        <w:rPr>
          <w:rFonts w:hint="eastAsia" w:ascii="宋体" w:hAnsi="宋体" w:cs="宋体"/>
          <w:color w:val="auto"/>
          <w:szCs w:val="21"/>
          <w:highlight w:val="none"/>
        </w:rPr>
        <w:t>。</w:t>
      </w:r>
    </w:p>
    <w:p w14:paraId="5611F60C">
      <w:pPr>
        <w:spacing w:line="360" w:lineRule="auto"/>
        <w:rPr>
          <w:rFonts w:ascii="宋体" w:hAnsi="宋体" w:cs="宋体"/>
          <w:color w:val="auto"/>
          <w:szCs w:val="21"/>
          <w:highlight w:val="none"/>
        </w:rPr>
      </w:pPr>
      <w:r>
        <w:rPr>
          <w:rFonts w:hint="eastAsia" w:ascii="宋体" w:hAnsi="宋体" w:cs="宋体"/>
          <w:b/>
          <w:color w:val="auto"/>
          <w:szCs w:val="21"/>
          <w:highlight w:val="none"/>
        </w:rPr>
        <w:t>　　</w:t>
      </w:r>
      <w:r>
        <w:rPr>
          <w:rFonts w:hint="eastAsia" w:ascii="宋体" w:hAnsi="宋体" w:cs="宋体"/>
          <w:color w:val="auto"/>
          <w:szCs w:val="21"/>
          <w:highlight w:val="none"/>
        </w:rPr>
        <w:t>二、质量保修期</w:t>
      </w:r>
    </w:p>
    <w:p w14:paraId="0A18FD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根据《建设工程质量管理条例》及有关规定，工程的质量保修期如下：</w:t>
      </w:r>
    </w:p>
    <w:p w14:paraId="7BB796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1.地基基础工程和主体结构工程为设计文件规定的该工程合理使用年限；</w:t>
      </w:r>
    </w:p>
    <w:p w14:paraId="4D0B08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2.屋面防水工程、有防水要求的卫生间、房间和外墙面的防渗漏为</w:t>
      </w:r>
      <w:r>
        <w:rPr>
          <w:rFonts w:hint="eastAsia" w:ascii="宋体" w:hAnsi="宋体" w:cs="宋体"/>
          <w:color w:val="auto"/>
          <w:szCs w:val="21"/>
          <w:highlight w:val="none"/>
          <w:u w:val="single"/>
        </w:rPr>
        <w:t xml:space="preserve">   5   </w:t>
      </w:r>
      <w:r>
        <w:rPr>
          <w:rFonts w:hint="eastAsia" w:ascii="宋体" w:hAnsi="宋体" w:cs="宋体"/>
          <w:color w:val="auto"/>
          <w:szCs w:val="21"/>
          <w:highlight w:val="none"/>
        </w:rPr>
        <w:t>年；</w:t>
      </w:r>
    </w:p>
    <w:p w14:paraId="3B4205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3.装修工程为</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年；</w:t>
      </w:r>
    </w:p>
    <w:p w14:paraId="6EE304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4.电气管线、给排水管道、设备安装工程为</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年；</w:t>
      </w:r>
    </w:p>
    <w:p w14:paraId="161DFD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5.供热与供冷系统为</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个采暖期、供冷期；</w:t>
      </w:r>
    </w:p>
    <w:p w14:paraId="17A312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6.住宅小区内的给排水设施、道路等配套工程为</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年；</w:t>
      </w:r>
    </w:p>
    <w:p w14:paraId="661A50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7.其他项目保修期限约定如下：</w:t>
      </w:r>
      <w:r>
        <w:rPr>
          <w:rFonts w:hint="eastAsia" w:ascii="宋体" w:hAnsi="宋体" w:cs="宋体"/>
          <w:color w:val="auto"/>
          <w:szCs w:val="21"/>
          <w:highlight w:val="none"/>
          <w:u w:val="single"/>
        </w:rPr>
        <w:t xml:space="preserve">   2年         </w:t>
      </w:r>
      <w:r>
        <w:rPr>
          <w:rFonts w:hint="eastAsia" w:ascii="宋体" w:hAnsi="宋体" w:cs="宋体"/>
          <w:color w:val="auto"/>
          <w:szCs w:val="21"/>
          <w:highlight w:val="none"/>
        </w:rPr>
        <w:t>。</w:t>
      </w:r>
    </w:p>
    <w:p w14:paraId="1A935F32">
      <w:pPr>
        <w:spacing w:line="360" w:lineRule="auto"/>
        <w:rPr>
          <w:rFonts w:ascii="宋体" w:hAnsi="宋体" w:cs="宋体"/>
          <w:color w:val="auto"/>
          <w:szCs w:val="21"/>
          <w:highlight w:val="none"/>
        </w:rPr>
      </w:pPr>
      <w:r>
        <w:rPr>
          <w:rFonts w:hint="eastAsia" w:ascii="宋体" w:hAnsi="宋体" w:cs="宋体"/>
          <w:color w:val="auto"/>
          <w:szCs w:val="21"/>
          <w:highlight w:val="none"/>
        </w:rPr>
        <w:t>　　质量保修期自工程竣工验收合格之日起计算。</w:t>
      </w:r>
    </w:p>
    <w:p w14:paraId="22B7B1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三、缺陷责任期</w:t>
      </w:r>
    </w:p>
    <w:p w14:paraId="7C23EE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工程缺陷责任期为</w:t>
      </w:r>
      <w:r>
        <w:rPr>
          <w:rFonts w:hint="eastAsia" w:ascii="宋体" w:hAnsi="宋体" w:cs="宋体"/>
          <w:color w:val="auto"/>
          <w:szCs w:val="21"/>
          <w:highlight w:val="none"/>
          <w:u w:val="single"/>
        </w:rPr>
        <w:t xml:space="preserve">24 </w:t>
      </w:r>
      <w:r>
        <w:rPr>
          <w:rFonts w:hint="eastAsia" w:ascii="宋体" w:hAnsi="宋体" w:cs="宋体"/>
          <w:color w:val="auto"/>
          <w:szCs w:val="21"/>
          <w:highlight w:val="none"/>
        </w:rPr>
        <w:t>个月，缺陷责任期自工程竣工验收合格之日起计算。单位工程先于全部工程进行验收，单位工程缺陷责任期自单位工程验收合格之日起算。</w:t>
      </w:r>
    </w:p>
    <w:p w14:paraId="09838020">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四、质量保修责任</w:t>
      </w:r>
    </w:p>
    <w:p w14:paraId="14D70A7E">
      <w:pPr>
        <w:spacing w:line="360" w:lineRule="auto"/>
        <w:ind w:left="105" w:leftChars="50" w:firstLine="430" w:firstLineChars="205"/>
        <w:rPr>
          <w:rFonts w:ascii="宋体" w:hAnsi="宋体" w:cs="宋体"/>
          <w:color w:val="auto"/>
          <w:szCs w:val="21"/>
          <w:highlight w:val="none"/>
        </w:rPr>
      </w:pPr>
      <w:r>
        <w:rPr>
          <w:rFonts w:hint="eastAsia" w:ascii="宋体" w:hAnsi="宋体" w:cs="宋体"/>
          <w:color w:val="auto"/>
          <w:szCs w:val="21"/>
          <w:highlight w:val="none"/>
        </w:rPr>
        <w:t>1.属于保修范围、内容的项目，承包人应当在接到保修通知之日起7天内派人保修。承包人不在约定期限内派人保修的，发包人可以委托他人修理。</w:t>
      </w:r>
    </w:p>
    <w:p w14:paraId="18BA4676">
      <w:pPr>
        <w:spacing w:line="360" w:lineRule="auto"/>
        <w:ind w:left="105" w:leftChars="50" w:firstLine="430" w:firstLineChars="205"/>
        <w:rPr>
          <w:rFonts w:ascii="宋体" w:hAnsi="宋体" w:cs="宋体"/>
          <w:color w:val="auto"/>
          <w:szCs w:val="21"/>
          <w:highlight w:val="none"/>
        </w:rPr>
      </w:pPr>
      <w:r>
        <w:rPr>
          <w:rFonts w:hint="eastAsia" w:ascii="宋体" w:hAnsi="宋体" w:cs="宋体"/>
          <w:color w:val="auto"/>
          <w:szCs w:val="21"/>
          <w:highlight w:val="none"/>
        </w:rPr>
        <w:t>2.发生紧急事故需抢修的，承包人在接到事故通知后，应当立即到达事故现场抢修。</w:t>
      </w:r>
    </w:p>
    <w:p w14:paraId="3D2DE9AB">
      <w:pPr>
        <w:spacing w:line="360" w:lineRule="auto"/>
        <w:ind w:left="105" w:leftChars="50" w:firstLine="430" w:firstLineChars="205"/>
        <w:rPr>
          <w:rFonts w:ascii="宋体" w:hAnsi="宋体" w:cs="宋体"/>
          <w:color w:val="auto"/>
          <w:szCs w:val="21"/>
          <w:highlight w:val="none"/>
        </w:rPr>
      </w:pPr>
      <w:r>
        <w:rPr>
          <w:rFonts w:hint="eastAsia" w:ascii="宋体" w:hAnsi="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56A25EE">
      <w:pPr>
        <w:spacing w:line="360" w:lineRule="auto"/>
        <w:ind w:left="420" w:leftChars="200" w:firstLine="105" w:firstLineChars="50"/>
        <w:rPr>
          <w:rFonts w:ascii="宋体" w:hAnsi="宋体" w:cs="宋体"/>
          <w:color w:val="auto"/>
          <w:szCs w:val="21"/>
          <w:highlight w:val="none"/>
        </w:rPr>
      </w:pPr>
      <w:r>
        <w:rPr>
          <w:rFonts w:hint="eastAsia" w:ascii="宋体" w:hAnsi="宋体" w:cs="宋体"/>
          <w:color w:val="auto"/>
          <w:szCs w:val="21"/>
          <w:highlight w:val="none"/>
        </w:rPr>
        <w:t>4.质量保修完成后，由发包人组织验收。</w:t>
      </w:r>
    </w:p>
    <w:p w14:paraId="743DE902">
      <w:pPr>
        <w:spacing w:line="360" w:lineRule="auto"/>
        <w:rPr>
          <w:rFonts w:ascii="宋体" w:hAnsi="宋体" w:cs="宋体"/>
          <w:color w:val="auto"/>
          <w:szCs w:val="21"/>
          <w:highlight w:val="none"/>
        </w:rPr>
      </w:pPr>
      <w:r>
        <w:rPr>
          <w:rFonts w:hint="eastAsia" w:ascii="宋体" w:hAnsi="宋体" w:cs="宋体"/>
          <w:color w:val="auto"/>
          <w:szCs w:val="21"/>
          <w:highlight w:val="none"/>
        </w:rPr>
        <w:t>　　五、保修费用</w:t>
      </w:r>
    </w:p>
    <w:p w14:paraId="0620F1DC">
      <w:pPr>
        <w:spacing w:line="360" w:lineRule="auto"/>
        <w:rPr>
          <w:rFonts w:ascii="宋体" w:hAnsi="宋体" w:cs="宋体"/>
          <w:color w:val="auto"/>
          <w:szCs w:val="21"/>
          <w:highlight w:val="none"/>
        </w:rPr>
      </w:pPr>
      <w:r>
        <w:rPr>
          <w:rFonts w:hint="eastAsia" w:ascii="宋体" w:hAnsi="宋体" w:cs="宋体"/>
          <w:color w:val="auto"/>
          <w:szCs w:val="21"/>
          <w:highlight w:val="none"/>
        </w:rPr>
        <w:t>　　保修费用由造成质量缺陷的责任方承担。</w:t>
      </w:r>
    </w:p>
    <w:p w14:paraId="38EB296A">
      <w:pPr>
        <w:spacing w:line="360" w:lineRule="auto"/>
        <w:ind w:firstLine="600"/>
        <w:jc w:val="left"/>
        <w:rPr>
          <w:rFonts w:ascii="宋体" w:hAnsi="宋体" w:cs="宋体"/>
          <w:color w:val="auto"/>
          <w:szCs w:val="21"/>
          <w:highlight w:val="none"/>
          <w:u w:val="single"/>
        </w:rPr>
      </w:pPr>
      <w:r>
        <w:rPr>
          <w:rFonts w:hint="eastAsia" w:ascii="宋体" w:hAnsi="宋体" w:cs="宋体"/>
          <w:b/>
          <w:color w:val="auto"/>
          <w:szCs w:val="21"/>
          <w:highlight w:val="none"/>
        </w:rPr>
        <w:t>六</w:t>
      </w:r>
      <w:r>
        <w:rPr>
          <w:rFonts w:hint="eastAsia" w:ascii="宋体" w:hAnsi="宋体" w:cs="宋体"/>
          <w:color w:val="auto"/>
          <w:szCs w:val="21"/>
          <w:highlight w:val="none"/>
        </w:rPr>
        <w:t>、双方约定的其他工程质量保修事项</w:t>
      </w:r>
      <w:r>
        <w:rPr>
          <w:rFonts w:hint="eastAsia" w:ascii="宋体" w:hAnsi="宋体" w:cs="宋体"/>
          <w:color w:val="auto"/>
          <w:szCs w:val="21"/>
          <w:highlight w:val="none"/>
          <w:u w:val="single"/>
        </w:rPr>
        <w:t xml:space="preserve">                                   。</w:t>
      </w:r>
    </w:p>
    <w:p w14:paraId="30A08C98">
      <w:pPr>
        <w:spacing w:line="360" w:lineRule="auto"/>
        <w:ind w:firstLine="600"/>
        <w:jc w:val="left"/>
        <w:rPr>
          <w:rFonts w:ascii="宋体" w:hAnsi="宋体" w:cs="宋体"/>
          <w:color w:val="auto"/>
          <w:szCs w:val="21"/>
          <w:highlight w:val="none"/>
        </w:rPr>
      </w:pPr>
      <w:r>
        <w:rPr>
          <w:rFonts w:hint="eastAsia" w:ascii="宋体" w:hAnsi="宋体" w:cs="宋体"/>
          <w:color w:val="auto"/>
          <w:szCs w:val="21"/>
          <w:highlight w:val="none"/>
        </w:rPr>
        <w:t>工程质量保修书由发包人、承包人在工程竣工验收前共同签署，作为施工合同附件，其有效期限至保修期满。</w:t>
      </w:r>
    </w:p>
    <w:p w14:paraId="1A3E68D4">
      <w:pPr>
        <w:spacing w:line="360" w:lineRule="auto"/>
        <w:ind w:firstLine="420"/>
        <w:rPr>
          <w:rFonts w:ascii="宋体" w:hAnsi="宋体" w:cs="宋体"/>
          <w:color w:val="auto"/>
          <w:szCs w:val="21"/>
          <w:highlight w:val="none"/>
        </w:rPr>
      </w:pPr>
    </w:p>
    <w:p w14:paraId="67485D09">
      <w:pPr>
        <w:spacing w:line="360" w:lineRule="auto"/>
        <w:rPr>
          <w:rFonts w:ascii="宋体" w:hAnsi="宋体" w:cs="宋体"/>
          <w:color w:val="auto"/>
          <w:szCs w:val="21"/>
          <w:highlight w:val="none"/>
        </w:rPr>
      </w:pPr>
      <w:r>
        <w:rPr>
          <w:rFonts w:hint="eastAsia" w:ascii="宋体" w:hAnsi="宋体" w:cs="宋体"/>
          <w:color w:val="auto"/>
          <w:szCs w:val="21"/>
          <w:highlight w:val="none"/>
        </w:rPr>
        <w:t>发包人（公章）：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承包人（公章）：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5E26222C">
      <w:pPr>
        <w:spacing w:line="360" w:lineRule="auto"/>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7F9CE25">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p>
    <w:p w14:paraId="45664B51">
      <w:pPr>
        <w:spacing w:line="360" w:lineRule="auto"/>
        <w:rPr>
          <w:rFonts w:ascii="宋体" w:hAnsi="宋体" w:cs="宋体"/>
          <w:color w:val="auto"/>
          <w:szCs w:val="21"/>
          <w:highlight w:val="none"/>
        </w:rPr>
      </w:pPr>
      <w:r>
        <w:rPr>
          <w:rFonts w:hint="eastAsia" w:ascii="宋体" w:hAnsi="宋体" w:cs="宋体"/>
          <w:color w:val="auto"/>
          <w:szCs w:val="21"/>
          <w:highlight w:val="none"/>
        </w:rPr>
        <w:t>委托代理人（签字）：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委托代理人（签字）：</w:t>
      </w:r>
      <w:r>
        <w:rPr>
          <w:rFonts w:hint="eastAsia" w:ascii="宋体" w:hAnsi="宋体" w:cs="宋体"/>
          <w:color w:val="auto"/>
          <w:szCs w:val="21"/>
          <w:highlight w:val="none"/>
          <w:u w:val="single"/>
        </w:rPr>
        <w:t xml:space="preserve">           </w:t>
      </w:r>
    </w:p>
    <w:p w14:paraId="00642F3B">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1E74A4E1">
      <w:pPr>
        <w:spacing w:line="360" w:lineRule="auto"/>
        <w:rPr>
          <w:rFonts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w:t>
      </w:r>
    </w:p>
    <w:p w14:paraId="7BE6194A">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p>
    <w:p w14:paraId="45651408">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14:paraId="51BE6354">
      <w:pPr>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rPr>
        <w:br w:type="page"/>
      </w:r>
      <w:r>
        <w:rPr>
          <w:rFonts w:hint="eastAsia" w:ascii="宋体" w:hAnsi="宋体" w:cs="宋体"/>
          <w:color w:val="auto"/>
          <w:szCs w:val="21"/>
          <w:highlight w:val="none"/>
        </w:rPr>
        <w:t>附件4：</w:t>
      </w:r>
    </w:p>
    <w:p w14:paraId="0FF560FD">
      <w:pPr>
        <w:spacing w:before="156" w:beforeLines="50" w:after="156" w:afterLines="50" w:line="440" w:lineRule="exact"/>
        <w:jc w:val="center"/>
        <w:rPr>
          <w:rFonts w:ascii="宋体" w:hAnsi="宋体" w:cs="宋体"/>
          <w:color w:val="auto"/>
          <w:szCs w:val="21"/>
          <w:highlight w:val="none"/>
        </w:rPr>
      </w:pPr>
      <w:r>
        <w:rPr>
          <w:rFonts w:hint="eastAsia" w:ascii="宋体" w:hAnsi="宋体" w:cs="宋体"/>
          <w:color w:val="auto"/>
          <w:szCs w:val="21"/>
          <w:highlight w:val="none"/>
        </w:rPr>
        <w:t>主要建设工程文件目录</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38425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953" w:type="dxa"/>
            <w:vAlign w:val="center"/>
          </w:tcPr>
          <w:p w14:paraId="53968AB9">
            <w:pPr>
              <w:pStyle w:val="19"/>
              <w:keepNext/>
              <w:keepLines w:val="0"/>
              <w:suppressLineNumbers w:val="0"/>
              <w:spacing w:before="0" w:beforeAutospacing="0" w:afterAutospacing="0" w:line="440" w:lineRule="exact"/>
              <w:ind w:left="420" w:right="63"/>
              <w:rPr>
                <w:rFonts w:hint="default" w:ascii="宋体" w:hAnsi="宋体"/>
                <w:color w:val="auto"/>
                <w:highlight w:val="none"/>
              </w:rPr>
            </w:pPr>
            <w:r>
              <w:rPr>
                <w:rFonts w:hint="eastAsia" w:ascii="宋体" w:hAnsi="宋体"/>
                <w:color w:val="auto"/>
                <w:highlight w:val="none"/>
              </w:rPr>
              <w:t>文件名称</w:t>
            </w:r>
          </w:p>
        </w:tc>
        <w:tc>
          <w:tcPr>
            <w:tcW w:w="1276" w:type="dxa"/>
            <w:vAlign w:val="center"/>
          </w:tcPr>
          <w:p w14:paraId="5154B99E">
            <w:pPr>
              <w:pStyle w:val="19"/>
              <w:keepNext/>
              <w:keepLines w:val="0"/>
              <w:suppressLineNumbers w:val="0"/>
              <w:spacing w:before="0" w:beforeAutospacing="0" w:afterAutospacing="0" w:line="440" w:lineRule="exact"/>
              <w:ind w:left="420" w:right="63"/>
              <w:rPr>
                <w:rFonts w:hint="default" w:ascii="宋体" w:hAnsi="宋体"/>
                <w:color w:val="auto"/>
                <w:highlight w:val="none"/>
              </w:rPr>
            </w:pPr>
            <w:r>
              <w:rPr>
                <w:rFonts w:hint="eastAsia" w:ascii="宋体" w:hAnsi="宋体"/>
                <w:color w:val="auto"/>
                <w:highlight w:val="none"/>
              </w:rPr>
              <w:t>套数</w:t>
            </w:r>
          </w:p>
        </w:tc>
        <w:tc>
          <w:tcPr>
            <w:tcW w:w="1450" w:type="dxa"/>
            <w:vAlign w:val="center"/>
          </w:tcPr>
          <w:p w14:paraId="3A61B725">
            <w:pPr>
              <w:pStyle w:val="19"/>
              <w:keepNext/>
              <w:keepLines w:val="0"/>
              <w:suppressLineNumbers w:val="0"/>
              <w:spacing w:before="0" w:beforeAutospacing="0" w:afterAutospacing="0" w:line="440" w:lineRule="exact"/>
              <w:ind w:left="420" w:right="63"/>
              <w:rPr>
                <w:rFonts w:hint="default" w:ascii="宋体" w:hAnsi="宋体"/>
                <w:color w:val="auto"/>
                <w:highlight w:val="none"/>
              </w:rPr>
            </w:pPr>
            <w:r>
              <w:rPr>
                <w:rFonts w:hint="eastAsia" w:ascii="宋体" w:hAnsi="宋体"/>
                <w:color w:val="auto"/>
                <w:highlight w:val="none"/>
              </w:rPr>
              <w:t>费用（元）</w:t>
            </w:r>
          </w:p>
        </w:tc>
        <w:tc>
          <w:tcPr>
            <w:tcW w:w="1243" w:type="dxa"/>
            <w:vAlign w:val="center"/>
          </w:tcPr>
          <w:p w14:paraId="51BBCAA0">
            <w:pPr>
              <w:pStyle w:val="19"/>
              <w:keepNext/>
              <w:keepLines w:val="0"/>
              <w:suppressLineNumbers w:val="0"/>
              <w:spacing w:before="0" w:beforeAutospacing="0" w:afterAutospacing="0" w:line="440" w:lineRule="exact"/>
              <w:ind w:left="420" w:right="63"/>
              <w:rPr>
                <w:rFonts w:hint="default" w:ascii="宋体" w:hAnsi="宋体"/>
                <w:color w:val="auto"/>
                <w:highlight w:val="none"/>
              </w:rPr>
            </w:pPr>
            <w:r>
              <w:rPr>
                <w:rFonts w:hint="eastAsia" w:ascii="宋体" w:hAnsi="宋体"/>
                <w:color w:val="auto"/>
                <w:highlight w:val="none"/>
              </w:rPr>
              <w:t>质量</w:t>
            </w:r>
          </w:p>
        </w:tc>
        <w:tc>
          <w:tcPr>
            <w:tcW w:w="1450" w:type="dxa"/>
          </w:tcPr>
          <w:p w14:paraId="2C594134">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移交时间</w:t>
            </w:r>
          </w:p>
        </w:tc>
        <w:tc>
          <w:tcPr>
            <w:tcW w:w="1667" w:type="dxa"/>
          </w:tcPr>
          <w:p w14:paraId="77274300">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责任人</w:t>
            </w:r>
          </w:p>
        </w:tc>
      </w:tr>
      <w:tr w14:paraId="18C03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14:paraId="63603FE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276" w:type="dxa"/>
            <w:vAlign w:val="center"/>
          </w:tcPr>
          <w:p w14:paraId="7E80CF91">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50" w:type="dxa"/>
            <w:vAlign w:val="center"/>
          </w:tcPr>
          <w:p w14:paraId="2EA7EC88">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243" w:type="dxa"/>
            <w:vAlign w:val="center"/>
          </w:tcPr>
          <w:p w14:paraId="7B29E4CF">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50" w:type="dxa"/>
            <w:vAlign w:val="center"/>
          </w:tcPr>
          <w:p w14:paraId="113BDD60">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667" w:type="dxa"/>
            <w:vAlign w:val="center"/>
          </w:tcPr>
          <w:p w14:paraId="40A86F3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619D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14:paraId="20E28D5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276" w:type="dxa"/>
            <w:vAlign w:val="center"/>
          </w:tcPr>
          <w:p w14:paraId="2E55D359">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50" w:type="dxa"/>
            <w:vAlign w:val="center"/>
          </w:tcPr>
          <w:p w14:paraId="2D99B76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243" w:type="dxa"/>
            <w:vAlign w:val="center"/>
          </w:tcPr>
          <w:p w14:paraId="7D1DBB7D">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50" w:type="dxa"/>
            <w:vAlign w:val="center"/>
          </w:tcPr>
          <w:p w14:paraId="78AE98C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667" w:type="dxa"/>
            <w:vAlign w:val="center"/>
          </w:tcPr>
          <w:p w14:paraId="5D27F98F">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0076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14:paraId="7F9EF22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276" w:type="dxa"/>
            <w:vAlign w:val="center"/>
          </w:tcPr>
          <w:p w14:paraId="0FBD4426">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50" w:type="dxa"/>
            <w:vAlign w:val="center"/>
          </w:tcPr>
          <w:p w14:paraId="6AEC284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243" w:type="dxa"/>
            <w:vAlign w:val="center"/>
          </w:tcPr>
          <w:p w14:paraId="00D196F8">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50" w:type="dxa"/>
            <w:vAlign w:val="center"/>
          </w:tcPr>
          <w:p w14:paraId="039948B1">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667" w:type="dxa"/>
            <w:vAlign w:val="center"/>
          </w:tcPr>
          <w:p w14:paraId="2A86624E">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585C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14:paraId="4BA6307F">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276" w:type="dxa"/>
            <w:vAlign w:val="center"/>
          </w:tcPr>
          <w:p w14:paraId="419F5B88">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50" w:type="dxa"/>
            <w:vAlign w:val="center"/>
          </w:tcPr>
          <w:p w14:paraId="19874082">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243" w:type="dxa"/>
            <w:vAlign w:val="center"/>
          </w:tcPr>
          <w:p w14:paraId="74C2755E">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50" w:type="dxa"/>
            <w:vAlign w:val="center"/>
          </w:tcPr>
          <w:p w14:paraId="631D958D">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667" w:type="dxa"/>
            <w:vAlign w:val="center"/>
          </w:tcPr>
          <w:p w14:paraId="00FF2C8D">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3B4D3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14:paraId="7A4C6561">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276" w:type="dxa"/>
            <w:vAlign w:val="center"/>
          </w:tcPr>
          <w:p w14:paraId="5FDA3FF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50" w:type="dxa"/>
            <w:vAlign w:val="center"/>
          </w:tcPr>
          <w:p w14:paraId="52D5893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243" w:type="dxa"/>
            <w:vAlign w:val="center"/>
          </w:tcPr>
          <w:p w14:paraId="64FE5860">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50" w:type="dxa"/>
            <w:vAlign w:val="center"/>
          </w:tcPr>
          <w:p w14:paraId="0C9140B5">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667" w:type="dxa"/>
            <w:vAlign w:val="center"/>
          </w:tcPr>
          <w:p w14:paraId="3B6C0D76">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7DCE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14:paraId="1CB95B9F">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276" w:type="dxa"/>
            <w:vAlign w:val="center"/>
          </w:tcPr>
          <w:p w14:paraId="0DFC9425">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50" w:type="dxa"/>
            <w:vAlign w:val="center"/>
          </w:tcPr>
          <w:p w14:paraId="2DCBF77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243" w:type="dxa"/>
            <w:vAlign w:val="center"/>
          </w:tcPr>
          <w:p w14:paraId="04E0F6D5">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50" w:type="dxa"/>
            <w:vAlign w:val="center"/>
          </w:tcPr>
          <w:p w14:paraId="456A0D1D">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667" w:type="dxa"/>
            <w:vAlign w:val="center"/>
          </w:tcPr>
          <w:p w14:paraId="1085F32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7A01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14:paraId="76FB3FE0">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276" w:type="dxa"/>
            <w:vAlign w:val="center"/>
          </w:tcPr>
          <w:p w14:paraId="1FCE69A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50" w:type="dxa"/>
            <w:vAlign w:val="center"/>
          </w:tcPr>
          <w:p w14:paraId="4CB77665">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243" w:type="dxa"/>
            <w:vAlign w:val="center"/>
          </w:tcPr>
          <w:p w14:paraId="3545D4E9">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50" w:type="dxa"/>
            <w:vAlign w:val="center"/>
          </w:tcPr>
          <w:p w14:paraId="5305CEC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667" w:type="dxa"/>
            <w:vAlign w:val="center"/>
          </w:tcPr>
          <w:p w14:paraId="20DA83D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6FB4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14:paraId="1D29570F">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276" w:type="dxa"/>
            <w:vAlign w:val="center"/>
          </w:tcPr>
          <w:p w14:paraId="55FD8AED">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50" w:type="dxa"/>
            <w:vAlign w:val="center"/>
          </w:tcPr>
          <w:p w14:paraId="7AC793F0">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243" w:type="dxa"/>
            <w:vAlign w:val="center"/>
          </w:tcPr>
          <w:p w14:paraId="5583695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50" w:type="dxa"/>
            <w:vAlign w:val="center"/>
          </w:tcPr>
          <w:p w14:paraId="2D6CA132">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667" w:type="dxa"/>
            <w:vAlign w:val="center"/>
          </w:tcPr>
          <w:p w14:paraId="3B70C14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bl>
    <w:p w14:paraId="7515BE69">
      <w:pPr>
        <w:spacing w:line="440" w:lineRule="exact"/>
        <w:rPr>
          <w:rFonts w:ascii="宋体" w:hAnsi="宋体" w:cs="宋体"/>
          <w:color w:val="auto"/>
          <w:szCs w:val="21"/>
          <w:highlight w:val="none"/>
        </w:rPr>
      </w:pPr>
    </w:p>
    <w:p w14:paraId="5E36C771">
      <w:pPr>
        <w:spacing w:line="440" w:lineRule="exact"/>
        <w:rPr>
          <w:rFonts w:ascii="宋体" w:hAnsi="宋体" w:cs="宋体"/>
          <w:color w:val="auto"/>
          <w:szCs w:val="21"/>
          <w:highlight w:val="none"/>
        </w:rPr>
      </w:pPr>
      <w:r>
        <w:rPr>
          <w:rFonts w:hint="eastAsia" w:ascii="宋体" w:hAnsi="宋体" w:cs="宋体"/>
          <w:color w:val="auto"/>
          <w:szCs w:val="21"/>
          <w:highlight w:val="none"/>
        </w:rPr>
        <w:t>附</w:t>
      </w:r>
      <w:bookmarkStart w:id="1159" w:name="_Toc296944566"/>
      <w:bookmarkStart w:id="1160" w:name="_Toc296346728"/>
      <w:bookmarkStart w:id="1161" w:name="_Toc296347226"/>
      <w:bookmarkStart w:id="1162" w:name="_Toc296503227"/>
      <w:bookmarkStart w:id="1163" w:name="_Toc296891055"/>
      <w:bookmarkStart w:id="1164" w:name="_Toc296891267"/>
      <w:bookmarkStart w:id="1165" w:name="_Toc267261698"/>
      <w:r>
        <w:rPr>
          <w:rFonts w:hint="eastAsia" w:ascii="宋体" w:hAnsi="宋体" w:cs="宋体"/>
          <w:color w:val="auto"/>
          <w:szCs w:val="21"/>
          <w:highlight w:val="none"/>
        </w:rPr>
        <w:t>件5：</w:t>
      </w:r>
    </w:p>
    <w:bookmarkEnd w:id="1159"/>
    <w:bookmarkEnd w:id="1160"/>
    <w:bookmarkEnd w:id="1161"/>
    <w:bookmarkEnd w:id="1162"/>
    <w:bookmarkEnd w:id="1163"/>
    <w:bookmarkEnd w:id="1164"/>
    <w:bookmarkEnd w:id="1165"/>
    <w:p w14:paraId="768E1948">
      <w:pPr>
        <w:spacing w:before="156" w:beforeLines="50" w:after="156" w:afterLines="50" w:line="440" w:lineRule="exact"/>
        <w:jc w:val="center"/>
        <w:rPr>
          <w:rFonts w:ascii="宋体" w:hAnsi="宋体" w:cs="宋体"/>
          <w:color w:val="auto"/>
          <w:szCs w:val="21"/>
          <w:highlight w:val="none"/>
        </w:rPr>
      </w:pPr>
      <w:r>
        <w:rPr>
          <w:rFonts w:hint="eastAsia" w:ascii="宋体" w:hAnsi="宋体" w:cs="宋体"/>
          <w:color w:val="auto"/>
          <w:szCs w:val="21"/>
          <w:highlight w:val="none"/>
        </w:rPr>
        <w:t>承包人用于本工程施工的机械设备表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5C55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14:paraId="446CDA30">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序号</w:t>
            </w:r>
          </w:p>
        </w:tc>
        <w:tc>
          <w:tcPr>
            <w:tcW w:w="1418" w:type="dxa"/>
            <w:vAlign w:val="center"/>
          </w:tcPr>
          <w:p w14:paraId="1EFB472B">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机械或设备名称</w:t>
            </w:r>
          </w:p>
        </w:tc>
        <w:tc>
          <w:tcPr>
            <w:tcW w:w="850" w:type="dxa"/>
            <w:vAlign w:val="center"/>
          </w:tcPr>
          <w:p w14:paraId="28E60D65">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规格型号</w:t>
            </w:r>
          </w:p>
        </w:tc>
        <w:tc>
          <w:tcPr>
            <w:tcW w:w="1058" w:type="dxa"/>
            <w:vAlign w:val="center"/>
          </w:tcPr>
          <w:p w14:paraId="1C9CAE31">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数量</w:t>
            </w:r>
          </w:p>
        </w:tc>
        <w:tc>
          <w:tcPr>
            <w:tcW w:w="880" w:type="dxa"/>
            <w:vAlign w:val="center"/>
          </w:tcPr>
          <w:p w14:paraId="41D340C1">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产地</w:t>
            </w:r>
          </w:p>
        </w:tc>
        <w:tc>
          <w:tcPr>
            <w:tcW w:w="1020" w:type="dxa"/>
            <w:vAlign w:val="center"/>
          </w:tcPr>
          <w:p w14:paraId="6067F35E">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制造年份</w:t>
            </w:r>
          </w:p>
        </w:tc>
        <w:tc>
          <w:tcPr>
            <w:tcW w:w="1480" w:type="dxa"/>
            <w:vAlign w:val="center"/>
          </w:tcPr>
          <w:p w14:paraId="0EF05363">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额定功率（</w:t>
            </w:r>
            <w:r>
              <w:rPr>
                <w:rFonts w:hint="default"/>
                <w:color w:val="auto"/>
                <w:highlight w:val="none"/>
              </w:rPr>
              <w:t>kW</w:t>
            </w:r>
            <w:r>
              <w:rPr>
                <w:rFonts w:hint="eastAsia"/>
                <w:color w:val="auto"/>
                <w:highlight w:val="none"/>
              </w:rPr>
              <w:t>）</w:t>
            </w:r>
          </w:p>
        </w:tc>
        <w:tc>
          <w:tcPr>
            <w:tcW w:w="1020" w:type="dxa"/>
            <w:vAlign w:val="center"/>
          </w:tcPr>
          <w:p w14:paraId="34BBC892">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生产能力</w:t>
            </w:r>
          </w:p>
        </w:tc>
        <w:tc>
          <w:tcPr>
            <w:tcW w:w="921" w:type="dxa"/>
            <w:vAlign w:val="center"/>
          </w:tcPr>
          <w:p w14:paraId="230A4715">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备注</w:t>
            </w:r>
          </w:p>
        </w:tc>
      </w:tr>
      <w:tr w14:paraId="007C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5ECFD719">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vAlign w:val="center"/>
          </w:tcPr>
          <w:p w14:paraId="667BB6C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0" w:type="dxa"/>
            <w:vAlign w:val="center"/>
          </w:tcPr>
          <w:p w14:paraId="331F717E">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058" w:type="dxa"/>
            <w:vAlign w:val="center"/>
          </w:tcPr>
          <w:p w14:paraId="5851C50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80" w:type="dxa"/>
            <w:vAlign w:val="center"/>
          </w:tcPr>
          <w:p w14:paraId="540006E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020" w:type="dxa"/>
            <w:vAlign w:val="center"/>
          </w:tcPr>
          <w:p w14:paraId="20161E65">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80" w:type="dxa"/>
            <w:vAlign w:val="center"/>
          </w:tcPr>
          <w:p w14:paraId="0B98C4F0">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020" w:type="dxa"/>
            <w:vAlign w:val="center"/>
          </w:tcPr>
          <w:p w14:paraId="7EC7E029">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921" w:type="dxa"/>
            <w:vAlign w:val="center"/>
          </w:tcPr>
          <w:p w14:paraId="54EF6ED8">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03C1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62368B8">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vAlign w:val="center"/>
          </w:tcPr>
          <w:p w14:paraId="077524A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0" w:type="dxa"/>
            <w:vAlign w:val="center"/>
          </w:tcPr>
          <w:p w14:paraId="340BD663">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058" w:type="dxa"/>
            <w:vAlign w:val="center"/>
          </w:tcPr>
          <w:p w14:paraId="452C64E3">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80" w:type="dxa"/>
            <w:vAlign w:val="center"/>
          </w:tcPr>
          <w:p w14:paraId="532738E6">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020" w:type="dxa"/>
            <w:vAlign w:val="center"/>
          </w:tcPr>
          <w:p w14:paraId="22BEA0A1">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80" w:type="dxa"/>
            <w:vAlign w:val="center"/>
          </w:tcPr>
          <w:p w14:paraId="06250880">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020" w:type="dxa"/>
            <w:vAlign w:val="center"/>
          </w:tcPr>
          <w:p w14:paraId="55C3B8F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921" w:type="dxa"/>
            <w:vAlign w:val="center"/>
          </w:tcPr>
          <w:p w14:paraId="509BCAD9">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58B4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D2E5F75">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vAlign w:val="center"/>
          </w:tcPr>
          <w:p w14:paraId="3710D10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0" w:type="dxa"/>
            <w:vAlign w:val="center"/>
          </w:tcPr>
          <w:p w14:paraId="1B3035B1">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058" w:type="dxa"/>
            <w:vAlign w:val="center"/>
          </w:tcPr>
          <w:p w14:paraId="23887E9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80" w:type="dxa"/>
            <w:vAlign w:val="center"/>
          </w:tcPr>
          <w:p w14:paraId="466D8F5E">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020" w:type="dxa"/>
            <w:vAlign w:val="center"/>
          </w:tcPr>
          <w:p w14:paraId="7421F68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80" w:type="dxa"/>
            <w:vAlign w:val="center"/>
          </w:tcPr>
          <w:p w14:paraId="55FC13D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020" w:type="dxa"/>
            <w:vAlign w:val="center"/>
          </w:tcPr>
          <w:p w14:paraId="4291840E">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921" w:type="dxa"/>
            <w:vAlign w:val="center"/>
          </w:tcPr>
          <w:p w14:paraId="6383F755">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5D95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1BF16C03">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vAlign w:val="center"/>
          </w:tcPr>
          <w:p w14:paraId="17C982A3">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0" w:type="dxa"/>
            <w:vAlign w:val="center"/>
          </w:tcPr>
          <w:p w14:paraId="28A56EFF">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058" w:type="dxa"/>
            <w:vAlign w:val="center"/>
          </w:tcPr>
          <w:p w14:paraId="6DA006E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80" w:type="dxa"/>
            <w:vAlign w:val="center"/>
          </w:tcPr>
          <w:p w14:paraId="2F368738">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020" w:type="dxa"/>
            <w:vAlign w:val="center"/>
          </w:tcPr>
          <w:p w14:paraId="59EE3001">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80" w:type="dxa"/>
            <w:vAlign w:val="center"/>
          </w:tcPr>
          <w:p w14:paraId="21B48D3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020" w:type="dxa"/>
            <w:vAlign w:val="center"/>
          </w:tcPr>
          <w:p w14:paraId="2699BA8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921" w:type="dxa"/>
            <w:vAlign w:val="center"/>
          </w:tcPr>
          <w:p w14:paraId="72951D63">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5BF49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36E690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vAlign w:val="center"/>
          </w:tcPr>
          <w:p w14:paraId="7DC009CE">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0" w:type="dxa"/>
            <w:vAlign w:val="center"/>
          </w:tcPr>
          <w:p w14:paraId="4B4522FD">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058" w:type="dxa"/>
            <w:vAlign w:val="center"/>
          </w:tcPr>
          <w:p w14:paraId="365C2731">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80" w:type="dxa"/>
            <w:vAlign w:val="center"/>
          </w:tcPr>
          <w:p w14:paraId="08585021">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020" w:type="dxa"/>
            <w:vAlign w:val="center"/>
          </w:tcPr>
          <w:p w14:paraId="3F06C6D9">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80" w:type="dxa"/>
            <w:vAlign w:val="center"/>
          </w:tcPr>
          <w:p w14:paraId="020749E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020" w:type="dxa"/>
            <w:vAlign w:val="center"/>
          </w:tcPr>
          <w:p w14:paraId="6CAAD8F0">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921" w:type="dxa"/>
            <w:vAlign w:val="center"/>
          </w:tcPr>
          <w:p w14:paraId="71516DF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0FDFD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51D952B5">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vAlign w:val="center"/>
          </w:tcPr>
          <w:p w14:paraId="1946DAE6">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0" w:type="dxa"/>
            <w:vAlign w:val="center"/>
          </w:tcPr>
          <w:p w14:paraId="4E4867AB">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058" w:type="dxa"/>
            <w:vAlign w:val="center"/>
          </w:tcPr>
          <w:p w14:paraId="4ABDFB3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80" w:type="dxa"/>
            <w:vAlign w:val="center"/>
          </w:tcPr>
          <w:p w14:paraId="755B3CA0">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020" w:type="dxa"/>
            <w:vAlign w:val="center"/>
          </w:tcPr>
          <w:p w14:paraId="4831C98D">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80" w:type="dxa"/>
            <w:vAlign w:val="center"/>
          </w:tcPr>
          <w:p w14:paraId="390DF0C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020" w:type="dxa"/>
            <w:vAlign w:val="center"/>
          </w:tcPr>
          <w:p w14:paraId="66DAD1DD">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921" w:type="dxa"/>
            <w:vAlign w:val="center"/>
          </w:tcPr>
          <w:p w14:paraId="73B207BD">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bl>
    <w:p w14:paraId="189D2C7D">
      <w:pPr>
        <w:spacing w:line="440" w:lineRule="exact"/>
        <w:rPr>
          <w:rFonts w:ascii="宋体" w:hAnsi="宋体" w:cs="宋体"/>
          <w:color w:val="auto"/>
          <w:szCs w:val="21"/>
          <w:highlight w:val="none"/>
        </w:rPr>
      </w:pPr>
    </w:p>
    <w:p w14:paraId="60C072E7">
      <w:pPr>
        <w:pStyle w:val="29"/>
        <w:rPr>
          <w:color w:val="auto"/>
          <w:highlight w:val="none"/>
        </w:rPr>
      </w:pPr>
    </w:p>
    <w:p w14:paraId="5204EA4C">
      <w:pPr>
        <w:spacing w:line="440" w:lineRule="exact"/>
        <w:rPr>
          <w:rFonts w:ascii="宋体" w:hAnsi="宋体" w:cs="宋体"/>
          <w:color w:val="auto"/>
          <w:szCs w:val="21"/>
          <w:highlight w:val="none"/>
        </w:rPr>
      </w:pPr>
    </w:p>
    <w:p w14:paraId="219D5268">
      <w:pPr>
        <w:spacing w:line="440" w:lineRule="exact"/>
        <w:rPr>
          <w:rFonts w:ascii="宋体" w:hAnsi="宋体" w:cs="宋体"/>
          <w:color w:val="auto"/>
          <w:szCs w:val="21"/>
          <w:highlight w:val="none"/>
        </w:rPr>
      </w:pPr>
      <w:r>
        <w:rPr>
          <w:rFonts w:hint="eastAsia" w:ascii="宋体" w:hAnsi="宋体" w:cs="宋体"/>
          <w:color w:val="auto"/>
          <w:szCs w:val="21"/>
          <w:highlight w:val="none"/>
        </w:rPr>
        <w:t>附</w:t>
      </w:r>
      <w:bookmarkStart w:id="1166" w:name="_Toc296891268"/>
      <w:bookmarkStart w:id="1167" w:name="_Toc296346729"/>
      <w:bookmarkStart w:id="1168" w:name="_Toc296503228"/>
      <w:bookmarkStart w:id="1169" w:name="_Toc296891056"/>
      <w:bookmarkStart w:id="1170" w:name="_Toc296944567"/>
      <w:bookmarkStart w:id="1171" w:name="_Toc267261699"/>
      <w:bookmarkStart w:id="1172" w:name="_Toc296347227"/>
      <w:r>
        <w:rPr>
          <w:rFonts w:hint="eastAsia" w:ascii="宋体" w:hAnsi="宋体" w:cs="宋体"/>
          <w:color w:val="auto"/>
          <w:szCs w:val="21"/>
          <w:highlight w:val="none"/>
        </w:rPr>
        <w:t>件6：</w:t>
      </w:r>
    </w:p>
    <w:bookmarkEnd w:id="1166"/>
    <w:bookmarkEnd w:id="1167"/>
    <w:bookmarkEnd w:id="1168"/>
    <w:bookmarkEnd w:id="1169"/>
    <w:bookmarkEnd w:id="1170"/>
    <w:bookmarkEnd w:id="1171"/>
    <w:bookmarkEnd w:id="1172"/>
    <w:p w14:paraId="2B6F2FBB">
      <w:pPr>
        <w:spacing w:before="156" w:beforeLines="50" w:after="156" w:afterLines="50" w:line="440" w:lineRule="exact"/>
        <w:jc w:val="center"/>
        <w:rPr>
          <w:rFonts w:ascii="宋体" w:hAnsi="宋体" w:cs="宋体"/>
          <w:color w:val="auto"/>
          <w:szCs w:val="21"/>
          <w:highlight w:val="none"/>
        </w:rPr>
      </w:pPr>
      <w:r>
        <w:rPr>
          <w:rFonts w:hint="eastAsia" w:ascii="宋体" w:hAnsi="宋体" w:cs="宋体"/>
          <w:color w:val="auto"/>
          <w:szCs w:val="21"/>
          <w:highlight w:val="none"/>
        </w:rPr>
        <w:t>承包人主要施工管理人员表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7568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386EB81">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名</w:t>
            </w:r>
            <w:r>
              <w:rPr>
                <w:rFonts w:hint="default"/>
                <w:color w:val="auto"/>
                <w:highlight w:val="none"/>
              </w:rPr>
              <w:t xml:space="preserve">    </w:t>
            </w:r>
            <w:r>
              <w:rPr>
                <w:rFonts w:hint="eastAsia"/>
                <w:color w:val="auto"/>
                <w:highlight w:val="none"/>
              </w:rPr>
              <w:t>称</w:t>
            </w:r>
          </w:p>
        </w:tc>
        <w:tc>
          <w:tcPr>
            <w:tcW w:w="1418" w:type="dxa"/>
            <w:vAlign w:val="center"/>
          </w:tcPr>
          <w:p w14:paraId="4A059425">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姓名</w:t>
            </w:r>
          </w:p>
        </w:tc>
        <w:tc>
          <w:tcPr>
            <w:tcW w:w="1134" w:type="dxa"/>
            <w:vAlign w:val="center"/>
          </w:tcPr>
          <w:p w14:paraId="531138F1">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职务</w:t>
            </w:r>
          </w:p>
        </w:tc>
        <w:tc>
          <w:tcPr>
            <w:tcW w:w="1134" w:type="dxa"/>
            <w:vAlign w:val="center"/>
          </w:tcPr>
          <w:p w14:paraId="56C245CC">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职称</w:t>
            </w:r>
          </w:p>
        </w:tc>
        <w:tc>
          <w:tcPr>
            <w:tcW w:w="4252" w:type="dxa"/>
            <w:vAlign w:val="center"/>
          </w:tcPr>
          <w:p w14:paraId="75FC918D">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主要资历、经验及承担过的项目</w:t>
            </w:r>
          </w:p>
        </w:tc>
      </w:tr>
      <w:tr w14:paraId="50FF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4F42CEAC">
            <w:pPr>
              <w:pStyle w:val="19"/>
              <w:keepNext/>
              <w:keepLines w:val="0"/>
              <w:suppressLineNumbers w:val="0"/>
              <w:spacing w:before="0" w:beforeAutospacing="0" w:afterAutospacing="0" w:line="440" w:lineRule="exact"/>
              <w:ind w:left="420" w:right="63"/>
              <w:rPr>
                <w:rFonts w:hint="default" w:ascii="宋体" w:hAnsi="宋体"/>
                <w:color w:val="auto"/>
                <w:highlight w:val="none"/>
              </w:rPr>
            </w:pPr>
            <w:r>
              <w:rPr>
                <w:rFonts w:hint="eastAsia" w:ascii="宋体" w:hAnsi="宋体"/>
                <w:color w:val="auto"/>
                <w:highlight w:val="none"/>
              </w:rPr>
              <w:t>一、总部人员</w:t>
            </w:r>
          </w:p>
        </w:tc>
      </w:tr>
      <w:tr w14:paraId="32D60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6ACBA51">
            <w:pPr>
              <w:pStyle w:val="19"/>
              <w:keepNext/>
              <w:keepLines w:val="0"/>
              <w:suppressLineNumbers w:val="0"/>
              <w:spacing w:before="0" w:beforeAutospacing="0" w:afterAutospacing="0" w:line="440" w:lineRule="exact"/>
              <w:ind w:left="420" w:right="63"/>
              <w:rPr>
                <w:rFonts w:hint="default" w:ascii="宋体" w:hAnsi="宋体"/>
                <w:color w:val="auto"/>
                <w:highlight w:val="none"/>
              </w:rPr>
            </w:pPr>
            <w:r>
              <w:rPr>
                <w:rFonts w:hint="eastAsia" w:ascii="宋体" w:hAnsi="宋体"/>
                <w:color w:val="auto"/>
                <w:highlight w:val="none"/>
              </w:rPr>
              <w:t>项目主管</w:t>
            </w:r>
          </w:p>
        </w:tc>
        <w:tc>
          <w:tcPr>
            <w:tcW w:w="1418" w:type="dxa"/>
            <w:vAlign w:val="center"/>
          </w:tcPr>
          <w:p w14:paraId="5B74AF55">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26773E1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4796265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4252" w:type="dxa"/>
            <w:vAlign w:val="center"/>
          </w:tcPr>
          <w:p w14:paraId="6649A89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4BCA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74B3A48">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vAlign w:val="center"/>
          </w:tcPr>
          <w:p w14:paraId="7C07CAE6">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51FFC53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5C3E1CA8">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4252" w:type="dxa"/>
            <w:vAlign w:val="center"/>
          </w:tcPr>
          <w:p w14:paraId="55DE4A06">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3748E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737F12E">
            <w:pPr>
              <w:pStyle w:val="19"/>
              <w:keepNext/>
              <w:keepLines w:val="0"/>
              <w:suppressLineNumbers w:val="0"/>
              <w:spacing w:before="0" w:beforeAutospacing="0" w:afterAutospacing="0" w:line="440" w:lineRule="exact"/>
              <w:ind w:left="420" w:right="63"/>
              <w:rPr>
                <w:rFonts w:hint="default" w:ascii="宋体" w:hAnsi="宋体"/>
                <w:color w:val="auto"/>
                <w:highlight w:val="none"/>
              </w:rPr>
            </w:pPr>
            <w:r>
              <w:rPr>
                <w:rFonts w:hint="eastAsia" w:ascii="宋体" w:hAnsi="宋体"/>
                <w:color w:val="auto"/>
                <w:highlight w:val="none"/>
              </w:rPr>
              <w:t>其他人员</w:t>
            </w:r>
          </w:p>
        </w:tc>
        <w:tc>
          <w:tcPr>
            <w:tcW w:w="1418" w:type="dxa"/>
            <w:vAlign w:val="center"/>
          </w:tcPr>
          <w:p w14:paraId="782C409B">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54B784C6">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1F6D938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4252" w:type="dxa"/>
            <w:vAlign w:val="center"/>
          </w:tcPr>
          <w:p w14:paraId="49C21FC0">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3C65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25D4A3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vAlign w:val="center"/>
          </w:tcPr>
          <w:p w14:paraId="4FF4627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6D724433">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53AF489F">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4252" w:type="dxa"/>
            <w:vAlign w:val="center"/>
          </w:tcPr>
          <w:p w14:paraId="0681CB6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6AFA1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16F5B3A9">
            <w:pPr>
              <w:pStyle w:val="19"/>
              <w:keepNext/>
              <w:keepLines w:val="0"/>
              <w:suppressLineNumbers w:val="0"/>
              <w:spacing w:before="0" w:beforeAutospacing="0" w:afterAutospacing="0" w:line="440" w:lineRule="exact"/>
              <w:ind w:left="420" w:right="63"/>
              <w:rPr>
                <w:rFonts w:hint="default" w:ascii="宋体" w:hAnsi="宋体"/>
                <w:color w:val="auto"/>
                <w:highlight w:val="none"/>
              </w:rPr>
            </w:pPr>
            <w:r>
              <w:rPr>
                <w:rFonts w:hint="eastAsia" w:ascii="宋体" w:hAnsi="宋体"/>
                <w:color w:val="auto"/>
                <w:highlight w:val="none"/>
              </w:rPr>
              <w:t>二、现场人员</w:t>
            </w:r>
          </w:p>
        </w:tc>
      </w:tr>
      <w:tr w14:paraId="1751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8123D3E">
            <w:pPr>
              <w:pStyle w:val="19"/>
              <w:keepNext/>
              <w:keepLines w:val="0"/>
              <w:suppressLineNumbers w:val="0"/>
              <w:spacing w:before="0" w:beforeAutospacing="0" w:afterAutospacing="0" w:line="440" w:lineRule="exact"/>
              <w:ind w:left="420" w:right="63"/>
              <w:rPr>
                <w:rFonts w:hint="default" w:ascii="宋体" w:hAnsi="宋体"/>
                <w:color w:val="auto"/>
                <w:highlight w:val="none"/>
              </w:rPr>
            </w:pPr>
            <w:r>
              <w:rPr>
                <w:rFonts w:hint="eastAsia" w:ascii="宋体" w:hAnsi="宋体"/>
                <w:color w:val="auto"/>
                <w:highlight w:val="none"/>
              </w:rPr>
              <w:t>项目经理</w:t>
            </w:r>
          </w:p>
        </w:tc>
        <w:tc>
          <w:tcPr>
            <w:tcW w:w="1418" w:type="dxa"/>
            <w:vAlign w:val="center"/>
          </w:tcPr>
          <w:p w14:paraId="0EC44161">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1A0CCF2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7873C562">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4252" w:type="dxa"/>
            <w:vAlign w:val="center"/>
          </w:tcPr>
          <w:p w14:paraId="0C6845F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2AB6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4340F13">
            <w:pPr>
              <w:pStyle w:val="19"/>
              <w:keepNext/>
              <w:keepLines w:val="0"/>
              <w:suppressLineNumbers w:val="0"/>
              <w:spacing w:before="0" w:beforeAutospacing="0" w:afterAutospacing="0" w:line="440" w:lineRule="exact"/>
              <w:ind w:left="420" w:right="63"/>
              <w:rPr>
                <w:rFonts w:hint="default" w:ascii="宋体" w:hAnsi="宋体"/>
                <w:color w:val="auto"/>
                <w:highlight w:val="none"/>
              </w:rPr>
            </w:pPr>
            <w:r>
              <w:rPr>
                <w:rFonts w:hint="eastAsia" w:ascii="宋体" w:hAnsi="宋体"/>
                <w:color w:val="auto"/>
                <w:highlight w:val="none"/>
              </w:rPr>
              <w:t>项目副经理</w:t>
            </w:r>
          </w:p>
        </w:tc>
        <w:tc>
          <w:tcPr>
            <w:tcW w:w="1418" w:type="dxa"/>
            <w:vAlign w:val="center"/>
          </w:tcPr>
          <w:p w14:paraId="7C330D9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4D9E2556">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470B4443">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4252" w:type="dxa"/>
            <w:vAlign w:val="center"/>
          </w:tcPr>
          <w:p w14:paraId="16468706">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46AB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CF14608">
            <w:pPr>
              <w:pStyle w:val="19"/>
              <w:keepNext/>
              <w:keepLines w:val="0"/>
              <w:suppressLineNumbers w:val="0"/>
              <w:spacing w:before="0" w:beforeAutospacing="0" w:afterAutospacing="0" w:line="440" w:lineRule="exact"/>
              <w:ind w:left="420" w:right="63"/>
              <w:rPr>
                <w:rFonts w:hint="default" w:ascii="宋体" w:hAnsi="宋体"/>
                <w:color w:val="auto"/>
                <w:highlight w:val="none"/>
              </w:rPr>
            </w:pPr>
            <w:r>
              <w:rPr>
                <w:rFonts w:hint="eastAsia" w:ascii="宋体" w:hAnsi="宋体"/>
                <w:color w:val="auto"/>
                <w:highlight w:val="none"/>
              </w:rPr>
              <w:t>技术负责人</w:t>
            </w:r>
          </w:p>
        </w:tc>
        <w:tc>
          <w:tcPr>
            <w:tcW w:w="1418" w:type="dxa"/>
            <w:vAlign w:val="center"/>
          </w:tcPr>
          <w:p w14:paraId="0F186612">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361066C1">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2E42C60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4252" w:type="dxa"/>
            <w:vAlign w:val="center"/>
          </w:tcPr>
          <w:p w14:paraId="52B3615E">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713C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FBBB9A7">
            <w:pPr>
              <w:pStyle w:val="19"/>
              <w:keepNext/>
              <w:keepLines w:val="0"/>
              <w:suppressLineNumbers w:val="0"/>
              <w:spacing w:before="0" w:beforeAutospacing="0" w:afterAutospacing="0" w:line="440" w:lineRule="exact"/>
              <w:ind w:left="420" w:right="63"/>
              <w:rPr>
                <w:rFonts w:hint="default" w:ascii="宋体" w:hAnsi="宋体"/>
                <w:color w:val="auto"/>
                <w:highlight w:val="none"/>
              </w:rPr>
            </w:pPr>
            <w:r>
              <w:rPr>
                <w:rFonts w:hint="eastAsia" w:ascii="宋体" w:hAnsi="宋体"/>
                <w:color w:val="auto"/>
                <w:highlight w:val="none"/>
              </w:rPr>
              <w:t>造价管理</w:t>
            </w:r>
          </w:p>
        </w:tc>
        <w:tc>
          <w:tcPr>
            <w:tcW w:w="1418" w:type="dxa"/>
            <w:vAlign w:val="center"/>
          </w:tcPr>
          <w:p w14:paraId="4FCE0A4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2E6CC14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1D405E59">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4252" w:type="dxa"/>
            <w:vAlign w:val="center"/>
          </w:tcPr>
          <w:p w14:paraId="497038B9">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71AE5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B622264">
            <w:pPr>
              <w:pStyle w:val="19"/>
              <w:keepNext/>
              <w:keepLines w:val="0"/>
              <w:suppressLineNumbers w:val="0"/>
              <w:spacing w:before="0" w:beforeAutospacing="0" w:afterAutospacing="0" w:line="440" w:lineRule="exact"/>
              <w:ind w:left="420" w:right="63"/>
              <w:rPr>
                <w:rFonts w:hint="default" w:ascii="宋体" w:hAnsi="宋体"/>
                <w:color w:val="auto"/>
                <w:highlight w:val="none"/>
              </w:rPr>
            </w:pPr>
            <w:r>
              <w:rPr>
                <w:rFonts w:hint="eastAsia" w:ascii="宋体" w:hAnsi="宋体"/>
                <w:color w:val="auto"/>
                <w:highlight w:val="none"/>
              </w:rPr>
              <w:t>质量管理</w:t>
            </w:r>
          </w:p>
        </w:tc>
        <w:tc>
          <w:tcPr>
            <w:tcW w:w="1418" w:type="dxa"/>
            <w:vAlign w:val="center"/>
          </w:tcPr>
          <w:p w14:paraId="0ECE2AC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164BBC9B">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728F5581">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4252" w:type="dxa"/>
            <w:vAlign w:val="center"/>
          </w:tcPr>
          <w:p w14:paraId="7FD035D6">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460E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9154FA0">
            <w:pPr>
              <w:pStyle w:val="19"/>
              <w:keepNext/>
              <w:keepLines w:val="0"/>
              <w:suppressLineNumbers w:val="0"/>
              <w:spacing w:before="0" w:beforeAutospacing="0" w:afterAutospacing="0" w:line="440" w:lineRule="exact"/>
              <w:ind w:left="420" w:right="63"/>
              <w:rPr>
                <w:rFonts w:hint="default" w:ascii="宋体" w:hAnsi="宋体"/>
                <w:color w:val="auto"/>
                <w:highlight w:val="none"/>
              </w:rPr>
            </w:pPr>
            <w:r>
              <w:rPr>
                <w:rFonts w:hint="eastAsia" w:ascii="宋体" w:hAnsi="宋体"/>
                <w:color w:val="auto"/>
                <w:highlight w:val="none"/>
              </w:rPr>
              <w:t>材料管理</w:t>
            </w:r>
          </w:p>
        </w:tc>
        <w:tc>
          <w:tcPr>
            <w:tcW w:w="1418" w:type="dxa"/>
            <w:vAlign w:val="center"/>
          </w:tcPr>
          <w:p w14:paraId="519C8145">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7C180D3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41C0701E">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4252" w:type="dxa"/>
            <w:vAlign w:val="center"/>
          </w:tcPr>
          <w:p w14:paraId="0E9A0718">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456C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12ED8AD">
            <w:pPr>
              <w:pStyle w:val="19"/>
              <w:keepNext/>
              <w:keepLines w:val="0"/>
              <w:suppressLineNumbers w:val="0"/>
              <w:spacing w:before="0" w:beforeAutospacing="0" w:afterAutospacing="0" w:line="440" w:lineRule="exact"/>
              <w:ind w:left="420" w:right="63"/>
              <w:rPr>
                <w:rFonts w:hint="default" w:ascii="宋体" w:hAnsi="宋体"/>
                <w:color w:val="auto"/>
                <w:highlight w:val="none"/>
              </w:rPr>
            </w:pPr>
            <w:r>
              <w:rPr>
                <w:rFonts w:hint="eastAsia" w:ascii="宋体" w:hAnsi="宋体"/>
                <w:color w:val="auto"/>
                <w:highlight w:val="none"/>
              </w:rPr>
              <w:t>计划管理</w:t>
            </w:r>
          </w:p>
        </w:tc>
        <w:tc>
          <w:tcPr>
            <w:tcW w:w="1418" w:type="dxa"/>
            <w:vAlign w:val="center"/>
          </w:tcPr>
          <w:p w14:paraId="3D3B2AD5">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21E6F9E2">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350D1809">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4252" w:type="dxa"/>
            <w:vAlign w:val="center"/>
          </w:tcPr>
          <w:p w14:paraId="525FEF4E">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2ACF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902FBBC">
            <w:pPr>
              <w:pStyle w:val="19"/>
              <w:keepNext/>
              <w:keepLines w:val="0"/>
              <w:suppressLineNumbers w:val="0"/>
              <w:spacing w:before="0" w:beforeAutospacing="0" w:afterAutospacing="0" w:line="440" w:lineRule="exact"/>
              <w:ind w:left="420" w:right="63"/>
              <w:rPr>
                <w:rFonts w:hint="default" w:ascii="宋体" w:hAnsi="宋体"/>
                <w:color w:val="auto"/>
                <w:highlight w:val="none"/>
              </w:rPr>
            </w:pPr>
            <w:r>
              <w:rPr>
                <w:rFonts w:hint="eastAsia" w:ascii="宋体" w:hAnsi="宋体"/>
                <w:color w:val="auto"/>
                <w:highlight w:val="none"/>
              </w:rPr>
              <w:t>安全管理</w:t>
            </w:r>
          </w:p>
        </w:tc>
        <w:tc>
          <w:tcPr>
            <w:tcW w:w="1418" w:type="dxa"/>
            <w:vAlign w:val="center"/>
          </w:tcPr>
          <w:p w14:paraId="32803E81">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7CEAA138">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5037D0B0">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4252" w:type="dxa"/>
            <w:vAlign w:val="center"/>
          </w:tcPr>
          <w:p w14:paraId="084DC6C8">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11A8D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7C58597D">
            <w:pPr>
              <w:pStyle w:val="19"/>
              <w:keepNext/>
              <w:keepLines w:val="0"/>
              <w:suppressLineNumbers w:val="0"/>
              <w:spacing w:before="0" w:beforeAutospacing="0" w:afterAutospacing="0" w:line="440" w:lineRule="exact"/>
              <w:ind w:left="420" w:right="63"/>
              <w:rPr>
                <w:rFonts w:hint="default" w:ascii="宋体" w:hAnsi="宋体"/>
                <w:color w:val="auto"/>
                <w:highlight w:val="none"/>
              </w:rPr>
            </w:pPr>
            <w:r>
              <w:rPr>
                <w:rFonts w:hint="eastAsia" w:ascii="宋体" w:hAnsi="宋体"/>
                <w:color w:val="auto"/>
                <w:highlight w:val="none"/>
              </w:rPr>
              <w:t>其他人员</w:t>
            </w:r>
          </w:p>
        </w:tc>
        <w:tc>
          <w:tcPr>
            <w:tcW w:w="1418" w:type="dxa"/>
            <w:vAlign w:val="center"/>
          </w:tcPr>
          <w:p w14:paraId="646E1C60">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6F437466">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09D571FB">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4252" w:type="dxa"/>
            <w:vAlign w:val="center"/>
          </w:tcPr>
          <w:p w14:paraId="5C8266A6">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40621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66E7E73">
            <w:pPr>
              <w:keepNext w:val="0"/>
              <w:keepLines w:val="0"/>
              <w:widowControl/>
              <w:suppressLineNumbers w:val="0"/>
              <w:spacing w:before="0" w:beforeAutospacing="0" w:after="0" w:afterAutospacing="0"/>
              <w:ind w:left="0" w:right="0"/>
              <w:jc w:val="left"/>
              <w:rPr>
                <w:rFonts w:hint="default" w:ascii="宋体" w:hAnsi="宋体" w:cs="宋体"/>
                <w:color w:val="auto"/>
                <w:szCs w:val="21"/>
                <w:highlight w:val="none"/>
              </w:rPr>
            </w:pPr>
          </w:p>
        </w:tc>
        <w:tc>
          <w:tcPr>
            <w:tcW w:w="1418" w:type="dxa"/>
            <w:vAlign w:val="center"/>
          </w:tcPr>
          <w:p w14:paraId="27F5B03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1776B8F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40A2233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4252" w:type="dxa"/>
            <w:vAlign w:val="center"/>
          </w:tcPr>
          <w:p w14:paraId="272E9049">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3CE57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D5AFB74">
            <w:pPr>
              <w:keepNext w:val="0"/>
              <w:keepLines w:val="0"/>
              <w:widowControl/>
              <w:suppressLineNumbers w:val="0"/>
              <w:spacing w:before="0" w:beforeAutospacing="0" w:after="0" w:afterAutospacing="0"/>
              <w:ind w:left="0" w:right="0"/>
              <w:jc w:val="left"/>
              <w:rPr>
                <w:rFonts w:hint="default" w:ascii="宋体" w:hAnsi="宋体" w:cs="宋体"/>
                <w:color w:val="auto"/>
                <w:szCs w:val="21"/>
                <w:highlight w:val="none"/>
              </w:rPr>
            </w:pPr>
          </w:p>
        </w:tc>
        <w:tc>
          <w:tcPr>
            <w:tcW w:w="1418" w:type="dxa"/>
            <w:vAlign w:val="center"/>
          </w:tcPr>
          <w:p w14:paraId="766D413E">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586CD8E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62C975E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4252" w:type="dxa"/>
            <w:vAlign w:val="center"/>
          </w:tcPr>
          <w:p w14:paraId="65BDC96E">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0BBF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99F10B1">
            <w:pPr>
              <w:keepNext w:val="0"/>
              <w:keepLines w:val="0"/>
              <w:widowControl/>
              <w:suppressLineNumbers w:val="0"/>
              <w:spacing w:before="0" w:beforeAutospacing="0" w:after="0" w:afterAutospacing="0"/>
              <w:ind w:left="0" w:right="0"/>
              <w:jc w:val="left"/>
              <w:rPr>
                <w:rFonts w:hint="default" w:ascii="宋体" w:hAnsi="宋体" w:cs="宋体"/>
                <w:color w:val="auto"/>
                <w:szCs w:val="21"/>
                <w:highlight w:val="none"/>
              </w:rPr>
            </w:pPr>
          </w:p>
        </w:tc>
        <w:tc>
          <w:tcPr>
            <w:tcW w:w="1418" w:type="dxa"/>
            <w:vAlign w:val="center"/>
          </w:tcPr>
          <w:p w14:paraId="76502C1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7CB86DBB">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4A56970B">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4252" w:type="dxa"/>
            <w:vAlign w:val="center"/>
          </w:tcPr>
          <w:p w14:paraId="76ED616D">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69A0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E1F436D">
            <w:pPr>
              <w:keepNext w:val="0"/>
              <w:keepLines w:val="0"/>
              <w:widowControl/>
              <w:suppressLineNumbers w:val="0"/>
              <w:spacing w:before="0" w:beforeAutospacing="0" w:after="0" w:afterAutospacing="0"/>
              <w:ind w:left="0" w:right="0"/>
              <w:jc w:val="left"/>
              <w:rPr>
                <w:rFonts w:hint="default" w:ascii="宋体" w:hAnsi="宋体" w:cs="宋体"/>
                <w:color w:val="auto"/>
                <w:szCs w:val="21"/>
                <w:highlight w:val="none"/>
              </w:rPr>
            </w:pPr>
          </w:p>
        </w:tc>
        <w:tc>
          <w:tcPr>
            <w:tcW w:w="1418" w:type="dxa"/>
            <w:vAlign w:val="center"/>
          </w:tcPr>
          <w:p w14:paraId="206A835E">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313E6DA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4301D54B">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4252" w:type="dxa"/>
            <w:vAlign w:val="center"/>
          </w:tcPr>
          <w:p w14:paraId="3860837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6137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273F387">
            <w:pPr>
              <w:keepNext w:val="0"/>
              <w:keepLines w:val="0"/>
              <w:widowControl/>
              <w:suppressLineNumbers w:val="0"/>
              <w:spacing w:before="0" w:beforeAutospacing="0" w:after="0" w:afterAutospacing="0"/>
              <w:ind w:left="0" w:right="0"/>
              <w:jc w:val="left"/>
              <w:rPr>
                <w:rFonts w:hint="default" w:ascii="宋体" w:hAnsi="宋体" w:cs="宋体"/>
                <w:color w:val="auto"/>
                <w:szCs w:val="21"/>
                <w:highlight w:val="none"/>
              </w:rPr>
            </w:pPr>
          </w:p>
        </w:tc>
        <w:tc>
          <w:tcPr>
            <w:tcW w:w="1418" w:type="dxa"/>
            <w:vAlign w:val="center"/>
          </w:tcPr>
          <w:p w14:paraId="455262D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04A712C0">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1887032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4252" w:type="dxa"/>
            <w:vAlign w:val="center"/>
          </w:tcPr>
          <w:p w14:paraId="0E90B9E0">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bl>
    <w:p w14:paraId="28D74B88">
      <w:pPr>
        <w:spacing w:line="440" w:lineRule="exact"/>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w:t>
      </w:r>
      <w:bookmarkStart w:id="1173" w:name="_Toc296891269"/>
      <w:bookmarkStart w:id="1174" w:name="_Toc296346730"/>
      <w:bookmarkStart w:id="1175" w:name="_Toc296891057"/>
      <w:bookmarkStart w:id="1176" w:name="_Toc296944568"/>
      <w:bookmarkStart w:id="1177" w:name="_Toc296347228"/>
      <w:bookmarkStart w:id="1178" w:name="_Toc296503229"/>
      <w:r>
        <w:rPr>
          <w:rFonts w:hint="eastAsia" w:ascii="宋体" w:hAnsi="宋体" w:cs="宋体"/>
          <w:color w:val="auto"/>
          <w:szCs w:val="21"/>
          <w:highlight w:val="none"/>
        </w:rPr>
        <w:t>件7：</w:t>
      </w:r>
    </w:p>
    <w:bookmarkEnd w:id="1173"/>
    <w:bookmarkEnd w:id="1174"/>
    <w:bookmarkEnd w:id="1175"/>
    <w:bookmarkEnd w:id="1176"/>
    <w:bookmarkEnd w:id="1177"/>
    <w:bookmarkEnd w:id="1178"/>
    <w:p w14:paraId="66796FAE">
      <w:pPr>
        <w:spacing w:before="156" w:beforeLines="50" w:after="156" w:afterLines="50" w:line="440" w:lineRule="exact"/>
        <w:jc w:val="center"/>
        <w:rPr>
          <w:rFonts w:ascii="宋体" w:hAnsi="宋体" w:cs="宋体"/>
          <w:color w:val="auto"/>
          <w:szCs w:val="21"/>
          <w:highlight w:val="none"/>
        </w:rPr>
      </w:pPr>
      <w:r>
        <w:rPr>
          <w:rFonts w:hint="eastAsia" w:ascii="宋体" w:hAnsi="宋体" w:cs="宋体"/>
          <w:color w:val="auto"/>
          <w:szCs w:val="21"/>
          <w:highlight w:val="none"/>
        </w:rPr>
        <w:t>分包人主要施工管理人员表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4D50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BBE46CB">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名</w:t>
            </w:r>
            <w:r>
              <w:rPr>
                <w:rFonts w:hint="default"/>
                <w:color w:val="auto"/>
                <w:highlight w:val="none"/>
              </w:rPr>
              <w:t xml:space="preserve">    </w:t>
            </w:r>
            <w:r>
              <w:rPr>
                <w:rFonts w:hint="eastAsia"/>
                <w:color w:val="auto"/>
                <w:highlight w:val="none"/>
              </w:rPr>
              <w:t>称</w:t>
            </w:r>
          </w:p>
        </w:tc>
        <w:tc>
          <w:tcPr>
            <w:tcW w:w="1418" w:type="dxa"/>
            <w:vAlign w:val="center"/>
          </w:tcPr>
          <w:p w14:paraId="2DAEB8C2">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姓名</w:t>
            </w:r>
          </w:p>
        </w:tc>
        <w:tc>
          <w:tcPr>
            <w:tcW w:w="1134" w:type="dxa"/>
            <w:vAlign w:val="center"/>
          </w:tcPr>
          <w:p w14:paraId="22F2AA3E">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职务</w:t>
            </w:r>
          </w:p>
        </w:tc>
        <w:tc>
          <w:tcPr>
            <w:tcW w:w="1134" w:type="dxa"/>
            <w:vAlign w:val="center"/>
          </w:tcPr>
          <w:p w14:paraId="5279D61A">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职称</w:t>
            </w:r>
          </w:p>
        </w:tc>
        <w:tc>
          <w:tcPr>
            <w:tcW w:w="4252" w:type="dxa"/>
            <w:vAlign w:val="center"/>
          </w:tcPr>
          <w:p w14:paraId="27178B86">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主要资历、经验及承担过的项目</w:t>
            </w:r>
          </w:p>
        </w:tc>
      </w:tr>
      <w:tr w14:paraId="15523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1D7E676B">
            <w:pPr>
              <w:pStyle w:val="19"/>
              <w:keepNext/>
              <w:keepLines w:val="0"/>
              <w:suppressLineNumbers w:val="0"/>
              <w:spacing w:before="0" w:beforeAutospacing="0" w:afterAutospacing="0" w:line="440" w:lineRule="exact"/>
              <w:ind w:left="420" w:right="63"/>
              <w:rPr>
                <w:rFonts w:hint="default" w:ascii="宋体" w:hAnsi="宋体"/>
                <w:color w:val="auto"/>
                <w:highlight w:val="none"/>
              </w:rPr>
            </w:pPr>
            <w:r>
              <w:rPr>
                <w:rFonts w:hint="eastAsia" w:ascii="宋体" w:hAnsi="宋体"/>
                <w:color w:val="auto"/>
                <w:highlight w:val="none"/>
              </w:rPr>
              <w:t>一、总部人员</w:t>
            </w:r>
          </w:p>
        </w:tc>
      </w:tr>
      <w:tr w14:paraId="6DFE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EE9CE68">
            <w:pPr>
              <w:pStyle w:val="19"/>
              <w:keepNext/>
              <w:keepLines w:val="0"/>
              <w:suppressLineNumbers w:val="0"/>
              <w:spacing w:before="0" w:beforeAutospacing="0" w:afterAutospacing="0" w:line="440" w:lineRule="exact"/>
              <w:ind w:left="420" w:right="63"/>
              <w:rPr>
                <w:rFonts w:hint="default" w:ascii="宋体" w:hAnsi="宋体"/>
                <w:color w:val="auto"/>
                <w:highlight w:val="none"/>
              </w:rPr>
            </w:pPr>
            <w:r>
              <w:rPr>
                <w:rFonts w:hint="eastAsia" w:ascii="宋体" w:hAnsi="宋体"/>
                <w:color w:val="auto"/>
                <w:highlight w:val="none"/>
              </w:rPr>
              <w:t>项目主管</w:t>
            </w:r>
          </w:p>
        </w:tc>
        <w:tc>
          <w:tcPr>
            <w:tcW w:w="1418" w:type="dxa"/>
            <w:vAlign w:val="center"/>
          </w:tcPr>
          <w:p w14:paraId="3AA035D0">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2F3D31B9">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59A952C8">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4252" w:type="dxa"/>
            <w:vAlign w:val="center"/>
          </w:tcPr>
          <w:p w14:paraId="4FD9B4E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412C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BA607F2">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vAlign w:val="center"/>
          </w:tcPr>
          <w:p w14:paraId="0B8BA443">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07294D8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5690B7F8">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4252" w:type="dxa"/>
            <w:vAlign w:val="center"/>
          </w:tcPr>
          <w:p w14:paraId="08EE8335">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23A9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9CB3D4B">
            <w:pPr>
              <w:pStyle w:val="19"/>
              <w:keepNext/>
              <w:keepLines w:val="0"/>
              <w:suppressLineNumbers w:val="0"/>
              <w:spacing w:before="0" w:beforeAutospacing="0" w:afterAutospacing="0" w:line="440" w:lineRule="exact"/>
              <w:ind w:left="420" w:right="63"/>
              <w:rPr>
                <w:rFonts w:hint="default" w:ascii="宋体" w:hAnsi="宋体"/>
                <w:color w:val="auto"/>
                <w:highlight w:val="none"/>
              </w:rPr>
            </w:pPr>
            <w:r>
              <w:rPr>
                <w:rFonts w:hint="eastAsia" w:ascii="宋体" w:hAnsi="宋体"/>
                <w:color w:val="auto"/>
                <w:highlight w:val="none"/>
              </w:rPr>
              <w:t>其他人员</w:t>
            </w:r>
          </w:p>
        </w:tc>
        <w:tc>
          <w:tcPr>
            <w:tcW w:w="1418" w:type="dxa"/>
            <w:vAlign w:val="center"/>
          </w:tcPr>
          <w:p w14:paraId="64FB49D3">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174C0CDB">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5B95E1EF">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4252" w:type="dxa"/>
            <w:vAlign w:val="center"/>
          </w:tcPr>
          <w:p w14:paraId="2009666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76D08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5E86B36">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vAlign w:val="center"/>
          </w:tcPr>
          <w:p w14:paraId="0065BE7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5A490936">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3EF353FB">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4252" w:type="dxa"/>
            <w:vAlign w:val="center"/>
          </w:tcPr>
          <w:p w14:paraId="17E9939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0DB4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3A2A8EC9">
            <w:pPr>
              <w:pStyle w:val="19"/>
              <w:keepNext/>
              <w:keepLines w:val="0"/>
              <w:suppressLineNumbers w:val="0"/>
              <w:spacing w:before="0" w:beforeAutospacing="0" w:afterAutospacing="0" w:line="440" w:lineRule="exact"/>
              <w:ind w:left="420" w:right="63"/>
              <w:rPr>
                <w:rFonts w:hint="default" w:ascii="宋体" w:hAnsi="宋体"/>
                <w:color w:val="auto"/>
                <w:highlight w:val="none"/>
              </w:rPr>
            </w:pPr>
            <w:r>
              <w:rPr>
                <w:rFonts w:hint="eastAsia" w:ascii="宋体" w:hAnsi="宋体"/>
                <w:color w:val="auto"/>
                <w:highlight w:val="none"/>
              </w:rPr>
              <w:t>二、现场人员</w:t>
            </w:r>
          </w:p>
        </w:tc>
      </w:tr>
      <w:tr w14:paraId="3397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F138B0C">
            <w:pPr>
              <w:pStyle w:val="19"/>
              <w:keepNext/>
              <w:keepLines w:val="0"/>
              <w:suppressLineNumbers w:val="0"/>
              <w:spacing w:before="0" w:beforeAutospacing="0" w:afterAutospacing="0" w:line="440" w:lineRule="exact"/>
              <w:ind w:left="420" w:right="63"/>
              <w:rPr>
                <w:rFonts w:hint="default" w:ascii="宋体" w:hAnsi="宋体"/>
                <w:color w:val="auto"/>
                <w:highlight w:val="none"/>
              </w:rPr>
            </w:pPr>
            <w:r>
              <w:rPr>
                <w:rFonts w:hint="eastAsia" w:ascii="宋体" w:hAnsi="宋体"/>
                <w:color w:val="auto"/>
                <w:highlight w:val="none"/>
              </w:rPr>
              <w:t>项目经理</w:t>
            </w:r>
          </w:p>
        </w:tc>
        <w:tc>
          <w:tcPr>
            <w:tcW w:w="1418" w:type="dxa"/>
            <w:vAlign w:val="center"/>
          </w:tcPr>
          <w:p w14:paraId="0BCA2859">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657AA1C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2C9CC853">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4252" w:type="dxa"/>
            <w:vAlign w:val="center"/>
          </w:tcPr>
          <w:p w14:paraId="15BDF61E">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0D90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742D34A">
            <w:pPr>
              <w:pStyle w:val="19"/>
              <w:keepNext/>
              <w:keepLines w:val="0"/>
              <w:suppressLineNumbers w:val="0"/>
              <w:spacing w:before="0" w:beforeAutospacing="0" w:afterAutospacing="0" w:line="440" w:lineRule="exact"/>
              <w:ind w:left="420" w:right="63"/>
              <w:rPr>
                <w:rFonts w:hint="default" w:ascii="宋体" w:hAnsi="宋体"/>
                <w:color w:val="auto"/>
                <w:highlight w:val="none"/>
              </w:rPr>
            </w:pPr>
            <w:r>
              <w:rPr>
                <w:rFonts w:hint="eastAsia" w:ascii="宋体" w:hAnsi="宋体"/>
                <w:color w:val="auto"/>
                <w:highlight w:val="none"/>
              </w:rPr>
              <w:t>项目副经理</w:t>
            </w:r>
          </w:p>
        </w:tc>
        <w:tc>
          <w:tcPr>
            <w:tcW w:w="1418" w:type="dxa"/>
            <w:vAlign w:val="center"/>
          </w:tcPr>
          <w:p w14:paraId="39B0A0B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4812565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0287E503">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4252" w:type="dxa"/>
            <w:vAlign w:val="center"/>
          </w:tcPr>
          <w:p w14:paraId="3269528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2DA7D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DF1BB0C">
            <w:pPr>
              <w:pStyle w:val="19"/>
              <w:keepNext/>
              <w:keepLines w:val="0"/>
              <w:suppressLineNumbers w:val="0"/>
              <w:spacing w:before="0" w:beforeAutospacing="0" w:afterAutospacing="0" w:line="440" w:lineRule="exact"/>
              <w:ind w:left="420" w:right="63"/>
              <w:rPr>
                <w:rFonts w:hint="default" w:ascii="宋体" w:hAnsi="宋体"/>
                <w:color w:val="auto"/>
                <w:highlight w:val="none"/>
              </w:rPr>
            </w:pPr>
            <w:r>
              <w:rPr>
                <w:rFonts w:hint="eastAsia" w:ascii="宋体" w:hAnsi="宋体"/>
                <w:color w:val="auto"/>
                <w:highlight w:val="none"/>
              </w:rPr>
              <w:t>技术负责人</w:t>
            </w:r>
          </w:p>
        </w:tc>
        <w:tc>
          <w:tcPr>
            <w:tcW w:w="1418" w:type="dxa"/>
            <w:vAlign w:val="center"/>
          </w:tcPr>
          <w:p w14:paraId="3DA1B425">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7F88C1C9">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3C7F2DC3">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4252" w:type="dxa"/>
            <w:vAlign w:val="center"/>
          </w:tcPr>
          <w:p w14:paraId="760B617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7493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AB54D83">
            <w:pPr>
              <w:pStyle w:val="19"/>
              <w:keepNext/>
              <w:keepLines w:val="0"/>
              <w:suppressLineNumbers w:val="0"/>
              <w:spacing w:before="0" w:beforeAutospacing="0" w:afterAutospacing="0" w:line="440" w:lineRule="exact"/>
              <w:ind w:left="420" w:right="63"/>
              <w:rPr>
                <w:rFonts w:hint="default" w:ascii="宋体" w:hAnsi="宋体"/>
                <w:color w:val="auto"/>
                <w:highlight w:val="none"/>
              </w:rPr>
            </w:pPr>
            <w:r>
              <w:rPr>
                <w:rFonts w:hint="eastAsia" w:ascii="宋体" w:hAnsi="宋体"/>
                <w:color w:val="auto"/>
                <w:highlight w:val="none"/>
              </w:rPr>
              <w:t>造价管理</w:t>
            </w:r>
          </w:p>
        </w:tc>
        <w:tc>
          <w:tcPr>
            <w:tcW w:w="1418" w:type="dxa"/>
            <w:vAlign w:val="center"/>
          </w:tcPr>
          <w:p w14:paraId="386B6A2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0BD4A35B">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778B8238">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4252" w:type="dxa"/>
            <w:vAlign w:val="center"/>
          </w:tcPr>
          <w:p w14:paraId="3E0F85F8">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51664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4649887">
            <w:pPr>
              <w:pStyle w:val="19"/>
              <w:keepNext/>
              <w:keepLines w:val="0"/>
              <w:suppressLineNumbers w:val="0"/>
              <w:spacing w:before="0" w:beforeAutospacing="0" w:afterAutospacing="0" w:line="440" w:lineRule="exact"/>
              <w:ind w:left="420" w:right="63"/>
              <w:rPr>
                <w:rFonts w:hint="default" w:ascii="宋体" w:hAnsi="宋体"/>
                <w:color w:val="auto"/>
                <w:highlight w:val="none"/>
              </w:rPr>
            </w:pPr>
            <w:r>
              <w:rPr>
                <w:rFonts w:hint="eastAsia" w:ascii="宋体" w:hAnsi="宋体"/>
                <w:color w:val="auto"/>
                <w:highlight w:val="none"/>
              </w:rPr>
              <w:t>质量管理</w:t>
            </w:r>
          </w:p>
        </w:tc>
        <w:tc>
          <w:tcPr>
            <w:tcW w:w="1418" w:type="dxa"/>
            <w:vAlign w:val="center"/>
          </w:tcPr>
          <w:p w14:paraId="323C5BDE">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509D31E8">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39907E7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4252" w:type="dxa"/>
            <w:vAlign w:val="center"/>
          </w:tcPr>
          <w:p w14:paraId="774FF490">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510D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B255F98">
            <w:pPr>
              <w:pStyle w:val="19"/>
              <w:keepNext/>
              <w:keepLines w:val="0"/>
              <w:suppressLineNumbers w:val="0"/>
              <w:spacing w:before="0" w:beforeAutospacing="0" w:afterAutospacing="0" w:line="440" w:lineRule="exact"/>
              <w:ind w:left="420" w:right="63"/>
              <w:rPr>
                <w:rFonts w:hint="default" w:ascii="宋体" w:hAnsi="宋体"/>
                <w:color w:val="auto"/>
                <w:highlight w:val="none"/>
              </w:rPr>
            </w:pPr>
            <w:r>
              <w:rPr>
                <w:rFonts w:hint="eastAsia" w:ascii="宋体" w:hAnsi="宋体"/>
                <w:color w:val="auto"/>
                <w:highlight w:val="none"/>
              </w:rPr>
              <w:t>材料管理</w:t>
            </w:r>
          </w:p>
        </w:tc>
        <w:tc>
          <w:tcPr>
            <w:tcW w:w="1418" w:type="dxa"/>
            <w:vAlign w:val="center"/>
          </w:tcPr>
          <w:p w14:paraId="43D1291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4A21BC75">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0B47A65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4252" w:type="dxa"/>
            <w:vAlign w:val="center"/>
          </w:tcPr>
          <w:p w14:paraId="56C4A57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3636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06ADDA1">
            <w:pPr>
              <w:pStyle w:val="19"/>
              <w:keepNext/>
              <w:keepLines w:val="0"/>
              <w:suppressLineNumbers w:val="0"/>
              <w:spacing w:before="0" w:beforeAutospacing="0" w:afterAutospacing="0" w:line="440" w:lineRule="exact"/>
              <w:ind w:left="420" w:right="63"/>
              <w:rPr>
                <w:rFonts w:hint="default" w:ascii="宋体" w:hAnsi="宋体"/>
                <w:color w:val="auto"/>
                <w:highlight w:val="none"/>
              </w:rPr>
            </w:pPr>
            <w:r>
              <w:rPr>
                <w:rFonts w:hint="eastAsia" w:ascii="宋体" w:hAnsi="宋体"/>
                <w:color w:val="auto"/>
                <w:highlight w:val="none"/>
              </w:rPr>
              <w:t>计划管理</w:t>
            </w:r>
          </w:p>
        </w:tc>
        <w:tc>
          <w:tcPr>
            <w:tcW w:w="1418" w:type="dxa"/>
            <w:vAlign w:val="center"/>
          </w:tcPr>
          <w:p w14:paraId="1EC50810">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07D3057D">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458649D0">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4252" w:type="dxa"/>
            <w:vAlign w:val="center"/>
          </w:tcPr>
          <w:p w14:paraId="4BCA9800">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79EA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4CFC5D6">
            <w:pPr>
              <w:pStyle w:val="19"/>
              <w:keepNext/>
              <w:keepLines w:val="0"/>
              <w:suppressLineNumbers w:val="0"/>
              <w:spacing w:before="0" w:beforeAutospacing="0" w:afterAutospacing="0" w:line="440" w:lineRule="exact"/>
              <w:ind w:left="420" w:right="63"/>
              <w:rPr>
                <w:rFonts w:hint="default" w:ascii="宋体" w:hAnsi="宋体"/>
                <w:color w:val="auto"/>
                <w:highlight w:val="none"/>
              </w:rPr>
            </w:pPr>
            <w:r>
              <w:rPr>
                <w:rFonts w:hint="eastAsia" w:ascii="宋体" w:hAnsi="宋体"/>
                <w:color w:val="auto"/>
                <w:highlight w:val="none"/>
              </w:rPr>
              <w:t>安全管理</w:t>
            </w:r>
          </w:p>
        </w:tc>
        <w:tc>
          <w:tcPr>
            <w:tcW w:w="1418" w:type="dxa"/>
            <w:vAlign w:val="center"/>
          </w:tcPr>
          <w:p w14:paraId="41E5795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1B6D975D">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56549590">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4252" w:type="dxa"/>
            <w:vAlign w:val="center"/>
          </w:tcPr>
          <w:p w14:paraId="05FA99C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257D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3F6679F8">
            <w:pPr>
              <w:pStyle w:val="19"/>
              <w:keepNext/>
              <w:keepLines w:val="0"/>
              <w:suppressLineNumbers w:val="0"/>
              <w:spacing w:before="0" w:beforeAutospacing="0" w:afterAutospacing="0" w:line="440" w:lineRule="exact"/>
              <w:ind w:left="420" w:right="63"/>
              <w:rPr>
                <w:rFonts w:hint="default" w:ascii="宋体" w:hAnsi="宋体"/>
                <w:color w:val="auto"/>
                <w:highlight w:val="none"/>
              </w:rPr>
            </w:pPr>
            <w:r>
              <w:rPr>
                <w:rFonts w:hint="eastAsia" w:ascii="宋体" w:hAnsi="宋体"/>
                <w:color w:val="auto"/>
                <w:highlight w:val="none"/>
              </w:rPr>
              <w:t>其他人员</w:t>
            </w:r>
          </w:p>
        </w:tc>
        <w:tc>
          <w:tcPr>
            <w:tcW w:w="1418" w:type="dxa"/>
            <w:vAlign w:val="center"/>
          </w:tcPr>
          <w:p w14:paraId="5961FC3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1F1634CF">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31F4A6B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4252" w:type="dxa"/>
            <w:vAlign w:val="center"/>
          </w:tcPr>
          <w:p w14:paraId="11AC9931">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68D8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2E46E26">
            <w:pPr>
              <w:keepNext w:val="0"/>
              <w:keepLines w:val="0"/>
              <w:widowControl/>
              <w:suppressLineNumbers w:val="0"/>
              <w:spacing w:before="0" w:beforeAutospacing="0" w:after="0" w:afterAutospacing="0"/>
              <w:ind w:left="0" w:right="0"/>
              <w:jc w:val="left"/>
              <w:rPr>
                <w:rFonts w:hint="default" w:ascii="宋体" w:hAnsi="宋体" w:cs="宋体"/>
                <w:color w:val="auto"/>
                <w:szCs w:val="21"/>
                <w:highlight w:val="none"/>
              </w:rPr>
            </w:pPr>
          </w:p>
        </w:tc>
        <w:tc>
          <w:tcPr>
            <w:tcW w:w="1418" w:type="dxa"/>
            <w:vAlign w:val="center"/>
          </w:tcPr>
          <w:p w14:paraId="70628E61">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0FFD12A2">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7AC079D6">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4252" w:type="dxa"/>
            <w:vAlign w:val="center"/>
          </w:tcPr>
          <w:p w14:paraId="450EEE4B">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6154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6D75498">
            <w:pPr>
              <w:keepNext w:val="0"/>
              <w:keepLines w:val="0"/>
              <w:widowControl/>
              <w:suppressLineNumbers w:val="0"/>
              <w:spacing w:before="0" w:beforeAutospacing="0" w:after="0" w:afterAutospacing="0"/>
              <w:ind w:left="0" w:right="0"/>
              <w:jc w:val="left"/>
              <w:rPr>
                <w:rFonts w:hint="default" w:ascii="宋体" w:hAnsi="宋体" w:cs="宋体"/>
                <w:color w:val="auto"/>
                <w:szCs w:val="21"/>
                <w:highlight w:val="none"/>
              </w:rPr>
            </w:pPr>
          </w:p>
        </w:tc>
        <w:tc>
          <w:tcPr>
            <w:tcW w:w="1418" w:type="dxa"/>
            <w:vAlign w:val="center"/>
          </w:tcPr>
          <w:p w14:paraId="1DD52F66">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1688304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01B0CD91">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4252" w:type="dxa"/>
            <w:vAlign w:val="center"/>
          </w:tcPr>
          <w:p w14:paraId="76CAE8DF">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1974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9386FFD">
            <w:pPr>
              <w:keepNext w:val="0"/>
              <w:keepLines w:val="0"/>
              <w:widowControl/>
              <w:suppressLineNumbers w:val="0"/>
              <w:spacing w:before="0" w:beforeAutospacing="0" w:after="0" w:afterAutospacing="0"/>
              <w:ind w:left="0" w:right="0"/>
              <w:jc w:val="left"/>
              <w:rPr>
                <w:rFonts w:hint="default" w:ascii="宋体" w:hAnsi="宋体" w:cs="宋体"/>
                <w:color w:val="auto"/>
                <w:szCs w:val="21"/>
                <w:highlight w:val="none"/>
              </w:rPr>
            </w:pPr>
          </w:p>
        </w:tc>
        <w:tc>
          <w:tcPr>
            <w:tcW w:w="1418" w:type="dxa"/>
            <w:vAlign w:val="center"/>
          </w:tcPr>
          <w:p w14:paraId="552CE452">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36400C76">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522AC935">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4252" w:type="dxa"/>
            <w:vAlign w:val="center"/>
          </w:tcPr>
          <w:p w14:paraId="4E75D4E3">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4CBC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67920B9">
            <w:pPr>
              <w:keepNext w:val="0"/>
              <w:keepLines w:val="0"/>
              <w:widowControl/>
              <w:suppressLineNumbers w:val="0"/>
              <w:spacing w:before="0" w:beforeAutospacing="0" w:after="0" w:afterAutospacing="0"/>
              <w:ind w:left="0" w:right="0"/>
              <w:jc w:val="left"/>
              <w:rPr>
                <w:rFonts w:hint="default" w:ascii="宋体" w:hAnsi="宋体" w:cs="宋体"/>
                <w:color w:val="auto"/>
                <w:szCs w:val="21"/>
                <w:highlight w:val="none"/>
              </w:rPr>
            </w:pPr>
          </w:p>
        </w:tc>
        <w:tc>
          <w:tcPr>
            <w:tcW w:w="1418" w:type="dxa"/>
            <w:vAlign w:val="center"/>
          </w:tcPr>
          <w:p w14:paraId="5FE9190B">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0C72B1E9">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271FF53D">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4252" w:type="dxa"/>
            <w:vAlign w:val="center"/>
          </w:tcPr>
          <w:p w14:paraId="100FE47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4F43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5485695">
            <w:pPr>
              <w:keepNext w:val="0"/>
              <w:keepLines w:val="0"/>
              <w:widowControl/>
              <w:suppressLineNumbers w:val="0"/>
              <w:spacing w:before="0" w:beforeAutospacing="0" w:after="0" w:afterAutospacing="0"/>
              <w:ind w:left="0" w:right="0"/>
              <w:jc w:val="left"/>
              <w:rPr>
                <w:rFonts w:hint="default" w:ascii="宋体" w:hAnsi="宋体" w:cs="宋体"/>
                <w:color w:val="auto"/>
                <w:szCs w:val="21"/>
                <w:highlight w:val="none"/>
              </w:rPr>
            </w:pPr>
          </w:p>
        </w:tc>
        <w:tc>
          <w:tcPr>
            <w:tcW w:w="1418" w:type="dxa"/>
            <w:vAlign w:val="center"/>
          </w:tcPr>
          <w:p w14:paraId="432E4ED2">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6292AD12">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134" w:type="dxa"/>
            <w:vAlign w:val="center"/>
          </w:tcPr>
          <w:p w14:paraId="30068320">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4252" w:type="dxa"/>
            <w:vAlign w:val="center"/>
          </w:tcPr>
          <w:p w14:paraId="04E13892">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bl>
    <w:p w14:paraId="7DCC5EFD">
      <w:pPr>
        <w:spacing w:line="440" w:lineRule="exact"/>
        <w:rPr>
          <w:rFonts w:ascii="宋体" w:hAnsi="宋体" w:cs="宋体"/>
          <w:color w:val="auto"/>
          <w:szCs w:val="21"/>
          <w:highlight w:val="none"/>
        </w:rPr>
      </w:pPr>
      <w:r>
        <w:rPr>
          <w:rFonts w:hint="eastAsia" w:ascii="宋体" w:hAnsi="宋体" w:cs="宋体"/>
          <w:color w:val="auto"/>
          <w:szCs w:val="21"/>
          <w:highlight w:val="none"/>
        </w:rPr>
        <w:br w:type="page"/>
      </w:r>
      <w:bookmarkStart w:id="1179" w:name="_Toc267261701"/>
      <w:r>
        <w:rPr>
          <w:rFonts w:hint="eastAsia" w:ascii="宋体" w:hAnsi="宋体" w:cs="宋体"/>
          <w:color w:val="auto"/>
          <w:szCs w:val="21"/>
          <w:highlight w:val="none"/>
        </w:rPr>
        <w:t>附</w:t>
      </w:r>
      <w:bookmarkStart w:id="1180" w:name="_Toc296891059"/>
      <w:bookmarkStart w:id="1181" w:name="_Toc296891271"/>
      <w:bookmarkStart w:id="1182" w:name="_Toc296944570"/>
      <w:bookmarkStart w:id="1183" w:name="_Toc296503231"/>
      <w:bookmarkStart w:id="1184" w:name="_Toc296346732"/>
      <w:bookmarkStart w:id="1185" w:name="_Toc296347230"/>
      <w:r>
        <w:rPr>
          <w:rFonts w:hint="eastAsia" w:ascii="宋体" w:hAnsi="宋体" w:cs="宋体"/>
          <w:color w:val="auto"/>
          <w:szCs w:val="21"/>
          <w:highlight w:val="none"/>
        </w:rPr>
        <w:t>件8：</w:t>
      </w:r>
    </w:p>
    <w:bookmarkEnd w:id="1179"/>
    <w:bookmarkEnd w:id="1180"/>
    <w:bookmarkEnd w:id="1181"/>
    <w:bookmarkEnd w:id="1182"/>
    <w:bookmarkEnd w:id="1183"/>
    <w:bookmarkEnd w:id="1184"/>
    <w:bookmarkEnd w:id="1185"/>
    <w:p w14:paraId="24651762">
      <w:pPr>
        <w:spacing w:before="156" w:beforeLines="50" w:after="156" w:afterLines="50" w:line="440" w:lineRule="exact"/>
        <w:jc w:val="center"/>
        <w:rPr>
          <w:rFonts w:ascii="宋体" w:hAnsi="宋体" w:cs="宋体"/>
          <w:color w:val="auto"/>
          <w:szCs w:val="21"/>
          <w:highlight w:val="none"/>
        </w:rPr>
      </w:pPr>
      <w:r>
        <w:rPr>
          <w:rFonts w:hint="eastAsia" w:ascii="宋体" w:hAnsi="宋体" w:cs="宋体"/>
          <w:color w:val="auto"/>
          <w:szCs w:val="21"/>
          <w:highlight w:val="none"/>
        </w:rPr>
        <w:t>履约担保</w:t>
      </w:r>
    </w:p>
    <w:p w14:paraId="553ECDA9">
      <w:pPr>
        <w:spacing w:line="440" w:lineRule="exac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（发包人名称）：</w:t>
      </w:r>
    </w:p>
    <w:p w14:paraId="6564BC09">
      <w:pPr>
        <w:spacing w:line="440" w:lineRule="exact"/>
        <w:rPr>
          <w:rFonts w:ascii="宋体" w:hAnsi="宋体" w:cs="宋体"/>
          <w:color w:val="auto"/>
          <w:szCs w:val="21"/>
          <w:highlight w:val="none"/>
        </w:rPr>
      </w:pPr>
    </w:p>
    <w:p w14:paraId="648E97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（发包人名称，以下简称“发包人”）与</w:t>
      </w:r>
    </w:p>
    <w:p w14:paraId="4D63BC2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（承包人名称）（以下称“承包人”）于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（工程名称）施工及有关事项协商一致共同签订《建设工程施工合同》。我方愿意无条件地、不可撤销地就承包人履行与你方签订的合同，向你方提供连带责任担保。 </w:t>
      </w:r>
    </w:p>
    <w:p w14:paraId="063685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担保金额人民币（大写）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4B6FA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 担保有效期自你方与承包人签订的合同生效之日起至你方签发或应签发工程接收证书之日止。</w:t>
      </w:r>
    </w:p>
    <w:p w14:paraId="2AA3F8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 在本担保有效期内，因承包人违反合同约定的义务给你方造成经济损失时，我方在收到你方以书面形式提出的在担保金额内的赔偿要求后，在7天内无条件支付。</w:t>
      </w:r>
    </w:p>
    <w:p w14:paraId="6F7A71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 你方和承包人按合同约定变更合同时，我方承担本担保规定的义务不变。</w:t>
      </w:r>
    </w:p>
    <w:p w14:paraId="4752C4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 因本保函发生的纠纷，可由双方协商解决，协商不成的，任何一方均可提请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仲裁委员会仲裁。</w:t>
      </w:r>
    </w:p>
    <w:p w14:paraId="4D5591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 本保函自我方法定代表人（或其授权代理人）签字并加盖公章之日起生效。</w:t>
      </w:r>
    </w:p>
    <w:p w14:paraId="66B0DE85">
      <w:pPr>
        <w:spacing w:line="360" w:lineRule="auto"/>
        <w:rPr>
          <w:rFonts w:ascii="宋体" w:hAnsi="宋体" w:cs="宋体"/>
          <w:color w:val="auto"/>
          <w:szCs w:val="21"/>
          <w:highlight w:val="none"/>
        </w:rPr>
      </w:pPr>
    </w:p>
    <w:p w14:paraId="2A55719B">
      <w:pPr>
        <w:spacing w:line="360" w:lineRule="auto"/>
        <w:rPr>
          <w:rFonts w:ascii="宋体" w:hAnsi="宋体" w:cs="宋体"/>
          <w:color w:val="auto"/>
          <w:szCs w:val="21"/>
          <w:highlight w:val="none"/>
        </w:rPr>
      </w:pPr>
      <w:r>
        <w:rPr>
          <w:rFonts w:hint="eastAsia" w:ascii="宋体" w:hAnsi="宋体" w:cs="宋体"/>
          <w:color w:val="auto"/>
          <w:szCs w:val="21"/>
          <w:highlight w:val="none"/>
        </w:rPr>
        <w:t>担 保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2AF40041">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6DBA9940">
      <w:pPr>
        <w:spacing w:line="360" w:lineRule="auto"/>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2A960BB6">
      <w:pPr>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594C087A">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54EE1579">
      <w:pPr>
        <w:spacing w:line="360" w:lineRule="auto"/>
        <w:rPr>
          <w:rFonts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4CBAA50A">
      <w:pPr>
        <w:spacing w:line="360" w:lineRule="auto"/>
        <w:jc w:val="left"/>
        <w:rPr>
          <w:rFonts w:ascii="宋体" w:hAnsi="宋体" w:cs="宋体"/>
          <w:color w:val="auto"/>
          <w:szCs w:val="21"/>
          <w:highlight w:val="none"/>
          <w:u w:val="single"/>
        </w:rPr>
      </w:pPr>
    </w:p>
    <w:p w14:paraId="2F5A418F">
      <w:pPr>
        <w:spacing w:line="360" w:lineRule="auto"/>
        <w:ind w:left="1329" w:hanging="1329" w:hangingChars="633"/>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491C505">
      <w:pPr>
        <w:spacing w:line="360" w:lineRule="auto"/>
        <w:ind w:left="1329" w:hanging="1329" w:hangingChars="633"/>
        <w:rPr>
          <w:rFonts w:ascii="宋体" w:hAnsi="宋体" w:cs="宋体"/>
          <w:color w:val="auto"/>
          <w:szCs w:val="21"/>
          <w:highlight w:val="none"/>
        </w:rPr>
      </w:pPr>
    </w:p>
    <w:p w14:paraId="574021E3">
      <w:pPr>
        <w:spacing w:line="360" w:lineRule="auto"/>
        <w:ind w:left="1329" w:hanging="1329" w:hangingChars="633"/>
        <w:rPr>
          <w:rFonts w:ascii="宋体" w:hAnsi="宋体" w:cs="宋体"/>
          <w:color w:val="auto"/>
          <w:szCs w:val="21"/>
          <w:highlight w:val="none"/>
        </w:rPr>
      </w:pPr>
    </w:p>
    <w:p w14:paraId="5260EFD5">
      <w:pPr>
        <w:spacing w:line="360" w:lineRule="auto"/>
        <w:ind w:left="1329" w:hanging="1329" w:hangingChars="633"/>
        <w:rPr>
          <w:rFonts w:ascii="宋体" w:hAnsi="宋体" w:cs="宋体"/>
          <w:color w:val="auto"/>
          <w:szCs w:val="21"/>
          <w:highlight w:val="none"/>
        </w:rPr>
      </w:pPr>
    </w:p>
    <w:p w14:paraId="6BDDAD92">
      <w:pPr>
        <w:spacing w:line="360" w:lineRule="auto"/>
        <w:rPr>
          <w:rFonts w:ascii="宋体" w:hAnsi="宋体" w:cs="宋体"/>
          <w:color w:val="auto"/>
          <w:szCs w:val="21"/>
          <w:highlight w:val="none"/>
        </w:rPr>
      </w:pPr>
      <w:r>
        <w:rPr>
          <w:rFonts w:hint="eastAsia" w:ascii="宋体" w:hAnsi="宋体" w:cs="宋体"/>
          <w:color w:val="auto"/>
          <w:szCs w:val="21"/>
          <w:highlight w:val="none"/>
        </w:rPr>
        <w:t>附</w:t>
      </w:r>
      <w:bookmarkStart w:id="1186" w:name="_Toc296944571"/>
      <w:bookmarkStart w:id="1187" w:name="_Toc267261702"/>
      <w:bookmarkStart w:id="1188" w:name="_Toc296347231"/>
      <w:bookmarkStart w:id="1189" w:name="_Toc296891272"/>
      <w:bookmarkStart w:id="1190" w:name="_Toc296503232"/>
      <w:bookmarkStart w:id="1191" w:name="_Toc296346733"/>
      <w:bookmarkStart w:id="1192" w:name="_Toc296891060"/>
      <w:r>
        <w:rPr>
          <w:rFonts w:hint="eastAsia" w:ascii="宋体" w:hAnsi="宋体" w:cs="宋体"/>
          <w:color w:val="auto"/>
          <w:szCs w:val="21"/>
          <w:highlight w:val="none"/>
        </w:rPr>
        <w:t>件9 ：</w:t>
      </w:r>
    </w:p>
    <w:bookmarkEnd w:id="1186"/>
    <w:bookmarkEnd w:id="1187"/>
    <w:bookmarkEnd w:id="1188"/>
    <w:bookmarkEnd w:id="1189"/>
    <w:bookmarkEnd w:id="1190"/>
    <w:bookmarkEnd w:id="1191"/>
    <w:bookmarkEnd w:id="1192"/>
    <w:p w14:paraId="3258A929">
      <w:pPr>
        <w:spacing w:before="156" w:beforeLines="50" w:after="156" w:afterLines="50" w:line="440" w:lineRule="exact"/>
        <w:jc w:val="center"/>
        <w:rPr>
          <w:rFonts w:ascii="宋体" w:hAnsi="宋体" w:cs="宋体"/>
          <w:color w:val="auto"/>
          <w:szCs w:val="21"/>
          <w:highlight w:val="none"/>
        </w:rPr>
      </w:pPr>
      <w:r>
        <w:rPr>
          <w:rFonts w:hint="eastAsia" w:ascii="宋体" w:hAnsi="宋体" w:cs="宋体"/>
          <w:color w:val="auto"/>
          <w:szCs w:val="21"/>
          <w:highlight w:val="none"/>
        </w:rPr>
        <w:t>预付款担保</w:t>
      </w:r>
    </w:p>
    <w:p w14:paraId="0E5E4BC3">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（发包人名称）：</w:t>
      </w:r>
    </w:p>
    <w:p w14:paraId="528D1E5A">
      <w:pPr>
        <w:spacing w:line="360" w:lineRule="auto"/>
        <w:rPr>
          <w:rFonts w:ascii="宋体" w:hAnsi="宋体" w:cs="宋体"/>
          <w:color w:val="auto"/>
          <w:szCs w:val="21"/>
          <w:highlight w:val="none"/>
        </w:rPr>
      </w:pPr>
    </w:p>
    <w:p w14:paraId="0AD24A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（承包人名称）（以下称“承包人”）与</w:t>
      </w:r>
    </w:p>
    <w:p w14:paraId="407FCD63">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（发包人名称）（以下简称“发包人”）</w:t>
      </w:r>
    </w:p>
    <w:p w14:paraId="01F7291C">
      <w:pPr>
        <w:spacing w:line="360" w:lineRule="auto"/>
        <w:rPr>
          <w:rFonts w:ascii="宋体" w:hAnsi="宋体" w:cs="宋体"/>
          <w:color w:val="auto"/>
          <w:szCs w:val="21"/>
          <w:highlight w:val="none"/>
        </w:rPr>
      </w:pPr>
      <w:r>
        <w:rPr>
          <w:rFonts w:hint="eastAsia" w:ascii="宋体" w:hAnsi="宋体" w:cs="宋体"/>
          <w:color w:val="auto"/>
          <w:szCs w:val="21"/>
          <w:highlight w:val="none"/>
        </w:rPr>
        <w:t>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日签订的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01F0B7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担保金额人民币（大写）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ACF54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 担保有效期自预付款支付给承包人起生效，至你方签发的进度款支付证书说明已完全扣清止。</w:t>
      </w:r>
    </w:p>
    <w:p w14:paraId="4EDD4F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 在本保函有效期内，因承包人违反合同约定的义务而要求收回预付款时，我方在收到你方的书面通知后，在7天内无条件支付。但本保函的担保金额，在任何时候不应超过预付款金额减去你方按合同约定在向承包人签发的进度款支付证书中扣除的金额。</w:t>
      </w:r>
    </w:p>
    <w:p w14:paraId="1B3D28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 你方和承包人按合同约定变更合同时，我方承担本保函规定的义务不变。</w:t>
      </w:r>
    </w:p>
    <w:p w14:paraId="144DD32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 因本保函发生的纠纷，可由双方协商解决，协商不成的，任何一方均可提请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仲裁委员会仲裁。</w:t>
      </w:r>
    </w:p>
    <w:p w14:paraId="08A97CD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 本保函自我方法定代表人（或其授权代理人）签字并加盖公章之日起生效。</w:t>
      </w:r>
    </w:p>
    <w:p w14:paraId="69282F5B">
      <w:pPr>
        <w:spacing w:line="360" w:lineRule="auto"/>
        <w:rPr>
          <w:rFonts w:ascii="宋体" w:hAnsi="宋体" w:cs="宋体"/>
          <w:color w:val="auto"/>
          <w:szCs w:val="21"/>
          <w:highlight w:val="none"/>
        </w:rPr>
      </w:pPr>
    </w:p>
    <w:p w14:paraId="45ADA6AD">
      <w:pPr>
        <w:spacing w:line="360" w:lineRule="auto"/>
        <w:rPr>
          <w:rFonts w:ascii="宋体" w:hAnsi="宋体" w:cs="宋体"/>
          <w:color w:val="auto"/>
          <w:szCs w:val="21"/>
          <w:highlight w:val="none"/>
        </w:rPr>
      </w:pPr>
      <w:r>
        <w:rPr>
          <w:rFonts w:hint="eastAsia" w:ascii="宋体" w:hAnsi="宋体" w:cs="宋体"/>
          <w:color w:val="auto"/>
          <w:szCs w:val="21"/>
          <w:highlight w:val="none"/>
        </w:rPr>
        <w:t>担保人：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31E014EA">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7C8F1538">
      <w:pPr>
        <w:spacing w:line="360" w:lineRule="auto"/>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14:paraId="182DF8BC">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14:paraId="36AC13A6">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14:paraId="027A887F">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14:paraId="31D324A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14:paraId="0C324DE7">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0E34D9F">
      <w:pPr>
        <w:spacing w:line="440" w:lineRule="exact"/>
        <w:rPr>
          <w:rFonts w:ascii="宋体" w:hAnsi="宋体" w:cs="宋体"/>
          <w:color w:val="auto"/>
          <w:szCs w:val="21"/>
          <w:highlight w:val="none"/>
        </w:rPr>
      </w:pPr>
      <w:r>
        <w:rPr>
          <w:rFonts w:hint="eastAsia" w:ascii="宋体" w:hAnsi="宋体" w:cs="宋体"/>
          <w:b/>
          <w:color w:val="auto"/>
          <w:szCs w:val="21"/>
          <w:highlight w:val="none"/>
        </w:rPr>
        <w:br w:type="page"/>
      </w:r>
      <w:r>
        <w:rPr>
          <w:rFonts w:hint="eastAsia" w:ascii="宋体" w:hAnsi="宋体" w:cs="宋体"/>
          <w:color w:val="auto"/>
          <w:szCs w:val="21"/>
          <w:highlight w:val="none"/>
        </w:rPr>
        <w:t>附件10：</w:t>
      </w:r>
    </w:p>
    <w:p w14:paraId="2B2570CE">
      <w:pPr>
        <w:spacing w:before="156" w:beforeLines="50" w:after="156" w:afterLines="50" w:line="440" w:lineRule="exact"/>
        <w:jc w:val="center"/>
        <w:rPr>
          <w:rFonts w:ascii="宋体" w:hAnsi="宋体" w:cs="宋体"/>
          <w:color w:val="auto"/>
          <w:szCs w:val="21"/>
          <w:highlight w:val="none"/>
        </w:rPr>
      </w:pPr>
      <w:r>
        <w:rPr>
          <w:rFonts w:hint="eastAsia" w:ascii="宋体" w:hAnsi="宋体" w:cs="宋体"/>
          <w:color w:val="auto"/>
          <w:szCs w:val="21"/>
          <w:highlight w:val="none"/>
        </w:rPr>
        <w:t>10-1：材料暂估价表</w:t>
      </w:r>
    </w:p>
    <w:tbl>
      <w:tblPr>
        <w:tblStyle w:val="46"/>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36C51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left w:val="single" w:color="auto" w:sz="12" w:space="0"/>
              <w:bottom w:val="double" w:color="auto" w:sz="6" w:space="0"/>
              <w:right w:val="single" w:color="auto" w:sz="6" w:space="0"/>
            </w:tcBorders>
          </w:tcPr>
          <w:p w14:paraId="56655079">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984" w:type="dxa"/>
            <w:tcBorders>
              <w:top w:val="single" w:color="auto" w:sz="12" w:space="0"/>
              <w:left w:val="single" w:color="auto" w:sz="6" w:space="0"/>
              <w:bottom w:val="double" w:color="auto" w:sz="6" w:space="0"/>
              <w:right w:val="single" w:color="auto" w:sz="6" w:space="0"/>
            </w:tcBorders>
          </w:tcPr>
          <w:p w14:paraId="07CD1BC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12" w:space="0"/>
              <w:left w:val="single" w:color="auto" w:sz="6" w:space="0"/>
              <w:bottom w:val="double" w:color="auto" w:sz="6" w:space="0"/>
              <w:right w:val="single" w:color="auto" w:sz="6" w:space="0"/>
            </w:tcBorders>
          </w:tcPr>
          <w:p w14:paraId="62B01735">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774" w:type="dxa"/>
            <w:tcBorders>
              <w:top w:val="single" w:color="auto" w:sz="12" w:space="0"/>
              <w:left w:val="single" w:color="auto" w:sz="6" w:space="0"/>
              <w:bottom w:val="double" w:color="auto" w:sz="6" w:space="0"/>
              <w:right w:val="single" w:color="auto" w:sz="6" w:space="0"/>
            </w:tcBorders>
          </w:tcPr>
          <w:p w14:paraId="18772BA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352" w:type="dxa"/>
            <w:tcBorders>
              <w:top w:val="single" w:color="auto" w:sz="12" w:space="0"/>
              <w:left w:val="single" w:color="auto" w:sz="6" w:space="0"/>
              <w:bottom w:val="double" w:color="auto" w:sz="6" w:space="0"/>
              <w:right w:val="single" w:color="auto" w:sz="6" w:space="0"/>
            </w:tcBorders>
          </w:tcPr>
          <w:p w14:paraId="2ED1EED2">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tcBorders>
              <w:top w:val="single" w:color="auto" w:sz="12" w:space="0"/>
              <w:left w:val="single" w:color="auto" w:sz="6" w:space="0"/>
              <w:bottom w:val="double" w:color="auto" w:sz="6" w:space="0"/>
              <w:right w:val="single" w:color="auto" w:sz="6" w:space="0"/>
            </w:tcBorders>
          </w:tcPr>
          <w:p w14:paraId="46C3C9A0">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701" w:type="dxa"/>
            <w:tcBorders>
              <w:top w:val="single" w:color="auto" w:sz="12" w:space="0"/>
              <w:left w:val="single" w:color="auto" w:sz="6" w:space="0"/>
              <w:bottom w:val="double" w:color="auto" w:sz="6" w:space="0"/>
              <w:right w:val="single" w:color="auto" w:sz="12" w:space="0"/>
            </w:tcBorders>
          </w:tcPr>
          <w:p w14:paraId="601AE912">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7CE8EA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left w:val="single" w:color="auto" w:sz="12" w:space="0"/>
              <w:bottom w:val="single" w:color="auto" w:sz="6" w:space="0"/>
              <w:right w:val="single" w:color="auto" w:sz="6" w:space="0"/>
            </w:tcBorders>
          </w:tcPr>
          <w:p w14:paraId="6D83304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984" w:type="dxa"/>
            <w:tcBorders>
              <w:top w:val="double" w:color="auto" w:sz="6" w:space="0"/>
              <w:left w:val="single" w:color="auto" w:sz="6" w:space="0"/>
              <w:bottom w:val="single" w:color="auto" w:sz="6" w:space="0"/>
              <w:right w:val="single" w:color="auto" w:sz="6" w:space="0"/>
            </w:tcBorders>
          </w:tcPr>
          <w:p w14:paraId="5CE0CC05">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double" w:color="auto" w:sz="6" w:space="0"/>
              <w:left w:val="single" w:color="auto" w:sz="6" w:space="0"/>
              <w:bottom w:val="single" w:color="auto" w:sz="6" w:space="0"/>
              <w:right w:val="single" w:color="auto" w:sz="6" w:space="0"/>
            </w:tcBorders>
          </w:tcPr>
          <w:p w14:paraId="36FFB1C3">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774" w:type="dxa"/>
            <w:tcBorders>
              <w:top w:val="double" w:color="auto" w:sz="6" w:space="0"/>
              <w:left w:val="single" w:color="auto" w:sz="6" w:space="0"/>
              <w:bottom w:val="single" w:color="auto" w:sz="6" w:space="0"/>
              <w:right w:val="single" w:color="auto" w:sz="6" w:space="0"/>
            </w:tcBorders>
          </w:tcPr>
          <w:p w14:paraId="0A53466E">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352" w:type="dxa"/>
            <w:tcBorders>
              <w:top w:val="double" w:color="auto" w:sz="6" w:space="0"/>
              <w:left w:val="single" w:color="auto" w:sz="6" w:space="0"/>
              <w:bottom w:val="single" w:color="auto" w:sz="6" w:space="0"/>
              <w:right w:val="single" w:color="auto" w:sz="6" w:space="0"/>
            </w:tcBorders>
          </w:tcPr>
          <w:p w14:paraId="37C1B37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tcBorders>
              <w:top w:val="double" w:color="auto" w:sz="6" w:space="0"/>
              <w:left w:val="single" w:color="auto" w:sz="6" w:space="0"/>
              <w:bottom w:val="single" w:color="auto" w:sz="6" w:space="0"/>
              <w:right w:val="single" w:color="auto" w:sz="6" w:space="0"/>
            </w:tcBorders>
          </w:tcPr>
          <w:p w14:paraId="1D0EBD5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701" w:type="dxa"/>
            <w:tcBorders>
              <w:top w:val="double" w:color="auto" w:sz="6" w:space="0"/>
              <w:left w:val="single" w:color="auto" w:sz="6" w:space="0"/>
              <w:bottom w:val="single" w:color="auto" w:sz="6" w:space="0"/>
              <w:right w:val="single" w:color="auto" w:sz="12" w:space="0"/>
            </w:tcBorders>
          </w:tcPr>
          <w:p w14:paraId="598275A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69455B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tcPr>
          <w:p w14:paraId="0E753DA0">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984" w:type="dxa"/>
            <w:tcBorders>
              <w:top w:val="nil"/>
              <w:left w:val="single" w:color="auto" w:sz="6" w:space="0"/>
              <w:bottom w:val="single" w:color="auto" w:sz="6" w:space="0"/>
              <w:right w:val="single" w:color="auto" w:sz="6" w:space="0"/>
            </w:tcBorders>
          </w:tcPr>
          <w:p w14:paraId="42C9CC43">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nil"/>
              <w:left w:val="single" w:color="auto" w:sz="6" w:space="0"/>
              <w:bottom w:val="single" w:color="auto" w:sz="6" w:space="0"/>
              <w:right w:val="single" w:color="auto" w:sz="6" w:space="0"/>
            </w:tcBorders>
          </w:tcPr>
          <w:p w14:paraId="52ADF57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774" w:type="dxa"/>
            <w:tcBorders>
              <w:top w:val="nil"/>
              <w:left w:val="single" w:color="auto" w:sz="6" w:space="0"/>
              <w:bottom w:val="single" w:color="auto" w:sz="6" w:space="0"/>
              <w:right w:val="single" w:color="auto" w:sz="6" w:space="0"/>
            </w:tcBorders>
          </w:tcPr>
          <w:p w14:paraId="76AEA8E0">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352" w:type="dxa"/>
            <w:tcBorders>
              <w:top w:val="nil"/>
              <w:left w:val="single" w:color="auto" w:sz="6" w:space="0"/>
              <w:bottom w:val="single" w:color="auto" w:sz="6" w:space="0"/>
              <w:right w:val="single" w:color="auto" w:sz="6" w:space="0"/>
            </w:tcBorders>
          </w:tcPr>
          <w:p w14:paraId="259180A1">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tcBorders>
              <w:top w:val="nil"/>
              <w:left w:val="single" w:color="auto" w:sz="6" w:space="0"/>
              <w:bottom w:val="single" w:color="auto" w:sz="6" w:space="0"/>
              <w:right w:val="single" w:color="auto" w:sz="6" w:space="0"/>
            </w:tcBorders>
          </w:tcPr>
          <w:p w14:paraId="5A005FA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701" w:type="dxa"/>
            <w:tcBorders>
              <w:top w:val="nil"/>
              <w:left w:val="single" w:color="auto" w:sz="6" w:space="0"/>
              <w:bottom w:val="single" w:color="auto" w:sz="6" w:space="0"/>
              <w:right w:val="single" w:color="auto" w:sz="12" w:space="0"/>
            </w:tcBorders>
          </w:tcPr>
          <w:p w14:paraId="5B62683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656B6D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24DDB70F">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68C479E9">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5485DA1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2E0C037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1DEDA9AD">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4193033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3FEF9672">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04A886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6545688B">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32C87E21">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509B857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795BF906">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586D505E">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74B10348">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45D7D8E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02FE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504A6C3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5225EF4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1458DE85">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305D4D7D">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06727E98">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716F39F3">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530F09F9">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2FF2BB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79C65CD3">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49E406D0">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4BE6233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56E1E406">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32F59B5D">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135608D1">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669CFF15">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3AA1BF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0E129BF2">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7AF54676">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2E9D1BDF">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5C430F5B">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13B0EBA1">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054C439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59CA22B1">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2F76B6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6A3DBF70">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5DE60F4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5DE48CE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23FE54A8">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6F028998">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4F6580E2">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040E30E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05792E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783F845F">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37C6283F">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4802DCE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30E1E9A8">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65CD940B">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1AB544D0">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371D98B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1F0BC4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tcPr>
          <w:p w14:paraId="14F8D16B">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984" w:type="dxa"/>
            <w:tcBorders>
              <w:top w:val="single" w:color="auto" w:sz="6" w:space="0"/>
              <w:left w:val="single" w:color="auto" w:sz="6" w:space="0"/>
              <w:bottom w:val="single" w:color="auto" w:sz="12" w:space="0"/>
              <w:right w:val="single" w:color="auto" w:sz="6" w:space="0"/>
            </w:tcBorders>
          </w:tcPr>
          <w:p w14:paraId="2886BA35">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6" w:space="0"/>
              <w:left w:val="single" w:color="auto" w:sz="6" w:space="0"/>
              <w:bottom w:val="single" w:color="auto" w:sz="12" w:space="0"/>
              <w:right w:val="single" w:color="auto" w:sz="6" w:space="0"/>
            </w:tcBorders>
          </w:tcPr>
          <w:p w14:paraId="53A24FE8">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774" w:type="dxa"/>
            <w:tcBorders>
              <w:top w:val="single" w:color="auto" w:sz="6" w:space="0"/>
              <w:left w:val="single" w:color="auto" w:sz="6" w:space="0"/>
              <w:bottom w:val="single" w:color="auto" w:sz="12" w:space="0"/>
              <w:right w:val="single" w:color="auto" w:sz="6" w:space="0"/>
            </w:tcBorders>
          </w:tcPr>
          <w:p w14:paraId="14E04A28">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352" w:type="dxa"/>
            <w:tcBorders>
              <w:top w:val="single" w:color="auto" w:sz="6" w:space="0"/>
              <w:left w:val="single" w:color="auto" w:sz="6" w:space="0"/>
              <w:bottom w:val="single" w:color="auto" w:sz="12" w:space="0"/>
              <w:right w:val="single" w:color="auto" w:sz="6" w:space="0"/>
            </w:tcBorders>
          </w:tcPr>
          <w:p w14:paraId="7B898FF5">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tcBorders>
              <w:top w:val="single" w:color="auto" w:sz="6" w:space="0"/>
              <w:left w:val="single" w:color="auto" w:sz="6" w:space="0"/>
              <w:bottom w:val="single" w:color="auto" w:sz="12" w:space="0"/>
              <w:right w:val="single" w:color="auto" w:sz="6" w:space="0"/>
            </w:tcBorders>
          </w:tcPr>
          <w:p w14:paraId="6764A961">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701" w:type="dxa"/>
            <w:tcBorders>
              <w:top w:val="single" w:color="auto" w:sz="6" w:space="0"/>
              <w:left w:val="single" w:color="auto" w:sz="6" w:space="0"/>
              <w:bottom w:val="single" w:color="auto" w:sz="12" w:space="0"/>
              <w:right w:val="single" w:color="auto" w:sz="12" w:space="0"/>
            </w:tcBorders>
          </w:tcPr>
          <w:p w14:paraId="1BC2E65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bl>
    <w:p w14:paraId="21858468">
      <w:pPr>
        <w:spacing w:before="156" w:beforeLines="50" w:after="156" w:afterLines="50" w:line="440" w:lineRule="exact"/>
        <w:jc w:val="center"/>
        <w:rPr>
          <w:rFonts w:ascii="宋体" w:hAnsi="宋体" w:cs="宋体"/>
          <w:color w:val="auto"/>
          <w:szCs w:val="21"/>
          <w:highlight w:val="none"/>
        </w:rPr>
      </w:pPr>
    </w:p>
    <w:p w14:paraId="1A3555E9">
      <w:pPr>
        <w:spacing w:before="156" w:beforeLines="50" w:after="156" w:afterLines="50" w:line="440" w:lineRule="exact"/>
        <w:jc w:val="center"/>
        <w:rPr>
          <w:rFonts w:ascii="宋体" w:hAnsi="宋体" w:cs="宋体"/>
          <w:color w:val="auto"/>
          <w:szCs w:val="21"/>
          <w:highlight w:val="none"/>
        </w:rPr>
      </w:pPr>
    </w:p>
    <w:p w14:paraId="0B2D941B">
      <w:pPr>
        <w:spacing w:before="156" w:beforeLines="50" w:after="156" w:afterLines="50" w:line="440" w:lineRule="exact"/>
        <w:jc w:val="center"/>
        <w:rPr>
          <w:rFonts w:ascii="宋体" w:hAnsi="宋体" w:cs="宋体"/>
          <w:color w:val="auto"/>
          <w:szCs w:val="21"/>
          <w:highlight w:val="none"/>
        </w:rPr>
      </w:pPr>
    </w:p>
    <w:p w14:paraId="6E9775B8">
      <w:pPr>
        <w:spacing w:before="156" w:beforeLines="50" w:after="156" w:afterLines="50" w:line="440" w:lineRule="exact"/>
        <w:jc w:val="center"/>
        <w:rPr>
          <w:rFonts w:ascii="宋体" w:hAnsi="宋体" w:cs="宋体"/>
          <w:color w:val="auto"/>
          <w:szCs w:val="21"/>
          <w:highlight w:val="none"/>
        </w:rPr>
      </w:pPr>
    </w:p>
    <w:p w14:paraId="438C1099">
      <w:pPr>
        <w:spacing w:before="156" w:beforeLines="50" w:after="156" w:afterLines="50" w:line="440" w:lineRule="exact"/>
        <w:jc w:val="center"/>
        <w:rPr>
          <w:rFonts w:ascii="宋体" w:hAnsi="宋体" w:cs="宋体"/>
          <w:color w:val="auto"/>
          <w:szCs w:val="21"/>
          <w:highlight w:val="none"/>
        </w:rPr>
      </w:pPr>
    </w:p>
    <w:p w14:paraId="6F65A80D">
      <w:pPr>
        <w:spacing w:before="156" w:beforeLines="50" w:after="156" w:afterLines="50" w:line="440" w:lineRule="exact"/>
        <w:jc w:val="center"/>
        <w:rPr>
          <w:rFonts w:ascii="宋体" w:hAnsi="宋体" w:cs="宋体"/>
          <w:color w:val="auto"/>
          <w:szCs w:val="21"/>
          <w:highlight w:val="none"/>
        </w:rPr>
      </w:pPr>
    </w:p>
    <w:p w14:paraId="29ECFF33">
      <w:pPr>
        <w:spacing w:before="156" w:beforeLines="50" w:after="156" w:afterLines="50" w:line="440" w:lineRule="exact"/>
        <w:jc w:val="center"/>
        <w:rPr>
          <w:rFonts w:ascii="宋体" w:hAnsi="宋体" w:cs="宋体"/>
          <w:color w:val="auto"/>
          <w:szCs w:val="21"/>
          <w:highlight w:val="none"/>
        </w:rPr>
      </w:pPr>
    </w:p>
    <w:p w14:paraId="04070067">
      <w:pPr>
        <w:spacing w:before="156" w:beforeLines="50" w:after="156" w:afterLines="50" w:line="440" w:lineRule="exact"/>
        <w:jc w:val="center"/>
        <w:rPr>
          <w:rFonts w:ascii="宋体" w:hAnsi="宋体" w:cs="宋体"/>
          <w:color w:val="auto"/>
          <w:szCs w:val="21"/>
          <w:highlight w:val="none"/>
        </w:rPr>
      </w:pPr>
    </w:p>
    <w:p w14:paraId="1BA71DBA">
      <w:pPr>
        <w:spacing w:before="156" w:beforeLines="50" w:after="156" w:afterLines="50" w:line="440" w:lineRule="exact"/>
        <w:jc w:val="center"/>
        <w:rPr>
          <w:rFonts w:ascii="宋体" w:hAnsi="宋体" w:cs="宋体"/>
          <w:color w:val="auto"/>
          <w:szCs w:val="21"/>
          <w:highlight w:val="none"/>
        </w:rPr>
      </w:pPr>
    </w:p>
    <w:p w14:paraId="752C25C9">
      <w:pPr>
        <w:spacing w:before="156" w:beforeLines="50" w:after="156" w:afterLines="50" w:line="440" w:lineRule="exact"/>
        <w:jc w:val="center"/>
        <w:rPr>
          <w:rFonts w:ascii="宋体" w:hAnsi="宋体" w:cs="宋体"/>
          <w:color w:val="auto"/>
          <w:szCs w:val="21"/>
          <w:highlight w:val="none"/>
        </w:rPr>
      </w:pPr>
    </w:p>
    <w:p w14:paraId="39B27938">
      <w:pPr>
        <w:spacing w:before="156" w:beforeLines="50" w:after="156" w:afterLines="50" w:line="440" w:lineRule="exact"/>
        <w:jc w:val="center"/>
        <w:rPr>
          <w:rFonts w:ascii="宋体" w:hAnsi="宋体" w:cs="宋体"/>
          <w:color w:val="auto"/>
          <w:szCs w:val="21"/>
          <w:highlight w:val="none"/>
        </w:rPr>
      </w:pPr>
      <w:r>
        <w:rPr>
          <w:rFonts w:hint="eastAsia" w:ascii="宋体" w:hAnsi="宋体" w:cs="宋体"/>
          <w:color w:val="auto"/>
          <w:szCs w:val="21"/>
          <w:highlight w:val="none"/>
        </w:rPr>
        <w:t>10-2：工程设备暂估价表</w:t>
      </w:r>
    </w:p>
    <w:tbl>
      <w:tblPr>
        <w:tblStyle w:val="46"/>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3B11D3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left w:val="single" w:color="auto" w:sz="12" w:space="0"/>
              <w:bottom w:val="double" w:color="auto" w:sz="6" w:space="0"/>
              <w:right w:val="single" w:color="auto" w:sz="6" w:space="0"/>
            </w:tcBorders>
          </w:tcPr>
          <w:p w14:paraId="0EE13416">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984" w:type="dxa"/>
            <w:tcBorders>
              <w:top w:val="single" w:color="auto" w:sz="12" w:space="0"/>
              <w:left w:val="single" w:color="auto" w:sz="6" w:space="0"/>
              <w:bottom w:val="double" w:color="auto" w:sz="6" w:space="0"/>
              <w:right w:val="single" w:color="auto" w:sz="6" w:space="0"/>
            </w:tcBorders>
          </w:tcPr>
          <w:p w14:paraId="7097E231">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12" w:space="0"/>
              <w:left w:val="single" w:color="auto" w:sz="6" w:space="0"/>
              <w:bottom w:val="double" w:color="auto" w:sz="6" w:space="0"/>
              <w:right w:val="single" w:color="auto" w:sz="6" w:space="0"/>
            </w:tcBorders>
          </w:tcPr>
          <w:p w14:paraId="0DCD6678">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774" w:type="dxa"/>
            <w:tcBorders>
              <w:top w:val="single" w:color="auto" w:sz="12" w:space="0"/>
              <w:left w:val="single" w:color="auto" w:sz="6" w:space="0"/>
              <w:bottom w:val="double" w:color="auto" w:sz="6" w:space="0"/>
              <w:right w:val="single" w:color="auto" w:sz="6" w:space="0"/>
            </w:tcBorders>
          </w:tcPr>
          <w:p w14:paraId="1BE0B60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352" w:type="dxa"/>
            <w:tcBorders>
              <w:top w:val="single" w:color="auto" w:sz="12" w:space="0"/>
              <w:left w:val="single" w:color="auto" w:sz="6" w:space="0"/>
              <w:bottom w:val="double" w:color="auto" w:sz="6" w:space="0"/>
              <w:right w:val="single" w:color="auto" w:sz="6" w:space="0"/>
            </w:tcBorders>
          </w:tcPr>
          <w:p w14:paraId="16B3F95F">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tcBorders>
              <w:top w:val="single" w:color="auto" w:sz="12" w:space="0"/>
              <w:left w:val="single" w:color="auto" w:sz="6" w:space="0"/>
              <w:bottom w:val="double" w:color="auto" w:sz="6" w:space="0"/>
              <w:right w:val="single" w:color="auto" w:sz="6" w:space="0"/>
            </w:tcBorders>
          </w:tcPr>
          <w:p w14:paraId="1172684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701" w:type="dxa"/>
            <w:tcBorders>
              <w:top w:val="single" w:color="auto" w:sz="12" w:space="0"/>
              <w:left w:val="single" w:color="auto" w:sz="6" w:space="0"/>
              <w:bottom w:val="double" w:color="auto" w:sz="6" w:space="0"/>
              <w:right w:val="single" w:color="auto" w:sz="12" w:space="0"/>
            </w:tcBorders>
          </w:tcPr>
          <w:p w14:paraId="6D1789E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7385D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left w:val="single" w:color="auto" w:sz="12" w:space="0"/>
              <w:bottom w:val="single" w:color="auto" w:sz="6" w:space="0"/>
              <w:right w:val="single" w:color="auto" w:sz="6" w:space="0"/>
            </w:tcBorders>
          </w:tcPr>
          <w:p w14:paraId="35F3A58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984" w:type="dxa"/>
            <w:tcBorders>
              <w:top w:val="double" w:color="auto" w:sz="6" w:space="0"/>
              <w:left w:val="single" w:color="auto" w:sz="6" w:space="0"/>
              <w:bottom w:val="single" w:color="auto" w:sz="6" w:space="0"/>
              <w:right w:val="single" w:color="auto" w:sz="6" w:space="0"/>
            </w:tcBorders>
          </w:tcPr>
          <w:p w14:paraId="5F22705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double" w:color="auto" w:sz="6" w:space="0"/>
              <w:left w:val="single" w:color="auto" w:sz="6" w:space="0"/>
              <w:bottom w:val="single" w:color="auto" w:sz="6" w:space="0"/>
              <w:right w:val="single" w:color="auto" w:sz="6" w:space="0"/>
            </w:tcBorders>
          </w:tcPr>
          <w:p w14:paraId="473D2900">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774" w:type="dxa"/>
            <w:tcBorders>
              <w:top w:val="double" w:color="auto" w:sz="6" w:space="0"/>
              <w:left w:val="single" w:color="auto" w:sz="6" w:space="0"/>
              <w:bottom w:val="single" w:color="auto" w:sz="6" w:space="0"/>
              <w:right w:val="single" w:color="auto" w:sz="6" w:space="0"/>
            </w:tcBorders>
          </w:tcPr>
          <w:p w14:paraId="105ACBF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352" w:type="dxa"/>
            <w:tcBorders>
              <w:top w:val="double" w:color="auto" w:sz="6" w:space="0"/>
              <w:left w:val="single" w:color="auto" w:sz="6" w:space="0"/>
              <w:bottom w:val="single" w:color="auto" w:sz="6" w:space="0"/>
              <w:right w:val="single" w:color="auto" w:sz="6" w:space="0"/>
            </w:tcBorders>
          </w:tcPr>
          <w:p w14:paraId="064F1926">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tcBorders>
              <w:top w:val="double" w:color="auto" w:sz="6" w:space="0"/>
              <w:left w:val="single" w:color="auto" w:sz="6" w:space="0"/>
              <w:bottom w:val="single" w:color="auto" w:sz="6" w:space="0"/>
              <w:right w:val="single" w:color="auto" w:sz="6" w:space="0"/>
            </w:tcBorders>
          </w:tcPr>
          <w:p w14:paraId="2384818D">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701" w:type="dxa"/>
            <w:tcBorders>
              <w:top w:val="double" w:color="auto" w:sz="6" w:space="0"/>
              <w:left w:val="single" w:color="auto" w:sz="6" w:space="0"/>
              <w:bottom w:val="single" w:color="auto" w:sz="6" w:space="0"/>
              <w:right w:val="single" w:color="auto" w:sz="12" w:space="0"/>
            </w:tcBorders>
          </w:tcPr>
          <w:p w14:paraId="2D6AC149">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5EBB87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tcPr>
          <w:p w14:paraId="708E42A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984" w:type="dxa"/>
            <w:tcBorders>
              <w:top w:val="nil"/>
              <w:left w:val="single" w:color="auto" w:sz="6" w:space="0"/>
              <w:bottom w:val="single" w:color="auto" w:sz="6" w:space="0"/>
              <w:right w:val="single" w:color="auto" w:sz="6" w:space="0"/>
            </w:tcBorders>
          </w:tcPr>
          <w:p w14:paraId="1CA0B659">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nil"/>
              <w:left w:val="single" w:color="auto" w:sz="6" w:space="0"/>
              <w:bottom w:val="single" w:color="auto" w:sz="6" w:space="0"/>
              <w:right w:val="single" w:color="auto" w:sz="6" w:space="0"/>
            </w:tcBorders>
          </w:tcPr>
          <w:p w14:paraId="5C804388">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774" w:type="dxa"/>
            <w:tcBorders>
              <w:top w:val="nil"/>
              <w:left w:val="single" w:color="auto" w:sz="6" w:space="0"/>
              <w:bottom w:val="single" w:color="auto" w:sz="6" w:space="0"/>
              <w:right w:val="single" w:color="auto" w:sz="6" w:space="0"/>
            </w:tcBorders>
          </w:tcPr>
          <w:p w14:paraId="3FAB9205">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352" w:type="dxa"/>
            <w:tcBorders>
              <w:top w:val="nil"/>
              <w:left w:val="single" w:color="auto" w:sz="6" w:space="0"/>
              <w:bottom w:val="single" w:color="auto" w:sz="6" w:space="0"/>
              <w:right w:val="single" w:color="auto" w:sz="6" w:space="0"/>
            </w:tcBorders>
          </w:tcPr>
          <w:p w14:paraId="340DACF3">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tcBorders>
              <w:top w:val="nil"/>
              <w:left w:val="single" w:color="auto" w:sz="6" w:space="0"/>
              <w:bottom w:val="single" w:color="auto" w:sz="6" w:space="0"/>
              <w:right w:val="single" w:color="auto" w:sz="6" w:space="0"/>
            </w:tcBorders>
          </w:tcPr>
          <w:p w14:paraId="0BB0A5A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701" w:type="dxa"/>
            <w:tcBorders>
              <w:top w:val="nil"/>
              <w:left w:val="single" w:color="auto" w:sz="6" w:space="0"/>
              <w:bottom w:val="single" w:color="auto" w:sz="6" w:space="0"/>
              <w:right w:val="single" w:color="auto" w:sz="12" w:space="0"/>
            </w:tcBorders>
          </w:tcPr>
          <w:p w14:paraId="12D05E3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52C73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5B37D49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07E43FF0">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5A7596CE">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6C2734A6">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371BC003">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3EA208B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6935DF5F">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1B750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40E9E0E5">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67658256">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3C461295">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6743A2D6">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28CADB3D">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0949716E">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61913A43">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233B70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7411B1FB">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65E5D3E8">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3CFF5083">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29C0744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57399498">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57066C06">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2C6B1618">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1E57F0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3A570FC0">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39041643">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6CD6D630">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08E3E51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29D7EAA3">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5B5135C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5589B0FE">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011631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2EC414C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335D5F4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201DB403">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2E8FA2EB">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5769E451">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1468D431">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14A10A56">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549537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4B62A9D6">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231A529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43DFDDC6">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7E4BCA1F">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3C95F542">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5FEEB15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6315C0E0">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40139F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7B84D92E">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328CBFE9">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5CAB0D68">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292E3EB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6E292748">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3BD4DA76">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6FCDAA85">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1B9FCA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4BD56DC1">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55E05D1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1B5FAB8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4044E730">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2E65E14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1580F7AE">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0FAA843D">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650E7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tcPr>
          <w:p w14:paraId="5C1D6058">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984" w:type="dxa"/>
            <w:tcBorders>
              <w:top w:val="single" w:color="auto" w:sz="6" w:space="0"/>
              <w:left w:val="single" w:color="auto" w:sz="6" w:space="0"/>
              <w:bottom w:val="single" w:color="auto" w:sz="12" w:space="0"/>
              <w:right w:val="single" w:color="auto" w:sz="6" w:space="0"/>
            </w:tcBorders>
          </w:tcPr>
          <w:p w14:paraId="6E05EAEE">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6" w:space="0"/>
              <w:left w:val="single" w:color="auto" w:sz="6" w:space="0"/>
              <w:bottom w:val="single" w:color="auto" w:sz="12" w:space="0"/>
              <w:right w:val="single" w:color="auto" w:sz="6" w:space="0"/>
            </w:tcBorders>
          </w:tcPr>
          <w:p w14:paraId="741299EE">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774" w:type="dxa"/>
            <w:tcBorders>
              <w:top w:val="single" w:color="auto" w:sz="6" w:space="0"/>
              <w:left w:val="single" w:color="auto" w:sz="6" w:space="0"/>
              <w:bottom w:val="single" w:color="auto" w:sz="12" w:space="0"/>
              <w:right w:val="single" w:color="auto" w:sz="6" w:space="0"/>
            </w:tcBorders>
          </w:tcPr>
          <w:p w14:paraId="08A827D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352" w:type="dxa"/>
            <w:tcBorders>
              <w:top w:val="single" w:color="auto" w:sz="6" w:space="0"/>
              <w:left w:val="single" w:color="auto" w:sz="6" w:space="0"/>
              <w:bottom w:val="single" w:color="auto" w:sz="12" w:space="0"/>
              <w:right w:val="single" w:color="auto" w:sz="6" w:space="0"/>
            </w:tcBorders>
          </w:tcPr>
          <w:p w14:paraId="360D17A2">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tcBorders>
              <w:top w:val="single" w:color="auto" w:sz="6" w:space="0"/>
              <w:left w:val="single" w:color="auto" w:sz="6" w:space="0"/>
              <w:bottom w:val="single" w:color="auto" w:sz="12" w:space="0"/>
              <w:right w:val="single" w:color="auto" w:sz="6" w:space="0"/>
            </w:tcBorders>
          </w:tcPr>
          <w:p w14:paraId="2F5061FE">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701" w:type="dxa"/>
            <w:tcBorders>
              <w:top w:val="single" w:color="auto" w:sz="6" w:space="0"/>
              <w:left w:val="single" w:color="auto" w:sz="6" w:space="0"/>
              <w:bottom w:val="single" w:color="auto" w:sz="12" w:space="0"/>
              <w:right w:val="single" w:color="auto" w:sz="12" w:space="0"/>
            </w:tcBorders>
          </w:tcPr>
          <w:p w14:paraId="39CC1355">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bl>
    <w:p w14:paraId="77057881">
      <w:pPr>
        <w:spacing w:line="440" w:lineRule="exact"/>
        <w:rPr>
          <w:rFonts w:ascii="宋体" w:hAnsi="宋体" w:cs="宋体"/>
          <w:color w:val="auto"/>
          <w:szCs w:val="21"/>
          <w:highlight w:val="none"/>
        </w:rPr>
      </w:pPr>
    </w:p>
    <w:p w14:paraId="27ECF1A3">
      <w:pPr>
        <w:spacing w:before="156" w:beforeLines="50" w:after="156" w:afterLines="50" w:line="440" w:lineRule="exact"/>
        <w:jc w:val="center"/>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10-3：专业工程暂估价表</w:t>
      </w:r>
    </w:p>
    <w:tbl>
      <w:tblPr>
        <w:tblStyle w:val="4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3A1DF5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left w:val="single" w:color="auto" w:sz="12" w:space="0"/>
              <w:bottom w:val="double" w:color="auto" w:sz="6" w:space="0"/>
              <w:right w:val="single" w:color="auto" w:sz="6" w:space="0"/>
            </w:tcBorders>
          </w:tcPr>
          <w:p w14:paraId="47FECEF5">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984" w:type="dxa"/>
            <w:tcBorders>
              <w:top w:val="single" w:color="auto" w:sz="12" w:space="0"/>
              <w:left w:val="single" w:color="auto" w:sz="6" w:space="0"/>
              <w:bottom w:val="double" w:color="auto" w:sz="6" w:space="0"/>
              <w:right w:val="single" w:color="auto" w:sz="6" w:space="0"/>
            </w:tcBorders>
          </w:tcPr>
          <w:p w14:paraId="1556778E">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12" w:space="0"/>
              <w:left w:val="single" w:color="auto" w:sz="6" w:space="0"/>
              <w:bottom w:val="double" w:color="auto" w:sz="6" w:space="0"/>
              <w:right w:val="single" w:color="auto" w:sz="6" w:space="0"/>
            </w:tcBorders>
          </w:tcPr>
          <w:p w14:paraId="3135414D">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774" w:type="dxa"/>
            <w:tcBorders>
              <w:top w:val="single" w:color="auto" w:sz="12" w:space="0"/>
              <w:left w:val="single" w:color="auto" w:sz="6" w:space="0"/>
              <w:bottom w:val="double" w:color="auto" w:sz="6" w:space="0"/>
              <w:right w:val="single" w:color="auto" w:sz="6" w:space="0"/>
            </w:tcBorders>
          </w:tcPr>
          <w:p w14:paraId="63170215">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352" w:type="dxa"/>
            <w:tcBorders>
              <w:top w:val="single" w:color="auto" w:sz="12" w:space="0"/>
              <w:left w:val="single" w:color="auto" w:sz="6" w:space="0"/>
              <w:bottom w:val="double" w:color="auto" w:sz="6" w:space="0"/>
              <w:right w:val="single" w:color="auto" w:sz="6" w:space="0"/>
            </w:tcBorders>
          </w:tcPr>
          <w:p w14:paraId="04B7DB0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tcBorders>
              <w:top w:val="single" w:color="auto" w:sz="12" w:space="0"/>
              <w:left w:val="single" w:color="auto" w:sz="6" w:space="0"/>
              <w:bottom w:val="double" w:color="auto" w:sz="6" w:space="0"/>
              <w:right w:val="single" w:color="auto" w:sz="6" w:space="0"/>
            </w:tcBorders>
          </w:tcPr>
          <w:p w14:paraId="1C5AC855">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701" w:type="dxa"/>
            <w:tcBorders>
              <w:top w:val="single" w:color="auto" w:sz="12" w:space="0"/>
              <w:left w:val="single" w:color="auto" w:sz="6" w:space="0"/>
              <w:bottom w:val="double" w:color="auto" w:sz="6" w:space="0"/>
              <w:right w:val="single" w:color="auto" w:sz="12" w:space="0"/>
            </w:tcBorders>
          </w:tcPr>
          <w:p w14:paraId="61C4131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1E6357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left w:val="single" w:color="auto" w:sz="12" w:space="0"/>
              <w:bottom w:val="single" w:color="auto" w:sz="6" w:space="0"/>
              <w:right w:val="single" w:color="auto" w:sz="6" w:space="0"/>
            </w:tcBorders>
          </w:tcPr>
          <w:p w14:paraId="2A6AE6F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984" w:type="dxa"/>
            <w:tcBorders>
              <w:top w:val="double" w:color="auto" w:sz="6" w:space="0"/>
              <w:left w:val="single" w:color="auto" w:sz="6" w:space="0"/>
              <w:bottom w:val="single" w:color="auto" w:sz="6" w:space="0"/>
              <w:right w:val="single" w:color="auto" w:sz="6" w:space="0"/>
            </w:tcBorders>
          </w:tcPr>
          <w:p w14:paraId="622BDF2F">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double" w:color="auto" w:sz="6" w:space="0"/>
              <w:left w:val="single" w:color="auto" w:sz="6" w:space="0"/>
              <w:bottom w:val="single" w:color="auto" w:sz="6" w:space="0"/>
              <w:right w:val="single" w:color="auto" w:sz="6" w:space="0"/>
            </w:tcBorders>
          </w:tcPr>
          <w:p w14:paraId="481DEA29">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774" w:type="dxa"/>
            <w:tcBorders>
              <w:top w:val="double" w:color="auto" w:sz="6" w:space="0"/>
              <w:left w:val="single" w:color="auto" w:sz="6" w:space="0"/>
              <w:bottom w:val="single" w:color="auto" w:sz="6" w:space="0"/>
              <w:right w:val="single" w:color="auto" w:sz="6" w:space="0"/>
            </w:tcBorders>
          </w:tcPr>
          <w:p w14:paraId="3EAD09CD">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352" w:type="dxa"/>
            <w:tcBorders>
              <w:top w:val="double" w:color="auto" w:sz="6" w:space="0"/>
              <w:left w:val="single" w:color="auto" w:sz="6" w:space="0"/>
              <w:bottom w:val="single" w:color="auto" w:sz="6" w:space="0"/>
              <w:right w:val="single" w:color="auto" w:sz="6" w:space="0"/>
            </w:tcBorders>
          </w:tcPr>
          <w:p w14:paraId="0F5DCE53">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tcBorders>
              <w:top w:val="double" w:color="auto" w:sz="6" w:space="0"/>
              <w:left w:val="single" w:color="auto" w:sz="6" w:space="0"/>
              <w:bottom w:val="single" w:color="auto" w:sz="6" w:space="0"/>
              <w:right w:val="single" w:color="auto" w:sz="6" w:space="0"/>
            </w:tcBorders>
          </w:tcPr>
          <w:p w14:paraId="1CC0F942">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701" w:type="dxa"/>
            <w:tcBorders>
              <w:top w:val="double" w:color="auto" w:sz="6" w:space="0"/>
              <w:left w:val="single" w:color="auto" w:sz="6" w:space="0"/>
              <w:bottom w:val="single" w:color="auto" w:sz="6" w:space="0"/>
              <w:right w:val="single" w:color="auto" w:sz="12" w:space="0"/>
            </w:tcBorders>
          </w:tcPr>
          <w:p w14:paraId="322707CF">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5F54C3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tcPr>
          <w:p w14:paraId="642D52BB">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984" w:type="dxa"/>
            <w:tcBorders>
              <w:top w:val="nil"/>
              <w:left w:val="single" w:color="auto" w:sz="6" w:space="0"/>
              <w:bottom w:val="single" w:color="auto" w:sz="6" w:space="0"/>
              <w:right w:val="single" w:color="auto" w:sz="6" w:space="0"/>
            </w:tcBorders>
          </w:tcPr>
          <w:p w14:paraId="39CBAD4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nil"/>
              <w:left w:val="single" w:color="auto" w:sz="6" w:space="0"/>
              <w:bottom w:val="single" w:color="auto" w:sz="6" w:space="0"/>
              <w:right w:val="single" w:color="auto" w:sz="6" w:space="0"/>
            </w:tcBorders>
          </w:tcPr>
          <w:p w14:paraId="55C3FC86">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774" w:type="dxa"/>
            <w:tcBorders>
              <w:top w:val="nil"/>
              <w:left w:val="single" w:color="auto" w:sz="6" w:space="0"/>
              <w:bottom w:val="single" w:color="auto" w:sz="6" w:space="0"/>
              <w:right w:val="single" w:color="auto" w:sz="6" w:space="0"/>
            </w:tcBorders>
          </w:tcPr>
          <w:p w14:paraId="5ABB7832">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352" w:type="dxa"/>
            <w:tcBorders>
              <w:top w:val="nil"/>
              <w:left w:val="single" w:color="auto" w:sz="6" w:space="0"/>
              <w:bottom w:val="single" w:color="auto" w:sz="6" w:space="0"/>
              <w:right w:val="single" w:color="auto" w:sz="6" w:space="0"/>
            </w:tcBorders>
          </w:tcPr>
          <w:p w14:paraId="64FEF5FF">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tcBorders>
              <w:top w:val="nil"/>
              <w:left w:val="single" w:color="auto" w:sz="6" w:space="0"/>
              <w:bottom w:val="single" w:color="auto" w:sz="6" w:space="0"/>
              <w:right w:val="single" w:color="auto" w:sz="6" w:space="0"/>
            </w:tcBorders>
          </w:tcPr>
          <w:p w14:paraId="24301DB1">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701" w:type="dxa"/>
            <w:tcBorders>
              <w:top w:val="nil"/>
              <w:left w:val="single" w:color="auto" w:sz="6" w:space="0"/>
              <w:bottom w:val="single" w:color="auto" w:sz="6" w:space="0"/>
              <w:right w:val="single" w:color="auto" w:sz="12" w:space="0"/>
            </w:tcBorders>
          </w:tcPr>
          <w:p w14:paraId="64EFD1E9">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4F5959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1E9F408">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1743CA73">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1EBA54B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6D503655">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39415CE1">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1B950346">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3EAB5E9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25D2E3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1D59EE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6B3DD091">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3D7743E9">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2375179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5E16BC71">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29482AE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50A35A7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1F6080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677DFAB">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5FCC6F52">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40D7929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291EFFE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254CD781">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0FF43061">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25F0BBC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536CB1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421679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208F8BEF">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3DF80A45">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6FAEC69D">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1F06752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55C9971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31B6F89F">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52BC9C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BDD598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45C0B64F">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0D1ED0DD">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723F71CB">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06FD6BD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431ECA95">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0F4E87CE">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6A07D0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8DA9883">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6519A55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23E8ECF3">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39D6E0C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037AC6A2">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1822E422">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0D96B76F">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48BCC7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8E7D9E3">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019EAA9E">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3F041803">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1B19EFCE">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4D116011">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2E9F48C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2FB8345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327F15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D50512F">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5D47349D">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0FBA6240">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7C57E459">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52E025E3">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7C1A6388">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1B695218">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6D2F9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06C4EDF">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661A9501">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24D338F5">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563CD091">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761A220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6398D1E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78B90632">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01D877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667E12D">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6A366392">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4396CB4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0B014A92">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4B968C78">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6997B1BB">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7B8A407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16AEBB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870ABA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457610AB">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5D6A4949">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518A553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42F38402">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131C0B95">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35F5183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4C9918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85F5FE1">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0DEE1448">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018CC3F5">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1046518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74B201AE">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6BF7558D">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0A99E2A9">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328378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8416BB0">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70CD03A5">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0411C070">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381046F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637ED64E">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13F05C1C">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070A559F">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282C5A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8A42269">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4BC91E9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7DA757D9">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17E22D99">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5AFC1388">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1386372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1EFE987B">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48872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8A58767">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11485516">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1EF4D83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3217FB7E">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5D17E31E">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7870E7A3">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1E734E14">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tr w14:paraId="3CAC94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38EC2D9">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16D5BB9A">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208AC256">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064E2A59">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7FBB4848">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4ED0FBF3">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425E749D">
            <w:pPr>
              <w:pStyle w:val="19"/>
              <w:keepNext/>
              <w:keepLines w:val="0"/>
              <w:suppressLineNumbers w:val="0"/>
              <w:spacing w:before="0" w:beforeAutospacing="0" w:afterAutospacing="0" w:line="440" w:lineRule="exact"/>
              <w:ind w:left="420" w:right="63"/>
              <w:rPr>
                <w:rFonts w:hint="default" w:ascii="宋体" w:hAnsi="宋体"/>
                <w:color w:val="auto"/>
                <w:highlight w:val="none"/>
              </w:rPr>
            </w:pPr>
          </w:p>
        </w:tc>
      </w:tr>
      <w:bookmarkEnd w:id="94"/>
      <w:bookmarkEnd w:id="95"/>
    </w:tbl>
    <w:p w14:paraId="43DC5B3E">
      <w:pPr>
        <w:snapToGrid w:val="0"/>
        <w:spacing w:line="360" w:lineRule="exact"/>
        <w:ind w:right="480"/>
        <w:rPr>
          <w:rFonts w:ascii="宋体" w:hAnsi="宋体" w:cs="宋体"/>
          <w:bCs/>
          <w:color w:val="auto"/>
          <w:szCs w:val="21"/>
          <w:highlight w:val="none"/>
        </w:rPr>
      </w:pPr>
    </w:p>
    <w:sectPr>
      <w:headerReference r:id="rId9" w:type="first"/>
      <w:footerReference r:id="rId11" w:type="first"/>
      <w:headerReference r:id="rId8" w:type="default"/>
      <w:footerReference r:id="rId10" w:type="default"/>
      <w:pgSz w:w="11906" w:h="16838"/>
      <w:pgMar w:top="1440" w:right="1440" w:bottom="1440"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Times New Roman)">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宋体正文">
    <w:altName w:val="宋体"/>
    <w:panose1 w:val="00000000000000000000"/>
    <w:charset w:val="00"/>
    <w:family w:val="auto"/>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73F46">
    <w:pPr>
      <w:pStyle w:val="31"/>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C3013A8">
                          <w:pPr>
                            <w:pStyle w:val="31"/>
                          </w:pPr>
                          <w:r>
                            <w:fldChar w:fldCharType="begin"/>
                          </w:r>
                          <w:r>
                            <w:instrText xml:space="preserve"> PAGE  \* MERGEFORMAT </w:instrText>
                          </w:r>
                          <w:r>
                            <w:fldChar w:fldCharType="separate"/>
                          </w:r>
                          <w:r>
                            <w:t>172</w:t>
                          </w:r>
                          <w:r>
                            <w:fldChar w:fldCharType="end"/>
                          </w:r>
                        </w:p>
                      </w:txbxContent>
                    </wps:txbx>
                    <wps:bodyPr wrap="none" lIns="0" tIns="0" rIns="0" bIns="0" upright="1">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ggbNABAACqAwAADgAAAGRycy9lMm9Eb2MueG1srVPNjtMwEL4j8Q6W&#10;7zRpV6A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4cwKQw9++f7t8uPX5edX9nK5&#10;ukkK9R4rKrz3VBqHN26gvZnjSMFEfGiDSV+ixChP+p6v+sIQmUyX1qv1uqSUpNzsEH7xcN0HjG/B&#10;GZaMmgd6wKyrOL3HOJbOJambdXdK6/yI2v4VIMwxAnkLptuJyThxsuKwHyZ6e9eciV1Pm1BzS4vP&#10;mX5nSei0NLMRZmM/G0cf1KGjQZd5SvSvj5FGypOmDiMsMUwOPWHmOq1b2pE//Vz18It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K+ggbNABAACqAwAADgAAAAAAAAABACAAAAAeAQAAZHJz&#10;L2Uyb0RvYy54bWxQSwUGAAAAAAYABgBZAQAAYAUAAAAA&#10;">
              <v:fill on="f" focussize="0,0"/>
              <v:stroke on="f"/>
              <v:imagedata o:title=""/>
              <o:lock v:ext="edit" aspectratio="f"/>
              <v:textbox inset="0mm,0mm,0mm,0mm" style="mso-fit-shape-to-text:t;">
                <w:txbxContent>
                  <w:p w14:paraId="5C3013A8">
                    <w:pPr>
                      <w:pStyle w:val="31"/>
                    </w:pPr>
                    <w:r>
                      <w:fldChar w:fldCharType="begin"/>
                    </w:r>
                    <w:r>
                      <w:instrText xml:space="preserve"> PAGE  \* MERGEFORMAT </w:instrText>
                    </w:r>
                    <w:r>
                      <w:fldChar w:fldCharType="separate"/>
                    </w:r>
                    <w:r>
                      <w:t>172</w:t>
                    </w:r>
                    <w:r>
                      <w:fldChar w:fldCharType="end"/>
                    </w:r>
                  </w:p>
                </w:txbxContent>
              </v:textbox>
            </v:shape>
          </w:pict>
        </mc:Fallback>
      </mc:AlternateContent>
    </w:r>
  </w:p>
  <w:p w14:paraId="5D8327D6">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9AF68">
    <w:pPr>
      <w:pStyle w:val="31"/>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4607D15"/>
                      </w:txbxContent>
                    </wps:txbx>
                    <wps:bodyPr wrap="none" lIns="0" tIns="0" rIns="0" bIns="0" upright="1">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HLd8dABAACqAwAADgAAAGRycy9lMm9Eb2MueG1srVPNjtMwEL4j8Q6W&#10;7zRptaA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4cwKQw9++f7t8uPX5edX9nK5&#10;ukkK9R4rKrz3VBqHN26gvZnjSMFEfGiDSV+ixChP+p6v+sIQmUyX1qv1uqSUpNzsEH7xcN0HjG/B&#10;GZaMmgd6wKyrOL3HOJbOJambdXdK6/yI2v4VIMwxAnkLptuJyThxsuKwHyZ6e9eciV1Pm1BzS4vP&#10;mX5nSei0NLMRZmM/G0cf1KGjQZd5SvSvj5FGypOmDiMsMUwOPWHmOq1b2pE//Vz18It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FHLd8dABAACqAwAADgAAAAAAAAABACAAAAAeAQAAZHJz&#10;L2Uyb0RvYy54bWxQSwUGAAAAAAYABgBZAQAAYAUAAAAA&#10;">
              <v:fill on="f" focussize="0,0"/>
              <v:stroke on="f"/>
              <v:imagedata o:title=""/>
              <o:lock v:ext="edit" aspectratio="f"/>
              <v:textbox inset="0mm,0mm,0mm,0mm" style="mso-fit-shape-to-text:t;">
                <w:txbxContent>
                  <w:p w14:paraId="24607D15"/>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67E4B">
    <w:pPr>
      <w:pStyle w:val="3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4746116">
                          <w:pPr>
                            <w:pStyle w:val="31"/>
                            <w:jc w:val="center"/>
                          </w:pPr>
                          <w:r>
                            <w:fldChar w:fldCharType="begin"/>
                          </w:r>
                          <w:r>
                            <w:instrText xml:space="preserve"> PAGE  \* MERGEFORMAT </w:instrText>
                          </w:r>
                          <w:r>
                            <w:fldChar w:fldCharType="separate"/>
                          </w:r>
                          <w:r>
                            <w:t>188</w:t>
                          </w:r>
                          <w:r>
                            <w:fldChar w:fldCharType="end"/>
                          </w:r>
                        </w:p>
                      </w:txbxContent>
                    </wps:txbx>
                    <wps:bodyPr wrap="none" lIns="0" tIns="0" rIns="0" bIns="0" upright="1">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Io4VTNABAACqAwAADgAAAAAAAAABACAAAAAeAQAAZHJz&#10;L2Uyb0RvYy54bWxQSwUGAAAAAAYABgBZAQAAYAUAAAAA&#10;">
              <v:fill on="f" focussize="0,0"/>
              <v:stroke on="f"/>
              <v:imagedata o:title=""/>
              <o:lock v:ext="edit" aspectratio="f"/>
              <v:textbox inset="0mm,0mm,0mm,0mm" style="mso-fit-shape-to-text:t;">
                <w:txbxContent>
                  <w:p w14:paraId="34746116">
                    <w:pPr>
                      <w:pStyle w:val="31"/>
                      <w:jc w:val="center"/>
                    </w:pPr>
                    <w:r>
                      <w:fldChar w:fldCharType="begin"/>
                    </w:r>
                    <w:r>
                      <w:instrText xml:space="preserve"> PAGE  \* MERGEFORMAT </w:instrText>
                    </w:r>
                    <w:r>
                      <w:fldChar w:fldCharType="separate"/>
                    </w:r>
                    <w:r>
                      <w:t>188</w:t>
                    </w:r>
                    <w:r>
                      <w:fldChar w:fldCharType="end"/>
                    </w:r>
                  </w:p>
                </w:txbxContent>
              </v:textbox>
            </v:shape>
          </w:pict>
        </mc:Fallback>
      </mc:AlternateContent>
    </w:r>
  </w:p>
  <w:p w14:paraId="6F17C93A">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E00A3">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AFE664C">
                          <w:pPr>
                            <w:pStyle w:val="31"/>
                          </w:pPr>
                          <w:r>
                            <w:fldChar w:fldCharType="begin"/>
                          </w:r>
                          <w:r>
                            <w:instrText xml:space="preserve"> PAGE  \* MERGEFORMAT </w:instrText>
                          </w:r>
                          <w:r>
                            <w:fldChar w:fldCharType="separate"/>
                          </w:r>
                          <w:r>
                            <w:t>181</w:t>
                          </w:r>
                          <w:r>
                            <w:fldChar w:fldCharType="end"/>
                          </w:r>
                        </w:p>
                      </w:txbxContent>
                    </wps:txbx>
                    <wps:bodyPr wrap="none" lIns="0" tIns="0" rIns="0" bIns="0" upright="1">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9iCkdA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J2&#10;WVVJod5DjYVPHkvjcOcG3Js5DhhMxAcZTPoiJYJ51Pd00VcMkfB0aVWtViWmOOZmB/GL5+s+QHwv&#10;nCHJaGjAB8y6suMjxLF0LkndrLtXWudH1PavAGKOEZG3YLqdmIwTJysOu2Git3PtCdn1uAkNtbj4&#10;lOgHi0KnpZmNMBu72Tj4oPYdDrrMU4K/PUQcKU+aOoywyDA5+ISZ67RuaUf+9HPV8y+2+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D9iCkdABAACqAwAADgAAAAAAAAABACAAAAAeAQAAZHJz&#10;L2Uyb0RvYy54bWxQSwUGAAAAAAYABgBZAQAAYAUAAAAA&#10;">
              <v:fill on="f" focussize="0,0"/>
              <v:stroke on="f"/>
              <v:imagedata o:title=""/>
              <o:lock v:ext="edit" aspectratio="f"/>
              <v:textbox inset="0mm,0mm,0mm,0mm" style="mso-fit-shape-to-text:t;">
                <w:txbxContent>
                  <w:p w14:paraId="2AFE664C">
                    <w:pPr>
                      <w:pStyle w:val="31"/>
                    </w:pPr>
                    <w:r>
                      <w:fldChar w:fldCharType="begin"/>
                    </w:r>
                    <w:r>
                      <w:instrText xml:space="preserve"> PAGE  \* MERGEFORMAT </w:instrText>
                    </w:r>
                    <w:r>
                      <w:fldChar w:fldCharType="separate"/>
                    </w:r>
                    <w:r>
                      <w:t>181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5112E">
    <w:pPr>
      <w:pStyle w:val="32"/>
      <w:pBdr>
        <w:bottom w:val="none" w:color="auto" w:sz="0" w:space="0"/>
      </w:pBdr>
    </w:pPr>
    <w:r>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5636895" cy="4980940"/>
          <wp:effectExtent l="0" t="0" r="1905" b="10160"/>
          <wp:wrapNone/>
          <wp:docPr id="7" name="WordPictureWatermark20238651"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20238651" descr="云龙水印"/>
                  <pic:cNvPicPr>
                    <a:picLocks noChangeAspect="1"/>
                  </pic:cNvPicPr>
                </pic:nvPicPr>
                <pic:blipFill>
                  <a:blip r:embed="rId1">
                    <a:lum bright="70001" contrast="-70000"/>
                  </a:blip>
                  <a:stretch>
                    <a:fillRect/>
                  </a:stretch>
                </pic:blipFill>
                <pic:spPr>
                  <a:xfrm>
                    <a:off x="0" y="0"/>
                    <a:ext cx="5636895" cy="498094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51C81">
    <w:pPr>
      <w:pStyle w:val="32"/>
      <w:pBdr>
        <w:bottom w:val="none" w:color="auto" w:sz="0" w:space="0"/>
      </w:pBdr>
    </w:pPr>
    <w: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636895" cy="4980940"/>
          <wp:effectExtent l="0" t="0" r="1905" b="10160"/>
          <wp:wrapNone/>
          <wp:docPr id="6" name="WordPictureWatermark20238650"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0238650" descr="云龙水印"/>
                  <pic:cNvPicPr>
                    <a:picLocks noChangeAspect="1"/>
                  </pic:cNvPicPr>
                </pic:nvPicPr>
                <pic:blipFill>
                  <a:blip r:embed="rId1">
                    <a:lum bright="70001" contrast="-70000"/>
                  </a:blip>
                  <a:stretch>
                    <a:fillRect/>
                  </a:stretch>
                </pic:blipFill>
                <pic:spPr>
                  <a:xfrm>
                    <a:off x="0" y="0"/>
                    <a:ext cx="5636895" cy="498094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37CF1">
    <w:pPr>
      <w:pStyle w:val="32"/>
      <w:pBdr>
        <w:bottom w:val="none" w:color="auto" w:sz="0" w:space="1"/>
      </w:pBdr>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636895" cy="4980940"/>
          <wp:effectExtent l="0" t="0" r="1905" b="10160"/>
          <wp:wrapNone/>
          <wp:docPr id="5" name="WordPictureWatermark20238649"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20238649" descr="云龙水印"/>
                  <pic:cNvPicPr>
                    <a:picLocks noChangeAspect="1"/>
                  </pic:cNvPicPr>
                </pic:nvPicPr>
                <pic:blipFill>
                  <a:blip r:embed="rId1">
                    <a:lum bright="70001" contrast="-70000"/>
                  </a:blip>
                  <a:stretch>
                    <a:fillRect/>
                  </a:stretch>
                </pic:blipFill>
                <pic:spPr>
                  <a:xfrm>
                    <a:off x="0" y="0"/>
                    <a:ext cx="5636895" cy="498094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0F6C5">
    <w:r>
      <w:drawing>
        <wp:anchor distT="0" distB="0" distL="114300" distR="114300" simplePos="0" relativeHeight="251667456" behindDoc="1" locked="0" layoutInCell="0" allowOverlap="1">
          <wp:simplePos x="0" y="0"/>
          <wp:positionH relativeFrom="margin">
            <wp:align>center</wp:align>
          </wp:positionH>
          <wp:positionV relativeFrom="margin">
            <wp:align>center</wp:align>
          </wp:positionV>
          <wp:extent cx="5636895" cy="4980940"/>
          <wp:effectExtent l="0" t="0" r="1905" b="10160"/>
          <wp:wrapNone/>
          <wp:docPr id="10" name="WordPictureWatermark20238654"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20238654" descr="云龙水印"/>
                  <pic:cNvPicPr>
                    <a:picLocks noChangeAspect="1"/>
                  </pic:cNvPicPr>
                </pic:nvPicPr>
                <pic:blipFill>
                  <a:blip r:embed="rId1">
                    <a:lum bright="70001" contrast="-70000"/>
                  </a:blip>
                  <a:stretch>
                    <a:fillRect/>
                  </a:stretch>
                </pic:blipFill>
                <pic:spPr>
                  <a:xfrm>
                    <a:off x="0" y="0"/>
                    <a:ext cx="5636895" cy="4980940"/>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0C432">
    <w:r>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5636895" cy="4980940"/>
          <wp:effectExtent l="0" t="0" r="1905" b="10160"/>
          <wp:wrapNone/>
          <wp:docPr id="8" name="WordPictureWatermark20238652"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20238652" descr="云龙水印"/>
                  <pic:cNvPicPr>
                    <a:picLocks noChangeAspect="1"/>
                  </pic:cNvPicPr>
                </pic:nvPicPr>
                <pic:blipFill>
                  <a:blip r:embed="rId1">
                    <a:lum bright="70001" contrast="-70000"/>
                  </a:blip>
                  <a:stretch>
                    <a:fillRect/>
                  </a:stretch>
                </pic:blipFill>
                <pic:spPr>
                  <a:xfrm>
                    <a:off x="0" y="0"/>
                    <a:ext cx="5636895" cy="49809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F6B7C"/>
    <w:multiLevelType w:val="multilevel"/>
    <w:tmpl w:val="824F6B7C"/>
    <w:lvl w:ilvl="0" w:tentative="0">
      <w:start w:val="4"/>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F3298904"/>
    <w:multiLevelType w:val="multilevel"/>
    <w:tmpl w:val="F3298904"/>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3053088"/>
    <w:multiLevelType w:val="multilevel"/>
    <w:tmpl w:val="03053088"/>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A52B7AD"/>
    <w:multiLevelType w:val="multilevel"/>
    <w:tmpl w:val="1A52B7AD"/>
    <w:lvl w:ilvl="0" w:tentative="0">
      <w:start w:val="10"/>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08860E8"/>
    <w:multiLevelType w:val="singleLevel"/>
    <w:tmpl w:val="408860E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
    <w:nsid w:val="494FC3F9"/>
    <w:multiLevelType w:val="multilevel"/>
    <w:tmpl w:val="494FC3F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mZTQ3OGEwY2ZlNmRjYmY3YzI2ZDcyNTdkMDk2OTUifQ=="/>
  </w:docVars>
  <w:rsids>
    <w:rsidRoot w:val="00172A27"/>
    <w:rsid w:val="000002E0"/>
    <w:rsid w:val="00000672"/>
    <w:rsid w:val="00000C53"/>
    <w:rsid w:val="00000E69"/>
    <w:rsid w:val="00000FD7"/>
    <w:rsid w:val="00001013"/>
    <w:rsid w:val="00001245"/>
    <w:rsid w:val="00001799"/>
    <w:rsid w:val="00001AF2"/>
    <w:rsid w:val="00001ECA"/>
    <w:rsid w:val="00002480"/>
    <w:rsid w:val="00002A4A"/>
    <w:rsid w:val="00002D29"/>
    <w:rsid w:val="00003B93"/>
    <w:rsid w:val="0000474D"/>
    <w:rsid w:val="0000529E"/>
    <w:rsid w:val="000057F8"/>
    <w:rsid w:val="00005FDF"/>
    <w:rsid w:val="0000644A"/>
    <w:rsid w:val="00006D8A"/>
    <w:rsid w:val="00007081"/>
    <w:rsid w:val="000070B3"/>
    <w:rsid w:val="000076B8"/>
    <w:rsid w:val="000109DC"/>
    <w:rsid w:val="00010D39"/>
    <w:rsid w:val="0001172C"/>
    <w:rsid w:val="00011BC9"/>
    <w:rsid w:val="000125EC"/>
    <w:rsid w:val="00012854"/>
    <w:rsid w:val="00012D72"/>
    <w:rsid w:val="00012EA6"/>
    <w:rsid w:val="00013359"/>
    <w:rsid w:val="000139CF"/>
    <w:rsid w:val="00013AA4"/>
    <w:rsid w:val="00013DFE"/>
    <w:rsid w:val="000141EA"/>
    <w:rsid w:val="00015111"/>
    <w:rsid w:val="00015C14"/>
    <w:rsid w:val="0001657F"/>
    <w:rsid w:val="00016ABC"/>
    <w:rsid w:val="000177DB"/>
    <w:rsid w:val="000179C9"/>
    <w:rsid w:val="00017CCC"/>
    <w:rsid w:val="00020227"/>
    <w:rsid w:val="00020263"/>
    <w:rsid w:val="00020455"/>
    <w:rsid w:val="00020813"/>
    <w:rsid w:val="000215D0"/>
    <w:rsid w:val="00021F52"/>
    <w:rsid w:val="00021FCF"/>
    <w:rsid w:val="000220B2"/>
    <w:rsid w:val="0002264C"/>
    <w:rsid w:val="00022731"/>
    <w:rsid w:val="00022792"/>
    <w:rsid w:val="00023287"/>
    <w:rsid w:val="00024463"/>
    <w:rsid w:val="00025461"/>
    <w:rsid w:val="00025636"/>
    <w:rsid w:val="00025676"/>
    <w:rsid w:val="00025E36"/>
    <w:rsid w:val="000260F7"/>
    <w:rsid w:val="00026855"/>
    <w:rsid w:val="00026886"/>
    <w:rsid w:val="0002754F"/>
    <w:rsid w:val="0002785D"/>
    <w:rsid w:val="000307BE"/>
    <w:rsid w:val="00032633"/>
    <w:rsid w:val="000329E0"/>
    <w:rsid w:val="000336AC"/>
    <w:rsid w:val="000336D0"/>
    <w:rsid w:val="0003499E"/>
    <w:rsid w:val="000352E9"/>
    <w:rsid w:val="00035494"/>
    <w:rsid w:val="00035ECF"/>
    <w:rsid w:val="00036125"/>
    <w:rsid w:val="00036A07"/>
    <w:rsid w:val="0003780B"/>
    <w:rsid w:val="00037C41"/>
    <w:rsid w:val="00040571"/>
    <w:rsid w:val="00040973"/>
    <w:rsid w:val="0004156E"/>
    <w:rsid w:val="00041713"/>
    <w:rsid w:val="0004212E"/>
    <w:rsid w:val="00042B32"/>
    <w:rsid w:val="00042B80"/>
    <w:rsid w:val="00042EE8"/>
    <w:rsid w:val="000439AA"/>
    <w:rsid w:val="0004440C"/>
    <w:rsid w:val="00046B5E"/>
    <w:rsid w:val="000470CB"/>
    <w:rsid w:val="00047703"/>
    <w:rsid w:val="000506DE"/>
    <w:rsid w:val="000509D9"/>
    <w:rsid w:val="00051006"/>
    <w:rsid w:val="00051165"/>
    <w:rsid w:val="000512AF"/>
    <w:rsid w:val="00051ACB"/>
    <w:rsid w:val="000533E7"/>
    <w:rsid w:val="00053B29"/>
    <w:rsid w:val="00054B4B"/>
    <w:rsid w:val="000550E8"/>
    <w:rsid w:val="00055519"/>
    <w:rsid w:val="00055D41"/>
    <w:rsid w:val="000563DF"/>
    <w:rsid w:val="00056EF6"/>
    <w:rsid w:val="000575CF"/>
    <w:rsid w:val="00057CD6"/>
    <w:rsid w:val="00060C5F"/>
    <w:rsid w:val="00060D7F"/>
    <w:rsid w:val="00060DCE"/>
    <w:rsid w:val="000610E3"/>
    <w:rsid w:val="000614F3"/>
    <w:rsid w:val="00061A1B"/>
    <w:rsid w:val="000623B4"/>
    <w:rsid w:val="00062405"/>
    <w:rsid w:val="000629EC"/>
    <w:rsid w:val="00062EC2"/>
    <w:rsid w:val="000634A7"/>
    <w:rsid w:val="000636EB"/>
    <w:rsid w:val="00063B0B"/>
    <w:rsid w:val="00063F81"/>
    <w:rsid w:val="00064847"/>
    <w:rsid w:val="00065E08"/>
    <w:rsid w:val="00065E2D"/>
    <w:rsid w:val="00066AD9"/>
    <w:rsid w:val="00066D2E"/>
    <w:rsid w:val="000673E2"/>
    <w:rsid w:val="00067EF1"/>
    <w:rsid w:val="00070378"/>
    <w:rsid w:val="0007037E"/>
    <w:rsid w:val="0007063F"/>
    <w:rsid w:val="000707FD"/>
    <w:rsid w:val="00070949"/>
    <w:rsid w:val="000711E4"/>
    <w:rsid w:val="00071E9B"/>
    <w:rsid w:val="000720A1"/>
    <w:rsid w:val="000724D9"/>
    <w:rsid w:val="00072AED"/>
    <w:rsid w:val="00073F47"/>
    <w:rsid w:val="0007492F"/>
    <w:rsid w:val="00074BC7"/>
    <w:rsid w:val="00074ED8"/>
    <w:rsid w:val="00075B7E"/>
    <w:rsid w:val="00076D70"/>
    <w:rsid w:val="00077ACA"/>
    <w:rsid w:val="00077C70"/>
    <w:rsid w:val="0008122E"/>
    <w:rsid w:val="000813B5"/>
    <w:rsid w:val="0008191E"/>
    <w:rsid w:val="00081BA3"/>
    <w:rsid w:val="00081D2E"/>
    <w:rsid w:val="00081F89"/>
    <w:rsid w:val="00082619"/>
    <w:rsid w:val="00082D02"/>
    <w:rsid w:val="0008381A"/>
    <w:rsid w:val="00083871"/>
    <w:rsid w:val="00083B91"/>
    <w:rsid w:val="0008473C"/>
    <w:rsid w:val="0008520B"/>
    <w:rsid w:val="000857DE"/>
    <w:rsid w:val="000860BD"/>
    <w:rsid w:val="00086178"/>
    <w:rsid w:val="000871B8"/>
    <w:rsid w:val="00087B0A"/>
    <w:rsid w:val="000916DA"/>
    <w:rsid w:val="00091AAB"/>
    <w:rsid w:val="00092442"/>
    <w:rsid w:val="000929EF"/>
    <w:rsid w:val="00092C26"/>
    <w:rsid w:val="000933BE"/>
    <w:rsid w:val="00094428"/>
    <w:rsid w:val="000944FC"/>
    <w:rsid w:val="0009560F"/>
    <w:rsid w:val="0009588E"/>
    <w:rsid w:val="000959EE"/>
    <w:rsid w:val="00096C2E"/>
    <w:rsid w:val="00096DAF"/>
    <w:rsid w:val="00096DB9"/>
    <w:rsid w:val="00097183"/>
    <w:rsid w:val="000972CB"/>
    <w:rsid w:val="00097608"/>
    <w:rsid w:val="000A0F35"/>
    <w:rsid w:val="000A1175"/>
    <w:rsid w:val="000A13F3"/>
    <w:rsid w:val="000A165B"/>
    <w:rsid w:val="000A1963"/>
    <w:rsid w:val="000A1C18"/>
    <w:rsid w:val="000A23B1"/>
    <w:rsid w:val="000A2818"/>
    <w:rsid w:val="000A2B0E"/>
    <w:rsid w:val="000A3095"/>
    <w:rsid w:val="000A398F"/>
    <w:rsid w:val="000A42D9"/>
    <w:rsid w:val="000A448C"/>
    <w:rsid w:val="000A4E26"/>
    <w:rsid w:val="000A509C"/>
    <w:rsid w:val="000A54A7"/>
    <w:rsid w:val="000A5A17"/>
    <w:rsid w:val="000A6007"/>
    <w:rsid w:val="000A6564"/>
    <w:rsid w:val="000A65A6"/>
    <w:rsid w:val="000A70E3"/>
    <w:rsid w:val="000A7275"/>
    <w:rsid w:val="000A7408"/>
    <w:rsid w:val="000A7A12"/>
    <w:rsid w:val="000A7A72"/>
    <w:rsid w:val="000B0FE0"/>
    <w:rsid w:val="000B1202"/>
    <w:rsid w:val="000B12FF"/>
    <w:rsid w:val="000B1801"/>
    <w:rsid w:val="000B1D0C"/>
    <w:rsid w:val="000B2273"/>
    <w:rsid w:val="000B2563"/>
    <w:rsid w:val="000B2BC6"/>
    <w:rsid w:val="000B2D03"/>
    <w:rsid w:val="000B37F2"/>
    <w:rsid w:val="000B3815"/>
    <w:rsid w:val="000B3C7B"/>
    <w:rsid w:val="000B3E68"/>
    <w:rsid w:val="000B4321"/>
    <w:rsid w:val="000B544A"/>
    <w:rsid w:val="000B5CCB"/>
    <w:rsid w:val="000B5F6B"/>
    <w:rsid w:val="000B613A"/>
    <w:rsid w:val="000B6A6B"/>
    <w:rsid w:val="000B6C95"/>
    <w:rsid w:val="000B7920"/>
    <w:rsid w:val="000B79FC"/>
    <w:rsid w:val="000B7E0A"/>
    <w:rsid w:val="000C144E"/>
    <w:rsid w:val="000C1679"/>
    <w:rsid w:val="000C190E"/>
    <w:rsid w:val="000C1953"/>
    <w:rsid w:val="000C1BFE"/>
    <w:rsid w:val="000C1EE3"/>
    <w:rsid w:val="000C370B"/>
    <w:rsid w:val="000C3AE7"/>
    <w:rsid w:val="000C3C2B"/>
    <w:rsid w:val="000C3CC9"/>
    <w:rsid w:val="000C3DBC"/>
    <w:rsid w:val="000C4565"/>
    <w:rsid w:val="000C5823"/>
    <w:rsid w:val="000C59C6"/>
    <w:rsid w:val="000C6D7F"/>
    <w:rsid w:val="000C6DE4"/>
    <w:rsid w:val="000C7200"/>
    <w:rsid w:val="000C7202"/>
    <w:rsid w:val="000C7432"/>
    <w:rsid w:val="000C7926"/>
    <w:rsid w:val="000D0A89"/>
    <w:rsid w:val="000D10F1"/>
    <w:rsid w:val="000D1389"/>
    <w:rsid w:val="000D1798"/>
    <w:rsid w:val="000D2626"/>
    <w:rsid w:val="000D264F"/>
    <w:rsid w:val="000D2CD3"/>
    <w:rsid w:val="000D2D07"/>
    <w:rsid w:val="000D3525"/>
    <w:rsid w:val="000D4016"/>
    <w:rsid w:val="000D411D"/>
    <w:rsid w:val="000D4589"/>
    <w:rsid w:val="000D4809"/>
    <w:rsid w:val="000D4FB6"/>
    <w:rsid w:val="000D5C29"/>
    <w:rsid w:val="000D6F6B"/>
    <w:rsid w:val="000D73DD"/>
    <w:rsid w:val="000E02E8"/>
    <w:rsid w:val="000E1C38"/>
    <w:rsid w:val="000E1C51"/>
    <w:rsid w:val="000E1D3E"/>
    <w:rsid w:val="000E1DC5"/>
    <w:rsid w:val="000E259C"/>
    <w:rsid w:val="000E28AB"/>
    <w:rsid w:val="000E2E3E"/>
    <w:rsid w:val="000E3583"/>
    <w:rsid w:val="000E3AF0"/>
    <w:rsid w:val="000E43EC"/>
    <w:rsid w:val="000E4DC7"/>
    <w:rsid w:val="000E4E04"/>
    <w:rsid w:val="000E592E"/>
    <w:rsid w:val="000E693B"/>
    <w:rsid w:val="000E6D5C"/>
    <w:rsid w:val="000E6EC9"/>
    <w:rsid w:val="000E70B4"/>
    <w:rsid w:val="000E7B62"/>
    <w:rsid w:val="000E7EDC"/>
    <w:rsid w:val="000F085D"/>
    <w:rsid w:val="000F0E1E"/>
    <w:rsid w:val="000F1129"/>
    <w:rsid w:val="000F1A1B"/>
    <w:rsid w:val="000F2A95"/>
    <w:rsid w:val="000F2BB7"/>
    <w:rsid w:val="000F3281"/>
    <w:rsid w:val="000F32FD"/>
    <w:rsid w:val="000F3733"/>
    <w:rsid w:val="000F415D"/>
    <w:rsid w:val="000F5B2B"/>
    <w:rsid w:val="000F5F8B"/>
    <w:rsid w:val="000F6153"/>
    <w:rsid w:val="000F64AA"/>
    <w:rsid w:val="000F6C7B"/>
    <w:rsid w:val="000F73AD"/>
    <w:rsid w:val="000F7AF4"/>
    <w:rsid w:val="000F7C33"/>
    <w:rsid w:val="000F7F0C"/>
    <w:rsid w:val="001004D6"/>
    <w:rsid w:val="00101D1B"/>
    <w:rsid w:val="00101E8E"/>
    <w:rsid w:val="00102676"/>
    <w:rsid w:val="00103646"/>
    <w:rsid w:val="00103918"/>
    <w:rsid w:val="00104897"/>
    <w:rsid w:val="00104EDE"/>
    <w:rsid w:val="00104F54"/>
    <w:rsid w:val="00105992"/>
    <w:rsid w:val="00105CDA"/>
    <w:rsid w:val="00105F97"/>
    <w:rsid w:val="00106BEE"/>
    <w:rsid w:val="0010711C"/>
    <w:rsid w:val="00107368"/>
    <w:rsid w:val="001078E7"/>
    <w:rsid w:val="00107BDF"/>
    <w:rsid w:val="00107C74"/>
    <w:rsid w:val="0011091C"/>
    <w:rsid w:val="00111266"/>
    <w:rsid w:val="001112EB"/>
    <w:rsid w:val="00111FD1"/>
    <w:rsid w:val="0011247D"/>
    <w:rsid w:val="0011351F"/>
    <w:rsid w:val="00113678"/>
    <w:rsid w:val="00113A7D"/>
    <w:rsid w:val="00113C3E"/>
    <w:rsid w:val="00115375"/>
    <w:rsid w:val="001157F8"/>
    <w:rsid w:val="00115E11"/>
    <w:rsid w:val="00115EEE"/>
    <w:rsid w:val="00115F56"/>
    <w:rsid w:val="001164ED"/>
    <w:rsid w:val="00116CA9"/>
    <w:rsid w:val="00116F38"/>
    <w:rsid w:val="0011703F"/>
    <w:rsid w:val="001170A4"/>
    <w:rsid w:val="00117AE7"/>
    <w:rsid w:val="00117B85"/>
    <w:rsid w:val="00117CBD"/>
    <w:rsid w:val="0012006A"/>
    <w:rsid w:val="00121979"/>
    <w:rsid w:val="00122064"/>
    <w:rsid w:val="0012301B"/>
    <w:rsid w:val="00123428"/>
    <w:rsid w:val="00124341"/>
    <w:rsid w:val="00124492"/>
    <w:rsid w:val="00124B12"/>
    <w:rsid w:val="00124BA5"/>
    <w:rsid w:val="001250A0"/>
    <w:rsid w:val="001260C6"/>
    <w:rsid w:val="001263B8"/>
    <w:rsid w:val="00130217"/>
    <w:rsid w:val="00130641"/>
    <w:rsid w:val="00130783"/>
    <w:rsid w:val="00130A47"/>
    <w:rsid w:val="00130FB0"/>
    <w:rsid w:val="00132B47"/>
    <w:rsid w:val="00132DDA"/>
    <w:rsid w:val="0013346C"/>
    <w:rsid w:val="001337F8"/>
    <w:rsid w:val="001341B2"/>
    <w:rsid w:val="001343DA"/>
    <w:rsid w:val="001348B4"/>
    <w:rsid w:val="00134B1F"/>
    <w:rsid w:val="0013506E"/>
    <w:rsid w:val="001351CB"/>
    <w:rsid w:val="00135530"/>
    <w:rsid w:val="0013568F"/>
    <w:rsid w:val="00135947"/>
    <w:rsid w:val="001359A2"/>
    <w:rsid w:val="00135F92"/>
    <w:rsid w:val="00136020"/>
    <w:rsid w:val="00136445"/>
    <w:rsid w:val="00136965"/>
    <w:rsid w:val="00136A9C"/>
    <w:rsid w:val="00137389"/>
    <w:rsid w:val="00137C53"/>
    <w:rsid w:val="00140132"/>
    <w:rsid w:val="00141455"/>
    <w:rsid w:val="0014162D"/>
    <w:rsid w:val="0014190C"/>
    <w:rsid w:val="00141C9C"/>
    <w:rsid w:val="0014277F"/>
    <w:rsid w:val="00142AD2"/>
    <w:rsid w:val="001434BE"/>
    <w:rsid w:val="00143AAD"/>
    <w:rsid w:val="00144050"/>
    <w:rsid w:val="00144369"/>
    <w:rsid w:val="00144398"/>
    <w:rsid w:val="0014479F"/>
    <w:rsid w:val="001452B4"/>
    <w:rsid w:val="00145320"/>
    <w:rsid w:val="00145B3E"/>
    <w:rsid w:val="00146673"/>
    <w:rsid w:val="001476D3"/>
    <w:rsid w:val="001509CF"/>
    <w:rsid w:val="00150D1D"/>
    <w:rsid w:val="001525AA"/>
    <w:rsid w:val="00152A87"/>
    <w:rsid w:val="00152AC1"/>
    <w:rsid w:val="001533AA"/>
    <w:rsid w:val="00153A84"/>
    <w:rsid w:val="00153BB5"/>
    <w:rsid w:val="00154518"/>
    <w:rsid w:val="001556B8"/>
    <w:rsid w:val="00156359"/>
    <w:rsid w:val="00156DD6"/>
    <w:rsid w:val="00160238"/>
    <w:rsid w:val="0016086E"/>
    <w:rsid w:val="001609B9"/>
    <w:rsid w:val="00160D0C"/>
    <w:rsid w:val="00160DD1"/>
    <w:rsid w:val="00161172"/>
    <w:rsid w:val="00161236"/>
    <w:rsid w:val="00161998"/>
    <w:rsid w:val="00161E65"/>
    <w:rsid w:val="00161E8D"/>
    <w:rsid w:val="00161F0E"/>
    <w:rsid w:val="00162597"/>
    <w:rsid w:val="001629AF"/>
    <w:rsid w:val="001629FD"/>
    <w:rsid w:val="00163990"/>
    <w:rsid w:val="00163F8F"/>
    <w:rsid w:val="0016428A"/>
    <w:rsid w:val="001646D5"/>
    <w:rsid w:val="001647C9"/>
    <w:rsid w:val="00165627"/>
    <w:rsid w:val="00165AE0"/>
    <w:rsid w:val="001661A3"/>
    <w:rsid w:val="00166E81"/>
    <w:rsid w:val="00167226"/>
    <w:rsid w:val="0016782B"/>
    <w:rsid w:val="0016784D"/>
    <w:rsid w:val="00167853"/>
    <w:rsid w:val="00167887"/>
    <w:rsid w:val="00170613"/>
    <w:rsid w:val="00170F0C"/>
    <w:rsid w:val="00171319"/>
    <w:rsid w:val="0017267A"/>
    <w:rsid w:val="00172A27"/>
    <w:rsid w:val="00172CA8"/>
    <w:rsid w:val="00173256"/>
    <w:rsid w:val="00173B0E"/>
    <w:rsid w:val="00173E03"/>
    <w:rsid w:val="0017405A"/>
    <w:rsid w:val="0017461E"/>
    <w:rsid w:val="00174704"/>
    <w:rsid w:val="0017512C"/>
    <w:rsid w:val="001756AF"/>
    <w:rsid w:val="0017586A"/>
    <w:rsid w:val="00175BA6"/>
    <w:rsid w:val="00175C6F"/>
    <w:rsid w:val="00176CA7"/>
    <w:rsid w:val="00176D0C"/>
    <w:rsid w:val="00176F8E"/>
    <w:rsid w:val="0017789A"/>
    <w:rsid w:val="001778C5"/>
    <w:rsid w:val="00177C07"/>
    <w:rsid w:val="00177E56"/>
    <w:rsid w:val="00177F0A"/>
    <w:rsid w:val="0018055E"/>
    <w:rsid w:val="0018090D"/>
    <w:rsid w:val="00180DA0"/>
    <w:rsid w:val="00181813"/>
    <w:rsid w:val="00181EAD"/>
    <w:rsid w:val="0018204D"/>
    <w:rsid w:val="00182862"/>
    <w:rsid w:val="00183669"/>
    <w:rsid w:val="00184F57"/>
    <w:rsid w:val="00185091"/>
    <w:rsid w:val="00185544"/>
    <w:rsid w:val="00185617"/>
    <w:rsid w:val="00186FE1"/>
    <w:rsid w:val="00187A14"/>
    <w:rsid w:val="00190D50"/>
    <w:rsid w:val="00191177"/>
    <w:rsid w:val="0019171E"/>
    <w:rsid w:val="00191EEC"/>
    <w:rsid w:val="0019224D"/>
    <w:rsid w:val="00192368"/>
    <w:rsid w:val="001923A0"/>
    <w:rsid w:val="0019270F"/>
    <w:rsid w:val="001928B1"/>
    <w:rsid w:val="00192C38"/>
    <w:rsid w:val="00192CA1"/>
    <w:rsid w:val="00193537"/>
    <w:rsid w:val="00193808"/>
    <w:rsid w:val="00193846"/>
    <w:rsid w:val="00195424"/>
    <w:rsid w:val="001955FF"/>
    <w:rsid w:val="001972F8"/>
    <w:rsid w:val="00197D13"/>
    <w:rsid w:val="00197EDD"/>
    <w:rsid w:val="001A02B3"/>
    <w:rsid w:val="001A04BB"/>
    <w:rsid w:val="001A06CC"/>
    <w:rsid w:val="001A0889"/>
    <w:rsid w:val="001A08D0"/>
    <w:rsid w:val="001A1B39"/>
    <w:rsid w:val="001A1D4A"/>
    <w:rsid w:val="001A2120"/>
    <w:rsid w:val="001A28C6"/>
    <w:rsid w:val="001A2E69"/>
    <w:rsid w:val="001A3187"/>
    <w:rsid w:val="001A368F"/>
    <w:rsid w:val="001A3C34"/>
    <w:rsid w:val="001A3EDE"/>
    <w:rsid w:val="001A41CD"/>
    <w:rsid w:val="001A4222"/>
    <w:rsid w:val="001A4235"/>
    <w:rsid w:val="001A43BE"/>
    <w:rsid w:val="001A48B2"/>
    <w:rsid w:val="001A4CFA"/>
    <w:rsid w:val="001A50EA"/>
    <w:rsid w:val="001A55A9"/>
    <w:rsid w:val="001A5BAA"/>
    <w:rsid w:val="001A5E24"/>
    <w:rsid w:val="001A661D"/>
    <w:rsid w:val="001A6795"/>
    <w:rsid w:val="001A6B27"/>
    <w:rsid w:val="001A6D8B"/>
    <w:rsid w:val="001A6DAA"/>
    <w:rsid w:val="001A7717"/>
    <w:rsid w:val="001A793A"/>
    <w:rsid w:val="001B0464"/>
    <w:rsid w:val="001B125A"/>
    <w:rsid w:val="001B1EBA"/>
    <w:rsid w:val="001B2142"/>
    <w:rsid w:val="001B2F2B"/>
    <w:rsid w:val="001B327A"/>
    <w:rsid w:val="001B35DE"/>
    <w:rsid w:val="001B3A13"/>
    <w:rsid w:val="001B3F5C"/>
    <w:rsid w:val="001B4DA9"/>
    <w:rsid w:val="001B536B"/>
    <w:rsid w:val="001B57C9"/>
    <w:rsid w:val="001B59FF"/>
    <w:rsid w:val="001B5D13"/>
    <w:rsid w:val="001B6512"/>
    <w:rsid w:val="001B65D7"/>
    <w:rsid w:val="001B6752"/>
    <w:rsid w:val="001B6768"/>
    <w:rsid w:val="001B6F1F"/>
    <w:rsid w:val="001B7ECC"/>
    <w:rsid w:val="001C025B"/>
    <w:rsid w:val="001C059D"/>
    <w:rsid w:val="001C115F"/>
    <w:rsid w:val="001C13F8"/>
    <w:rsid w:val="001C1675"/>
    <w:rsid w:val="001C1DED"/>
    <w:rsid w:val="001C1EAB"/>
    <w:rsid w:val="001C2375"/>
    <w:rsid w:val="001C25A7"/>
    <w:rsid w:val="001C2775"/>
    <w:rsid w:val="001C2A1D"/>
    <w:rsid w:val="001C318C"/>
    <w:rsid w:val="001C35C4"/>
    <w:rsid w:val="001C36C0"/>
    <w:rsid w:val="001C4287"/>
    <w:rsid w:val="001C4479"/>
    <w:rsid w:val="001C4F79"/>
    <w:rsid w:val="001C5190"/>
    <w:rsid w:val="001C6081"/>
    <w:rsid w:val="001C7284"/>
    <w:rsid w:val="001C73EB"/>
    <w:rsid w:val="001C7781"/>
    <w:rsid w:val="001C7B48"/>
    <w:rsid w:val="001D0CFB"/>
    <w:rsid w:val="001D108A"/>
    <w:rsid w:val="001D1A0D"/>
    <w:rsid w:val="001D1DD1"/>
    <w:rsid w:val="001D23DA"/>
    <w:rsid w:val="001D2573"/>
    <w:rsid w:val="001D267C"/>
    <w:rsid w:val="001D2F77"/>
    <w:rsid w:val="001D335E"/>
    <w:rsid w:val="001D343C"/>
    <w:rsid w:val="001D3BCC"/>
    <w:rsid w:val="001D56E2"/>
    <w:rsid w:val="001D58A1"/>
    <w:rsid w:val="001D58C2"/>
    <w:rsid w:val="001D5A8A"/>
    <w:rsid w:val="001D5B64"/>
    <w:rsid w:val="001D5FB4"/>
    <w:rsid w:val="001D61CA"/>
    <w:rsid w:val="001D654A"/>
    <w:rsid w:val="001D68BA"/>
    <w:rsid w:val="001D6E87"/>
    <w:rsid w:val="001D735E"/>
    <w:rsid w:val="001D73C8"/>
    <w:rsid w:val="001D7BC6"/>
    <w:rsid w:val="001E1212"/>
    <w:rsid w:val="001E129E"/>
    <w:rsid w:val="001E175C"/>
    <w:rsid w:val="001E1B0E"/>
    <w:rsid w:val="001E308A"/>
    <w:rsid w:val="001E38EC"/>
    <w:rsid w:val="001E3B63"/>
    <w:rsid w:val="001E57B2"/>
    <w:rsid w:val="001E5A94"/>
    <w:rsid w:val="001E5CBB"/>
    <w:rsid w:val="001E5CDC"/>
    <w:rsid w:val="001E6CE9"/>
    <w:rsid w:val="001F0506"/>
    <w:rsid w:val="001F1036"/>
    <w:rsid w:val="001F13FD"/>
    <w:rsid w:val="001F2474"/>
    <w:rsid w:val="001F2A2E"/>
    <w:rsid w:val="001F3180"/>
    <w:rsid w:val="001F3356"/>
    <w:rsid w:val="001F3A99"/>
    <w:rsid w:val="001F3C63"/>
    <w:rsid w:val="001F4141"/>
    <w:rsid w:val="001F4460"/>
    <w:rsid w:val="001F4833"/>
    <w:rsid w:val="001F6C96"/>
    <w:rsid w:val="001F711A"/>
    <w:rsid w:val="001F75B0"/>
    <w:rsid w:val="001F7CBE"/>
    <w:rsid w:val="0020057C"/>
    <w:rsid w:val="0020083C"/>
    <w:rsid w:val="00200CE5"/>
    <w:rsid w:val="00200F7C"/>
    <w:rsid w:val="0020104E"/>
    <w:rsid w:val="002014DB"/>
    <w:rsid w:val="0020150B"/>
    <w:rsid w:val="00201E12"/>
    <w:rsid w:val="00202295"/>
    <w:rsid w:val="00202327"/>
    <w:rsid w:val="00202AAF"/>
    <w:rsid w:val="002033B5"/>
    <w:rsid w:val="0020382C"/>
    <w:rsid w:val="002042E9"/>
    <w:rsid w:val="0020437A"/>
    <w:rsid w:val="0020454C"/>
    <w:rsid w:val="00204740"/>
    <w:rsid w:val="00205129"/>
    <w:rsid w:val="0020521F"/>
    <w:rsid w:val="0020532C"/>
    <w:rsid w:val="00206AE8"/>
    <w:rsid w:val="00206CBD"/>
    <w:rsid w:val="002114C7"/>
    <w:rsid w:val="00211A7B"/>
    <w:rsid w:val="00212AD8"/>
    <w:rsid w:val="0021302C"/>
    <w:rsid w:val="002139F1"/>
    <w:rsid w:val="00213B1C"/>
    <w:rsid w:val="00213F1E"/>
    <w:rsid w:val="00214202"/>
    <w:rsid w:val="002148E3"/>
    <w:rsid w:val="00214C1A"/>
    <w:rsid w:val="0021552D"/>
    <w:rsid w:val="002156AE"/>
    <w:rsid w:val="0021577B"/>
    <w:rsid w:val="00215DC7"/>
    <w:rsid w:val="00215E99"/>
    <w:rsid w:val="0021639E"/>
    <w:rsid w:val="00217B07"/>
    <w:rsid w:val="00217C26"/>
    <w:rsid w:val="00217C4B"/>
    <w:rsid w:val="00220043"/>
    <w:rsid w:val="0022054D"/>
    <w:rsid w:val="0022107B"/>
    <w:rsid w:val="002223EB"/>
    <w:rsid w:val="00223611"/>
    <w:rsid w:val="00223DDB"/>
    <w:rsid w:val="00223FA4"/>
    <w:rsid w:val="00223FB0"/>
    <w:rsid w:val="0022405A"/>
    <w:rsid w:val="00224067"/>
    <w:rsid w:val="0022421C"/>
    <w:rsid w:val="0022454F"/>
    <w:rsid w:val="00224C4A"/>
    <w:rsid w:val="00224E83"/>
    <w:rsid w:val="00225233"/>
    <w:rsid w:val="002252DA"/>
    <w:rsid w:val="00225664"/>
    <w:rsid w:val="00225F84"/>
    <w:rsid w:val="0022663D"/>
    <w:rsid w:val="00226995"/>
    <w:rsid w:val="00226F18"/>
    <w:rsid w:val="0022755B"/>
    <w:rsid w:val="00227C56"/>
    <w:rsid w:val="00227F2D"/>
    <w:rsid w:val="00227F52"/>
    <w:rsid w:val="00231851"/>
    <w:rsid w:val="002319FB"/>
    <w:rsid w:val="00231B89"/>
    <w:rsid w:val="00231F11"/>
    <w:rsid w:val="00231F5E"/>
    <w:rsid w:val="00233395"/>
    <w:rsid w:val="00233D76"/>
    <w:rsid w:val="002346B4"/>
    <w:rsid w:val="00234AA8"/>
    <w:rsid w:val="00234F6E"/>
    <w:rsid w:val="002351FA"/>
    <w:rsid w:val="002355BE"/>
    <w:rsid w:val="002358EA"/>
    <w:rsid w:val="0023609B"/>
    <w:rsid w:val="00236578"/>
    <w:rsid w:val="00236A10"/>
    <w:rsid w:val="00236DE9"/>
    <w:rsid w:val="00237342"/>
    <w:rsid w:val="00237D5A"/>
    <w:rsid w:val="002401B4"/>
    <w:rsid w:val="002407BA"/>
    <w:rsid w:val="00240922"/>
    <w:rsid w:val="00240D75"/>
    <w:rsid w:val="00240F92"/>
    <w:rsid w:val="00241288"/>
    <w:rsid w:val="002412BD"/>
    <w:rsid w:val="002412E4"/>
    <w:rsid w:val="002415AE"/>
    <w:rsid w:val="00241B38"/>
    <w:rsid w:val="00241BC7"/>
    <w:rsid w:val="00241D3C"/>
    <w:rsid w:val="00241DF7"/>
    <w:rsid w:val="00242109"/>
    <w:rsid w:val="00242B6B"/>
    <w:rsid w:val="00243189"/>
    <w:rsid w:val="002439AB"/>
    <w:rsid w:val="00243C19"/>
    <w:rsid w:val="00244308"/>
    <w:rsid w:val="002448E7"/>
    <w:rsid w:val="00244AE8"/>
    <w:rsid w:val="00244DC9"/>
    <w:rsid w:val="00244EF3"/>
    <w:rsid w:val="0024531F"/>
    <w:rsid w:val="00245587"/>
    <w:rsid w:val="00245F2B"/>
    <w:rsid w:val="002460E2"/>
    <w:rsid w:val="002466CD"/>
    <w:rsid w:val="0024729B"/>
    <w:rsid w:val="00247F3A"/>
    <w:rsid w:val="00250122"/>
    <w:rsid w:val="0025024D"/>
    <w:rsid w:val="00250755"/>
    <w:rsid w:val="00251043"/>
    <w:rsid w:val="00251C4A"/>
    <w:rsid w:val="0025271C"/>
    <w:rsid w:val="0025277A"/>
    <w:rsid w:val="002527D8"/>
    <w:rsid w:val="002533CD"/>
    <w:rsid w:val="002535EA"/>
    <w:rsid w:val="00253A8A"/>
    <w:rsid w:val="002543E1"/>
    <w:rsid w:val="00254EAB"/>
    <w:rsid w:val="002557AF"/>
    <w:rsid w:val="0025589C"/>
    <w:rsid w:val="00255B62"/>
    <w:rsid w:val="002566B1"/>
    <w:rsid w:val="002575E3"/>
    <w:rsid w:val="00257A74"/>
    <w:rsid w:val="00257C5D"/>
    <w:rsid w:val="002603C1"/>
    <w:rsid w:val="002609A1"/>
    <w:rsid w:val="002612B1"/>
    <w:rsid w:val="00261997"/>
    <w:rsid w:val="002621CF"/>
    <w:rsid w:val="00262924"/>
    <w:rsid w:val="00262B14"/>
    <w:rsid w:val="0026494E"/>
    <w:rsid w:val="00265A12"/>
    <w:rsid w:val="00266165"/>
    <w:rsid w:val="00266F2C"/>
    <w:rsid w:val="00267DAF"/>
    <w:rsid w:val="00270122"/>
    <w:rsid w:val="00270B87"/>
    <w:rsid w:val="0027125E"/>
    <w:rsid w:val="00271767"/>
    <w:rsid w:val="00272263"/>
    <w:rsid w:val="00272293"/>
    <w:rsid w:val="002723C8"/>
    <w:rsid w:val="00272C7D"/>
    <w:rsid w:val="00273633"/>
    <w:rsid w:val="00273C2A"/>
    <w:rsid w:val="00273CBE"/>
    <w:rsid w:val="002746B1"/>
    <w:rsid w:val="00274BAD"/>
    <w:rsid w:val="0027614E"/>
    <w:rsid w:val="002763A3"/>
    <w:rsid w:val="00276EB8"/>
    <w:rsid w:val="0027746E"/>
    <w:rsid w:val="00277F6B"/>
    <w:rsid w:val="002807B0"/>
    <w:rsid w:val="00281071"/>
    <w:rsid w:val="00281B9B"/>
    <w:rsid w:val="0028282C"/>
    <w:rsid w:val="00282D56"/>
    <w:rsid w:val="00282EC5"/>
    <w:rsid w:val="002835B0"/>
    <w:rsid w:val="00283A4D"/>
    <w:rsid w:val="00283C74"/>
    <w:rsid w:val="0028407E"/>
    <w:rsid w:val="0028410F"/>
    <w:rsid w:val="00284572"/>
    <w:rsid w:val="002850AA"/>
    <w:rsid w:val="00285221"/>
    <w:rsid w:val="00286FB5"/>
    <w:rsid w:val="00287763"/>
    <w:rsid w:val="00290606"/>
    <w:rsid w:val="002908D0"/>
    <w:rsid w:val="002909B2"/>
    <w:rsid w:val="00291D6D"/>
    <w:rsid w:val="00291FF1"/>
    <w:rsid w:val="00292AA2"/>
    <w:rsid w:val="00293361"/>
    <w:rsid w:val="002947D7"/>
    <w:rsid w:val="00294F10"/>
    <w:rsid w:val="002952B1"/>
    <w:rsid w:val="002956E5"/>
    <w:rsid w:val="00295D11"/>
    <w:rsid w:val="00296FB6"/>
    <w:rsid w:val="0029724C"/>
    <w:rsid w:val="002A0001"/>
    <w:rsid w:val="002A0BD9"/>
    <w:rsid w:val="002A0BDB"/>
    <w:rsid w:val="002A0C3A"/>
    <w:rsid w:val="002A0DF8"/>
    <w:rsid w:val="002A0F1C"/>
    <w:rsid w:val="002A1130"/>
    <w:rsid w:val="002A1880"/>
    <w:rsid w:val="002A23B7"/>
    <w:rsid w:val="002A3950"/>
    <w:rsid w:val="002A3A57"/>
    <w:rsid w:val="002A4320"/>
    <w:rsid w:val="002A4B4F"/>
    <w:rsid w:val="002A57A8"/>
    <w:rsid w:val="002A5D75"/>
    <w:rsid w:val="002A6DEF"/>
    <w:rsid w:val="002A739E"/>
    <w:rsid w:val="002A770B"/>
    <w:rsid w:val="002B013E"/>
    <w:rsid w:val="002B058D"/>
    <w:rsid w:val="002B0796"/>
    <w:rsid w:val="002B0C16"/>
    <w:rsid w:val="002B1E01"/>
    <w:rsid w:val="002B2456"/>
    <w:rsid w:val="002B2AC5"/>
    <w:rsid w:val="002B3173"/>
    <w:rsid w:val="002B3528"/>
    <w:rsid w:val="002B3539"/>
    <w:rsid w:val="002B427F"/>
    <w:rsid w:val="002B4395"/>
    <w:rsid w:val="002B4452"/>
    <w:rsid w:val="002B4532"/>
    <w:rsid w:val="002B4C9E"/>
    <w:rsid w:val="002B4DD9"/>
    <w:rsid w:val="002B5042"/>
    <w:rsid w:val="002B51AB"/>
    <w:rsid w:val="002B57C3"/>
    <w:rsid w:val="002B5832"/>
    <w:rsid w:val="002B612E"/>
    <w:rsid w:val="002B69CC"/>
    <w:rsid w:val="002B6D71"/>
    <w:rsid w:val="002B7DC4"/>
    <w:rsid w:val="002C03AE"/>
    <w:rsid w:val="002C0418"/>
    <w:rsid w:val="002C0C1C"/>
    <w:rsid w:val="002C10A7"/>
    <w:rsid w:val="002C1190"/>
    <w:rsid w:val="002C2CC9"/>
    <w:rsid w:val="002C3539"/>
    <w:rsid w:val="002C41BF"/>
    <w:rsid w:val="002C5023"/>
    <w:rsid w:val="002C53C5"/>
    <w:rsid w:val="002C5424"/>
    <w:rsid w:val="002C54C2"/>
    <w:rsid w:val="002C5D34"/>
    <w:rsid w:val="002C60BB"/>
    <w:rsid w:val="002C661A"/>
    <w:rsid w:val="002D06EE"/>
    <w:rsid w:val="002D073E"/>
    <w:rsid w:val="002D0A40"/>
    <w:rsid w:val="002D0D6F"/>
    <w:rsid w:val="002D1E81"/>
    <w:rsid w:val="002D202D"/>
    <w:rsid w:val="002D25FC"/>
    <w:rsid w:val="002D3866"/>
    <w:rsid w:val="002D4AC6"/>
    <w:rsid w:val="002D59BF"/>
    <w:rsid w:val="002D5BF5"/>
    <w:rsid w:val="002D5EE8"/>
    <w:rsid w:val="002D63F6"/>
    <w:rsid w:val="002D6963"/>
    <w:rsid w:val="002D6CB2"/>
    <w:rsid w:val="002D7360"/>
    <w:rsid w:val="002D750C"/>
    <w:rsid w:val="002D7648"/>
    <w:rsid w:val="002D7C1B"/>
    <w:rsid w:val="002D7C80"/>
    <w:rsid w:val="002E109C"/>
    <w:rsid w:val="002E193E"/>
    <w:rsid w:val="002E1A94"/>
    <w:rsid w:val="002E1D55"/>
    <w:rsid w:val="002E26C4"/>
    <w:rsid w:val="002E2734"/>
    <w:rsid w:val="002E2AA6"/>
    <w:rsid w:val="002E30A5"/>
    <w:rsid w:val="002E47E4"/>
    <w:rsid w:val="002E4BF9"/>
    <w:rsid w:val="002E4D61"/>
    <w:rsid w:val="002E68A7"/>
    <w:rsid w:val="002E6E6C"/>
    <w:rsid w:val="002E7E65"/>
    <w:rsid w:val="002F016E"/>
    <w:rsid w:val="002F020D"/>
    <w:rsid w:val="002F03FD"/>
    <w:rsid w:val="002F0522"/>
    <w:rsid w:val="002F10DC"/>
    <w:rsid w:val="002F1351"/>
    <w:rsid w:val="002F16DD"/>
    <w:rsid w:val="002F199D"/>
    <w:rsid w:val="002F1D76"/>
    <w:rsid w:val="002F213C"/>
    <w:rsid w:val="002F2453"/>
    <w:rsid w:val="002F2607"/>
    <w:rsid w:val="002F352D"/>
    <w:rsid w:val="002F381E"/>
    <w:rsid w:val="002F3C58"/>
    <w:rsid w:val="002F4084"/>
    <w:rsid w:val="002F4A08"/>
    <w:rsid w:val="002F4ADB"/>
    <w:rsid w:val="002F4E76"/>
    <w:rsid w:val="002F531E"/>
    <w:rsid w:val="002F548D"/>
    <w:rsid w:val="002F54FB"/>
    <w:rsid w:val="002F5ACC"/>
    <w:rsid w:val="002F704B"/>
    <w:rsid w:val="002F72C3"/>
    <w:rsid w:val="002F768C"/>
    <w:rsid w:val="002F7D1E"/>
    <w:rsid w:val="002F7E89"/>
    <w:rsid w:val="00300201"/>
    <w:rsid w:val="0030025A"/>
    <w:rsid w:val="0030052F"/>
    <w:rsid w:val="003010BA"/>
    <w:rsid w:val="00302EFC"/>
    <w:rsid w:val="00303243"/>
    <w:rsid w:val="00303BCC"/>
    <w:rsid w:val="00303F2B"/>
    <w:rsid w:val="00303F8D"/>
    <w:rsid w:val="0030572D"/>
    <w:rsid w:val="0030586A"/>
    <w:rsid w:val="00305A5E"/>
    <w:rsid w:val="00305DA2"/>
    <w:rsid w:val="0030622D"/>
    <w:rsid w:val="00306811"/>
    <w:rsid w:val="00306AB8"/>
    <w:rsid w:val="00306F32"/>
    <w:rsid w:val="003074C5"/>
    <w:rsid w:val="00307A3C"/>
    <w:rsid w:val="00307FA4"/>
    <w:rsid w:val="00310290"/>
    <w:rsid w:val="003103B1"/>
    <w:rsid w:val="00310CC1"/>
    <w:rsid w:val="00310F0A"/>
    <w:rsid w:val="003118A8"/>
    <w:rsid w:val="0031192A"/>
    <w:rsid w:val="00312504"/>
    <w:rsid w:val="00312B89"/>
    <w:rsid w:val="00313026"/>
    <w:rsid w:val="00313913"/>
    <w:rsid w:val="00313DAA"/>
    <w:rsid w:val="0031421F"/>
    <w:rsid w:val="0031466A"/>
    <w:rsid w:val="00314B31"/>
    <w:rsid w:val="003151F4"/>
    <w:rsid w:val="00315569"/>
    <w:rsid w:val="00315A65"/>
    <w:rsid w:val="003165CA"/>
    <w:rsid w:val="003165D7"/>
    <w:rsid w:val="0031666B"/>
    <w:rsid w:val="00316ABE"/>
    <w:rsid w:val="00317601"/>
    <w:rsid w:val="00317BA7"/>
    <w:rsid w:val="00317EB1"/>
    <w:rsid w:val="00320BE2"/>
    <w:rsid w:val="00321886"/>
    <w:rsid w:val="00321EDC"/>
    <w:rsid w:val="003226AC"/>
    <w:rsid w:val="00323694"/>
    <w:rsid w:val="00323BE7"/>
    <w:rsid w:val="00324B26"/>
    <w:rsid w:val="00324C3A"/>
    <w:rsid w:val="00324D63"/>
    <w:rsid w:val="0032547C"/>
    <w:rsid w:val="003255AF"/>
    <w:rsid w:val="003256EB"/>
    <w:rsid w:val="003259DB"/>
    <w:rsid w:val="0032649E"/>
    <w:rsid w:val="0032795B"/>
    <w:rsid w:val="003303CD"/>
    <w:rsid w:val="003307BE"/>
    <w:rsid w:val="003314D9"/>
    <w:rsid w:val="00331653"/>
    <w:rsid w:val="00331A48"/>
    <w:rsid w:val="00331BCC"/>
    <w:rsid w:val="00332575"/>
    <w:rsid w:val="003330C9"/>
    <w:rsid w:val="0033364C"/>
    <w:rsid w:val="00334415"/>
    <w:rsid w:val="00335EA1"/>
    <w:rsid w:val="0033691E"/>
    <w:rsid w:val="00336A6A"/>
    <w:rsid w:val="00336B8B"/>
    <w:rsid w:val="00336CCB"/>
    <w:rsid w:val="003411D1"/>
    <w:rsid w:val="003416BA"/>
    <w:rsid w:val="00342148"/>
    <w:rsid w:val="00342658"/>
    <w:rsid w:val="003427BE"/>
    <w:rsid w:val="00342F99"/>
    <w:rsid w:val="00343AEA"/>
    <w:rsid w:val="00344D99"/>
    <w:rsid w:val="0034575A"/>
    <w:rsid w:val="00345F1D"/>
    <w:rsid w:val="00345F57"/>
    <w:rsid w:val="00350458"/>
    <w:rsid w:val="00350E6C"/>
    <w:rsid w:val="0035153C"/>
    <w:rsid w:val="003518A6"/>
    <w:rsid w:val="00351E7F"/>
    <w:rsid w:val="00352953"/>
    <w:rsid w:val="00353D91"/>
    <w:rsid w:val="00354062"/>
    <w:rsid w:val="0035459E"/>
    <w:rsid w:val="00354AE9"/>
    <w:rsid w:val="00355527"/>
    <w:rsid w:val="00355C0D"/>
    <w:rsid w:val="003560A6"/>
    <w:rsid w:val="003566A9"/>
    <w:rsid w:val="00356988"/>
    <w:rsid w:val="003569D3"/>
    <w:rsid w:val="00356CE9"/>
    <w:rsid w:val="003570BB"/>
    <w:rsid w:val="00357128"/>
    <w:rsid w:val="0035755E"/>
    <w:rsid w:val="00357A80"/>
    <w:rsid w:val="00360116"/>
    <w:rsid w:val="00361441"/>
    <w:rsid w:val="0036148E"/>
    <w:rsid w:val="00361B8B"/>
    <w:rsid w:val="003629D6"/>
    <w:rsid w:val="00363F39"/>
    <w:rsid w:val="003640FC"/>
    <w:rsid w:val="0036445C"/>
    <w:rsid w:val="00364627"/>
    <w:rsid w:val="00364AB0"/>
    <w:rsid w:val="00364D71"/>
    <w:rsid w:val="00366096"/>
    <w:rsid w:val="003667B0"/>
    <w:rsid w:val="003667DD"/>
    <w:rsid w:val="00366B48"/>
    <w:rsid w:val="00366D71"/>
    <w:rsid w:val="003674FB"/>
    <w:rsid w:val="00367764"/>
    <w:rsid w:val="00367AF2"/>
    <w:rsid w:val="00370316"/>
    <w:rsid w:val="00370DC7"/>
    <w:rsid w:val="003713D7"/>
    <w:rsid w:val="003714AC"/>
    <w:rsid w:val="00371856"/>
    <w:rsid w:val="00371CBD"/>
    <w:rsid w:val="00371F20"/>
    <w:rsid w:val="003721E3"/>
    <w:rsid w:val="00372B98"/>
    <w:rsid w:val="003737B7"/>
    <w:rsid w:val="003740CC"/>
    <w:rsid w:val="003745F4"/>
    <w:rsid w:val="0037491A"/>
    <w:rsid w:val="00374E79"/>
    <w:rsid w:val="0037529A"/>
    <w:rsid w:val="00375388"/>
    <w:rsid w:val="00375559"/>
    <w:rsid w:val="00375FB9"/>
    <w:rsid w:val="00376170"/>
    <w:rsid w:val="003762F9"/>
    <w:rsid w:val="003766DE"/>
    <w:rsid w:val="00376851"/>
    <w:rsid w:val="00376FA2"/>
    <w:rsid w:val="00377133"/>
    <w:rsid w:val="00377A3B"/>
    <w:rsid w:val="00377B8B"/>
    <w:rsid w:val="00377E3C"/>
    <w:rsid w:val="00377F89"/>
    <w:rsid w:val="00380874"/>
    <w:rsid w:val="00380878"/>
    <w:rsid w:val="00380B97"/>
    <w:rsid w:val="00380BBE"/>
    <w:rsid w:val="00380EA3"/>
    <w:rsid w:val="00381243"/>
    <w:rsid w:val="00381B1B"/>
    <w:rsid w:val="00381D70"/>
    <w:rsid w:val="0038235E"/>
    <w:rsid w:val="0038260A"/>
    <w:rsid w:val="00382618"/>
    <w:rsid w:val="003829D0"/>
    <w:rsid w:val="0038326A"/>
    <w:rsid w:val="0038444F"/>
    <w:rsid w:val="003846D0"/>
    <w:rsid w:val="00384BB9"/>
    <w:rsid w:val="003861F0"/>
    <w:rsid w:val="00387051"/>
    <w:rsid w:val="003876F0"/>
    <w:rsid w:val="00387ECF"/>
    <w:rsid w:val="003901EA"/>
    <w:rsid w:val="0039021B"/>
    <w:rsid w:val="00390353"/>
    <w:rsid w:val="00390429"/>
    <w:rsid w:val="003906A0"/>
    <w:rsid w:val="00391413"/>
    <w:rsid w:val="003923D5"/>
    <w:rsid w:val="003931AF"/>
    <w:rsid w:val="0039338D"/>
    <w:rsid w:val="0039366C"/>
    <w:rsid w:val="00393D12"/>
    <w:rsid w:val="00393EC8"/>
    <w:rsid w:val="00395E42"/>
    <w:rsid w:val="00396409"/>
    <w:rsid w:val="00396A2D"/>
    <w:rsid w:val="00396FC3"/>
    <w:rsid w:val="0039779B"/>
    <w:rsid w:val="003A13A5"/>
    <w:rsid w:val="003A13E2"/>
    <w:rsid w:val="003A1431"/>
    <w:rsid w:val="003A1A94"/>
    <w:rsid w:val="003A1FF5"/>
    <w:rsid w:val="003A204E"/>
    <w:rsid w:val="003A2B19"/>
    <w:rsid w:val="003A2D25"/>
    <w:rsid w:val="003A2DB1"/>
    <w:rsid w:val="003A5101"/>
    <w:rsid w:val="003A5728"/>
    <w:rsid w:val="003A5F98"/>
    <w:rsid w:val="003A60E7"/>
    <w:rsid w:val="003A6AE2"/>
    <w:rsid w:val="003A7092"/>
    <w:rsid w:val="003A72A1"/>
    <w:rsid w:val="003A7302"/>
    <w:rsid w:val="003A7611"/>
    <w:rsid w:val="003A7A46"/>
    <w:rsid w:val="003A7D1F"/>
    <w:rsid w:val="003A7D44"/>
    <w:rsid w:val="003B0B6A"/>
    <w:rsid w:val="003B0C41"/>
    <w:rsid w:val="003B22F7"/>
    <w:rsid w:val="003B2518"/>
    <w:rsid w:val="003B29CF"/>
    <w:rsid w:val="003B2A86"/>
    <w:rsid w:val="003B3584"/>
    <w:rsid w:val="003B3A90"/>
    <w:rsid w:val="003B3D01"/>
    <w:rsid w:val="003B51C8"/>
    <w:rsid w:val="003B534F"/>
    <w:rsid w:val="003B7A79"/>
    <w:rsid w:val="003C0FE1"/>
    <w:rsid w:val="003C151A"/>
    <w:rsid w:val="003C1D27"/>
    <w:rsid w:val="003C33A0"/>
    <w:rsid w:val="003C350C"/>
    <w:rsid w:val="003C3627"/>
    <w:rsid w:val="003C3733"/>
    <w:rsid w:val="003C3903"/>
    <w:rsid w:val="003C3BA0"/>
    <w:rsid w:val="003C4580"/>
    <w:rsid w:val="003C51C0"/>
    <w:rsid w:val="003C578F"/>
    <w:rsid w:val="003C5940"/>
    <w:rsid w:val="003C5C5E"/>
    <w:rsid w:val="003C65D3"/>
    <w:rsid w:val="003C6692"/>
    <w:rsid w:val="003C6746"/>
    <w:rsid w:val="003C7555"/>
    <w:rsid w:val="003C7898"/>
    <w:rsid w:val="003C7BB6"/>
    <w:rsid w:val="003D0FF5"/>
    <w:rsid w:val="003D11A3"/>
    <w:rsid w:val="003D1537"/>
    <w:rsid w:val="003D183C"/>
    <w:rsid w:val="003D2D1B"/>
    <w:rsid w:val="003D3558"/>
    <w:rsid w:val="003D36C0"/>
    <w:rsid w:val="003D40E5"/>
    <w:rsid w:val="003D48C7"/>
    <w:rsid w:val="003D4C27"/>
    <w:rsid w:val="003D7109"/>
    <w:rsid w:val="003D7CE8"/>
    <w:rsid w:val="003E0514"/>
    <w:rsid w:val="003E06D7"/>
    <w:rsid w:val="003E0BAA"/>
    <w:rsid w:val="003E1032"/>
    <w:rsid w:val="003E1904"/>
    <w:rsid w:val="003E285E"/>
    <w:rsid w:val="003E2BD8"/>
    <w:rsid w:val="003E3124"/>
    <w:rsid w:val="003E3300"/>
    <w:rsid w:val="003E3BC7"/>
    <w:rsid w:val="003E43D3"/>
    <w:rsid w:val="003E48E1"/>
    <w:rsid w:val="003E50F4"/>
    <w:rsid w:val="003E596B"/>
    <w:rsid w:val="003E59BB"/>
    <w:rsid w:val="003E6225"/>
    <w:rsid w:val="003E65AC"/>
    <w:rsid w:val="003E66AE"/>
    <w:rsid w:val="003E6CFE"/>
    <w:rsid w:val="003E72B9"/>
    <w:rsid w:val="003E7612"/>
    <w:rsid w:val="003E7ED4"/>
    <w:rsid w:val="003F0187"/>
    <w:rsid w:val="003F0CAA"/>
    <w:rsid w:val="003F0E52"/>
    <w:rsid w:val="003F0EE9"/>
    <w:rsid w:val="003F0F6B"/>
    <w:rsid w:val="003F1FC6"/>
    <w:rsid w:val="003F1FE3"/>
    <w:rsid w:val="003F2112"/>
    <w:rsid w:val="003F2359"/>
    <w:rsid w:val="003F2457"/>
    <w:rsid w:val="003F3232"/>
    <w:rsid w:val="003F359A"/>
    <w:rsid w:val="003F3865"/>
    <w:rsid w:val="003F38AC"/>
    <w:rsid w:val="003F3D55"/>
    <w:rsid w:val="003F44E2"/>
    <w:rsid w:val="003F4632"/>
    <w:rsid w:val="003F47BA"/>
    <w:rsid w:val="003F49F3"/>
    <w:rsid w:val="003F4FE6"/>
    <w:rsid w:val="003F5638"/>
    <w:rsid w:val="003F6617"/>
    <w:rsid w:val="003F7F36"/>
    <w:rsid w:val="00400A58"/>
    <w:rsid w:val="00400D46"/>
    <w:rsid w:val="004017E8"/>
    <w:rsid w:val="00402332"/>
    <w:rsid w:val="004025C2"/>
    <w:rsid w:val="00403195"/>
    <w:rsid w:val="004033A9"/>
    <w:rsid w:val="00403E55"/>
    <w:rsid w:val="0040407C"/>
    <w:rsid w:val="0040416C"/>
    <w:rsid w:val="004041CA"/>
    <w:rsid w:val="004044B4"/>
    <w:rsid w:val="00404681"/>
    <w:rsid w:val="004048F9"/>
    <w:rsid w:val="00404A80"/>
    <w:rsid w:val="00405445"/>
    <w:rsid w:val="00405AC1"/>
    <w:rsid w:val="00406923"/>
    <w:rsid w:val="00406F10"/>
    <w:rsid w:val="0040763D"/>
    <w:rsid w:val="00410156"/>
    <w:rsid w:val="0041038E"/>
    <w:rsid w:val="00410D17"/>
    <w:rsid w:val="0041183A"/>
    <w:rsid w:val="00412482"/>
    <w:rsid w:val="00412656"/>
    <w:rsid w:val="00412AA9"/>
    <w:rsid w:val="00413442"/>
    <w:rsid w:val="004134D1"/>
    <w:rsid w:val="00413821"/>
    <w:rsid w:val="00413BA5"/>
    <w:rsid w:val="00413C2D"/>
    <w:rsid w:val="004141A3"/>
    <w:rsid w:val="00414909"/>
    <w:rsid w:val="00415304"/>
    <w:rsid w:val="00415469"/>
    <w:rsid w:val="0041582F"/>
    <w:rsid w:val="00415AC9"/>
    <w:rsid w:val="00415CF3"/>
    <w:rsid w:val="00416112"/>
    <w:rsid w:val="004167AD"/>
    <w:rsid w:val="0041716A"/>
    <w:rsid w:val="00417A18"/>
    <w:rsid w:val="00417AE0"/>
    <w:rsid w:val="00417BAA"/>
    <w:rsid w:val="0042042B"/>
    <w:rsid w:val="00420B45"/>
    <w:rsid w:val="00420D7A"/>
    <w:rsid w:val="00421257"/>
    <w:rsid w:val="00421315"/>
    <w:rsid w:val="00422193"/>
    <w:rsid w:val="004223DE"/>
    <w:rsid w:val="00422645"/>
    <w:rsid w:val="00422A10"/>
    <w:rsid w:val="00424D17"/>
    <w:rsid w:val="004259FC"/>
    <w:rsid w:val="00425DFD"/>
    <w:rsid w:val="00425EA9"/>
    <w:rsid w:val="004263A3"/>
    <w:rsid w:val="0042711B"/>
    <w:rsid w:val="00427713"/>
    <w:rsid w:val="00427C77"/>
    <w:rsid w:val="00427CCC"/>
    <w:rsid w:val="0043013A"/>
    <w:rsid w:val="00430421"/>
    <w:rsid w:val="00430A36"/>
    <w:rsid w:val="00430B4F"/>
    <w:rsid w:val="00431084"/>
    <w:rsid w:val="004310D7"/>
    <w:rsid w:val="0043180D"/>
    <w:rsid w:val="004322D6"/>
    <w:rsid w:val="00432589"/>
    <w:rsid w:val="00432A94"/>
    <w:rsid w:val="00432C95"/>
    <w:rsid w:val="00433827"/>
    <w:rsid w:val="00433A40"/>
    <w:rsid w:val="00434B70"/>
    <w:rsid w:val="004355EF"/>
    <w:rsid w:val="004360C8"/>
    <w:rsid w:val="00436823"/>
    <w:rsid w:val="004371D5"/>
    <w:rsid w:val="0043748C"/>
    <w:rsid w:val="0043773F"/>
    <w:rsid w:val="00437FBF"/>
    <w:rsid w:val="0044006B"/>
    <w:rsid w:val="0044033F"/>
    <w:rsid w:val="00440576"/>
    <w:rsid w:val="00440630"/>
    <w:rsid w:val="00440E07"/>
    <w:rsid w:val="0044142F"/>
    <w:rsid w:val="00441F0F"/>
    <w:rsid w:val="00442965"/>
    <w:rsid w:val="004432B6"/>
    <w:rsid w:val="00444157"/>
    <w:rsid w:val="0044417C"/>
    <w:rsid w:val="00444DB3"/>
    <w:rsid w:val="00445617"/>
    <w:rsid w:val="00445A2F"/>
    <w:rsid w:val="0044680A"/>
    <w:rsid w:val="0044684E"/>
    <w:rsid w:val="0044697A"/>
    <w:rsid w:val="00446E3E"/>
    <w:rsid w:val="00446F22"/>
    <w:rsid w:val="0045019F"/>
    <w:rsid w:val="004503A4"/>
    <w:rsid w:val="00450555"/>
    <w:rsid w:val="004506FA"/>
    <w:rsid w:val="00450DC6"/>
    <w:rsid w:val="00450FE5"/>
    <w:rsid w:val="004516A5"/>
    <w:rsid w:val="00451E9C"/>
    <w:rsid w:val="00452145"/>
    <w:rsid w:val="004522D0"/>
    <w:rsid w:val="0045280F"/>
    <w:rsid w:val="00452E73"/>
    <w:rsid w:val="004535AE"/>
    <w:rsid w:val="00453C53"/>
    <w:rsid w:val="0045444D"/>
    <w:rsid w:val="0045463A"/>
    <w:rsid w:val="00454AC9"/>
    <w:rsid w:val="00455050"/>
    <w:rsid w:val="004554A3"/>
    <w:rsid w:val="00455626"/>
    <w:rsid w:val="00455A6E"/>
    <w:rsid w:val="00455EAD"/>
    <w:rsid w:val="004578EB"/>
    <w:rsid w:val="00457A34"/>
    <w:rsid w:val="00457F74"/>
    <w:rsid w:val="004604D5"/>
    <w:rsid w:val="004605C6"/>
    <w:rsid w:val="00460697"/>
    <w:rsid w:val="0046117B"/>
    <w:rsid w:val="00461FC2"/>
    <w:rsid w:val="004632B9"/>
    <w:rsid w:val="004642ED"/>
    <w:rsid w:val="00464AB7"/>
    <w:rsid w:val="00465DE5"/>
    <w:rsid w:val="00466103"/>
    <w:rsid w:val="00467A83"/>
    <w:rsid w:val="00467EF8"/>
    <w:rsid w:val="00470006"/>
    <w:rsid w:val="004701E6"/>
    <w:rsid w:val="00470611"/>
    <w:rsid w:val="00470848"/>
    <w:rsid w:val="00471AC3"/>
    <w:rsid w:val="00472429"/>
    <w:rsid w:val="004725E5"/>
    <w:rsid w:val="00472751"/>
    <w:rsid w:val="00473128"/>
    <w:rsid w:val="00473F4F"/>
    <w:rsid w:val="004748A5"/>
    <w:rsid w:val="00475078"/>
    <w:rsid w:val="00475767"/>
    <w:rsid w:val="004779A0"/>
    <w:rsid w:val="00477F17"/>
    <w:rsid w:val="00480363"/>
    <w:rsid w:val="004808E3"/>
    <w:rsid w:val="00481016"/>
    <w:rsid w:val="004819E1"/>
    <w:rsid w:val="0048204C"/>
    <w:rsid w:val="004821BB"/>
    <w:rsid w:val="0048237A"/>
    <w:rsid w:val="004826FE"/>
    <w:rsid w:val="004827D5"/>
    <w:rsid w:val="00482AF2"/>
    <w:rsid w:val="004830C9"/>
    <w:rsid w:val="00483347"/>
    <w:rsid w:val="00483A21"/>
    <w:rsid w:val="00483E2E"/>
    <w:rsid w:val="004847B3"/>
    <w:rsid w:val="00484B69"/>
    <w:rsid w:val="00485406"/>
    <w:rsid w:val="0048590F"/>
    <w:rsid w:val="004864D4"/>
    <w:rsid w:val="00486D60"/>
    <w:rsid w:val="00486DBC"/>
    <w:rsid w:val="00491FA1"/>
    <w:rsid w:val="00492A25"/>
    <w:rsid w:val="004938A3"/>
    <w:rsid w:val="004950A6"/>
    <w:rsid w:val="0049558B"/>
    <w:rsid w:val="00496026"/>
    <w:rsid w:val="00496350"/>
    <w:rsid w:val="0049765E"/>
    <w:rsid w:val="00497843"/>
    <w:rsid w:val="0049797C"/>
    <w:rsid w:val="004A1405"/>
    <w:rsid w:val="004A1465"/>
    <w:rsid w:val="004A15BD"/>
    <w:rsid w:val="004A1E28"/>
    <w:rsid w:val="004A1FC6"/>
    <w:rsid w:val="004A2E5F"/>
    <w:rsid w:val="004A38C2"/>
    <w:rsid w:val="004A3968"/>
    <w:rsid w:val="004A3C03"/>
    <w:rsid w:val="004A3DB7"/>
    <w:rsid w:val="004A463B"/>
    <w:rsid w:val="004A5088"/>
    <w:rsid w:val="004A50E5"/>
    <w:rsid w:val="004A5255"/>
    <w:rsid w:val="004A61CA"/>
    <w:rsid w:val="004A6693"/>
    <w:rsid w:val="004A6B28"/>
    <w:rsid w:val="004A6CB0"/>
    <w:rsid w:val="004A70FF"/>
    <w:rsid w:val="004A7EDE"/>
    <w:rsid w:val="004B0D93"/>
    <w:rsid w:val="004B19C8"/>
    <w:rsid w:val="004B1FA4"/>
    <w:rsid w:val="004B29AC"/>
    <w:rsid w:val="004B2BF9"/>
    <w:rsid w:val="004B35DF"/>
    <w:rsid w:val="004B3627"/>
    <w:rsid w:val="004B3837"/>
    <w:rsid w:val="004B4922"/>
    <w:rsid w:val="004B57DF"/>
    <w:rsid w:val="004B5976"/>
    <w:rsid w:val="004B66FD"/>
    <w:rsid w:val="004B6E54"/>
    <w:rsid w:val="004B722E"/>
    <w:rsid w:val="004B72E8"/>
    <w:rsid w:val="004B771A"/>
    <w:rsid w:val="004C01A5"/>
    <w:rsid w:val="004C0412"/>
    <w:rsid w:val="004C0882"/>
    <w:rsid w:val="004C0C95"/>
    <w:rsid w:val="004C2138"/>
    <w:rsid w:val="004C2B69"/>
    <w:rsid w:val="004C302E"/>
    <w:rsid w:val="004C3940"/>
    <w:rsid w:val="004C51FD"/>
    <w:rsid w:val="004C5A37"/>
    <w:rsid w:val="004C5ED7"/>
    <w:rsid w:val="004C65A8"/>
    <w:rsid w:val="004C6689"/>
    <w:rsid w:val="004C6BF3"/>
    <w:rsid w:val="004C7408"/>
    <w:rsid w:val="004C7850"/>
    <w:rsid w:val="004D139A"/>
    <w:rsid w:val="004D14DC"/>
    <w:rsid w:val="004D17C6"/>
    <w:rsid w:val="004D2858"/>
    <w:rsid w:val="004D2E49"/>
    <w:rsid w:val="004D35BA"/>
    <w:rsid w:val="004D38E5"/>
    <w:rsid w:val="004D3A48"/>
    <w:rsid w:val="004D3C5A"/>
    <w:rsid w:val="004D449A"/>
    <w:rsid w:val="004D4701"/>
    <w:rsid w:val="004D47C7"/>
    <w:rsid w:val="004D4B2B"/>
    <w:rsid w:val="004D4F35"/>
    <w:rsid w:val="004D51EE"/>
    <w:rsid w:val="004D5C03"/>
    <w:rsid w:val="004D5D45"/>
    <w:rsid w:val="004D618D"/>
    <w:rsid w:val="004D62A9"/>
    <w:rsid w:val="004D6FC3"/>
    <w:rsid w:val="004D7299"/>
    <w:rsid w:val="004D7476"/>
    <w:rsid w:val="004D7716"/>
    <w:rsid w:val="004E0306"/>
    <w:rsid w:val="004E0572"/>
    <w:rsid w:val="004E1641"/>
    <w:rsid w:val="004E1818"/>
    <w:rsid w:val="004E1990"/>
    <w:rsid w:val="004E1F92"/>
    <w:rsid w:val="004E209C"/>
    <w:rsid w:val="004E2186"/>
    <w:rsid w:val="004E25A8"/>
    <w:rsid w:val="004E2B53"/>
    <w:rsid w:val="004E31A2"/>
    <w:rsid w:val="004E3930"/>
    <w:rsid w:val="004E3A23"/>
    <w:rsid w:val="004E3ED9"/>
    <w:rsid w:val="004E4961"/>
    <w:rsid w:val="004E53AB"/>
    <w:rsid w:val="004E5866"/>
    <w:rsid w:val="004E5ABF"/>
    <w:rsid w:val="004E6097"/>
    <w:rsid w:val="004E61EF"/>
    <w:rsid w:val="004E63C6"/>
    <w:rsid w:val="004E6805"/>
    <w:rsid w:val="004E76A7"/>
    <w:rsid w:val="004E7B03"/>
    <w:rsid w:val="004E7F95"/>
    <w:rsid w:val="004F0064"/>
    <w:rsid w:val="004F06AC"/>
    <w:rsid w:val="004F0E50"/>
    <w:rsid w:val="004F1D2A"/>
    <w:rsid w:val="004F243F"/>
    <w:rsid w:val="004F252C"/>
    <w:rsid w:val="004F2EDB"/>
    <w:rsid w:val="004F36A3"/>
    <w:rsid w:val="004F3E0C"/>
    <w:rsid w:val="004F4308"/>
    <w:rsid w:val="004F4892"/>
    <w:rsid w:val="004F4D2C"/>
    <w:rsid w:val="004F5C3B"/>
    <w:rsid w:val="004F5DA0"/>
    <w:rsid w:val="004F7160"/>
    <w:rsid w:val="00500258"/>
    <w:rsid w:val="005005F6"/>
    <w:rsid w:val="00500B2D"/>
    <w:rsid w:val="005011C5"/>
    <w:rsid w:val="0050130B"/>
    <w:rsid w:val="00501A99"/>
    <w:rsid w:val="00502456"/>
    <w:rsid w:val="00503180"/>
    <w:rsid w:val="005038A4"/>
    <w:rsid w:val="00504C56"/>
    <w:rsid w:val="00504CD4"/>
    <w:rsid w:val="0050524B"/>
    <w:rsid w:val="00505450"/>
    <w:rsid w:val="00505FC6"/>
    <w:rsid w:val="00506DA6"/>
    <w:rsid w:val="00507170"/>
    <w:rsid w:val="005100B7"/>
    <w:rsid w:val="005105DE"/>
    <w:rsid w:val="00510923"/>
    <w:rsid w:val="005113C9"/>
    <w:rsid w:val="00511656"/>
    <w:rsid w:val="00512050"/>
    <w:rsid w:val="00512055"/>
    <w:rsid w:val="0051280C"/>
    <w:rsid w:val="00512842"/>
    <w:rsid w:val="005128BE"/>
    <w:rsid w:val="0051356F"/>
    <w:rsid w:val="00513E7C"/>
    <w:rsid w:val="005140BB"/>
    <w:rsid w:val="00514FBE"/>
    <w:rsid w:val="00514FD9"/>
    <w:rsid w:val="0051550A"/>
    <w:rsid w:val="00515E31"/>
    <w:rsid w:val="0051608F"/>
    <w:rsid w:val="00516480"/>
    <w:rsid w:val="00520EF8"/>
    <w:rsid w:val="005210F7"/>
    <w:rsid w:val="00521753"/>
    <w:rsid w:val="00521C64"/>
    <w:rsid w:val="0052239D"/>
    <w:rsid w:val="005224EE"/>
    <w:rsid w:val="00522879"/>
    <w:rsid w:val="00522FB8"/>
    <w:rsid w:val="00522FFE"/>
    <w:rsid w:val="0052363A"/>
    <w:rsid w:val="00523BB1"/>
    <w:rsid w:val="005241A0"/>
    <w:rsid w:val="00524B23"/>
    <w:rsid w:val="0052511C"/>
    <w:rsid w:val="00525235"/>
    <w:rsid w:val="0052570E"/>
    <w:rsid w:val="005260CD"/>
    <w:rsid w:val="00526253"/>
    <w:rsid w:val="00526265"/>
    <w:rsid w:val="00526332"/>
    <w:rsid w:val="0052655D"/>
    <w:rsid w:val="005265E0"/>
    <w:rsid w:val="00526BC3"/>
    <w:rsid w:val="00530064"/>
    <w:rsid w:val="00530440"/>
    <w:rsid w:val="00530FF0"/>
    <w:rsid w:val="005313CA"/>
    <w:rsid w:val="00531761"/>
    <w:rsid w:val="0053248F"/>
    <w:rsid w:val="005327AB"/>
    <w:rsid w:val="00532F9C"/>
    <w:rsid w:val="00533055"/>
    <w:rsid w:val="0053332A"/>
    <w:rsid w:val="0053358A"/>
    <w:rsid w:val="00534668"/>
    <w:rsid w:val="005348CA"/>
    <w:rsid w:val="00534DDD"/>
    <w:rsid w:val="00535291"/>
    <w:rsid w:val="00535A94"/>
    <w:rsid w:val="00536BB0"/>
    <w:rsid w:val="00537874"/>
    <w:rsid w:val="0053795F"/>
    <w:rsid w:val="00537D3D"/>
    <w:rsid w:val="00540511"/>
    <w:rsid w:val="00540578"/>
    <w:rsid w:val="00540808"/>
    <w:rsid w:val="0054080E"/>
    <w:rsid w:val="00540D1A"/>
    <w:rsid w:val="00540DE5"/>
    <w:rsid w:val="00540EA1"/>
    <w:rsid w:val="00541E5A"/>
    <w:rsid w:val="00542769"/>
    <w:rsid w:val="00543066"/>
    <w:rsid w:val="0054358E"/>
    <w:rsid w:val="00543AF4"/>
    <w:rsid w:val="00543CD2"/>
    <w:rsid w:val="00543F53"/>
    <w:rsid w:val="00544191"/>
    <w:rsid w:val="0054440C"/>
    <w:rsid w:val="00544850"/>
    <w:rsid w:val="005448EC"/>
    <w:rsid w:val="00544C0A"/>
    <w:rsid w:val="00544F39"/>
    <w:rsid w:val="00544F7E"/>
    <w:rsid w:val="005452DC"/>
    <w:rsid w:val="005457FB"/>
    <w:rsid w:val="00545C5B"/>
    <w:rsid w:val="00546B96"/>
    <w:rsid w:val="00546F90"/>
    <w:rsid w:val="005477F7"/>
    <w:rsid w:val="00547EFB"/>
    <w:rsid w:val="00550186"/>
    <w:rsid w:val="00550192"/>
    <w:rsid w:val="00550BD9"/>
    <w:rsid w:val="005522F2"/>
    <w:rsid w:val="005531DF"/>
    <w:rsid w:val="00553874"/>
    <w:rsid w:val="00553DCE"/>
    <w:rsid w:val="005541E0"/>
    <w:rsid w:val="005543B3"/>
    <w:rsid w:val="00554577"/>
    <w:rsid w:val="005545A1"/>
    <w:rsid w:val="00554AD8"/>
    <w:rsid w:val="00554F78"/>
    <w:rsid w:val="00555102"/>
    <w:rsid w:val="00555DA1"/>
    <w:rsid w:val="00556288"/>
    <w:rsid w:val="005562FB"/>
    <w:rsid w:val="00556731"/>
    <w:rsid w:val="00556BF7"/>
    <w:rsid w:val="00556E53"/>
    <w:rsid w:val="00557868"/>
    <w:rsid w:val="00557F60"/>
    <w:rsid w:val="00560D81"/>
    <w:rsid w:val="00561730"/>
    <w:rsid w:val="00561B97"/>
    <w:rsid w:val="00562149"/>
    <w:rsid w:val="0056248C"/>
    <w:rsid w:val="005640EB"/>
    <w:rsid w:val="00565559"/>
    <w:rsid w:val="00565EB3"/>
    <w:rsid w:val="005666A4"/>
    <w:rsid w:val="00567B5D"/>
    <w:rsid w:val="00567C2A"/>
    <w:rsid w:val="00567D10"/>
    <w:rsid w:val="00570593"/>
    <w:rsid w:val="00570757"/>
    <w:rsid w:val="0057257D"/>
    <w:rsid w:val="00573293"/>
    <w:rsid w:val="00573733"/>
    <w:rsid w:val="00573E08"/>
    <w:rsid w:val="00573F8B"/>
    <w:rsid w:val="005743E0"/>
    <w:rsid w:val="00574554"/>
    <w:rsid w:val="00574E06"/>
    <w:rsid w:val="005751BB"/>
    <w:rsid w:val="00575713"/>
    <w:rsid w:val="00576089"/>
    <w:rsid w:val="005764B1"/>
    <w:rsid w:val="00576852"/>
    <w:rsid w:val="00576D06"/>
    <w:rsid w:val="005779E4"/>
    <w:rsid w:val="00580B89"/>
    <w:rsid w:val="00580EC7"/>
    <w:rsid w:val="00581262"/>
    <w:rsid w:val="00581EA9"/>
    <w:rsid w:val="0058289C"/>
    <w:rsid w:val="005836C7"/>
    <w:rsid w:val="0058408E"/>
    <w:rsid w:val="005844C3"/>
    <w:rsid w:val="005847D9"/>
    <w:rsid w:val="00585374"/>
    <w:rsid w:val="005854CA"/>
    <w:rsid w:val="00585FAB"/>
    <w:rsid w:val="0058607D"/>
    <w:rsid w:val="005901F6"/>
    <w:rsid w:val="00590B77"/>
    <w:rsid w:val="00590D9A"/>
    <w:rsid w:val="005913A3"/>
    <w:rsid w:val="00591A5A"/>
    <w:rsid w:val="00592C40"/>
    <w:rsid w:val="00593B28"/>
    <w:rsid w:val="005940D4"/>
    <w:rsid w:val="00594A7B"/>
    <w:rsid w:val="0059569A"/>
    <w:rsid w:val="0059580E"/>
    <w:rsid w:val="00595D90"/>
    <w:rsid w:val="00596A6F"/>
    <w:rsid w:val="00596D11"/>
    <w:rsid w:val="00596FCE"/>
    <w:rsid w:val="00597E7E"/>
    <w:rsid w:val="005A0300"/>
    <w:rsid w:val="005A0D7B"/>
    <w:rsid w:val="005A11BC"/>
    <w:rsid w:val="005A1525"/>
    <w:rsid w:val="005A188D"/>
    <w:rsid w:val="005A1E17"/>
    <w:rsid w:val="005A252B"/>
    <w:rsid w:val="005A2A8F"/>
    <w:rsid w:val="005A3008"/>
    <w:rsid w:val="005A3204"/>
    <w:rsid w:val="005A3341"/>
    <w:rsid w:val="005A3C3D"/>
    <w:rsid w:val="005A46EC"/>
    <w:rsid w:val="005A5EAE"/>
    <w:rsid w:val="005A5EB8"/>
    <w:rsid w:val="005A6407"/>
    <w:rsid w:val="005A726C"/>
    <w:rsid w:val="005A79CF"/>
    <w:rsid w:val="005A7DDF"/>
    <w:rsid w:val="005B05D8"/>
    <w:rsid w:val="005B07EC"/>
    <w:rsid w:val="005B0AB5"/>
    <w:rsid w:val="005B21B0"/>
    <w:rsid w:val="005B2B11"/>
    <w:rsid w:val="005B32A4"/>
    <w:rsid w:val="005B3371"/>
    <w:rsid w:val="005B338D"/>
    <w:rsid w:val="005B33A1"/>
    <w:rsid w:val="005B3852"/>
    <w:rsid w:val="005B3BAF"/>
    <w:rsid w:val="005B43D5"/>
    <w:rsid w:val="005B4470"/>
    <w:rsid w:val="005B4DA3"/>
    <w:rsid w:val="005B549D"/>
    <w:rsid w:val="005B5BEE"/>
    <w:rsid w:val="005B645C"/>
    <w:rsid w:val="005B6AA9"/>
    <w:rsid w:val="005B77D2"/>
    <w:rsid w:val="005B7BDA"/>
    <w:rsid w:val="005B7EF2"/>
    <w:rsid w:val="005C0195"/>
    <w:rsid w:val="005C019B"/>
    <w:rsid w:val="005C08D0"/>
    <w:rsid w:val="005C13A3"/>
    <w:rsid w:val="005C15A1"/>
    <w:rsid w:val="005C16A2"/>
    <w:rsid w:val="005C1AED"/>
    <w:rsid w:val="005C1FCB"/>
    <w:rsid w:val="005C2136"/>
    <w:rsid w:val="005C30F5"/>
    <w:rsid w:val="005C3571"/>
    <w:rsid w:val="005C3840"/>
    <w:rsid w:val="005C3F61"/>
    <w:rsid w:val="005C51A5"/>
    <w:rsid w:val="005C557A"/>
    <w:rsid w:val="005C566F"/>
    <w:rsid w:val="005C5B5C"/>
    <w:rsid w:val="005C5BF5"/>
    <w:rsid w:val="005C5C47"/>
    <w:rsid w:val="005C5D2D"/>
    <w:rsid w:val="005C61DD"/>
    <w:rsid w:val="005C6210"/>
    <w:rsid w:val="005C6438"/>
    <w:rsid w:val="005C68D3"/>
    <w:rsid w:val="005C6B8B"/>
    <w:rsid w:val="005C727F"/>
    <w:rsid w:val="005D02E3"/>
    <w:rsid w:val="005D1F34"/>
    <w:rsid w:val="005D2388"/>
    <w:rsid w:val="005D2C1F"/>
    <w:rsid w:val="005D34B2"/>
    <w:rsid w:val="005D3B54"/>
    <w:rsid w:val="005D3E28"/>
    <w:rsid w:val="005D40CD"/>
    <w:rsid w:val="005D6B59"/>
    <w:rsid w:val="005D71C3"/>
    <w:rsid w:val="005D74D2"/>
    <w:rsid w:val="005D784B"/>
    <w:rsid w:val="005D7B90"/>
    <w:rsid w:val="005E00AF"/>
    <w:rsid w:val="005E03E4"/>
    <w:rsid w:val="005E0454"/>
    <w:rsid w:val="005E05F6"/>
    <w:rsid w:val="005E1259"/>
    <w:rsid w:val="005E19CF"/>
    <w:rsid w:val="005E1B9D"/>
    <w:rsid w:val="005E1BDA"/>
    <w:rsid w:val="005E1FE5"/>
    <w:rsid w:val="005E2442"/>
    <w:rsid w:val="005E2768"/>
    <w:rsid w:val="005E3111"/>
    <w:rsid w:val="005E3CA0"/>
    <w:rsid w:val="005E3D25"/>
    <w:rsid w:val="005E3F85"/>
    <w:rsid w:val="005E4A5F"/>
    <w:rsid w:val="005E4D86"/>
    <w:rsid w:val="005E516A"/>
    <w:rsid w:val="005E57B0"/>
    <w:rsid w:val="005E5A0F"/>
    <w:rsid w:val="005E5B01"/>
    <w:rsid w:val="005E648D"/>
    <w:rsid w:val="005E6D3B"/>
    <w:rsid w:val="005E787A"/>
    <w:rsid w:val="005E7EDD"/>
    <w:rsid w:val="005F009E"/>
    <w:rsid w:val="005F06A3"/>
    <w:rsid w:val="005F0BF9"/>
    <w:rsid w:val="005F0DF1"/>
    <w:rsid w:val="005F1516"/>
    <w:rsid w:val="005F1A6F"/>
    <w:rsid w:val="005F229E"/>
    <w:rsid w:val="005F2564"/>
    <w:rsid w:val="005F3822"/>
    <w:rsid w:val="005F4635"/>
    <w:rsid w:val="005F4900"/>
    <w:rsid w:val="005F4E52"/>
    <w:rsid w:val="005F5466"/>
    <w:rsid w:val="005F6D58"/>
    <w:rsid w:val="005F7060"/>
    <w:rsid w:val="005F7383"/>
    <w:rsid w:val="0060058E"/>
    <w:rsid w:val="00602A3C"/>
    <w:rsid w:val="00602A60"/>
    <w:rsid w:val="0060310F"/>
    <w:rsid w:val="00603EFD"/>
    <w:rsid w:val="00604628"/>
    <w:rsid w:val="0060475B"/>
    <w:rsid w:val="00604BED"/>
    <w:rsid w:val="00604FB6"/>
    <w:rsid w:val="00605387"/>
    <w:rsid w:val="00606302"/>
    <w:rsid w:val="006076FD"/>
    <w:rsid w:val="006107B1"/>
    <w:rsid w:val="00610811"/>
    <w:rsid w:val="0061143F"/>
    <w:rsid w:val="006114D8"/>
    <w:rsid w:val="00611800"/>
    <w:rsid w:val="00611F2F"/>
    <w:rsid w:val="00613553"/>
    <w:rsid w:val="00613601"/>
    <w:rsid w:val="00613791"/>
    <w:rsid w:val="006143F9"/>
    <w:rsid w:val="00614CD4"/>
    <w:rsid w:val="006150D6"/>
    <w:rsid w:val="00615245"/>
    <w:rsid w:val="0061526D"/>
    <w:rsid w:val="0061590D"/>
    <w:rsid w:val="00615C84"/>
    <w:rsid w:val="00617EEE"/>
    <w:rsid w:val="00620A1F"/>
    <w:rsid w:val="0062169D"/>
    <w:rsid w:val="00621737"/>
    <w:rsid w:val="0062181E"/>
    <w:rsid w:val="0062197C"/>
    <w:rsid w:val="0062211B"/>
    <w:rsid w:val="0062227E"/>
    <w:rsid w:val="00622BB7"/>
    <w:rsid w:val="00622C1E"/>
    <w:rsid w:val="00623389"/>
    <w:rsid w:val="00623DAA"/>
    <w:rsid w:val="00623FAF"/>
    <w:rsid w:val="00624B3E"/>
    <w:rsid w:val="0062578C"/>
    <w:rsid w:val="00625A24"/>
    <w:rsid w:val="006265C4"/>
    <w:rsid w:val="0062675C"/>
    <w:rsid w:val="0062678A"/>
    <w:rsid w:val="00626AF1"/>
    <w:rsid w:val="00626FCA"/>
    <w:rsid w:val="006270AF"/>
    <w:rsid w:val="00631F40"/>
    <w:rsid w:val="00632F83"/>
    <w:rsid w:val="00634367"/>
    <w:rsid w:val="006364D7"/>
    <w:rsid w:val="00636554"/>
    <w:rsid w:val="006367E9"/>
    <w:rsid w:val="00636CE3"/>
    <w:rsid w:val="00640082"/>
    <w:rsid w:val="00640291"/>
    <w:rsid w:val="00640EFE"/>
    <w:rsid w:val="006416F5"/>
    <w:rsid w:val="00641D6D"/>
    <w:rsid w:val="00641FAC"/>
    <w:rsid w:val="00643664"/>
    <w:rsid w:val="00643907"/>
    <w:rsid w:val="00643CAA"/>
    <w:rsid w:val="00644F16"/>
    <w:rsid w:val="006455EB"/>
    <w:rsid w:val="006456C2"/>
    <w:rsid w:val="00645A65"/>
    <w:rsid w:val="00646238"/>
    <w:rsid w:val="00646959"/>
    <w:rsid w:val="006477F0"/>
    <w:rsid w:val="006478E4"/>
    <w:rsid w:val="00647FD1"/>
    <w:rsid w:val="006509EA"/>
    <w:rsid w:val="0065171A"/>
    <w:rsid w:val="00652680"/>
    <w:rsid w:val="00653CDE"/>
    <w:rsid w:val="00653EBF"/>
    <w:rsid w:val="00653EDB"/>
    <w:rsid w:val="00653F54"/>
    <w:rsid w:val="00654585"/>
    <w:rsid w:val="006548E4"/>
    <w:rsid w:val="00654AC8"/>
    <w:rsid w:val="0065566E"/>
    <w:rsid w:val="00655999"/>
    <w:rsid w:val="00655AB6"/>
    <w:rsid w:val="00655E2B"/>
    <w:rsid w:val="00655EFA"/>
    <w:rsid w:val="00656061"/>
    <w:rsid w:val="00656281"/>
    <w:rsid w:val="0065636A"/>
    <w:rsid w:val="00657003"/>
    <w:rsid w:val="00657CE2"/>
    <w:rsid w:val="00660238"/>
    <w:rsid w:val="006602EF"/>
    <w:rsid w:val="00661277"/>
    <w:rsid w:val="006619E0"/>
    <w:rsid w:val="00663FEA"/>
    <w:rsid w:val="00664803"/>
    <w:rsid w:val="00664934"/>
    <w:rsid w:val="00664D53"/>
    <w:rsid w:val="00664EB7"/>
    <w:rsid w:val="006657C5"/>
    <w:rsid w:val="00665D75"/>
    <w:rsid w:val="00666186"/>
    <w:rsid w:val="006661A4"/>
    <w:rsid w:val="00666AC0"/>
    <w:rsid w:val="006670E0"/>
    <w:rsid w:val="006671B8"/>
    <w:rsid w:val="00667275"/>
    <w:rsid w:val="00667532"/>
    <w:rsid w:val="00667719"/>
    <w:rsid w:val="0066780C"/>
    <w:rsid w:val="0066783E"/>
    <w:rsid w:val="00667E53"/>
    <w:rsid w:val="006711C4"/>
    <w:rsid w:val="006713AB"/>
    <w:rsid w:val="00672680"/>
    <w:rsid w:val="00672CA5"/>
    <w:rsid w:val="00673711"/>
    <w:rsid w:val="00673CDA"/>
    <w:rsid w:val="00673F82"/>
    <w:rsid w:val="00674F74"/>
    <w:rsid w:val="0067508F"/>
    <w:rsid w:val="00676B25"/>
    <w:rsid w:val="00677576"/>
    <w:rsid w:val="0068051E"/>
    <w:rsid w:val="00680B9D"/>
    <w:rsid w:val="00680DF1"/>
    <w:rsid w:val="00681F13"/>
    <w:rsid w:val="0068231C"/>
    <w:rsid w:val="00682344"/>
    <w:rsid w:val="006823B0"/>
    <w:rsid w:val="00682C87"/>
    <w:rsid w:val="00682F28"/>
    <w:rsid w:val="00683515"/>
    <w:rsid w:val="00684842"/>
    <w:rsid w:val="006856CA"/>
    <w:rsid w:val="006859AA"/>
    <w:rsid w:val="00685BD6"/>
    <w:rsid w:val="00686A20"/>
    <w:rsid w:val="00687116"/>
    <w:rsid w:val="006872D2"/>
    <w:rsid w:val="006878A6"/>
    <w:rsid w:val="00687D5F"/>
    <w:rsid w:val="00687F2E"/>
    <w:rsid w:val="00690437"/>
    <w:rsid w:val="00690623"/>
    <w:rsid w:val="00690DC3"/>
    <w:rsid w:val="00690E65"/>
    <w:rsid w:val="006911B7"/>
    <w:rsid w:val="00691387"/>
    <w:rsid w:val="006915C2"/>
    <w:rsid w:val="0069188E"/>
    <w:rsid w:val="00691974"/>
    <w:rsid w:val="00692584"/>
    <w:rsid w:val="00692BF6"/>
    <w:rsid w:val="00692CE6"/>
    <w:rsid w:val="00693186"/>
    <w:rsid w:val="00693381"/>
    <w:rsid w:val="0069375B"/>
    <w:rsid w:val="00693B6C"/>
    <w:rsid w:val="006942AE"/>
    <w:rsid w:val="0069464B"/>
    <w:rsid w:val="006947A1"/>
    <w:rsid w:val="006952AC"/>
    <w:rsid w:val="00695421"/>
    <w:rsid w:val="00696A9C"/>
    <w:rsid w:val="00697BD3"/>
    <w:rsid w:val="00697DFA"/>
    <w:rsid w:val="006A16D5"/>
    <w:rsid w:val="006A1772"/>
    <w:rsid w:val="006A1780"/>
    <w:rsid w:val="006A21DD"/>
    <w:rsid w:val="006A26C6"/>
    <w:rsid w:val="006A3302"/>
    <w:rsid w:val="006A34AF"/>
    <w:rsid w:val="006A38DA"/>
    <w:rsid w:val="006A3B28"/>
    <w:rsid w:val="006A47DC"/>
    <w:rsid w:val="006A4A4B"/>
    <w:rsid w:val="006A4FEE"/>
    <w:rsid w:val="006A5522"/>
    <w:rsid w:val="006A5549"/>
    <w:rsid w:val="006A6574"/>
    <w:rsid w:val="006A703E"/>
    <w:rsid w:val="006A7BE3"/>
    <w:rsid w:val="006A7D32"/>
    <w:rsid w:val="006A7E1A"/>
    <w:rsid w:val="006B01D1"/>
    <w:rsid w:val="006B0DF4"/>
    <w:rsid w:val="006B16EA"/>
    <w:rsid w:val="006B1780"/>
    <w:rsid w:val="006B17F3"/>
    <w:rsid w:val="006B1B60"/>
    <w:rsid w:val="006B21DC"/>
    <w:rsid w:val="006B224E"/>
    <w:rsid w:val="006B25FA"/>
    <w:rsid w:val="006B376E"/>
    <w:rsid w:val="006B4589"/>
    <w:rsid w:val="006B5157"/>
    <w:rsid w:val="006B610E"/>
    <w:rsid w:val="006B6805"/>
    <w:rsid w:val="006B6C07"/>
    <w:rsid w:val="006B6DE0"/>
    <w:rsid w:val="006B723D"/>
    <w:rsid w:val="006C1337"/>
    <w:rsid w:val="006C16C3"/>
    <w:rsid w:val="006C1FA6"/>
    <w:rsid w:val="006C2187"/>
    <w:rsid w:val="006C27D9"/>
    <w:rsid w:val="006C32F4"/>
    <w:rsid w:val="006C3C54"/>
    <w:rsid w:val="006C3CA5"/>
    <w:rsid w:val="006C3CAA"/>
    <w:rsid w:val="006C4B6B"/>
    <w:rsid w:val="006C4CE1"/>
    <w:rsid w:val="006C4F9F"/>
    <w:rsid w:val="006C54B1"/>
    <w:rsid w:val="006C698E"/>
    <w:rsid w:val="006C71A2"/>
    <w:rsid w:val="006C73EC"/>
    <w:rsid w:val="006D0997"/>
    <w:rsid w:val="006D0B19"/>
    <w:rsid w:val="006D0C1D"/>
    <w:rsid w:val="006D1BB1"/>
    <w:rsid w:val="006D2606"/>
    <w:rsid w:val="006D28F3"/>
    <w:rsid w:val="006D2E9D"/>
    <w:rsid w:val="006D3B48"/>
    <w:rsid w:val="006D4305"/>
    <w:rsid w:val="006D4970"/>
    <w:rsid w:val="006D4A4E"/>
    <w:rsid w:val="006D4C42"/>
    <w:rsid w:val="006D5067"/>
    <w:rsid w:val="006D5389"/>
    <w:rsid w:val="006D53A2"/>
    <w:rsid w:val="006D5809"/>
    <w:rsid w:val="006D607E"/>
    <w:rsid w:val="006D6E12"/>
    <w:rsid w:val="006D70CB"/>
    <w:rsid w:val="006D715C"/>
    <w:rsid w:val="006D7363"/>
    <w:rsid w:val="006D774E"/>
    <w:rsid w:val="006D7F08"/>
    <w:rsid w:val="006E0754"/>
    <w:rsid w:val="006E1201"/>
    <w:rsid w:val="006E12B2"/>
    <w:rsid w:val="006E1481"/>
    <w:rsid w:val="006E2668"/>
    <w:rsid w:val="006E2C88"/>
    <w:rsid w:val="006E2D39"/>
    <w:rsid w:val="006E2FE9"/>
    <w:rsid w:val="006E32B0"/>
    <w:rsid w:val="006E348E"/>
    <w:rsid w:val="006E396A"/>
    <w:rsid w:val="006E3D63"/>
    <w:rsid w:val="006E5256"/>
    <w:rsid w:val="006E58BF"/>
    <w:rsid w:val="006E5CE6"/>
    <w:rsid w:val="006E5DD8"/>
    <w:rsid w:val="006E5EA1"/>
    <w:rsid w:val="006E6BE5"/>
    <w:rsid w:val="006E6DEE"/>
    <w:rsid w:val="006E6F44"/>
    <w:rsid w:val="006E7D4B"/>
    <w:rsid w:val="006F018A"/>
    <w:rsid w:val="006F0569"/>
    <w:rsid w:val="006F0760"/>
    <w:rsid w:val="006F0D30"/>
    <w:rsid w:val="006F11E2"/>
    <w:rsid w:val="006F1A50"/>
    <w:rsid w:val="006F1A67"/>
    <w:rsid w:val="006F2574"/>
    <w:rsid w:val="006F2BF9"/>
    <w:rsid w:val="006F3231"/>
    <w:rsid w:val="006F3DE3"/>
    <w:rsid w:val="006F4787"/>
    <w:rsid w:val="006F57E6"/>
    <w:rsid w:val="006F61D8"/>
    <w:rsid w:val="006F62B7"/>
    <w:rsid w:val="006F63E7"/>
    <w:rsid w:val="006F7016"/>
    <w:rsid w:val="006F70BC"/>
    <w:rsid w:val="006F726C"/>
    <w:rsid w:val="006F7A22"/>
    <w:rsid w:val="006F7E7C"/>
    <w:rsid w:val="0070174E"/>
    <w:rsid w:val="007018DB"/>
    <w:rsid w:val="00701DE6"/>
    <w:rsid w:val="0070214F"/>
    <w:rsid w:val="00702740"/>
    <w:rsid w:val="007028E3"/>
    <w:rsid w:val="00703407"/>
    <w:rsid w:val="0070381B"/>
    <w:rsid w:val="00706759"/>
    <w:rsid w:val="0070697D"/>
    <w:rsid w:val="0070796C"/>
    <w:rsid w:val="007109BB"/>
    <w:rsid w:val="00710EBF"/>
    <w:rsid w:val="007110B8"/>
    <w:rsid w:val="0071209F"/>
    <w:rsid w:val="007123F0"/>
    <w:rsid w:val="007125A2"/>
    <w:rsid w:val="00712A68"/>
    <w:rsid w:val="00713DD9"/>
    <w:rsid w:val="00713F79"/>
    <w:rsid w:val="007148A8"/>
    <w:rsid w:val="00714A29"/>
    <w:rsid w:val="00715C14"/>
    <w:rsid w:val="00715C70"/>
    <w:rsid w:val="00715E44"/>
    <w:rsid w:val="007164B0"/>
    <w:rsid w:val="00716AC8"/>
    <w:rsid w:val="00716E54"/>
    <w:rsid w:val="00717280"/>
    <w:rsid w:val="0072033C"/>
    <w:rsid w:val="00720B1B"/>
    <w:rsid w:val="00720FBB"/>
    <w:rsid w:val="00721062"/>
    <w:rsid w:val="00721D3D"/>
    <w:rsid w:val="00721E5D"/>
    <w:rsid w:val="007229D4"/>
    <w:rsid w:val="00722AE0"/>
    <w:rsid w:val="00722C01"/>
    <w:rsid w:val="00722E35"/>
    <w:rsid w:val="007230F8"/>
    <w:rsid w:val="007233F4"/>
    <w:rsid w:val="007235E3"/>
    <w:rsid w:val="0072381D"/>
    <w:rsid w:val="00724044"/>
    <w:rsid w:val="00724120"/>
    <w:rsid w:val="007243F2"/>
    <w:rsid w:val="007248D3"/>
    <w:rsid w:val="00724DF8"/>
    <w:rsid w:val="00725137"/>
    <w:rsid w:val="00725378"/>
    <w:rsid w:val="00725C31"/>
    <w:rsid w:val="00727795"/>
    <w:rsid w:val="00727A43"/>
    <w:rsid w:val="00727DB7"/>
    <w:rsid w:val="00727DBF"/>
    <w:rsid w:val="00727FF2"/>
    <w:rsid w:val="00727FFD"/>
    <w:rsid w:val="00730550"/>
    <w:rsid w:val="00730C2A"/>
    <w:rsid w:val="00730DF1"/>
    <w:rsid w:val="00731125"/>
    <w:rsid w:val="00731434"/>
    <w:rsid w:val="00731E59"/>
    <w:rsid w:val="007323E0"/>
    <w:rsid w:val="00732911"/>
    <w:rsid w:val="00733721"/>
    <w:rsid w:val="00733DE2"/>
    <w:rsid w:val="00734142"/>
    <w:rsid w:val="00734358"/>
    <w:rsid w:val="007352EA"/>
    <w:rsid w:val="007362CC"/>
    <w:rsid w:val="0073792F"/>
    <w:rsid w:val="00740C44"/>
    <w:rsid w:val="00740C81"/>
    <w:rsid w:val="00740DA6"/>
    <w:rsid w:val="0074197B"/>
    <w:rsid w:val="00741B4B"/>
    <w:rsid w:val="00741D1E"/>
    <w:rsid w:val="00741DD6"/>
    <w:rsid w:val="00741EE2"/>
    <w:rsid w:val="0074207F"/>
    <w:rsid w:val="00742118"/>
    <w:rsid w:val="00742367"/>
    <w:rsid w:val="00742EAA"/>
    <w:rsid w:val="00743360"/>
    <w:rsid w:val="00743818"/>
    <w:rsid w:val="00743857"/>
    <w:rsid w:val="0074411D"/>
    <w:rsid w:val="007441FB"/>
    <w:rsid w:val="007444D7"/>
    <w:rsid w:val="00744517"/>
    <w:rsid w:val="0074522A"/>
    <w:rsid w:val="00745D90"/>
    <w:rsid w:val="007465D3"/>
    <w:rsid w:val="00746AED"/>
    <w:rsid w:val="00747295"/>
    <w:rsid w:val="00747346"/>
    <w:rsid w:val="00747829"/>
    <w:rsid w:val="0074789C"/>
    <w:rsid w:val="00747DE2"/>
    <w:rsid w:val="00747E6D"/>
    <w:rsid w:val="007502D0"/>
    <w:rsid w:val="007504BF"/>
    <w:rsid w:val="007506CD"/>
    <w:rsid w:val="00751520"/>
    <w:rsid w:val="0075267F"/>
    <w:rsid w:val="007526EC"/>
    <w:rsid w:val="00753B8A"/>
    <w:rsid w:val="00753C48"/>
    <w:rsid w:val="00754250"/>
    <w:rsid w:val="00754FE4"/>
    <w:rsid w:val="00755216"/>
    <w:rsid w:val="00756236"/>
    <w:rsid w:val="00756271"/>
    <w:rsid w:val="00756348"/>
    <w:rsid w:val="00756521"/>
    <w:rsid w:val="00756AB7"/>
    <w:rsid w:val="0075756F"/>
    <w:rsid w:val="00757975"/>
    <w:rsid w:val="00760B3A"/>
    <w:rsid w:val="0076106D"/>
    <w:rsid w:val="007623FB"/>
    <w:rsid w:val="00762517"/>
    <w:rsid w:val="00763240"/>
    <w:rsid w:val="0076376A"/>
    <w:rsid w:val="007643A1"/>
    <w:rsid w:val="007648AD"/>
    <w:rsid w:val="0076504E"/>
    <w:rsid w:val="0076767E"/>
    <w:rsid w:val="00767BFD"/>
    <w:rsid w:val="00767EA0"/>
    <w:rsid w:val="0077068F"/>
    <w:rsid w:val="00771EDF"/>
    <w:rsid w:val="00772530"/>
    <w:rsid w:val="00772A90"/>
    <w:rsid w:val="00772F79"/>
    <w:rsid w:val="00772F8D"/>
    <w:rsid w:val="007730D7"/>
    <w:rsid w:val="0077408D"/>
    <w:rsid w:val="00774270"/>
    <w:rsid w:val="007743F6"/>
    <w:rsid w:val="00775679"/>
    <w:rsid w:val="0077574F"/>
    <w:rsid w:val="00775823"/>
    <w:rsid w:val="00776206"/>
    <w:rsid w:val="00777153"/>
    <w:rsid w:val="007777CC"/>
    <w:rsid w:val="00777B32"/>
    <w:rsid w:val="0078051E"/>
    <w:rsid w:val="00780A3E"/>
    <w:rsid w:val="00781089"/>
    <w:rsid w:val="00781CB6"/>
    <w:rsid w:val="007838F3"/>
    <w:rsid w:val="0078419B"/>
    <w:rsid w:val="00785612"/>
    <w:rsid w:val="007856FE"/>
    <w:rsid w:val="00785F46"/>
    <w:rsid w:val="007865F4"/>
    <w:rsid w:val="00786D5C"/>
    <w:rsid w:val="00786E96"/>
    <w:rsid w:val="00787022"/>
    <w:rsid w:val="00787412"/>
    <w:rsid w:val="00787BB6"/>
    <w:rsid w:val="00787DFF"/>
    <w:rsid w:val="00787F93"/>
    <w:rsid w:val="00791E6D"/>
    <w:rsid w:val="00791EB5"/>
    <w:rsid w:val="00792377"/>
    <w:rsid w:val="0079343F"/>
    <w:rsid w:val="00793696"/>
    <w:rsid w:val="00793F13"/>
    <w:rsid w:val="00794800"/>
    <w:rsid w:val="007955DA"/>
    <w:rsid w:val="00796F65"/>
    <w:rsid w:val="007A11C2"/>
    <w:rsid w:val="007A1781"/>
    <w:rsid w:val="007A18BB"/>
    <w:rsid w:val="007A2489"/>
    <w:rsid w:val="007A27DD"/>
    <w:rsid w:val="007A41BF"/>
    <w:rsid w:val="007A490A"/>
    <w:rsid w:val="007A53B6"/>
    <w:rsid w:val="007A7289"/>
    <w:rsid w:val="007A7B95"/>
    <w:rsid w:val="007B0297"/>
    <w:rsid w:val="007B02FA"/>
    <w:rsid w:val="007B0F53"/>
    <w:rsid w:val="007B110A"/>
    <w:rsid w:val="007B1A4D"/>
    <w:rsid w:val="007B1B73"/>
    <w:rsid w:val="007B2027"/>
    <w:rsid w:val="007B21AE"/>
    <w:rsid w:val="007B2570"/>
    <w:rsid w:val="007B3113"/>
    <w:rsid w:val="007B3304"/>
    <w:rsid w:val="007B3BF0"/>
    <w:rsid w:val="007B42A6"/>
    <w:rsid w:val="007B65DB"/>
    <w:rsid w:val="007B6927"/>
    <w:rsid w:val="007B6B18"/>
    <w:rsid w:val="007B7490"/>
    <w:rsid w:val="007B7C13"/>
    <w:rsid w:val="007B7C61"/>
    <w:rsid w:val="007C00B9"/>
    <w:rsid w:val="007C0525"/>
    <w:rsid w:val="007C06DB"/>
    <w:rsid w:val="007C13F7"/>
    <w:rsid w:val="007C1D77"/>
    <w:rsid w:val="007C218D"/>
    <w:rsid w:val="007C254F"/>
    <w:rsid w:val="007C2590"/>
    <w:rsid w:val="007C2D28"/>
    <w:rsid w:val="007C32FD"/>
    <w:rsid w:val="007C3E22"/>
    <w:rsid w:val="007C5022"/>
    <w:rsid w:val="007C58C1"/>
    <w:rsid w:val="007C5B39"/>
    <w:rsid w:val="007C5CAB"/>
    <w:rsid w:val="007C6218"/>
    <w:rsid w:val="007C6484"/>
    <w:rsid w:val="007C67C6"/>
    <w:rsid w:val="007C78BE"/>
    <w:rsid w:val="007C7A5D"/>
    <w:rsid w:val="007C7E59"/>
    <w:rsid w:val="007D0476"/>
    <w:rsid w:val="007D0B91"/>
    <w:rsid w:val="007D0FE7"/>
    <w:rsid w:val="007D1197"/>
    <w:rsid w:val="007D1452"/>
    <w:rsid w:val="007D1563"/>
    <w:rsid w:val="007D26DC"/>
    <w:rsid w:val="007D3AEF"/>
    <w:rsid w:val="007D3DCB"/>
    <w:rsid w:val="007D4601"/>
    <w:rsid w:val="007D460C"/>
    <w:rsid w:val="007D4996"/>
    <w:rsid w:val="007D4AD3"/>
    <w:rsid w:val="007D4E63"/>
    <w:rsid w:val="007D5C58"/>
    <w:rsid w:val="007D5D19"/>
    <w:rsid w:val="007D5FDC"/>
    <w:rsid w:val="007D6176"/>
    <w:rsid w:val="007D641C"/>
    <w:rsid w:val="007D69CD"/>
    <w:rsid w:val="007D6D68"/>
    <w:rsid w:val="007D7A0D"/>
    <w:rsid w:val="007E066C"/>
    <w:rsid w:val="007E194F"/>
    <w:rsid w:val="007E201B"/>
    <w:rsid w:val="007E250B"/>
    <w:rsid w:val="007E2EA3"/>
    <w:rsid w:val="007E2EE9"/>
    <w:rsid w:val="007E32DA"/>
    <w:rsid w:val="007E3B60"/>
    <w:rsid w:val="007E4998"/>
    <w:rsid w:val="007E4A9C"/>
    <w:rsid w:val="007E4D78"/>
    <w:rsid w:val="007E5248"/>
    <w:rsid w:val="007E5C4F"/>
    <w:rsid w:val="007E6914"/>
    <w:rsid w:val="007E74D6"/>
    <w:rsid w:val="007E7F78"/>
    <w:rsid w:val="007F0179"/>
    <w:rsid w:val="007F0FF8"/>
    <w:rsid w:val="007F148A"/>
    <w:rsid w:val="007F2640"/>
    <w:rsid w:val="007F2C13"/>
    <w:rsid w:val="007F2CEC"/>
    <w:rsid w:val="007F2ED1"/>
    <w:rsid w:val="007F326F"/>
    <w:rsid w:val="007F3435"/>
    <w:rsid w:val="007F456D"/>
    <w:rsid w:val="007F505D"/>
    <w:rsid w:val="007F531B"/>
    <w:rsid w:val="007F54CF"/>
    <w:rsid w:val="007F55DE"/>
    <w:rsid w:val="007F5BAC"/>
    <w:rsid w:val="007F6153"/>
    <w:rsid w:val="007F718F"/>
    <w:rsid w:val="007F762D"/>
    <w:rsid w:val="007F78F0"/>
    <w:rsid w:val="007F78FF"/>
    <w:rsid w:val="008001C5"/>
    <w:rsid w:val="00800F6C"/>
    <w:rsid w:val="00801065"/>
    <w:rsid w:val="0080138D"/>
    <w:rsid w:val="00802C0B"/>
    <w:rsid w:val="00804206"/>
    <w:rsid w:val="00805040"/>
    <w:rsid w:val="008051FC"/>
    <w:rsid w:val="008055A9"/>
    <w:rsid w:val="008056C4"/>
    <w:rsid w:val="008057FD"/>
    <w:rsid w:val="00805D8B"/>
    <w:rsid w:val="00805F62"/>
    <w:rsid w:val="00806C33"/>
    <w:rsid w:val="008075DB"/>
    <w:rsid w:val="0081010F"/>
    <w:rsid w:val="00810BB6"/>
    <w:rsid w:val="00810E8E"/>
    <w:rsid w:val="00811F1D"/>
    <w:rsid w:val="00812C44"/>
    <w:rsid w:val="008135E1"/>
    <w:rsid w:val="00813779"/>
    <w:rsid w:val="00813792"/>
    <w:rsid w:val="00813AA2"/>
    <w:rsid w:val="00813E26"/>
    <w:rsid w:val="00814321"/>
    <w:rsid w:val="0081481D"/>
    <w:rsid w:val="00814BE8"/>
    <w:rsid w:val="00814D94"/>
    <w:rsid w:val="00814F6E"/>
    <w:rsid w:val="00815ABB"/>
    <w:rsid w:val="00815B84"/>
    <w:rsid w:val="00816342"/>
    <w:rsid w:val="008166F6"/>
    <w:rsid w:val="00816BE9"/>
    <w:rsid w:val="00817D10"/>
    <w:rsid w:val="00821191"/>
    <w:rsid w:val="00822518"/>
    <w:rsid w:val="008226F5"/>
    <w:rsid w:val="00823FC6"/>
    <w:rsid w:val="00824306"/>
    <w:rsid w:val="00824B1F"/>
    <w:rsid w:val="00825C74"/>
    <w:rsid w:val="00825CFA"/>
    <w:rsid w:val="00825F10"/>
    <w:rsid w:val="00826556"/>
    <w:rsid w:val="00826AB9"/>
    <w:rsid w:val="00826E0E"/>
    <w:rsid w:val="00827D11"/>
    <w:rsid w:val="00827E0F"/>
    <w:rsid w:val="00827F6E"/>
    <w:rsid w:val="0083077E"/>
    <w:rsid w:val="00830C11"/>
    <w:rsid w:val="00830E66"/>
    <w:rsid w:val="008310C9"/>
    <w:rsid w:val="00831758"/>
    <w:rsid w:val="008317D9"/>
    <w:rsid w:val="00831AEC"/>
    <w:rsid w:val="0083279F"/>
    <w:rsid w:val="00832CE9"/>
    <w:rsid w:val="008334DB"/>
    <w:rsid w:val="00833B7F"/>
    <w:rsid w:val="00833B82"/>
    <w:rsid w:val="00833E8E"/>
    <w:rsid w:val="00834906"/>
    <w:rsid w:val="00836075"/>
    <w:rsid w:val="00836417"/>
    <w:rsid w:val="00836BC6"/>
    <w:rsid w:val="00836D47"/>
    <w:rsid w:val="00837526"/>
    <w:rsid w:val="008407A7"/>
    <w:rsid w:val="00842275"/>
    <w:rsid w:val="0084322B"/>
    <w:rsid w:val="008433A0"/>
    <w:rsid w:val="00843F81"/>
    <w:rsid w:val="00844087"/>
    <w:rsid w:val="008448F1"/>
    <w:rsid w:val="0084519E"/>
    <w:rsid w:val="00845CAE"/>
    <w:rsid w:val="008462C5"/>
    <w:rsid w:val="008462FA"/>
    <w:rsid w:val="00846370"/>
    <w:rsid w:val="00846873"/>
    <w:rsid w:val="00846D33"/>
    <w:rsid w:val="00847366"/>
    <w:rsid w:val="00847544"/>
    <w:rsid w:val="008477E7"/>
    <w:rsid w:val="00847C2B"/>
    <w:rsid w:val="00850272"/>
    <w:rsid w:val="008506B9"/>
    <w:rsid w:val="0085086F"/>
    <w:rsid w:val="00850B42"/>
    <w:rsid w:val="00851822"/>
    <w:rsid w:val="00851C16"/>
    <w:rsid w:val="008532BF"/>
    <w:rsid w:val="008539B2"/>
    <w:rsid w:val="00853BF4"/>
    <w:rsid w:val="00854294"/>
    <w:rsid w:val="00854295"/>
    <w:rsid w:val="008545CE"/>
    <w:rsid w:val="0085572E"/>
    <w:rsid w:val="0085788B"/>
    <w:rsid w:val="00857A9E"/>
    <w:rsid w:val="00857D1F"/>
    <w:rsid w:val="00857DE2"/>
    <w:rsid w:val="0086003D"/>
    <w:rsid w:val="008613DD"/>
    <w:rsid w:val="0086174F"/>
    <w:rsid w:val="00861D63"/>
    <w:rsid w:val="008623B9"/>
    <w:rsid w:val="0086358C"/>
    <w:rsid w:val="00863A8E"/>
    <w:rsid w:val="0086407F"/>
    <w:rsid w:val="008644DD"/>
    <w:rsid w:val="008645E3"/>
    <w:rsid w:val="0086486A"/>
    <w:rsid w:val="00864E79"/>
    <w:rsid w:val="00864EC0"/>
    <w:rsid w:val="0086572B"/>
    <w:rsid w:val="008662E5"/>
    <w:rsid w:val="008665BC"/>
    <w:rsid w:val="00866615"/>
    <w:rsid w:val="0086661F"/>
    <w:rsid w:val="00866A0D"/>
    <w:rsid w:val="00866DB5"/>
    <w:rsid w:val="0086701D"/>
    <w:rsid w:val="0086702B"/>
    <w:rsid w:val="008672E2"/>
    <w:rsid w:val="0086784E"/>
    <w:rsid w:val="0087110C"/>
    <w:rsid w:val="0087121C"/>
    <w:rsid w:val="00871FD2"/>
    <w:rsid w:val="00872084"/>
    <w:rsid w:val="00872827"/>
    <w:rsid w:val="00872A32"/>
    <w:rsid w:val="00873653"/>
    <w:rsid w:val="0087486A"/>
    <w:rsid w:val="00874911"/>
    <w:rsid w:val="00874B79"/>
    <w:rsid w:val="008754E4"/>
    <w:rsid w:val="00876EAE"/>
    <w:rsid w:val="0087722B"/>
    <w:rsid w:val="00877305"/>
    <w:rsid w:val="00877983"/>
    <w:rsid w:val="00880106"/>
    <w:rsid w:val="00880F95"/>
    <w:rsid w:val="00881076"/>
    <w:rsid w:val="00881424"/>
    <w:rsid w:val="00881E39"/>
    <w:rsid w:val="00881EE2"/>
    <w:rsid w:val="00882174"/>
    <w:rsid w:val="008821A0"/>
    <w:rsid w:val="00882910"/>
    <w:rsid w:val="00882B44"/>
    <w:rsid w:val="00883809"/>
    <w:rsid w:val="008838AD"/>
    <w:rsid w:val="00885381"/>
    <w:rsid w:val="0088572B"/>
    <w:rsid w:val="00885BC9"/>
    <w:rsid w:val="008864B3"/>
    <w:rsid w:val="008865E5"/>
    <w:rsid w:val="0088682F"/>
    <w:rsid w:val="008871B0"/>
    <w:rsid w:val="008905A6"/>
    <w:rsid w:val="00890B57"/>
    <w:rsid w:val="00890D07"/>
    <w:rsid w:val="008916BA"/>
    <w:rsid w:val="0089217C"/>
    <w:rsid w:val="00892476"/>
    <w:rsid w:val="00892790"/>
    <w:rsid w:val="00893671"/>
    <w:rsid w:val="008942A6"/>
    <w:rsid w:val="0089445B"/>
    <w:rsid w:val="00894979"/>
    <w:rsid w:val="00895838"/>
    <w:rsid w:val="00895A1E"/>
    <w:rsid w:val="00895A72"/>
    <w:rsid w:val="00895CDF"/>
    <w:rsid w:val="00895EE3"/>
    <w:rsid w:val="00896046"/>
    <w:rsid w:val="00896679"/>
    <w:rsid w:val="00896D8C"/>
    <w:rsid w:val="00897184"/>
    <w:rsid w:val="00897579"/>
    <w:rsid w:val="008A013B"/>
    <w:rsid w:val="008A0717"/>
    <w:rsid w:val="008A0FAC"/>
    <w:rsid w:val="008A0FC9"/>
    <w:rsid w:val="008A14C8"/>
    <w:rsid w:val="008A1956"/>
    <w:rsid w:val="008A1A7C"/>
    <w:rsid w:val="008A26AA"/>
    <w:rsid w:val="008A2990"/>
    <w:rsid w:val="008A2CE2"/>
    <w:rsid w:val="008A40D3"/>
    <w:rsid w:val="008A413F"/>
    <w:rsid w:val="008A451F"/>
    <w:rsid w:val="008A45F7"/>
    <w:rsid w:val="008A469C"/>
    <w:rsid w:val="008A50FB"/>
    <w:rsid w:val="008A51D1"/>
    <w:rsid w:val="008A5C90"/>
    <w:rsid w:val="008A5DCE"/>
    <w:rsid w:val="008A6658"/>
    <w:rsid w:val="008A75D3"/>
    <w:rsid w:val="008A7DEA"/>
    <w:rsid w:val="008A7F09"/>
    <w:rsid w:val="008B01E6"/>
    <w:rsid w:val="008B05DD"/>
    <w:rsid w:val="008B07B8"/>
    <w:rsid w:val="008B17E8"/>
    <w:rsid w:val="008B2A6F"/>
    <w:rsid w:val="008B2C45"/>
    <w:rsid w:val="008B2E7C"/>
    <w:rsid w:val="008B399A"/>
    <w:rsid w:val="008B402F"/>
    <w:rsid w:val="008B45F0"/>
    <w:rsid w:val="008B4A70"/>
    <w:rsid w:val="008B502F"/>
    <w:rsid w:val="008B54FD"/>
    <w:rsid w:val="008B5692"/>
    <w:rsid w:val="008B5F31"/>
    <w:rsid w:val="008B6CE5"/>
    <w:rsid w:val="008B6DFC"/>
    <w:rsid w:val="008B7227"/>
    <w:rsid w:val="008C02FB"/>
    <w:rsid w:val="008C04E0"/>
    <w:rsid w:val="008C191C"/>
    <w:rsid w:val="008C1DA4"/>
    <w:rsid w:val="008C2138"/>
    <w:rsid w:val="008C2608"/>
    <w:rsid w:val="008C29B0"/>
    <w:rsid w:val="008C2CD5"/>
    <w:rsid w:val="008C311A"/>
    <w:rsid w:val="008C33AE"/>
    <w:rsid w:val="008C3618"/>
    <w:rsid w:val="008C39E7"/>
    <w:rsid w:val="008C43AD"/>
    <w:rsid w:val="008C49A3"/>
    <w:rsid w:val="008C6118"/>
    <w:rsid w:val="008C6341"/>
    <w:rsid w:val="008C653D"/>
    <w:rsid w:val="008C731F"/>
    <w:rsid w:val="008C74D9"/>
    <w:rsid w:val="008D2050"/>
    <w:rsid w:val="008D2D79"/>
    <w:rsid w:val="008D35CA"/>
    <w:rsid w:val="008D3B2D"/>
    <w:rsid w:val="008D58D9"/>
    <w:rsid w:val="008D5AD4"/>
    <w:rsid w:val="008D5E4E"/>
    <w:rsid w:val="008D5E9D"/>
    <w:rsid w:val="008D5F65"/>
    <w:rsid w:val="008D61CC"/>
    <w:rsid w:val="008D695E"/>
    <w:rsid w:val="008D6DD5"/>
    <w:rsid w:val="008D6E59"/>
    <w:rsid w:val="008D7155"/>
    <w:rsid w:val="008D76E0"/>
    <w:rsid w:val="008D7D0F"/>
    <w:rsid w:val="008E079C"/>
    <w:rsid w:val="008E0B29"/>
    <w:rsid w:val="008E141A"/>
    <w:rsid w:val="008E1A44"/>
    <w:rsid w:val="008E2859"/>
    <w:rsid w:val="008E28E6"/>
    <w:rsid w:val="008E2C57"/>
    <w:rsid w:val="008E3156"/>
    <w:rsid w:val="008E3232"/>
    <w:rsid w:val="008E3674"/>
    <w:rsid w:val="008E3977"/>
    <w:rsid w:val="008E3A08"/>
    <w:rsid w:val="008E3B6C"/>
    <w:rsid w:val="008E3DE7"/>
    <w:rsid w:val="008E5227"/>
    <w:rsid w:val="008E562C"/>
    <w:rsid w:val="008E5F43"/>
    <w:rsid w:val="008E5FB9"/>
    <w:rsid w:val="008E6540"/>
    <w:rsid w:val="008E6A1C"/>
    <w:rsid w:val="008E6FBE"/>
    <w:rsid w:val="008E77D4"/>
    <w:rsid w:val="008E7ADD"/>
    <w:rsid w:val="008F091F"/>
    <w:rsid w:val="008F1548"/>
    <w:rsid w:val="008F17B2"/>
    <w:rsid w:val="008F22B3"/>
    <w:rsid w:val="008F357B"/>
    <w:rsid w:val="008F366E"/>
    <w:rsid w:val="008F3B56"/>
    <w:rsid w:val="008F44CA"/>
    <w:rsid w:val="008F49D3"/>
    <w:rsid w:val="008F5B69"/>
    <w:rsid w:val="008F6519"/>
    <w:rsid w:val="008F676D"/>
    <w:rsid w:val="008F6F4C"/>
    <w:rsid w:val="008F7012"/>
    <w:rsid w:val="008F7ADA"/>
    <w:rsid w:val="008F7B17"/>
    <w:rsid w:val="00900042"/>
    <w:rsid w:val="0090034B"/>
    <w:rsid w:val="00900565"/>
    <w:rsid w:val="0090077E"/>
    <w:rsid w:val="0090087C"/>
    <w:rsid w:val="00900D2F"/>
    <w:rsid w:val="00901121"/>
    <w:rsid w:val="00901B50"/>
    <w:rsid w:val="00902623"/>
    <w:rsid w:val="00902A67"/>
    <w:rsid w:val="00902C5E"/>
    <w:rsid w:val="00904BE4"/>
    <w:rsid w:val="0090504A"/>
    <w:rsid w:val="009051F5"/>
    <w:rsid w:val="00905221"/>
    <w:rsid w:val="0090530B"/>
    <w:rsid w:val="00905664"/>
    <w:rsid w:val="00905A7C"/>
    <w:rsid w:val="00905D7E"/>
    <w:rsid w:val="00906C66"/>
    <w:rsid w:val="00906DD3"/>
    <w:rsid w:val="00907037"/>
    <w:rsid w:val="00907259"/>
    <w:rsid w:val="00907929"/>
    <w:rsid w:val="00910577"/>
    <w:rsid w:val="00910C5D"/>
    <w:rsid w:val="0091112C"/>
    <w:rsid w:val="009113F2"/>
    <w:rsid w:val="0091160A"/>
    <w:rsid w:val="00912A06"/>
    <w:rsid w:val="00912E04"/>
    <w:rsid w:val="00913258"/>
    <w:rsid w:val="00913851"/>
    <w:rsid w:val="00913BB0"/>
    <w:rsid w:val="0091456C"/>
    <w:rsid w:val="00914C58"/>
    <w:rsid w:val="00914D78"/>
    <w:rsid w:val="009151FC"/>
    <w:rsid w:val="009153D3"/>
    <w:rsid w:val="0091564D"/>
    <w:rsid w:val="009156DA"/>
    <w:rsid w:val="00915774"/>
    <w:rsid w:val="00916BC5"/>
    <w:rsid w:val="0091726A"/>
    <w:rsid w:val="00917C01"/>
    <w:rsid w:val="00920184"/>
    <w:rsid w:val="00920421"/>
    <w:rsid w:val="00920E84"/>
    <w:rsid w:val="00920EA4"/>
    <w:rsid w:val="00921792"/>
    <w:rsid w:val="00921BEA"/>
    <w:rsid w:val="009227BE"/>
    <w:rsid w:val="009238FD"/>
    <w:rsid w:val="00923998"/>
    <w:rsid w:val="00923DB4"/>
    <w:rsid w:val="00924172"/>
    <w:rsid w:val="0092420B"/>
    <w:rsid w:val="0092430E"/>
    <w:rsid w:val="00924451"/>
    <w:rsid w:val="00925889"/>
    <w:rsid w:val="00925905"/>
    <w:rsid w:val="00926112"/>
    <w:rsid w:val="0092625F"/>
    <w:rsid w:val="00926B28"/>
    <w:rsid w:val="00926D9C"/>
    <w:rsid w:val="00927028"/>
    <w:rsid w:val="0092734A"/>
    <w:rsid w:val="00927763"/>
    <w:rsid w:val="00927A2D"/>
    <w:rsid w:val="00927B37"/>
    <w:rsid w:val="009314B1"/>
    <w:rsid w:val="00931614"/>
    <w:rsid w:val="009321B1"/>
    <w:rsid w:val="009327F0"/>
    <w:rsid w:val="00932A42"/>
    <w:rsid w:val="00932ED7"/>
    <w:rsid w:val="00933CE7"/>
    <w:rsid w:val="0093422D"/>
    <w:rsid w:val="0093483B"/>
    <w:rsid w:val="00934CF9"/>
    <w:rsid w:val="00934DD7"/>
    <w:rsid w:val="00934F9C"/>
    <w:rsid w:val="00934FEB"/>
    <w:rsid w:val="00935CB2"/>
    <w:rsid w:val="009369A9"/>
    <w:rsid w:val="00936B16"/>
    <w:rsid w:val="00936CF7"/>
    <w:rsid w:val="00937783"/>
    <w:rsid w:val="00937EAD"/>
    <w:rsid w:val="00937F28"/>
    <w:rsid w:val="00940FE1"/>
    <w:rsid w:val="00940FF2"/>
    <w:rsid w:val="0094117A"/>
    <w:rsid w:val="00941474"/>
    <w:rsid w:val="00942306"/>
    <w:rsid w:val="009424B8"/>
    <w:rsid w:val="0094286B"/>
    <w:rsid w:val="009432E2"/>
    <w:rsid w:val="00943B7C"/>
    <w:rsid w:val="00944668"/>
    <w:rsid w:val="00944DC6"/>
    <w:rsid w:val="00945829"/>
    <w:rsid w:val="009458B0"/>
    <w:rsid w:val="00945B52"/>
    <w:rsid w:val="00945B7A"/>
    <w:rsid w:val="00945F05"/>
    <w:rsid w:val="00945FE0"/>
    <w:rsid w:val="00946057"/>
    <w:rsid w:val="00946348"/>
    <w:rsid w:val="00946B10"/>
    <w:rsid w:val="00947224"/>
    <w:rsid w:val="0094742B"/>
    <w:rsid w:val="009475B1"/>
    <w:rsid w:val="00947797"/>
    <w:rsid w:val="009478A2"/>
    <w:rsid w:val="00947942"/>
    <w:rsid w:val="00950181"/>
    <w:rsid w:val="00950865"/>
    <w:rsid w:val="00950AFD"/>
    <w:rsid w:val="00950E9B"/>
    <w:rsid w:val="009533BD"/>
    <w:rsid w:val="009536FB"/>
    <w:rsid w:val="00953808"/>
    <w:rsid w:val="009539A6"/>
    <w:rsid w:val="00954032"/>
    <w:rsid w:val="00954537"/>
    <w:rsid w:val="0095472D"/>
    <w:rsid w:val="0095483A"/>
    <w:rsid w:val="00954F0F"/>
    <w:rsid w:val="00954FA2"/>
    <w:rsid w:val="00955342"/>
    <w:rsid w:val="00955D57"/>
    <w:rsid w:val="00955FBB"/>
    <w:rsid w:val="0095694B"/>
    <w:rsid w:val="00956BD5"/>
    <w:rsid w:val="00956D84"/>
    <w:rsid w:val="009577B5"/>
    <w:rsid w:val="00957D66"/>
    <w:rsid w:val="00957FA5"/>
    <w:rsid w:val="009608E6"/>
    <w:rsid w:val="00960F57"/>
    <w:rsid w:val="00961669"/>
    <w:rsid w:val="00961C90"/>
    <w:rsid w:val="00962A26"/>
    <w:rsid w:val="00965443"/>
    <w:rsid w:val="00965954"/>
    <w:rsid w:val="00965A21"/>
    <w:rsid w:val="00965E55"/>
    <w:rsid w:val="0096608E"/>
    <w:rsid w:val="00966522"/>
    <w:rsid w:val="00966926"/>
    <w:rsid w:val="00966C33"/>
    <w:rsid w:val="009678D3"/>
    <w:rsid w:val="009701C0"/>
    <w:rsid w:val="00970F18"/>
    <w:rsid w:val="00971CF1"/>
    <w:rsid w:val="00971F5D"/>
    <w:rsid w:val="009721E9"/>
    <w:rsid w:val="009722B5"/>
    <w:rsid w:val="00973772"/>
    <w:rsid w:val="00974BBB"/>
    <w:rsid w:val="0097560A"/>
    <w:rsid w:val="00975E1E"/>
    <w:rsid w:val="00975E70"/>
    <w:rsid w:val="009761DE"/>
    <w:rsid w:val="009766FA"/>
    <w:rsid w:val="00977645"/>
    <w:rsid w:val="00977944"/>
    <w:rsid w:val="00977CD6"/>
    <w:rsid w:val="0098048B"/>
    <w:rsid w:val="00980908"/>
    <w:rsid w:val="00980DF9"/>
    <w:rsid w:val="00981CD8"/>
    <w:rsid w:val="0098243D"/>
    <w:rsid w:val="00982C19"/>
    <w:rsid w:val="00982D26"/>
    <w:rsid w:val="00983168"/>
    <w:rsid w:val="00983B6E"/>
    <w:rsid w:val="00983FE5"/>
    <w:rsid w:val="00984544"/>
    <w:rsid w:val="009849E9"/>
    <w:rsid w:val="00984AFF"/>
    <w:rsid w:val="00985048"/>
    <w:rsid w:val="009855AC"/>
    <w:rsid w:val="009858D4"/>
    <w:rsid w:val="009859E4"/>
    <w:rsid w:val="00985D7F"/>
    <w:rsid w:val="009861EB"/>
    <w:rsid w:val="00987812"/>
    <w:rsid w:val="00990225"/>
    <w:rsid w:val="00991307"/>
    <w:rsid w:val="00991FAA"/>
    <w:rsid w:val="00992A13"/>
    <w:rsid w:val="00992CEC"/>
    <w:rsid w:val="00993C27"/>
    <w:rsid w:val="00993DB1"/>
    <w:rsid w:val="00994AAD"/>
    <w:rsid w:val="00995150"/>
    <w:rsid w:val="009956BA"/>
    <w:rsid w:val="00995B89"/>
    <w:rsid w:val="00995D67"/>
    <w:rsid w:val="00996B85"/>
    <w:rsid w:val="00997613"/>
    <w:rsid w:val="009A013B"/>
    <w:rsid w:val="009A02F4"/>
    <w:rsid w:val="009A06BF"/>
    <w:rsid w:val="009A0D17"/>
    <w:rsid w:val="009A2494"/>
    <w:rsid w:val="009A2A89"/>
    <w:rsid w:val="009A32B1"/>
    <w:rsid w:val="009A33A3"/>
    <w:rsid w:val="009A350D"/>
    <w:rsid w:val="009A36F2"/>
    <w:rsid w:val="009A40C3"/>
    <w:rsid w:val="009A40D5"/>
    <w:rsid w:val="009A47F7"/>
    <w:rsid w:val="009A5268"/>
    <w:rsid w:val="009A57D0"/>
    <w:rsid w:val="009A6559"/>
    <w:rsid w:val="009A68FC"/>
    <w:rsid w:val="009A6CE4"/>
    <w:rsid w:val="009A7514"/>
    <w:rsid w:val="009A7665"/>
    <w:rsid w:val="009A787D"/>
    <w:rsid w:val="009A7E7A"/>
    <w:rsid w:val="009B0925"/>
    <w:rsid w:val="009B1584"/>
    <w:rsid w:val="009B18F0"/>
    <w:rsid w:val="009B1F4C"/>
    <w:rsid w:val="009B2203"/>
    <w:rsid w:val="009B2471"/>
    <w:rsid w:val="009B2CBF"/>
    <w:rsid w:val="009B314F"/>
    <w:rsid w:val="009B32B3"/>
    <w:rsid w:val="009B439C"/>
    <w:rsid w:val="009B49A1"/>
    <w:rsid w:val="009B4A6C"/>
    <w:rsid w:val="009B4DA8"/>
    <w:rsid w:val="009B4FA6"/>
    <w:rsid w:val="009B519A"/>
    <w:rsid w:val="009B620C"/>
    <w:rsid w:val="009B6454"/>
    <w:rsid w:val="009B6753"/>
    <w:rsid w:val="009B676C"/>
    <w:rsid w:val="009B6A26"/>
    <w:rsid w:val="009C079D"/>
    <w:rsid w:val="009C0C12"/>
    <w:rsid w:val="009C0D70"/>
    <w:rsid w:val="009C1282"/>
    <w:rsid w:val="009C13D1"/>
    <w:rsid w:val="009C2913"/>
    <w:rsid w:val="009C2BD4"/>
    <w:rsid w:val="009C334C"/>
    <w:rsid w:val="009C5314"/>
    <w:rsid w:val="009C5AFE"/>
    <w:rsid w:val="009C6606"/>
    <w:rsid w:val="009C6CE5"/>
    <w:rsid w:val="009C6D50"/>
    <w:rsid w:val="009C70EE"/>
    <w:rsid w:val="009C72B2"/>
    <w:rsid w:val="009C7547"/>
    <w:rsid w:val="009D042C"/>
    <w:rsid w:val="009D05EC"/>
    <w:rsid w:val="009D0822"/>
    <w:rsid w:val="009D18D4"/>
    <w:rsid w:val="009D1FCF"/>
    <w:rsid w:val="009D2F60"/>
    <w:rsid w:val="009D3A2E"/>
    <w:rsid w:val="009D4C2E"/>
    <w:rsid w:val="009D4E78"/>
    <w:rsid w:val="009D5ADE"/>
    <w:rsid w:val="009D5BAC"/>
    <w:rsid w:val="009D5C56"/>
    <w:rsid w:val="009D6265"/>
    <w:rsid w:val="009D64BD"/>
    <w:rsid w:val="009D6CB1"/>
    <w:rsid w:val="009E0286"/>
    <w:rsid w:val="009E153F"/>
    <w:rsid w:val="009E18C5"/>
    <w:rsid w:val="009E2B98"/>
    <w:rsid w:val="009E322A"/>
    <w:rsid w:val="009E3483"/>
    <w:rsid w:val="009E393E"/>
    <w:rsid w:val="009E40D2"/>
    <w:rsid w:val="009E444E"/>
    <w:rsid w:val="009E454D"/>
    <w:rsid w:val="009E4968"/>
    <w:rsid w:val="009E663C"/>
    <w:rsid w:val="009E684A"/>
    <w:rsid w:val="009E6BB1"/>
    <w:rsid w:val="009E6E14"/>
    <w:rsid w:val="009E794A"/>
    <w:rsid w:val="009E7C14"/>
    <w:rsid w:val="009F0494"/>
    <w:rsid w:val="009F0CD9"/>
    <w:rsid w:val="009F1A79"/>
    <w:rsid w:val="009F1F57"/>
    <w:rsid w:val="009F2DDD"/>
    <w:rsid w:val="009F3447"/>
    <w:rsid w:val="009F446D"/>
    <w:rsid w:val="009F4DA5"/>
    <w:rsid w:val="009F65F4"/>
    <w:rsid w:val="009F6763"/>
    <w:rsid w:val="009F676B"/>
    <w:rsid w:val="009F6D2D"/>
    <w:rsid w:val="009F6D54"/>
    <w:rsid w:val="00A004DF"/>
    <w:rsid w:val="00A00FD5"/>
    <w:rsid w:val="00A012C0"/>
    <w:rsid w:val="00A019A8"/>
    <w:rsid w:val="00A01B03"/>
    <w:rsid w:val="00A01B89"/>
    <w:rsid w:val="00A02C66"/>
    <w:rsid w:val="00A02C84"/>
    <w:rsid w:val="00A03842"/>
    <w:rsid w:val="00A04394"/>
    <w:rsid w:val="00A0464C"/>
    <w:rsid w:val="00A048DA"/>
    <w:rsid w:val="00A050BB"/>
    <w:rsid w:val="00A05128"/>
    <w:rsid w:val="00A0521B"/>
    <w:rsid w:val="00A054E0"/>
    <w:rsid w:val="00A05D91"/>
    <w:rsid w:val="00A0740B"/>
    <w:rsid w:val="00A07ED3"/>
    <w:rsid w:val="00A10162"/>
    <w:rsid w:val="00A10CA8"/>
    <w:rsid w:val="00A10D5A"/>
    <w:rsid w:val="00A11042"/>
    <w:rsid w:val="00A12579"/>
    <w:rsid w:val="00A12CDC"/>
    <w:rsid w:val="00A12E1D"/>
    <w:rsid w:val="00A133D8"/>
    <w:rsid w:val="00A13553"/>
    <w:rsid w:val="00A13F58"/>
    <w:rsid w:val="00A14154"/>
    <w:rsid w:val="00A14382"/>
    <w:rsid w:val="00A15480"/>
    <w:rsid w:val="00A15655"/>
    <w:rsid w:val="00A160B0"/>
    <w:rsid w:val="00A1740C"/>
    <w:rsid w:val="00A17904"/>
    <w:rsid w:val="00A20069"/>
    <w:rsid w:val="00A2244D"/>
    <w:rsid w:val="00A2253D"/>
    <w:rsid w:val="00A2267F"/>
    <w:rsid w:val="00A22CDB"/>
    <w:rsid w:val="00A24274"/>
    <w:rsid w:val="00A247B8"/>
    <w:rsid w:val="00A2495A"/>
    <w:rsid w:val="00A24C7A"/>
    <w:rsid w:val="00A24D8F"/>
    <w:rsid w:val="00A25366"/>
    <w:rsid w:val="00A25B8B"/>
    <w:rsid w:val="00A2689F"/>
    <w:rsid w:val="00A26B0E"/>
    <w:rsid w:val="00A26ECA"/>
    <w:rsid w:val="00A272C6"/>
    <w:rsid w:val="00A27461"/>
    <w:rsid w:val="00A27AE5"/>
    <w:rsid w:val="00A27D67"/>
    <w:rsid w:val="00A30ABC"/>
    <w:rsid w:val="00A31377"/>
    <w:rsid w:val="00A320F4"/>
    <w:rsid w:val="00A3267D"/>
    <w:rsid w:val="00A33372"/>
    <w:rsid w:val="00A33B74"/>
    <w:rsid w:val="00A3467F"/>
    <w:rsid w:val="00A34B4C"/>
    <w:rsid w:val="00A35030"/>
    <w:rsid w:val="00A3551A"/>
    <w:rsid w:val="00A36015"/>
    <w:rsid w:val="00A366A0"/>
    <w:rsid w:val="00A36952"/>
    <w:rsid w:val="00A37209"/>
    <w:rsid w:val="00A37381"/>
    <w:rsid w:val="00A37584"/>
    <w:rsid w:val="00A376E8"/>
    <w:rsid w:val="00A37F8E"/>
    <w:rsid w:val="00A4103C"/>
    <w:rsid w:val="00A411DA"/>
    <w:rsid w:val="00A41537"/>
    <w:rsid w:val="00A41678"/>
    <w:rsid w:val="00A41737"/>
    <w:rsid w:val="00A42A50"/>
    <w:rsid w:val="00A42B8F"/>
    <w:rsid w:val="00A42D8E"/>
    <w:rsid w:val="00A43254"/>
    <w:rsid w:val="00A43896"/>
    <w:rsid w:val="00A43951"/>
    <w:rsid w:val="00A43A26"/>
    <w:rsid w:val="00A447A0"/>
    <w:rsid w:val="00A4505E"/>
    <w:rsid w:val="00A455EA"/>
    <w:rsid w:val="00A459F5"/>
    <w:rsid w:val="00A45FC0"/>
    <w:rsid w:val="00A4655A"/>
    <w:rsid w:val="00A468C7"/>
    <w:rsid w:val="00A46B74"/>
    <w:rsid w:val="00A47BF7"/>
    <w:rsid w:val="00A47ECC"/>
    <w:rsid w:val="00A50171"/>
    <w:rsid w:val="00A50418"/>
    <w:rsid w:val="00A504FA"/>
    <w:rsid w:val="00A509D6"/>
    <w:rsid w:val="00A50B5D"/>
    <w:rsid w:val="00A5102E"/>
    <w:rsid w:val="00A5132E"/>
    <w:rsid w:val="00A51375"/>
    <w:rsid w:val="00A51533"/>
    <w:rsid w:val="00A516D4"/>
    <w:rsid w:val="00A51A07"/>
    <w:rsid w:val="00A531D4"/>
    <w:rsid w:val="00A53622"/>
    <w:rsid w:val="00A53736"/>
    <w:rsid w:val="00A54572"/>
    <w:rsid w:val="00A55928"/>
    <w:rsid w:val="00A559D8"/>
    <w:rsid w:val="00A575B8"/>
    <w:rsid w:val="00A6020A"/>
    <w:rsid w:val="00A60CE7"/>
    <w:rsid w:val="00A60CF8"/>
    <w:rsid w:val="00A61854"/>
    <w:rsid w:val="00A619BB"/>
    <w:rsid w:val="00A61C60"/>
    <w:rsid w:val="00A61ECB"/>
    <w:rsid w:val="00A63FE9"/>
    <w:rsid w:val="00A6410C"/>
    <w:rsid w:val="00A647B1"/>
    <w:rsid w:val="00A64B35"/>
    <w:rsid w:val="00A64DEF"/>
    <w:rsid w:val="00A65311"/>
    <w:rsid w:val="00A654D2"/>
    <w:rsid w:val="00A665DF"/>
    <w:rsid w:val="00A673F1"/>
    <w:rsid w:val="00A674DB"/>
    <w:rsid w:val="00A67625"/>
    <w:rsid w:val="00A6766F"/>
    <w:rsid w:val="00A67FCC"/>
    <w:rsid w:val="00A70AA5"/>
    <w:rsid w:val="00A70C03"/>
    <w:rsid w:val="00A71256"/>
    <w:rsid w:val="00A7147C"/>
    <w:rsid w:val="00A71CB8"/>
    <w:rsid w:val="00A7217B"/>
    <w:rsid w:val="00A722D7"/>
    <w:rsid w:val="00A723A3"/>
    <w:rsid w:val="00A73861"/>
    <w:rsid w:val="00A739A6"/>
    <w:rsid w:val="00A73C97"/>
    <w:rsid w:val="00A740ED"/>
    <w:rsid w:val="00A74C29"/>
    <w:rsid w:val="00A74C62"/>
    <w:rsid w:val="00A75A70"/>
    <w:rsid w:val="00A75EF9"/>
    <w:rsid w:val="00A7642C"/>
    <w:rsid w:val="00A7657C"/>
    <w:rsid w:val="00A76B5E"/>
    <w:rsid w:val="00A76E4E"/>
    <w:rsid w:val="00A80A28"/>
    <w:rsid w:val="00A80A5D"/>
    <w:rsid w:val="00A81ECA"/>
    <w:rsid w:val="00A82764"/>
    <w:rsid w:val="00A8311C"/>
    <w:rsid w:val="00A835D0"/>
    <w:rsid w:val="00A83821"/>
    <w:rsid w:val="00A83C98"/>
    <w:rsid w:val="00A84150"/>
    <w:rsid w:val="00A84761"/>
    <w:rsid w:val="00A84C5F"/>
    <w:rsid w:val="00A85240"/>
    <w:rsid w:val="00A85930"/>
    <w:rsid w:val="00A863F7"/>
    <w:rsid w:val="00A86604"/>
    <w:rsid w:val="00A86ACC"/>
    <w:rsid w:val="00A87519"/>
    <w:rsid w:val="00A90213"/>
    <w:rsid w:val="00A90870"/>
    <w:rsid w:val="00A9246D"/>
    <w:rsid w:val="00A92CCA"/>
    <w:rsid w:val="00A93BD0"/>
    <w:rsid w:val="00A93CC2"/>
    <w:rsid w:val="00A9430B"/>
    <w:rsid w:val="00A94D4B"/>
    <w:rsid w:val="00A950C6"/>
    <w:rsid w:val="00A956AC"/>
    <w:rsid w:val="00A95A90"/>
    <w:rsid w:val="00A974CC"/>
    <w:rsid w:val="00A97EE7"/>
    <w:rsid w:val="00A97FC3"/>
    <w:rsid w:val="00AA01E3"/>
    <w:rsid w:val="00AA0A68"/>
    <w:rsid w:val="00AA1F34"/>
    <w:rsid w:val="00AA2001"/>
    <w:rsid w:val="00AA2B5C"/>
    <w:rsid w:val="00AA32D2"/>
    <w:rsid w:val="00AA33AA"/>
    <w:rsid w:val="00AA3B8B"/>
    <w:rsid w:val="00AA4016"/>
    <w:rsid w:val="00AA4C1F"/>
    <w:rsid w:val="00AA5328"/>
    <w:rsid w:val="00AA5393"/>
    <w:rsid w:val="00AA63D4"/>
    <w:rsid w:val="00AB03FD"/>
    <w:rsid w:val="00AB09B8"/>
    <w:rsid w:val="00AB199F"/>
    <w:rsid w:val="00AB1C40"/>
    <w:rsid w:val="00AB2000"/>
    <w:rsid w:val="00AB21CC"/>
    <w:rsid w:val="00AB29FA"/>
    <w:rsid w:val="00AB2C06"/>
    <w:rsid w:val="00AB38CB"/>
    <w:rsid w:val="00AB3BEC"/>
    <w:rsid w:val="00AB4080"/>
    <w:rsid w:val="00AB44E4"/>
    <w:rsid w:val="00AB4AEB"/>
    <w:rsid w:val="00AB4E5F"/>
    <w:rsid w:val="00AB5352"/>
    <w:rsid w:val="00AB56AE"/>
    <w:rsid w:val="00AB5EB1"/>
    <w:rsid w:val="00AB62D5"/>
    <w:rsid w:val="00AB65B5"/>
    <w:rsid w:val="00AB6DCD"/>
    <w:rsid w:val="00AB6EE0"/>
    <w:rsid w:val="00AB7D43"/>
    <w:rsid w:val="00AC0AAF"/>
    <w:rsid w:val="00AC17A2"/>
    <w:rsid w:val="00AC3096"/>
    <w:rsid w:val="00AC33F3"/>
    <w:rsid w:val="00AC40B7"/>
    <w:rsid w:val="00AC531F"/>
    <w:rsid w:val="00AC5B36"/>
    <w:rsid w:val="00AC6377"/>
    <w:rsid w:val="00AC651A"/>
    <w:rsid w:val="00AC66A4"/>
    <w:rsid w:val="00AC6CB1"/>
    <w:rsid w:val="00AC75E9"/>
    <w:rsid w:val="00AC7D6D"/>
    <w:rsid w:val="00AC7D76"/>
    <w:rsid w:val="00AD0091"/>
    <w:rsid w:val="00AD04C1"/>
    <w:rsid w:val="00AD1119"/>
    <w:rsid w:val="00AD1315"/>
    <w:rsid w:val="00AD23EF"/>
    <w:rsid w:val="00AD2662"/>
    <w:rsid w:val="00AD2A14"/>
    <w:rsid w:val="00AD307B"/>
    <w:rsid w:val="00AD36D2"/>
    <w:rsid w:val="00AD3992"/>
    <w:rsid w:val="00AD4014"/>
    <w:rsid w:val="00AD41B3"/>
    <w:rsid w:val="00AD5721"/>
    <w:rsid w:val="00AD69F0"/>
    <w:rsid w:val="00AD7127"/>
    <w:rsid w:val="00AD72E3"/>
    <w:rsid w:val="00AD730C"/>
    <w:rsid w:val="00AE08AB"/>
    <w:rsid w:val="00AE09EF"/>
    <w:rsid w:val="00AE0F90"/>
    <w:rsid w:val="00AE123A"/>
    <w:rsid w:val="00AE1539"/>
    <w:rsid w:val="00AE28A7"/>
    <w:rsid w:val="00AE2A98"/>
    <w:rsid w:val="00AE2CF2"/>
    <w:rsid w:val="00AE2F19"/>
    <w:rsid w:val="00AE3012"/>
    <w:rsid w:val="00AE3297"/>
    <w:rsid w:val="00AE33A6"/>
    <w:rsid w:val="00AE3513"/>
    <w:rsid w:val="00AE3729"/>
    <w:rsid w:val="00AE3C81"/>
    <w:rsid w:val="00AE4A3E"/>
    <w:rsid w:val="00AE4CCE"/>
    <w:rsid w:val="00AE58BF"/>
    <w:rsid w:val="00AE5C6A"/>
    <w:rsid w:val="00AE7058"/>
    <w:rsid w:val="00AE7280"/>
    <w:rsid w:val="00AE7B5F"/>
    <w:rsid w:val="00AF01FA"/>
    <w:rsid w:val="00AF033A"/>
    <w:rsid w:val="00AF118E"/>
    <w:rsid w:val="00AF132D"/>
    <w:rsid w:val="00AF1658"/>
    <w:rsid w:val="00AF1699"/>
    <w:rsid w:val="00AF18D1"/>
    <w:rsid w:val="00AF1BA4"/>
    <w:rsid w:val="00AF1FD3"/>
    <w:rsid w:val="00AF2910"/>
    <w:rsid w:val="00AF31C3"/>
    <w:rsid w:val="00AF34B8"/>
    <w:rsid w:val="00AF3896"/>
    <w:rsid w:val="00AF39C9"/>
    <w:rsid w:val="00AF3DB7"/>
    <w:rsid w:val="00AF3F97"/>
    <w:rsid w:val="00AF3FC2"/>
    <w:rsid w:val="00AF4687"/>
    <w:rsid w:val="00AF4DEC"/>
    <w:rsid w:val="00AF6541"/>
    <w:rsid w:val="00AF6B57"/>
    <w:rsid w:val="00B0025F"/>
    <w:rsid w:val="00B003FF"/>
    <w:rsid w:val="00B0098A"/>
    <w:rsid w:val="00B00A5F"/>
    <w:rsid w:val="00B029B8"/>
    <w:rsid w:val="00B02F60"/>
    <w:rsid w:val="00B02F94"/>
    <w:rsid w:val="00B032B8"/>
    <w:rsid w:val="00B03765"/>
    <w:rsid w:val="00B0396A"/>
    <w:rsid w:val="00B046D9"/>
    <w:rsid w:val="00B04721"/>
    <w:rsid w:val="00B04B15"/>
    <w:rsid w:val="00B04B46"/>
    <w:rsid w:val="00B0534D"/>
    <w:rsid w:val="00B05685"/>
    <w:rsid w:val="00B0597C"/>
    <w:rsid w:val="00B05F9F"/>
    <w:rsid w:val="00B06070"/>
    <w:rsid w:val="00B06368"/>
    <w:rsid w:val="00B068DA"/>
    <w:rsid w:val="00B06A00"/>
    <w:rsid w:val="00B06FC6"/>
    <w:rsid w:val="00B0710D"/>
    <w:rsid w:val="00B074C9"/>
    <w:rsid w:val="00B07A70"/>
    <w:rsid w:val="00B07D9D"/>
    <w:rsid w:val="00B11AE5"/>
    <w:rsid w:val="00B12263"/>
    <w:rsid w:val="00B12FE6"/>
    <w:rsid w:val="00B1303F"/>
    <w:rsid w:val="00B1364A"/>
    <w:rsid w:val="00B13859"/>
    <w:rsid w:val="00B13EC9"/>
    <w:rsid w:val="00B14319"/>
    <w:rsid w:val="00B14A06"/>
    <w:rsid w:val="00B158E1"/>
    <w:rsid w:val="00B16715"/>
    <w:rsid w:val="00B16FFA"/>
    <w:rsid w:val="00B1768E"/>
    <w:rsid w:val="00B17910"/>
    <w:rsid w:val="00B20E62"/>
    <w:rsid w:val="00B20F18"/>
    <w:rsid w:val="00B21516"/>
    <w:rsid w:val="00B219D9"/>
    <w:rsid w:val="00B21A37"/>
    <w:rsid w:val="00B21D23"/>
    <w:rsid w:val="00B21F62"/>
    <w:rsid w:val="00B223A4"/>
    <w:rsid w:val="00B22CE0"/>
    <w:rsid w:val="00B230BA"/>
    <w:rsid w:val="00B232BF"/>
    <w:rsid w:val="00B23738"/>
    <w:rsid w:val="00B23BEF"/>
    <w:rsid w:val="00B247BB"/>
    <w:rsid w:val="00B2504A"/>
    <w:rsid w:val="00B25EE6"/>
    <w:rsid w:val="00B3115A"/>
    <w:rsid w:val="00B3178B"/>
    <w:rsid w:val="00B31825"/>
    <w:rsid w:val="00B31A5C"/>
    <w:rsid w:val="00B32265"/>
    <w:rsid w:val="00B3276D"/>
    <w:rsid w:val="00B33331"/>
    <w:rsid w:val="00B333C8"/>
    <w:rsid w:val="00B33B06"/>
    <w:rsid w:val="00B33C19"/>
    <w:rsid w:val="00B3462E"/>
    <w:rsid w:val="00B35A15"/>
    <w:rsid w:val="00B35B45"/>
    <w:rsid w:val="00B36165"/>
    <w:rsid w:val="00B36A99"/>
    <w:rsid w:val="00B37395"/>
    <w:rsid w:val="00B40C29"/>
    <w:rsid w:val="00B414F5"/>
    <w:rsid w:val="00B42264"/>
    <w:rsid w:val="00B434B2"/>
    <w:rsid w:val="00B43ADF"/>
    <w:rsid w:val="00B43B9E"/>
    <w:rsid w:val="00B43D45"/>
    <w:rsid w:val="00B459AF"/>
    <w:rsid w:val="00B468F2"/>
    <w:rsid w:val="00B469DE"/>
    <w:rsid w:val="00B47286"/>
    <w:rsid w:val="00B47EB4"/>
    <w:rsid w:val="00B50234"/>
    <w:rsid w:val="00B5052F"/>
    <w:rsid w:val="00B51641"/>
    <w:rsid w:val="00B51BF4"/>
    <w:rsid w:val="00B52279"/>
    <w:rsid w:val="00B522D7"/>
    <w:rsid w:val="00B527AD"/>
    <w:rsid w:val="00B52C68"/>
    <w:rsid w:val="00B5372B"/>
    <w:rsid w:val="00B542FE"/>
    <w:rsid w:val="00B54360"/>
    <w:rsid w:val="00B5514F"/>
    <w:rsid w:val="00B55A1B"/>
    <w:rsid w:val="00B561DB"/>
    <w:rsid w:val="00B5645C"/>
    <w:rsid w:val="00B56DF9"/>
    <w:rsid w:val="00B56E80"/>
    <w:rsid w:val="00B571F1"/>
    <w:rsid w:val="00B600BD"/>
    <w:rsid w:val="00B60E4E"/>
    <w:rsid w:val="00B61274"/>
    <w:rsid w:val="00B61DCE"/>
    <w:rsid w:val="00B62188"/>
    <w:rsid w:val="00B621D6"/>
    <w:rsid w:val="00B622E3"/>
    <w:rsid w:val="00B62F79"/>
    <w:rsid w:val="00B62F82"/>
    <w:rsid w:val="00B63028"/>
    <w:rsid w:val="00B6306A"/>
    <w:rsid w:val="00B635E3"/>
    <w:rsid w:val="00B64B9A"/>
    <w:rsid w:val="00B662FF"/>
    <w:rsid w:val="00B665B8"/>
    <w:rsid w:val="00B665F6"/>
    <w:rsid w:val="00B66679"/>
    <w:rsid w:val="00B70145"/>
    <w:rsid w:val="00B701C9"/>
    <w:rsid w:val="00B710AD"/>
    <w:rsid w:val="00B71A92"/>
    <w:rsid w:val="00B721D8"/>
    <w:rsid w:val="00B72C97"/>
    <w:rsid w:val="00B730CA"/>
    <w:rsid w:val="00B732EA"/>
    <w:rsid w:val="00B73747"/>
    <w:rsid w:val="00B747C5"/>
    <w:rsid w:val="00B74F2F"/>
    <w:rsid w:val="00B753ED"/>
    <w:rsid w:val="00B7665F"/>
    <w:rsid w:val="00B769BC"/>
    <w:rsid w:val="00B770F7"/>
    <w:rsid w:val="00B77349"/>
    <w:rsid w:val="00B7761E"/>
    <w:rsid w:val="00B8095D"/>
    <w:rsid w:val="00B80A3D"/>
    <w:rsid w:val="00B80B04"/>
    <w:rsid w:val="00B821E4"/>
    <w:rsid w:val="00B823E0"/>
    <w:rsid w:val="00B8260D"/>
    <w:rsid w:val="00B8286F"/>
    <w:rsid w:val="00B82B78"/>
    <w:rsid w:val="00B82FD9"/>
    <w:rsid w:val="00B845B4"/>
    <w:rsid w:val="00B84662"/>
    <w:rsid w:val="00B84C74"/>
    <w:rsid w:val="00B84CE9"/>
    <w:rsid w:val="00B84F6E"/>
    <w:rsid w:val="00B8502D"/>
    <w:rsid w:val="00B85191"/>
    <w:rsid w:val="00B85412"/>
    <w:rsid w:val="00B855A6"/>
    <w:rsid w:val="00B858A1"/>
    <w:rsid w:val="00B85FEC"/>
    <w:rsid w:val="00B864A3"/>
    <w:rsid w:val="00B86C2A"/>
    <w:rsid w:val="00B87575"/>
    <w:rsid w:val="00B902A5"/>
    <w:rsid w:val="00B90420"/>
    <w:rsid w:val="00B90848"/>
    <w:rsid w:val="00B91146"/>
    <w:rsid w:val="00B913E4"/>
    <w:rsid w:val="00B91DB9"/>
    <w:rsid w:val="00B91FF3"/>
    <w:rsid w:val="00B925F8"/>
    <w:rsid w:val="00B92B18"/>
    <w:rsid w:val="00B9330A"/>
    <w:rsid w:val="00B93EFE"/>
    <w:rsid w:val="00B944B9"/>
    <w:rsid w:val="00B94956"/>
    <w:rsid w:val="00B94C7F"/>
    <w:rsid w:val="00B94E93"/>
    <w:rsid w:val="00B956B5"/>
    <w:rsid w:val="00B95956"/>
    <w:rsid w:val="00B96DF2"/>
    <w:rsid w:val="00B96E18"/>
    <w:rsid w:val="00B96F5A"/>
    <w:rsid w:val="00B97AF7"/>
    <w:rsid w:val="00BA02CF"/>
    <w:rsid w:val="00BA0A69"/>
    <w:rsid w:val="00BA0B39"/>
    <w:rsid w:val="00BA0CB2"/>
    <w:rsid w:val="00BA0E26"/>
    <w:rsid w:val="00BA138B"/>
    <w:rsid w:val="00BA1D87"/>
    <w:rsid w:val="00BA2471"/>
    <w:rsid w:val="00BA305B"/>
    <w:rsid w:val="00BA31BF"/>
    <w:rsid w:val="00BA3C0F"/>
    <w:rsid w:val="00BA3FC7"/>
    <w:rsid w:val="00BA478B"/>
    <w:rsid w:val="00BA5224"/>
    <w:rsid w:val="00BA575E"/>
    <w:rsid w:val="00BA67B1"/>
    <w:rsid w:val="00BA6FF1"/>
    <w:rsid w:val="00BA756D"/>
    <w:rsid w:val="00BA76B7"/>
    <w:rsid w:val="00BA7E3B"/>
    <w:rsid w:val="00BB078D"/>
    <w:rsid w:val="00BB079C"/>
    <w:rsid w:val="00BB0D7A"/>
    <w:rsid w:val="00BB10E1"/>
    <w:rsid w:val="00BB2471"/>
    <w:rsid w:val="00BB3035"/>
    <w:rsid w:val="00BB39C1"/>
    <w:rsid w:val="00BB3DF5"/>
    <w:rsid w:val="00BB3EA7"/>
    <w:rsid w:val="00BB45BC"/>
    <w:rsid w:val="00BB5D16"/>
    <w:rsid w:val="00BB6180"/>
    <w:rsid w:val="00BB69DC"/>
    <w:rsid w:val="00BB69E6"/>
    <w:rsid w:val="00BB7323"/>
    <w:rsid w:val="00BB73CA"/>
    <w:rsid w:val="00BB7BE5"/>
    <w:rsid w:val="00BB7C6D"/>
    <w:rsid w:val="00BC08BD"/>
    <w:rsid w:val="00BC1002"/>
    <w:rsid w:val="00BC11E8"/>
    <w:rsid w:val="00BC1418"/>
    <w:rsid w:val="00BC1B7A"/>
    <w:rsid w:val="00BC2C17"/>
    <w:rsid w:val="00BC3149"/>
    <w:rsid w:val="00BC35FB"/>
    <w:rsid w:val="00BC3ACD"/>
    <w:rsid w:val="00BC3B20"/>
    <w:rsid w:val="00BC3EE4"/>
    <w:rsid w:val="00BC577D"/>
    <w:rsid w:val="00BC588C"/>
    <w:rsid w:val="00BC6E73"/>
    <w:rsid w:val="00BC74D3"/>
    <w:rsid w:val="00BC7806"/>
    <w:rsid w:val="00BD0014"/>
    <w:rsid w:val="00BD01D8"/>
    <w:rsid w:val="00BD2500"/>
    <w:rsid w:val="00BD255F"/>
    <w:rsid w:val="00BD2895"/>
    <w:rsid w:val="00BD37B2"/>
    <w:rsid w:val="00BD4236"/>
    <w:rsid w:val="00BD4400"/>
    <w:rsid w:val="00BD483B"/>
    <w:rsid w:val="00BD4FBA"/>
    <w:rsid w:val="00BD51F9"/>
    <w:rsid w:val="00BD5BD8"/>
    <w:rsid w:val="00BD5CD4"/>
    <w:rsid w:val="00BD65D9"/>
    <w:rsid w:val="00BD6922"/>
    <w:rsid w:val="00BD6DF3"/>
    <w:rsid w:val="00BD6E09"/>
    <w:rsid w:val="00BD6EF9"/>
    <w:rsid w:val="00BE045C"/>
    <w:rsid w:val="00BE0ACB"/>
    <w:rsid w:val="00BE11F3"/>
    <w:rsid w:val="00BE2260"/>
    <w:rsid w:val="00BE2826"/>
    <w:rsid w:val="00BE2F75"/>
    <w:rsid w:val="00BE3917"/>
    <w:rsid w:val="00BE3D7E"/>
    <w:rsid w:val="00BE4A76"/>
    <w:rsid w:val="00BE4E87"/>
    <w:rsid w:val="00BE50FD"/>
    <w:rsid w:val="00BE51CA"/>
    <w:rsid w:val="00BE537F"/>
    <w:rsid w:val="00BE5D77"/>
    <w:rsid w:val="00BE630A"/>
    <w:rsid w:val="00BE638C"/>
    <w:rsid w:val="00BE6914"/>
    <w:rsid w:val="00BE6D47"/>
    <w:rsid w:val="00BE6F9B"/>
    <w:rsid w:val="00BE6FBF"/>
    <w:rsid w:val="00BE7032"/>
    <w:rsid w:val="00BE7330"/>
    <w:rsid w:val="00BE77A7"/>
    <w:rsid w:val="00BF01C5"/>
    <w:rsid w:val="00BF061A"/>
    <w:rsid w:val="00BF066A"/>
    <w:rsid w:val="00BF0926"/>
    <w:rsid w:val="00BF14CC"/>
    <w:rsid w:val="00BF1821"/>
    <w:rsid w:val="00BF22E9"/>
    <w:rsid w:val="00BF29D7"/>
    <w:rsid w:val="00BF4342"/>
    <w:rsid w:val="00BF4704"/>
    <w:rsid w:val="00BF4FFC"/>
    <w:rsid w:val="00BF5050"/>
    <w:rsid w:val="00BF50D1"/>
    <w:rsid w:val="00BF5422"/>
    <w:rsid w:val="00BF59B1"/>
    <w:rsid w:val="00BF5C4D"/>
    <w:rsid w:val="00BF6625"/>
    <w:rsid w:val="00BF6A78"/>
    <w:rsid w:val="00BF7695"/>
    <w:rsid w:val="00BF775D"/>
    <w:rsid w:val="00BF79B4"/>
    <w:rsid w:val="00BF7C61"/>
    <w:rsid w:val="00BF7CA4"/>
    <w:rsid w:val="00C00366"/>
    <w:rsid w:val="00C011AD"/>
    <w:rsid w:val="00C01427"/>
    <w:rsid w:val="00C014C7"/>
    <w:rsid w:val="00C02037"/>
    <w:rsid w:val="00C031CF"/>
    <w:rsid w:val="00C047AB"/>
    <w:rsid w:val="00C058AF"/>
    <w:rsid w:val="00C075B6"/>
    <w:rsid w:val="00C10027"/>
    <w:rsid w:val="00C124C1"/>
    <w:rsid w:val="00C128AE"/>
    <w:rsid w:val="00C12BA8"/>
    <w:rsid w:val="00C13094"/>
    <w:rsid w:val="00C136D6"/>
    <w:rsid w:val="00C13D5B"/>
    <w:rsid w:val="00C141D7"/>
    <w:rsid w:val="00C1711B"/>
    <w:rsid w:val="00C17AE2"/>
    <w:rsid w:val="00C20140"/>
    <w:rsid w:val="00C20CD6"/>
    <w:rsid w:val="00C20F27"/>
    <w:rsid w:val="00C215CF"/>
    <w:rsid w:val="00C21A89"/>
    <w:rsid w:val="00C21C6D"/>
    <w:rsid w:val="00C2244B"/>
    <w:rsid w:val="00C22711"/>
    <w:rsid w:val="00C2280A"/>
    <w:rsid w:val="00C22B0D"/>
    <w:rsid w:val="00C22BFF"/>
    <w:rsid w:val="00C23522"/>
    <w:rsid w:val="00C23581"/>
    <w:rsid w:val="00C23E71"/>
    <w:rsid w:val="00C24015"/>
    <w:rsid w:val="00C240C1"/>
    <w:rsid w:val="00C244A1"/>
    <w:rsid w:val="00C24889"/>
    <w:rsid w:val="00C24AED"/>
    <w:rsid w:val="00C250D0"/>
    <w:rsid w:val="00C252AC"/>
    <w:rsid w:val="00C2582C"/>
    <w:rsid w:val="00C25C0F"/>
    <w:rsid w:val="00C26567"/>
    <w:rsid w:val="00C26923"/>
    <w:rsid w:val="00C271C9"/>
    <w:rsid w:val="00C27214"/>
    <w:rsid w:val="00C27335"/>
    <w:rsid w:val="00C27597"/>
    <w:rsid w:val="00C27E5E"/>
    <w:rsid w:val="00C30382"/>
    <w:rsid w:val="00C30772"/>
    <w:rsid w:val="00C30D6F"/>
    <w:rsid w:val="00C31063"/>
    <w:rsid w:val="00C31492"/>
    <w:rsid w:val="00C31B7E"/>
    <w:rsid w:val="00C320E8"/>
    <w:rsid w:val="00C322D1"/>
    <w:rsid w:val="00C3242A"/>
    <w:rsid w:val="00C33201"/>
    <w:rsid w:val="00C3328B"/>
    <w:rsid w:val="00C33567"/>
    <w:rsid w:val="00C33A39"/>
    <w:rsid w:val="00C33EE0"/>
    <w:rsid w:val="00C33F55"/>
    <w:rsid w:val="00C34619"/>
    <w:rsid w:val="00C348D9"/>
    <w:rsid w:val="00C359E7"/>
    <w:rsid w:val="00C35D01"/>
    <w:rsid w:val="00C360B3"/>
    <w:rsid w:val="00C36451"/>
    <w:rsid w:val="00C365EA"/>
    <w:rsid w:val="00C367F0"/>
    <w:rsid w:val="00C36828"/>
    <w:rsid w:val="00C37027"/>
    <w:rsid w:val="00C373BF"/>
    <w:rsid w:val="00C37B15"/>
    <w:rsid w:val="00C37B19"/>
    <w:rsid w:val="00C401B5"/>
    <w:rsid w:val="00C41349"/>
    <w:rsid w:val="00C413CB"/>
    <w:rsid w:val="00C41558"/>
    <w:rsid w:val="00C4176E"/>
    <w:rsid w:val="00C42752"/>
    <w:rsid w:val="00C42973"/>
    <w:rsid w:val="00C43426"/>
    <w:rsid w:val="00C44541"/>
    <w:rsid w:val="00C46A3D"/>
    <w:rsid w:val="00C46B95"/>
    <w:rsid w:val="00C4712A"/>
    <w:rsid w:val="00C5001E"/>
    <w:rsid w:val="00C5034F"/>
    <w:rsid w:val="00C50830"/>
    <w:rsid w:val="00C52479"/>
    <w:rsid w:val="00C5266E"/>
    <w:rsid w:val="00C52C59"/>
    <w:rsid w:val="00C5349E"/>
    <w:rsid w:val="00C539FF"/>
    <w:rsid w:val="00C53FEB"/>
    <w:rsid w:val="00C54215"/>
    <w:rsid w:val="00C544BD"/>
    <w:rsid w:val="00C54D3D"/>
    <w:rsid w:val="00C55A30"/>
    <w:rsid w:val="00C55E1C"/>
    <w:rsid w:val="00C56076"/>
    <w:rsid w:val="00C56384"/>
    <w:rsid w:val="00C567E9"/>
    <w:rsid w:val="00C6060E"/>
    <w:rsid w:val="00C60F8C"/>
    <w:rsid w:val="00C61424"/>
    <w:rsid w:val="00C61794"/>
    <w:rsid w:val="00C617AE"/>
    <w:rsid w:val="00C623E3"/>
    <w:rsid w:val="00C627D1"/>
    <w:rsid w:val="00C62A48"/>
    <w:rsid w:val="00C62AC4"/>
    <w:rsid w:val="00C62B59"/>
    <w:rsid w:val="00C62F96"/>
    <w:rsid w:val="00C631E1"/>
    <w:rsid w:val="00C638D8"/>
    <w:rsid w:val="00C63A43"/>
    <w:rsid w:val="00C63AE7"/>
    <w:rsid w:val="00C63D26"/>
    <w:rsid w:val="00C63FF6"/>
    <w:rsid w:val="00C64127"/>
    <w:rsid w:val="00C6540A"/>
    <w:rsid w:val="00C668A1"/>
    <w:rsid w:val="00C67223"/>
    <w:rsid w:val="00C707B8"/>
    <w:rsid w:val="00C712AC"/>
    <w:rsid w:val="00C7158C"/>
    <w:rsid w:val="00C71668"/>
    <w:rsid w:val="00C71C15"/>
    <w:rsid w:val="00C71F3D"/>
    <w:rsid w:val="00C72F53"/>
    <w:rsid w:val="00C734E7"/>
    <w:rsid w:val="00C74035"/>
    <w:rsid w:val="00C748EA"/>
    <w:rsid w:val="00C7686F"/>
    <w:rsid w:val="00C76FB0"/>
    <w:rsid w:val="00C77818"/>
    <w:rsid w:val="00C8063F"/>
    <w:rsid w:val="00C81282"/>
    <w:rsid w:val="00C8155F"/>
    <w:rsid w:val="00C8198D"/>
    <w:rsid w:val="00C82167"/>
    <w:rsid w:val="00C827B4"/>
    <w:rsid w:val="00C82F41"/>
    <w:rsid w:val="00C83214"/>
    <w:rsid w:val="00C8329F"/>
    <w:rsid w:val="00C84E65"/>
    <w:rsid w:val="00C84F8A"/>
    <w:rsid w:val="00C85BA4"/>
    <w:rsid w:val="00C8618F"/>
    <w:rsid w:val="00C8625D"/>
    <w:rsid w:val="00C865AD"/>
    <w:rsid w:val="00C86612"/>
    <w:rsid w:val="00C87402"/>
    <w:rsid w:val="00C90372"/>
    <w:rsid w:val="00C9041F"/>
    <w:rsid w:val="00C9166B"/>
    <w:rsid w:val="00C91945"/>
    <w:rsid w:val="00C91A45"/>
    <w:rsid w:val="00C91BA5"/>
    <w:rsid w:val="00C91FB4"/>
    <w:rsid w:val="00C92150"/>
    <w:rsid w:val="00C92328"/>
    <w:rsid w:val="00C9292F"/>
    <w:rsid w:val="00C92D42"/>
    <w:rsid w:val="00C938C2"/>
    <w:rsid w:val="00C9397B"/>
    <w:rsid w:val="00C93F8A"/>
    <w:rsid w:val="00C9483F"/>
    <w:rsid w:val="00C94EA1"/>
    <w:rsid w:val="00C95745"/>
    <w:rsid w:val="00C95902"/>
    <w:rsid w:val="00C95999"/>
    <w:rsid w:val="00C962E3"/>
    <w:rsid w:val="00C96D7C"/>
    <w:rsid w:val="00C978E2"/>
    <w:rsid w:val="00C97997"/>
    <w:rsid w:val="00CA0A8D"/>
    <w:rsid w:val="00CA10A2"/>
    <w:rsid w:val="00CA1D83"/>
    <w:rsid w:val="00CA1FEB"/>
    <w:rsid w:val="00CA237F"/>
    <w:rsid w:val="00CA25C0"/>
    <w:rsid w:val="00CA2BFB"/>
    <w:rsid w:val="00CA3451"/>
    <w:rsid w:val="00CA35C6"/>
    <w:rsid w:val="00CA4948"/>
    <w:rsid w:val="00CA4ABB"/>
    <w:rsid w:val="00CA52F9"/>
    <w:rsid w:val="00CA5368"/>
    <w:rsid w:val="00CA547B"/>
    <w:rsid w:val="00CA568B"/>
    <w:rsid w:val="00CA573A"/>
    <w:rsid w:val="00CA5C58"/>
    <w:rsid w:val="00CA7656"/>
    <w:rsid w:val="00CA7FB0"/>
    <w:rsid w:val="00CB0900"/>
    <w:rsid w:val="00CB0CC1"/>
    <w:rsid w:val="00CB160B"/>
    <w:rsid w:val="00CB19D7"/>
    <w:rsid w:val="00CB19FE"/>
    <w:rsid w:val="00CB1C3F"/>
    <w:rsid w:val="00CB2364"/>
    <w:rsid w:val="00CB2FEE"/>
    <w:rsid w:val="00CB304C"/>
    <w:rsid w:val="00CB3933"/>
    <w:rsid w:val="00CB5010"/>
    <w:rsid w:val="00CB53E8"/>
    <w:rsid w:val="00CB594A"/>
    <w:rsid w:val="00CB5CB2"/>
    <w:rsid w:val="00CB6979"/>
    <w:rsid w:val="00CB7360"/>
    <w:rsid w:val="00CB7A04"/>
    <w:rsid w:val="00CB7DDE"/>
    <w:rsid w:val="00CC04F7"/>
    <w:rsid w:val="00CC0A3D"/>
    <w:rsid w:val="00CC2FF0"/>
    <w:rsid w:val="00CC3C53"/>
    <w:rsid w:val="00CC3D24"/>
    <w:rsid w:val="00CC3F91"/>
    <w:rsid w:val="00CC405D"/>
    <w:rsid w:val="00CC47EE"/>
    <w:rsid w:val="00CC4ACD"/>
    <w:rsid w:val="00CC4B0A"/>
    <w:rsid w:val="00CC5387"/>
    <w:rsid w:val="00CC544A"/>
    <w:rsid w:val="00CC57EA"/>
    <w:rsid w:val="00CC5954"/>
    <w:rsid w:val="00CC5CF8"/>
    <w:rsid w:val="00CC5F37"/>
    <w:rsid w:val="00CC5F4B"/>
    <w:rsid w:val="00CC629B"/>
    <w:rsid w:val="00CC6C4E"/>
    <w:rsid w:val="00CC770A"/>
    <w:rsid w:val="00CC7B1F"/>
    <w:rsid w:val="00CD009D"/>
    <w:rsid w:val="00CD05A2"/>
    <w:rsid w:val="00CD1049"/>
    <w:rsid w:val="00CD1890"/>
    <w:rsid w:val="00CD29D4"/>
    <w:rsid w:val="00CD2B5C"/>
    <w:rsid w:val="00CD2FF3"/>
    <w:rsid w:val="00CD3323"/>
    <w:rsid w:val="00CD3324"/>
    <w:rsid w:val="00CD356A"/>
    <w:rsid w:val="00CD37AE"/>
    <w:rsid w:val="00CD38F5"/>
    <w:rsid w:val="00CD3BF2"/>
    <w:rsid w:val="00CD437E"/>
    <w:rsid w:val="00CD454B"/>
    <w:rsid w:val="00CD4AAF"/>
    <w:rsid w:val="00CD5DAD"/>
    <w:rsid w:val="00CD5FFB"/>
    <w:rsid w:val="00CD72C5"/>
    <w:rsid w:val="00CD79A7"/>
    <w:rsid w:val="00CD7FAD"/>
    <w:rsid w:val="00CE0331"/>
    <w:rsid w:val="00CE0542"/>
    <w:rsid w:val="00CE0789"/>
    <w:rsid w:val="00CE0E8D"/>
    <w:rsid w:val="00CE1A03"/>
    <w:rsid w:val="00CE1B5D"/>
    <w:rsid w:val="00CE2346"/>
    <w:rsid w:val="00CE25B2"/>
    <w:rsid w:val="00CE31F4"/>
    <w:rsid w:val="00CE3529"/>
    <w:rsid w:val="00CE35C8"/>
    <w:rsid w:val="00CE3962"/>
    <w:rsid w:val="00CE43FA"/>
    <w:rsid w:val="00CE4D0A"/>
    <w:rsid w:val="00CE4D1A"/>
    <w:rsid w:val="00CE4E8A"/>
    <w:rsid w:val="00CE5105"/>
    <w:rsid w:val="00CE5525"/>
    <w:rsid w:val="00CE56BD"/>
    <w:rsid w:val="00CE5EC0"/>
    <w:rsid w:val="00CE68AD"/>
    <w:rsid w:val="00CE6BA5"/>
    <w:rsid w:val="00CE6F15"/>
    <w:rsid w:val="00CE6F9F"/>
    <w:rsid w:val="00CE7227"/>
    <w:rsid w:val="00CE781A"/>
    <w:rsid w:val="00CE7B08"/>
    <w:rsid w:val="00CE7B7A"/>
    <w:rsid w:val="00CE7D52"/>
    <w:rsid w:val="00CF0A0F"/>
    <w:rsid w:val="00CF0AAA"/>
    <w:rsid w:val="00CF0AB7"/>
    <w:rsid w:val="00CF1D74"/>
    <w:rsid w:val="00CF2BE2"/>
    <w:rsid w:val="00CF348C"/>
    <w:rsid w:val="00CF371A"/>
    <w:rsid w:val="00CF37C2"/>
    <w:rsid w:val="00CF3DE4"/>
    <w:rsid w:val="00CF3DEB"/>
    <w:rsid w:val="00CF55F9"/>
    <w:rsid w:val="00CF578D"/>
    <w:rsid w:val="00CF7074"/>
    <w:rsid w:val="00CF7495"/>
    <w:rsid w:val="00CF76D6"/>
    <w:rsid w:val="00D01CF9"/>
    <w:rsid w:val="00D01EB3"/>
    <w:rsid w:val="00D021E8"/>
    <w:rsid w:val="00D0334D"/>
    <w:rsid w:val="00D0374D"/>
    <w:rsid w:val="00D059DE"/>
    <w:rsid w:val="00D05FEC"/>
    <w:rsid w:val="00D06312"/>
    <w:rsid w:val="00D06D7B"/>
    <w:rsid w:val="00D06DA5"/>
    <w:rsid w:val="00D07191"/>
    <w:rsid w:val="00D07319"/>
    <w:rsid w:val="00D07F1D"/>
    <w:rsid w:val="00D10558"/>
    <w:rsid w:val="00D10EE8"/>
    <w:rsid w:val="00D11140"/>
    <w:rsid w:val="00D11739"/>
    <w:rsid w:val="00D119A6"/>
    <w:rsid w:val="00D11C35"/>
    <w:rsid w:val="00D11D4D"/>
    <w:rsid w:val="00D11DB1"/>
    <w:rsid w:val="00D126DC"/>
    <w:rsid w:val="00D12791"/>
    <w:rsid w:val="00D12A1F"/>
    <w:rsid w:val="00D12B03"/>
    <w:rsid w:val="00D1368C"/>
    <w:rsid w:val="00D13E70"/>
    <w:rsid w:val="00D13EE7"/>
    <w:rsid w:val="00D147BE"/>
    <w:rsid w:val="00D148A0"/>
    <w:rsid w:val="00D15ECD"/>
    <w:rsid w:val="00D15FCD"/>
    <w:rsid w:val="00D16B08"/>
    <w:rsid w:val="00D16C58"/>
    <w:rsid w:val="00D17019"/>
    <w:rsid w:val="00D1705A"/>
    <w:rsid w:val="00D17ABA"/>
    <w:rsid w:val="00D17FC8"/>
    <w:rsid w:val="00D2015B"/>
    <w:rsid w:val="00D207E7"/>
    <w:rsid w:val="00D20B44"/>
    <w:rsid w:val="00D21168"/>
    <w:rsid w:val="00D21C3A"/>
    <w:rsid w:val="00D2224A"/>
    <w:rsid w:val="00D2385D"/>
    <w:rsid w:val="00D23984"/>
    <w:rsid w:val="00D23FF4"/>
    <w:rsid w:val="00D2438C"/>
    <w:rsid w:val="00D24A85"/>
    <w:rsid w:val="00D2585A"/>
    <w:rsid w:val="00D25920"/>
    <w:rsid w:val="00D259B0"/>
    <w:rsid w:val="00D259C2"/>
    <w:rsid w:val="00D26C3F"/>
    <w:rsid w:val="00D27185"/>
    <w:rsid w:val="00D3028A"/>
    <w:rsid w:val="00D30E98"/>
    <w:rsid w:val="00D3125C"/>
    <w:rsid w:val="00D33488"/>
    <w:rsid w:val="00D33AB3"/>
    <w:rsid w:val="00D33F24"/>
    <w:rsid w:val="00D34160"/>
    <w:rsid w:val="00D34520"/>
    <w:rsid w:val="00D346B8"/>
    <w:rsid w:val="00D34DCA"/>
    <w:rsid w:val="00D35AC8"/>
    <w:rsid w:val="00D36F87"/>
    <w:rsid w:val="00D37DF9"/>
    <w:rsid w:val="00D37E4E"/>
    <w:rsid w:val="00D4147C"/>
    <w:rsid w:val="00D417D8"/>
    <w:rsid w:val="00D41F78"/>
    <w:rsid w:val="00D42ABC"/>
    <w:rsid w:val="00D42E6C"/>
    <w:rsid w:val="00D4351C"/>
    <w:rsid w:val="00D43B80"/>
    <w:rsid w:val="00D44988"/>
    <w:rsid w:val="00D45B4C"/>
    <w:rsid w:val="00D45BA4"/>
    <w:rsid w:val="00D471AF"/>
    <w:rsid w:val="00D471E2"/>
    <w:rsid w:val="00D4724F"/>
    <w:rsid w:val="00D47761"/>
    <w:rsid w:val="00D50252"/>
    <w:rsid w:val="00D50519"/>
    <w:rsid w:val="00D50702"/>
    <w:rsid w:val="00D50779"/>
    <w:rsid w:val="00D50E32"/>
    <w:rsid w:val="00D51601"/>
    <w:rsid w:val="00D51ECB"/>
    <w:rsid w:val="00D520DE"/>
    <w:rsid w:val="00D52497"/>
    <w:rsid w:val="00D5264C"/>
    <w:rsid w:val="00D52BBC"/>
    <w:rsid w:val="00D537FE"/>
    <w:rsid w:val="00D53CC9"/>
    <w:rsid w:val="00D54A6A"/>
    <w:rsid w:val="00D54B8F"/>
    <w:rsid w:val="00D55848"/>
    <w:rsid w:val="00D55951"/>
    <w:rsid w:val="00D559F0"/>
    <w:rsid w:val="00D5650F"/>
    <w:rsid w:val="00D56594"/>
    <w:rsid w:val="00D57EB6"/>
    <w:rsid w:val="00D6076B"/>
    <w:rsid w:val="00D608C0"/>
    <w:rsid w:val="00D609DC"/>
    <w:rsid w:val="00D60D6D"/>
    <w:rsid w:val="00D6128C"/>
    <w:rsid w:val="00D63B22"/>
    <w:rsid w:val="00D66009"/>
    <w:rsid w:val="00D66D8B"/>
    <w:rsid w:val="00D671B2"/>
    <w:rsid w:val="00D70849"/>
    <w:rsid w:val="00D70DFA"/>
    <w:rsid w:val="00D72297"/>
    <w:rsid w:val="00D72A1C"/>
    <w:rsid w:val="00D7308F"/>
    <w:rsid w:val="00D7313E"/>
    <w:rsid w:val="00D73396"/>
    <w:rsid w:val="00D73580"/>
    <w:rsid w:val="00D73802"/>
    <w:rsid w:val="00D73883"/>
    <w:rsid w:val="00D73C2C"/>
    <w:rsid w:val="00D73D52"/>
    <w:rsid w:val="00D73E70"/>
    <w:rsid w:val="00D745E7"/>
    <w:rsid w:val="00D75EDA"/>
    <w:rsid w:val="00D75FDA"/>
    <w:rsid w:val="00D774ED"/>
    <w:rsid w:val="00D776AD"/>
    <w:rsid w:val="00D777C3"/>
    <w:rsid w:val="00D7797C"/>
    <w:rsid w:val="00D77C44"/>
    <w:rsid w:val="00D77EDB"/>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5892"/>
    <w:rsid w:val="00D85EF2"/>
    <w:rsid w:val="00D86D47"/>
    <w:rsid w:val="00D8710C"/>
    <w:rsid w:val="00D873C6"/>
    <w:rsid w:val="00D87819"/>
    <w:rsid w:val="00D878A3"/>
    <w:rsid w:val="00D9074A"/>
    <w:rsid w:val="00D9099E"/>
    <w:rsid w:val="00D9193A"/>
    <w:rsid w:val="00D91D05"/>
    <w:rsid w:val="00D923B2"/>
    <w:rsid w:val="00D92463"/>
    <w:rsid w:val="00D927B5"/>
    <w:rsid w:val="00D92981"/>
    <w:rsid w:val="00D92C81"/>
    <w:rsid w:val="00D93E64"/>
    <w:rsid w:val="00D93F64"/>
    <w:rsid w:val="00D94CA4"/>
    <w:rsid w:val="00D95E99"/>
    <w:rsid w:val="00D965D5"/>
    <w:rsid w:val="00D96F7C"/>
    <w:rsid w:val="00D9714B"/>
    <w:rsid w:val="00D97DA2"/>
    <w:rsid w:val="00DA0485"/>
    <w:rsid w:val="00DA0874"/>
    <w:rsid w:val="00DA17F3"/>
    <w:rsid w:val="00DA1A3A"/>
    <w:rsid w:val="00DA1FC3"/>
    <w:rsid w:val="00DA2351"/>
    <w:rsid w:val="00DA249E"/>
    <w:rsid w:val="00DA2D3D"/>
    <w:rsid w:val="00DA35D9"/>
    <w:rsid w:val="00DA3855"/>
    <w:rsid w:val="00DA39BA"/>
    <w:rsid w:val="00DA4C30"/>
    <w:rsid w:val="00DA538E"/>
    <w:rsid w:val="00DA576E"/>
    <w:rsid w:val="00DA5FB3"/>
    <w:rsid w:val="00DA6980"/>
    <w:rsid w:val="00DA6A44"/>
    <w:rsid w:val="00DA7A3C"/>
    <w:rsid w:val="00DB073C"/>
    <w:rsid w:val="00DB145E"/>
    <w:rsid w:val="00DB1A94"/>
    <w:rsid w:val="00DB1D52"/>
    <w:rsid w:val="00DB1E2B"/>
    <w:rsid w:val="00DB1F62"/>
    <w:rsid w:val="00DB21E7"/>
    <w:rsid w:val="00DB2E03"/>
    <w:rsid w:val="00DB3742"/>
    <w:rsid w:val="00DB3C5A"/>
    <w:rsid w:val="00DB3E9B"/>
    <w:rsid w:val="00DB3F4B"/>
    <w:rsid w:val="00DB5375"/>
    <w:rsid w:val="00DB6003"/>
    <w:rsid w:val="00DB6769"/>
    <w:rsid w:val="00DB67C1"/>
    <w:rsid w:val="00DB6C0B"/>
    <w:rsid w:val="00DB70F4"/>
    <w:rsid w:val="00DB748A"/>
    <w:rsid w:val="00DB7CB7"/>
    <w:rsid w:val="00DC1056"/>
    <w:rsid w:val="00DC1442"/>
    <w:rsid w:val="00DC1781"/>
    <w:rsid w:val="00DC1AC8"/>
    <w:rsid w:val="00DC21D8"/>
    <w:rsid w:val="00DC282A"/>
    <w:rsid w:val="00DC2DE8"/>
    <w:rsid w:val="00DC34DC"/>
    <w:rsid w:val="00DC3780"/>
    <w:rsid w:val="00DC3ADA"/>
    <w:rsid w:val="00DC3CC6"/>
    <w:rsid w:val="00DC3F55"/>
    <w:rsid w:val="00DC4782"/>
    <w:rsid w:val="00DC4785"/>
    <w:rsid w:val="00DC4B02"/>
    <w:rsid w:val="00DC514A"/>
    <w:rsid w:val="00DC67B1"/>
    <w:rsid w:val="00DC68EA"/>
    <w:rsid w:val="00DC7FBC"/>
    <w:rsid w:val="00DD0019"/>
    <w:rsid w:val="00DD132B"/>
    <w:rsid w:val="00DD1571"/>
    <w:rsid w:val="00DD1725"/>
    <w:rsid w:val="00DD2159"/>
    <w:rsid w:val="00DD218B"/>
    <w:rsid w:val="00DD28BA"/>
    <w:rsid w:val="00DD2A18"/>
    <w:rsid w:val="00DD3044"/>
    <w:rsid w:val="00DD3985"/>
    <w:rsid w:val="00DD5B79"/>
    <w:rsid w:val="00DD5D07"/>
    <w:rsid w:val="00DD61E8"/>
    <w:rsid w:val="00DD62C0"/>
    <w:rsid w:val="00DD63F8"/>
    <w:rsid w:val="00DD64DE"/>
    <w:rsid w:val="00DD66DE"/>
    <w:rsid w:val="00DD7197"/>
    <w:rsid w:val="00DD7859"/>
    <w:rsid w:val="00DD7B41"/>
    <w:rsid w:val="00DD7FBB"/>
    <w:rsid w:val="00DE0784"/>
    <w:rsid w:val="00DE0A1D"/>
    <w:rsid w:val="00DE15B2"/>
    <w:rsid w:val="00DE1A9A"/>
    <w:rsid w:val="00DE3D2C"/>
    <w:rsid w:val="00DE57D0"/>
    <w:rsid w:val="00DE5E82"/>
    <w:rsid w:val="00DE5EC5"/>
    <w:rsid w:val="00DE5FA6"/>
    <w:rsid w:val="00DE65CE"/>
    <w:rsid w:val="00DE6792"/>
    <w:rsid w:val="00DE6AA1"/>
    <w:rsid w:val="00DE77A3"/>
    <w:rsid w:val="00DE7EF7"/>
    <w:rsid w:val="00DF015B"/>
    <w:rsid w:val="00DF02EC"/>
    <w:rsid w:val="00DF10FC"/>
    <w:rsid w:val="00DF1185"/>
    <w:rsid w:val="00DF1299"/>
    <w:rsid w:val="00DF1620"/>
    <w:rsid w:val="00DF1A70"/>
    <w:rsid w:val="00DF1E5F"/>
    <w:rsid w:val="00DF23A8"/>
    <w:rsid w:val="00DF2EE1"/>
    <w:rsid w:val="00DF2F27"/>
    <w:rsid w:val="00DF36B6"/>
    <w:rsid w:val="00DF4296"/>
    <w:rsid w:val="00DF5267"/>
    <w:rsid w:val="00DF53F0"/>
    <w:rsid w:val="00DF5700"/>
    <w:rsid w:val="00DF5707"/>
    <w:rsid w:val="00DF5F38"/>
    <w:rsid w:val="00DF604C"/>
    <w:rsid w:val="00DF6608"/>
    <w:rsid w:val="00DF6CCC"/>
    <w:rsid w:val="00DF6D0C"/>
    <w:rsid w:val="00DF6F64"/>
    <w:rsid w:val="00DF721E"/>
    <w:rsid w:val="00DF72F3"/>
    <w:rsid w:val="00DF7549"/>
    <w:rsid w:val="00DF78D0"/>
    <w:rsid w:val="00DF7B8A"/>
    <w:rsid w:val="00DF7C87"/>
    <w:rsid w:val="00E00307"/>
    <w:rsid w:val="00E009B0"/>
    <w:rsid w:val="00E00A12"/>
    <w:rsid w:val="00E00B39"/>
    <w:rsid w:val="00E00C49"/>
    <w:rsid w:val="00E01C9C"/>
    <w:rsid w:val="00E01FF4"/>
    <w:rsid w:val="00E0219D"/>
    <w:rsid w:val="00E032D9"/>
    <w:rsid w:val="00E04482"/>
    <w:rsid w:val="00E04C0F"/>
    <w:rsid w:val="00E05510"/>
    <w:rsid w:val="00E0570B"/>
    <w:rsid w:val="00E05B1D"/>
    <w:rsid w:val="00E0685D"/>
    <w:rsid w:val="00E069C5"/>
    <w:rsid w:val="00E06AA3"/>
    <w:rsid w:val="00E1065D"/>
    <w:rsid w:val="00E10913"/>
    <w:rsid w:val="00E10B87"/>
    <w:rsid w:val="00E121CE"/>
    <w:rsid w:val="00E12209"/>
    <w:rsid w:val="00E14347"/>
    <w:rsid w:val="00E144C4"/>
    <w:rsid w:val="00E14585"/>
    <w:rsid w:val="00E1478B"/>
    <w:rsid w:val="00E14FAC"/>
    <w:rsid w:val="00E15007"/>
    <w:rsid w:val="00E15DC6"/>
    <w:rsid w:val="00E16277"/>
    <w:rsid w:val="00E16EC7"/>
    <w:rsid w:val="00E17DCC"/>
    <w:rsid w:val="00E207B8"/>
    <w:rsid w:val="00E219CE"/>
    <w:rsid w:val="00E21D93"/>
    <w:rsid w:val="00E22A86"/>
    <w:rsid w:val="00E22D2A"/>
    <w:rsid w:val="00E24071"/>
    <w:rsid w:val="00E24142"/>
    <w:rsid w:val="00E24DCA"/>
    <w:rsid w:val="00E24EBC"/>
    <w:rsid w:val="00E2522C"/>
    <w:rsid w:val="00E2552F"/>
    <w:rsid w:val="00E2599B"/>
    <w:rsid w:val="00E26B71"/>
    <w:rsid w:val="00E26DE3"/>
    <w:rsid w:val="00E2710C"/>
    <w:rsid w:val="00E272BD"/>
    <w:rsid w:val="00E27428"/>
    <w:rsid w:val="00E305B4"/>
    <w:rsid w:val="00E3128C"/>
    <w:rsid w:val="00E31AFA"/>
    <w:rsid w:val="00E31CB7"/>
    <w:rsid w:val="00E31D4E"/>
    <w:rsid w:val="00E324EE"/>
    <w:rsid w:val="00E3367B"/>
    <w:rsid w:val="00E34DB1"/>
    <w:rsid w:val="00E34FAD"/>
    <w:rsid w:val="00E35931"/>
    <w:rsid w:val="00E359FF"/>
    <w:rsid w:val="00E36337"/>
    <w:rsid w:val="00E3699A"/>
    <w:rsid w:val="00E371E1"/>
    <w:rsid w:val="00E402C5"/>
    <w:rsid w:val="00E402F4"/>
    <w:rsid w:val="00E405F1"/>
    <w:rsid w:val="00E417DB"/>
    <w:rsid w:val="00E43054"/>
    <w:rsid w:val="00E432D1"/>
    <w:rsid w:val="00E43655"/>
    <w:rsid w:val="00E44440"/>
    <w:rsid w:val="00E44A8B"/>
    <w:rsid w:val="00E45958"/>
    <w:rsid w:val="00E46013"/>
    <w:rsid w:val="00E4673F"/>
    <w:rsid w:val="00E47099"/>
    <w:rsid w:val="00E47284"/>
    <w:rsid w:val="00E477C3"/>
    <w:rsid w:val="00E5017E"/>
    <w:rsid w:val="00E50734"/>
    <w:rsid w:val="00E5140B"/>
    <w:rsid w:val="00E51E16"/>
    <w:rsid w:val="00E52680"/>
    <w:rsid w:val="00E52990"/>
    <w:rsid w:val="00E52DED"/>
    <w:rsid w:val="00E53730"/>
    <w:rsid w:val="00E53AAB"/>
    <w:rsid w:val="00E5410A"/>
    <w:rsid w:val="00E5438D"/>
    <w:rsid w:val="00E54511"/>
    <w:rsid w:val="00E54E50"/>
    <w:rsid w:val="00E55288"/>
    <w:rsid w:val="00E57577"/>
    <w:rsid w:val="00E579DF"/>
    <w:rsid w:val="00E57CDA"/>
    <w:rsid w:val="00E62043"/>
    <w:rsid w:val="00E626B9"/>
    <w:rsid w:val="00E627C9"/>
    <w:rsid w:val="00E630F3"/>
    <w:rsid w:val="00E6332F"/>
    <w:rsid w:val="00E637C9"/>
    <w:rsid w:val="00E6402D"/>
    <w:rsid w:val="00E6680A"/>
    <w:rsid w:val="00E669E3"/>
    <w:rsid w:val="00E66F0D"/>
    <w:rsid w:val="00E678CC"/>
    <w:rsid w:val="00E67BFA"/>
    <w:rsid w:val="00E7004F"/>
    <w:rsid w:val="00E70615"/>
    <w:rsid w:val="00E7159E"/>
    <w:rsid w:val="00E7161E"/>
    <w:rsid w:val="00E71BE3"/>
    <w:rsid w:val="00E72004"/>
    <w:rsid w:val="00E7207B"/>
    <w:rsid w:val="00E722CF"/>
    <w:rsid w:val="00E72880"/>
    <w:rsid w:val="00E7347A"/>
    <w:rsid w:val="00E75A47"/>
    <w:rsid w:val="00E75BB6"/>
    <w:rsid w:val="00E75D8C"/>
    <w:rsid w:val="00E7719C"/>
    <w:rsid w:val="00E7757E"/>
    <w:rsid w:val="00E777F2"/>
    <w:rsid w:val="00E802C9"/>
    <w:rsid w:val="00E80BFB"/>
    <w:rsid w:val="00E80EC2"/>
    <w:rsid w:val="00E80F0A"/>
    <w:rsid w:val="00E811E5"/>
    <w:rsid w:val="00E815D4"/>
    <w:rsid w:val="00E818FD"/>
    <w:rsid w:val="00E819BA"/>
    <w:rsid w:val="00E8291B"/>
    <w:rsid w:val="00E82E70"/>
    <w:rsid w:val="00E82F92"/>
    <w:rsid w:val="00E8301C"/>
    <w:rsid w:val="00E8395F"/>
    <w:rsid w:val="00E83ECB"/>
    <w:rsid w:val="00E8410F"/>
    <w:rsid w:val="00E849D7"/>
    <w:rsid w:val="00E85E41"/>
    <w:rsid w:val="00E85EA1"/>
    <w:rsid w:val="00E86703"/>
    <w:rsid w:val="00E86C01"/>
    <w:rsid w:val="00E8701F"/>
    <w:rsid w:val="00E900DA"/>
    <w:rsid w:val="00E90DDE"/>
    <w:rsid w:val="00E91044"/>
    <w:rsid w:val="00E910D3"/>
    <w:rsid w:val="00E91CBA"/>
    <w:rsid w:val="00E92097"/>
    <w:rsid w:val="00E920D8"/>
    <w:rsid w:val="00E92154"/>
    <w:rsid w:val="00E923CF"/>
    <w:rsid w:val="00E92B8F"/>
    <w:rsid w:val="00E93685"/>
    <w:rsid w:val="00E93B65"/>
    <w:rsid w:val="00E93C8C"/>
    <w:rsid w:val="00E95111"/>
    <w:rsid w:val="00E95FDF"/>
    <w:rsid w:val="00E960AD"/>
    <w:rsid w:val="00E9677F"/>
    <w:rsid w:val="00E96898"/>
    <w:rsid w:val="00E97043"/>
    <w:rsid w:val="00EA0185"/>
    <w:rsid w:val="00EA14C8"/>
    <w:rsid w:val="00EA1F20"/>
    <w:rsid w:val="00EA2110"/>
    <w:rsid w:val="00EA24AF"/>
    <w:rsid w:val="00EA283A"/>
    <w:rsid w:val="00EA2C90"/>
    <w:rsid w:val="00EA2E07"/>
    <w:rsid w:val="00EA383B"/>
    <w:rsid w:val="00EA44ED"/>
    <w:rsid w:val="00EA48F3"/>
    <w:rsid w:val="00EA4D46"/>
    <w:rsid w:val="00EA5BD1"/>
    <w:rsid w:val="00EA60BF"/>
    <w:rsid w:val="00EA7365"/>
    <w:rsid w:val="00EA763F"/>
    <w:rsid w:val="00EA77E9"/>
    <w:rsid w:val="00EB05D0"/>
    <w:rsid w:val="00EB1151"/>
    <w:rsid w:val="00EB14C4"/>
    <w:rsid w:val="00EB1D49"/>
    <w:rsid w:val="00EB23D9"/>
    <w:rsid w:val="00EB39A0"/>
    <w:rsid w:val="00EB430A"/>
    <w:rsid w:val="00EB559F"/>
    <w:rsid w:val="00EB566C"/>
    <w:rsid w:val="00EB5A18"/>
    <w:rsid w:val="00EB5F3D"/>
    <w:rsid w:val="00EB6C97"/>
    <w:rsid w:val="00EC0317"/>
    <w:rsid w:val="00EC1CEB"/>
    <w:rsid w:val="00EC1DC0"/>
    <w:rsid w:val="00EC1DC2"/>
    <w:rsid w:val="00EC1E09"/>
    <w:rsid w:val="00EC210E"/>
    <w:rsid w:val="00EC21EC"/>
    <w:rsid w:val="00EC24B8"/>
    <w:rsid w:val="00EC268C"/>
    <w:rsid w:val="00EC3753"/>
    <w:rsid w:val="00EC3FB6"/>
    <w:rsid w:val="00EC4E71"/>
    <w:rsid w:val="00EC5D99"/>
    <w:rsid w:val="00EC5F1C"/>
    <w:rsid w:val="00EC5FB4"/>
    <w:rsid w:val="00EC6359"/>
    <w:rsid w:val="00EC7AEB"/>
    <w:rsid w:val="00ED0365"/>
    <w:rsid w:val="00ED0512"/>
    <w:rsid w:val="00ED0865"/>
    <w:rsid w:val="00ED0C1C"/>
    <w:rsid w:val="00ED1C60"/>
    <w:rsid w:val="00ED2EB9"/>
    <w:rsid w:val="00ED3722"/>
    <w:rsid w:val="00ED3A31"/>
    <w:rsid w:val="00ED4469"/>
    <w:rsid w:val="00ED5424"/>
    <w:rsid w:val="00ED5F23"/>
    <w:rsid w:val="00ED6DC0"/>
    <w:rsid w:val="00ED7A7A"/>
    <w:rsid w:val="00ED7C1D"/>
    <w:rsid w:val="00EE0327"/>
    <w:rsid w:val="00EE038C"/>
    <w:rsid w:val="00EE105A"/>
    <w:rsid w:val="00EE1D00"/>
    <w:rsid w:val="00EE259E"/>
    <w:rsid w:val="00EE25C8"/>
    <w:rsid w:val="00EE28C5"/>
    <w:rsid w:val="00EE2F09"/>
    <w:rsid w:val="00EE47C5"/>
    <w:rsid w:val="00EE490C"/>
    <w:rsid w:val="00EE4E57"/>
    <w:rsid w:val="00EE5738"/>
    <w:rsid w:val="00EE58BD"/>
    <w:rsid w:val="00EE5DDB"/>
    <w:rsid w:val="00EE5E59"/>
    <w:rsid w:val="00EE6CCD"/>
    <w:rsid w:val="00EE73D0"/>
    <w:rsid w:val="00EE7CB0"/>
    <w:rsid w:val="00EE7CD1"/>
    <w:rsid w:val="00EF08A8"/>
    <w:rsid w:val="00EF167B"/>
    <w:rsid w:val="00EF1B4A"/>
    <w:rsid w:val="00EF1C90"/>
    <w:rsid w:val="00EF2496"/>
    <w:rsid w:val="00EF3CC5"/>
    <w:rsid w:val="00EF41A8"/>
    <w:rsid w:val="00EF44FB"/>
    <w:rsid w:val="00EF4D15"/>
    <w:rsid w:val="00EF5122"/>
    <w:rsid w:val="00EF5429"/>
    <w:rsid w:val="00EF5554"/>
    <w:rsid w:val="00EF5AD8"/>
    <w:rsid w:val="00EF6B90"/>
    <w:rsid w:val="00EF70C9"/>
    <w:rsid w:val="00EF741E"/>
    <w:rsid w:val="00EF7807"/>
    <w:rsid w:val="00EF79F7"/>
    <w:rsid w:val="00F006C0"/>
    <w:rsid w:val="00F00D81"/>
    <w:rsid w:val="00F0125F"/>
    <w:rsid w:val="00F015C3"/>
    <w:rsid w:val="00F0176A"/>
    <w:rsid w:val="00F019AA"/>
    <w:rsid w:val="00F0267E"/>
    <w:rsid w:val="00F02686"/>
    <w:rsid w:val="00F030C0"/>
    <w:rsid w:val="00F03291"/>
    <w:rsid w:val="00F03A85"/>
    <w:rsid w:val="00F04052"/>
    <w:rsid w:val="00F04314"/>
    <w:rsid w:val="00F0459B"/>
    <w:rsid w:val="00F04E15"/>
    <w:rsid w:val="00F05DF3"/>
    <w:rsid w:val="00F06829"/>
    <w:rsid w:val="00F069EA"/>
    <w:rsid w:val="00F06A4B"/>
    <w:rsid w:val="00F06A69"/>
    <w:rsid w:val="00F070E5"/>
    <w:rsid w:val="00F07D5E"/>
    <w:rsid w:val="00F07DDE"/>
    <w:rsid w:val="00F10396"/>
    <w:rsid w:val="00F11675"/>
    <w:rsid w:val="00F123DA"/>
    <w:rsid w:val="00F12557"/>
    <w:rsid w:val="00F12580"/>
    <w:rsid w:val="00F127C8"/>
    <w:rsid w:val="00F12881"/>
    <w:rsid w:val="00F12ADD"/>
    <w:rsid w:val="00F12C62"/>
    <w:rsid w:val="00F134BA"/>
    <w:rsid w:val="00F13599"/>
    <w:rsid w:val="00F13A71"/>
    <w:rsid w:val="00F13B28"/>
    <w:rsid w:val="00F14DCD"/>
    <w:rsid w:val="00F156A0"/>
    <w:rsid w:val="00F15730"/>
    <w:rsid w:val="00F176A6"/>
    <w:rsid w:val="00F17A24"/>
    <w:rsid w:val="00F202C2"/>
    <w:rsid w:val="00F204B3"/>
    <w:rsid w:val="00F212F6"/>
    <w:rsid w:val="00F2190F"/>
    <w:rsid w:val="00F22756"/>
    <w:rsid w:val="00F23248"/>
    <w:rsid w:val="00F23890"/>
    <w:rsid w:val="00F2504D"/>
    <w:rsid w:val="00F2595D"/>
    <w:rsid w:val="00F25B26"/>
    <w:rsid w:val="00F2637F"/>
    <w:rsid w:val="00F268F7"/>
    <w:rsid w:val="00F3092B"/>
    <w:rsid w:val="00F30B83"/>
    <w:rsid w:val="00F30BDB"/>
    <w:rsid w:val="00F30CF8"/>
    <w:rsid w:val="00F31402"/>
    <w:rsid w:val="00F31EDF"/>
    <w:rsid w:val="00F31F89"/>
    <w:rsid w:val="00F32507"/>
    <w:rsid w:val="00F32CDE"/>
    <w:rsid w:val="00F32D4C"/>
    <w:rsid w:val="00F3327E"/>
    <w:rsid w:val="00F338C3"/>
    <w:rsid w:val="00F34B14"/>
    <w:rsid w:val="00F34CF1"/>
    <w:rsid w:val="00F34E35"/>
    <w:rsid w:val="00F34F58"/>
    <w:rsid w:val="00F3572F"/>
    <w:rsid w:val="00F35DA7"/>
    <w:rsid w:val="00F36A6A"/>
    <w:rsid w:val="00F40101"/>
    <w:rsid w:val="00F404F7"/>
    <w:rsid w:val="00F40CCA"/>
    <w:rsid w:val="00F41E02"/>
    <w:rsid w:val="00F423F0"/>
    <w:rsid w:val="00F426DF"/>
    <w:rsid w:val="00F42AA4"/>
    <w:rsid w:val="00F42D97"/>
    <w:rsid w:val="00F42F0E"/>
    <w:rsid w:val="00F42FCF"/>
    <w:rsid w:val="00F436B2"/>
    <w:rsid w:val="00F43813"/>
    <w:rsid w:val="00F43FEE"/>
    <w:rsid w:val="00F440B0"/>
    <w:rsid w:val="00F44114"/>
    <w:rsid w:val="00F4492F"/>
    <w:rsid w:val="00F45030"/>
    <w:rsid w:val="00F45A72"/>
    <w:rsid w:val="00F46723"/>
    <w:rsid w:val="00F4706D"/>
    <w:rsid w:val="00F47309"/>
    <w:rsid w:val="00F476E1"/>
    <w:rsid w:val="00F47855"/>
    <w:rsid w:val="00F47D1D"/>
    <w:rsid w:val="00F47F29"/>
    <w:rsid w:val="00F50016"/>
    <w:rsid w:val="00F5118A"/>
    <w:rsid w:val="00F51A21"/>
    <w:rsid w:val="00F51A35"/>
    <w:rsid w:val="00F52314"/>
    <w:rsid w:val="00F523B9"/>
    <w:rsid w:val="00F52614"/>
    <w:rsid w:val="00F5276E"/>
    <w:rsid w:val="00F52E9F"/>
    <w:rsid w:val="00F532B2"/>
    <w:rsid w:val="00F53304"/>
    <w:rsid w:val="00F53B80"/>
    <w:rsid w:val="00F53B81"/>
    <w:rsid w:val="00F53C15"/>
    <w:rsid w:val="00F540FE"/>
    <w:rsid w:val="00F5459A"/>
    <w:rsid w:val="00F556FF"/>
    <w:rsid w:val="00F559D0"/>
    <w:rsid w:val="00F55D12"/>
    <w:rsid w:val="00F5687F"/>
    <w:rsid w:val="00F56D3F"/>
    <w:rsid w:val="00F575C7"/>
    <w:rsid w:val="00F5761B"/>
    <w:rsid w:val="00F57CC1"/>
    <w:rsid w:val="00F57DF7"/>
    <w:rsid w:val="00F57FD0"/>
    <w:rsid w:val="00F60305"/>
    <w:rsid w:val="00F61B12"/>
    <w:rsid w:val="00F61C70"/>
    <w:rsid w:val="00F627D8"/>
    <w:rsid w:val="00F62869"/>
    <w:rsid w:val="00F62ED4"/>
    <w:rsid w:val="00F63264"/>
    <w:rsid w:val="00F634E4"/>
    <w:rsid w:val="00F6379E"/>
    <w:rsid w:val="00F63B38"/>
    <w:rsid w:val="00F64047"/>
    <w:rsid w:val="00F64BF0"/>
    <w:rsid w:val="00F65171"/>
    <w:rsid w:val="00F6533A"/>
    <w:rsid w:val="00F6560D"/>
    <w:rsid w:val="00F669BD"/>
    <w:rsid w:val="00F67844"/>
    <w:rsid w:val="00F67B09"/>
    <w:rsid w:val="00F705F6"/>
    <w:rsid w:val="00F70795"/>
    <w:rsid w:val="00F70799"/>
    <w:rsid w:val="00F70A8B"/>
    <w:rsid w:val="00F70B22"/>
    <w:rsid w:val="00F70B8D"/>
    <w:rsid w:val="00F717D6"/>
    <w:rsid w:val="00F71875"/>
    <w:rsid w:val="00F71936"/>
    <w:rsid w:val="00F71F81"/>
    <w:rsid w:val="00F724FB"/>
    <w:rsid w:val="00F726B8"/>
    <w:rsid w:val="00F72A26"/>
    <w:rsid w:val="00F733C3"/>
    <w:rsid w:val="00F73D5B"/>
    <w:rsid w:val="00F73E15"/>
    <w:rsid w:val="00F746A1"/>
    <w:rsid w:val="00F74820"/>
    <w:rsid w:val="00F7506D"/>
    <w:rsid w:val="00F755DD"/>
    <w:rsid w:val="00F756DD"/>
    <w:rsid w:val="00F77F4E"/>
    <w:rsid w:val="00F80047"/>
    <w:rsid w:val="00F800C7"/>
    <w:rsid w:val="00F80361"/>
    <w:rsid w:val="00F80AE2"/>
    <w:rsid w:val="00F8104D"/>
    <w:rsid w:val="00F8153F"/>
    <w:rsid w:val="00F81587"/>
    <w:rsid w:val="00F81B2A"/>
    <w:rsid w:val="00F81C12"/>
    <w:rsid w:val="00F81D4D"/>
    <w:rsid w:val="00F8263C"/>
    <w:rsid w:val="00F8288F"/>
    <w:rsid w:val="00F8376E"/>
    <w:rsid w:val="00F83C52"/>
    <w:rsid w:val="00F840EC"/>
    <w:rsid w:val="00F84802"/>
    <w:rsid w:val="00F84B25"/>
    <w:rsid w:val="00F85B72"/>
    <w:rsid w:val="00F86540"/>
    <w:rsid w:val="00F865CE"/>
    <w:rsid w:val="00F8766F"/>
    <w:rsid w:val="00F901B3"/>
    <w:rsid w:val="00F90282"/>
    <w:rsid w:val="00F90BC8"/>
    <w:rsid w:val="00F91082"/>
    <w:rsid w:val="00F9116D"/>
    <w:rsid w:val="00F91171"/>
    <w:rsid w:val="00F91342"/>
    <w:rsid w:val="00F91A9A"/>
    <w:rsid w:val="00F923AF"/>
    <w:rsid w:val="00F92634"/>
    <w:rsid w:val="00F933F3"/>
    <w:rsid w:val="00F93ABB"/>
    <w:rsid w:val="00F94D79"/>
    <w:rsid w:val="00F9658C"/>
    <w:rsid w:val="00F96EEB"/>
    <w:rsid w:val="00F977F3"/>
    <w:rsid w:val="00F97A7F"/>
    <w:rsid w:val="00F97CD0"/>
    <w:rsid w:val="00F97D7A"/>
    <w:rsid w:val="00FA0889"/>
    <w:rsid w:val="00FA16E7"/>
    <w:rsid w:val="00FA1F66"/>
    <w:rsid w:val="00FA1FFA"/>
    <w:rsid w:val="00FA2DA3"/>
    <w:rsid w:val="00FA31C7"/>
    <w:rsid w:val="00FA4247"/>
    <w:rsid w:val="00FA472D"/>
    <w:rsid w:val="00FA50CB"/>
    <w:rsid w:val="00FA5A92"/>
    <w:rsid w:val="00FA681F"/>
    <w:rsid w:val="00FB0261"/>
    <w:rsid w:val="00FB0CBF"/>
    <w:rsid w:val="00FB18F6"/>
    <w:rsid w:val="00FB2A52"/>
    <w:rsid w:val="00FB358B"/>
    <w:rsid w:val="00FB3961"/>
    <w:rsid w:val="00FB39E0"/>
    <w:rsid w:val="00FB3F92"/>
    <w:rsid w:val="00FB52C7"/>
    <w:rsid w:val="00FB57DC"/>
    <w:rsid w:val="00FB5915"/>
    <w:rsid w:val="00FB6E19"/>
    <w:rsid w:val="00FB71F6"/>
    <w:rsid w:val="00FB74F1"/>
    <w:rsid w:val="00FC0670"/>
    <w:rsid w:val="00FC07AF"/>
    <w:rsid w:val="00FC0AF8"/>
    <w:rsid w:val="00FC0B69"/>
    <w:rsid w:val="00FC1055"/>
    <w:rsid w:val="00FC1238"/>
    <w:rsid w:val="00FC1483"/>
    <w:rsid w:val="00FC1BEF"/>
    <w:rsid w:val="00FC1C47"/>
    <w:rsid w:val="00FC2869"/>
    <w:rsid w:val="00FC2F9E"/>
    <w:rsid w:val="00FC3102"/>
    <w:rsid w:val="00FC3848"/>
    <w:rsid w:val="00FC39ED"/>
    <w:rsid w:val="00FC3D40"/>
    <w:rsid w:val="00FC4419"/>
    <w:rsid w:val="00FC47E2"/>
    <w:rsid w:val="00FC4AA5"/>
    <w:rsid w:val="00FC4B63"/>
    <w:rsid w:val="00FC4B88"/>
    <w:rsid w:val="00FC4BB8"/>
    <w:rsid w:val="00FC5148"/>
    <w:rsid w:val="00FC6524"/>
    <w:rsid w:val="00FC6B58"/>
    <w:rsid w:val="00FC6BBC"/>
    <w:rsid w:val="00FC711D"/>
    <w:rsid w:val="00FC75AC"/>
    <w:rsid w:val="00FC7984"/>
    <w:rsid w:val="00FD01BF"/>
    <w:rsid w:val="00FD0525"/>
    <w:rsid w:val="00FD0AB7"/>
    <w:rsid w:val="00FD292C"/>
    <w:rsid w:val="00FD297D"/>
    <w:rsid w:val="00FD2D13"/>
    <w:rsid w:val="00FD374D"/>
    <w:rsid w:val="00FD4D2A"/>
    <w:rsid w:val="00FD6071"/>
    <w:rsid w:val="00FD633B"/>
    <w:rsid w:val="00FD661E"/>
    <w:rsid w:val="00FD66ED"/>
    <w:rsid w:val="00FD6ABA"/>
    <w:rsid w:val="00FD6FF2"/>
    <w:rsid w:val="00FE0794"/>
    <w:rsid w:val="00FE1041"/>
    <w:rsid w:val="00FE1614"/>
    <w:rsid w:val="00FE24CB"/>
    <w:rsid w:val="00FE2CCF"/>
    <w:rsid w:val="00FE323F"/>
    <w:rsid w:val="00FE3473"/>
    <w:rsid w:val="00FE4049"/>
    <w:rsid w:val="00FE4794"/>
    <w:rsid w:val="00FE480F"/>
    <w:rsid w:val="00FE4998"/>
    <w:rsid w:val="00FE5382"/>
    <w:rsid w:val="00FE57DE"/>
    <w:rsid w:val="00FE719F"/>
    <w:rsid w:val="00FE71A6"/>
    <w:rsid w:val="00FE7A68"/>
    <w:rsid w:val="00FE7F0A"/>
    <w:rsid w:val="00FF0231"/>
    <w:rsid w:val="00FF056D"/>
    <w:rsid w:val="00FF1C9B"/>
    <w:rsid w:val="00FF1D49"/>
    <w:rsid w:val="00FF203B"/>
    <w:rsid w:val="00FF2562"/>
    <w:rsid w:val="00FF3A41"/>
    <w:rsid w:val="00FF3E5B"/>
    <w:rsid w:val="00FF5183"/>
    <w:rsid w:val="00FF57E4"/>
    <w:rsid w:val="00FF5E26"/>
    <w:rsid w:val="00FF5ECD"/>
    <w:rsid w:val="00FF78E5"/>
    <w:rsid w:val="01260E98"/>
    <w:rsid w:val="012C5FAF"/>
    <w:rsid w:val="01536A62"/>
    <w:rsid w:val="01A7647D"/>
    <w:rsid w:val="01AF3D99"/>
    <w:rsid w:val="01F36A43"/>
    <w:rsid w:val="0216749C"/>
    <w:rsid w:val="02212A12"/>
    <w:rsid w:val="02511F9D"/>
    <w:rsid w:val="02B83663"/>
    <w:rsid w:val="0337738D"/>
    <w:rsid w:val="03A314B8"/>
    <w:rsid w:val="03D82B98"/>
    <w:rsid w:val="03EF3C40"/>
    <w:rsid w:val="03F83E8B"/>
    <w:rsid w:val="04333FF8"/>
    <w:rsid w:val="04407D00"/>
    <w:rsid w:val="049745E6"/>
    <w:rsid w:val="04D035F5"/>
    <w:rsid w:val="05035B78"/>
    <w:rsid w:val="05565BA9"/>
    <w:rsid w:val="0591337C"/>
    <w:rsid w:val="059533D7"/>
    <w:rsid w:val="05C32FE2"/>
    <w:rsid w:val="05C344F5"/>
    <w:rsid w:val="05C56868"/>
    <w:rsid w:val="06142239"/>
    <w:rsid w:val="068C72A7"/>
    <w:rsid w:val="06B71FC7"/>
    <w:rsid w:val="06C53A8A"/>
    <w:rsid w:val="07A539BD"/>
    <w:rsid w:val="07B72767"/>
    <w:rsid w:val="07F36ECC"/>
    <w:rsid w:val="08077E72"/>
    <w:rsid w:val="08882DD0"/>
    <w:rsid w:val="08981017"/>
    <w:rsid w:val="09522EB4"/>
    <w:rsid w:val="09AC101D"/>
    <w:rsid w:val="09B7274A"/>
    <w:rsid w:val="09CC2AAC"/>
    <w:rsid w:val="0A3C34DB"/>
    <w:rsid w:val="0A652D3E"/>
    <w:rsid w:val="0B154457"/>
    <w:rsid w:val="0B326F2A"/>
    <w:rsid w:val="0B3A2110"/>
    <w:rsid w:val="0BBB027A"/>
    <w:rsid w:val="0C0725CD"/>
    <w:rsid w:val="0C1E2888"/>
    <w:rsid w:val="0C230DF6"/>
    <w:rsid w:val="0C60444E"/>
    <w:rsid w:val="0C627B9F"/>
    <w:rsid w:val="0C92213C"/>
    <w:rsid w:val="0CC2027E"/>
    <w:rsid w:val="0D0504FC"/>
    <w:rsid w:val="0D5D451B"/>
    <w:rsid w:val="0D710595"/>
    <w:rsid w:val="0D84032B"/>
    <w:rsid w:val="0D847371"/>
    <w:rsid w:val="0E4E29DD"/>
    <w:rsid w:val="0E534A95"/>
    <w:rsid w:val="0E6E1987"/>
    <w:rsid w:val="0EA24254"/>
    <w:rsid w:val="0EBD6DAA"/>
    <w:rsid w:val="0ECD7B5C"/>
    <w:rsid w:val="0F0B31D0"/>
    <w:rsid w:val="0F2A74C4"/>
    <w:rsid w:val="0F4E618A"/>
    <w:rsid w:val="0FF94D19"/>
    <w:rsid w:val="0FFB6461"/>
    <w:rsid w:val="10692601"/>
    <w:rsid w:val="10A27F31"/>
    <w:rsid w:val="10B1077E"/>
    <w:rsid w:val="10E87F18"/>
    <w:rsid w:val="11157137"/>
    <w:rsid w:val="1128797D"/>
    <w:rsid w:val="11927058"/>
    <w:rsid w:val="11B344D7"/>
    <w:rsid w:val="11C479EB"/>
    <w:rsid w:val="120E171E"/>
    <w:rsid w:val="122B0052"/>
    <w:rsid w:val="128351DA"/>
    <w:rsid w:val="128B4FFF"/>
    <w:rsid w:val="128E2E52"/>
    <w:rsid w:val="12EB0686"/>
    <w:rsid w:val="134C1990"/>
    <w:rsid w:val="13AF4F03"/>
    <w:rsid w:val="13B628F7"/>
    <w:rsid w:val="13B81E24"/>
    <w:rsid w:val="146A3560"/>
    <w:rsid w:val="14736E66"/>
    <w:rsid w:val="14772ABA"/>
    <w:rsid w:val="147C10A3"/>
    <w:rsid w:val="147F458F"/>
    <w:rsid w:val="14D26F15"/>
    <w:rsid w:val="14F65E5A"/>
    <w:rsid w:val="1534169A"/>
    <w:rsid w:val="15793835"/>
    <w:rsid w:val="158A5A42"/>
    <w:rsid w:val="15C03E03"/>
    <w:rsid w:val="160059BE"/>
    <w:rsid w:val="162A25EB"/>
    <w:rsid w:val="16596A26"/>
    <w:rsid w:val="166E1D75"/>
    <w:rsid w:val="16735895"/>
    <w:rsid w:val="16EB25B6"/>
    <w:rsid w:val="16FD2A55"/>
    <w:rsid w:val="17067C1A"/>
    <w:rsid w:val="172F68A1"/>
    <w:rsid w:val="17366761"/>
    <w:rsid w:val="17684604"/>
    <w:rsid w:val="177C01F0"/>
    <w:rsid w:val="179E3EFA"/>
    <w:rsid w:val="17C7426D"/>
    <w:rsid w:val="17CE6630"/>
    <w:rsid w:val="17F109C8"/>
    <w:rsid w:val="18787DD4"/>
    <w:rsid w:val="193D6430"/>
    <w:rsid w:val="1A1217FB"/>
    <w:rsid w:val="1A2630CB"/>
    <w:rsid w:val="1A4621B2"/>
    <w:rsid w:val="1AA66875"/>
    <w:rsid w:val="1AFF0AFE"/>
    <w:rsid w:val="1B4F19F8"/>
    <w:rsid w:val="1BD26223"/>
    <w:rsid w:val="1C1167E4"/>
    <w:rsid w:val="1C470E08"/>
    <w:rsid w:val="1CC66E8E"/>
    <w:rsid w:val="1CED02C7"/>
    <w:rsid w:val="1D176852"/>
    <w:rsid w:val="1D295B40"/>
    <w:rsid w:val="1E0D0FBE"/>
    <w:rsid w:val="1E2C7696"/>
    <w:rsid w:val="1E4C1AE7"/>
    <w:rsid w:val="1E94348E"/>
    <w:rsid w:val="1ECC44FA"/>
    <w:rsid w:val="1F063325"/>
    <w:rsid w:val="1F2E5690"/>
    <w:rsid w:val="1FA17E7A"/>
    <w:rsid w:val="1FB2006F"/>
    <w:rsid w:val="1FB57B5F"/>
    <w:rsid w:val="1FBC5DF5"/>
    <w:rsid w:val="1FC3227C"/>
    <w:rsid w:val="1FF90588"/>
    <w:rsid w:val="20021EFA"/>
    <w:rsid w:val="20133E4F"/>
    <w:rsid w:val="20A21E92"/>
    <w:rsid w:val="20C3623F"/>
    <w:rsid w:val="20DC1F58"/>
    <w:rsid w:val="20E15654"/>
    <w:rsid w:val="212C3E51"/>
    <w:rsid w:val="21494A03"/>
    <w:rsid w:val="21781212"/>
    <w:rsid w:val="21836CF8"/>
    <w:rsid w:val="21B83F86"/>
    <w:rsid w:val="221178A8"/>
    <w:rsid w:val="221213CF"/>
    <w:rsid w:val="22327A92"/>
    <w:rsid w:val="22A5210D"/>
    <w:rsid w:val="22C8091E"/>
    <w:rsid w:val="231D53A2"/>
    <w:rsid w:val="2369314C"/>
    <w:rsid w:val="236D5383"/>
    <w:rsid w:val="239C52BE"/>
    <w:rsid w:val="23B7504C"/>
    <w:rsid w:val="23E4279E"/>
    <w:rsid w:val="24537E66"/>
    <w:rsid w:val="24571307"/>
    <w:rsid w:val="24C0224D"/>
    <w:rsid w:val="24D26ABE"/>
    <w:rsid w:val="2500655F"/>
    <w:rsid w:val="25110A2A"/>
    <w:rsid w:val="256C0944"/>
    <w:rsid w:val="25A04CE7"/>
    <w:rsid w:val="263D64CA"/>
    <w:rsid w:val="26446DE3"/>
    <w:rsid w:val="267808CB"/>
    <w:rsid w:val="26877DFE"/>
    <w:rsid w:val="269669E7"/>
    <w:rsid w:val="26A270C1"/>
    <w:rsid w:val="26B20955"/>
    <w:rsid w:val="26D7699F"/>
    <w:rsid w:val="2702368A"/>
    <w:rsid w:val="27A504B9"/>
    <w:rsid w:val="27D56FF1"/>
    <w:rsid w:val="28757E8C"/>
    <w:rsid w:val="288B76AF"/>
    <w:rsid w:val="28A40055"/>
    <w:rsid w:val="28A96393"/>
    <w:rsid w:val="28DC6FCD"/>
    <w:rsid w:val="28F47B14"/>
    <w:rsid w:val="290C2299"/>
    <w:rsid w:val="29471828"/>
    <w:rsid w:val="29B2144F"/>
    <w:rsid w:val="29D75F7F"/>
    <w:rsid w:val="2A2D3ACE"/>
    <w:rsid w:val="2AA85522"/>
    <w:rsid w:val="2ABE1FBE"/>
    <w:rsid w:val="2AC109ED"/>
    <w:rsid w:val="2ADC3944"/>
    <w:rsid w:val="2ADE61BC"/>
    <w:rsid w:val="2B3F1B5C"/>
    <w:rsid w:val="2B774624"/>
    <w:rsid w:val="2BBD2276"/>
    <w:rsid w:val="2BC260CB"/>
    <w:rsid w:val="2BDD396D"/>
    <w:rsid w:val="2BEE6045"/>
    <w:rsid w:val="2C7A72BE"/>
    <w:rsid w:val="2C9A7D75"/>
    <w:rsid w:val="2CC17412"/>
    <w:rsid w:val="2D2C1323"/>
    <w:rsid w:val="2D3B3066"/>
    <w:rsid w:val="2D7C1E99"/>
    <w:rsid w:val="2DD438A6"/>
    <w:rsid w:val="2DE15A8F"/>
    <w:rsid w:val="2E374362"/>
    <w:rsid w:val="2E9976CE"/>
    <w:rsid w:val="2EF01DEE"/>
    <w:rsid w:val="2F401D3C"/>
    <w:rsid w:val="2F5B24E1"/>
    <w:rsid w:val="2F6075A5"/>
    <w:rsid w:val="2FA95C88"/>
    <w:rsid w:val="301759A1"/>
    <w:rsid w:val="3041370F"/>
    <w:rsid w:val="3078676B"/>
    <w:rsid w:val="30B47128"/>
    <w:rsid w:val="30B87FED"/>
    <w:rsid w:val="312B50A3"/>
    <w:rsid w:val="315B354B"/>
    <w:rsid w:val="316710AB"/>
    <w:rsid w:val="31894FD2"/>
    <w:rsid w:val="31F34CB5"/>
    <w:rsid w:val="32453A27"/>
    <w:rsid w:val="32547AD5"/>
    <w:rsid w:val="3263064A"/>
    <w:rsid w:val="32A43132"/>
    <w:rsid w:val="32AC0C06"/>
    <w:rsid w:val="32EB3B6C"/>
    <w:rsid w:val="331E4333"/>
    <w:rsid w:val="33344EF5"/>
    <w:rsid w:val="339E2C0F"/>
    <w:rsid w:val="33B60168"/>
    <w:rsid w:val="33F26952"/>
    <w:rsid w:val="34481681"/>
    <w:rsid w:val="344A72B4"/>
    <w:rsid w:val="34845575"/>
    <w:rsid w:val="3537750C"/>
    <w:rsid w:val="3537798C"/>
    <w:rsid w:val="35C13FC9"/>
    <w:rsid w:val="35E46651"/>
    <w:rsid w:val="36372B05"/>
    <w:rsid w:val="364257B6"/>
    <w:rsid w:val="370B2641"/>
    <w:rsid w:val="377C6E00"/>
    <w:rsid w:val="37EA5922"/>
    <w:rsid w:val="38276B93"/>
    <w:rsid w:val="382D42DF"/>
    <w:rsid w:val="382E58B8"/>
    <w:rsid w:val="389B56ED"/>
    <w:rsid w:val="38AC16A8"/>
    <w:rsid w:val="38AC3431"/>
    <w:rsid w:val="38D67CAD"/>
    <w:rsid w:val="392F2E16"/>
    <w:rsid w:val="39390772"/>
    <w:rsid w:val="39E00529"/>
    <w:rsid w:val="39F52FDB"/>
    <w:rsid w:val="3A0A0C34"/>
    <w:rsid w:val="3A0B64A7"/>
    <w:rsid w:val="3A455684"/>
    <w:rsid w:val="3A574DDA"/>
    <w:rsid w:val="3A951369"/>
    <w:rsid w:val="3AD3075A"/>
    <w:rsid w:val="3AF74C02"/>
    <w:rsid w:val="3B40110A"/>
    <w:rsid w:val="3BED7890"/>
    <w:rsid w:val="3C0059A5"/>
    <w:rsid w:val="3C134E78"/>
    <w:rsid w:val="3C860278"/>
    <w:rsid w:val="3C8B0B0F"/>
    <w:rsid w:val="3CC80A7A"/>
    <w:rsid w:val="3D687B67"/>
    <w:rsid w:val="3D7B5AED"/>
    <w:rsid w:val="3DE713D4"/>
    <w:rsid w:val="3DF6345D"/>
    <w:rsid w:val="3E05404B"/>
    <w:rsid w:val="3E1E576F"/>
    <w:rsid w:val="3E2B5515"/>
    <w:rsid w:val="3E2F7FC2"/>
    <w:rsid w:val="3E4D4F28"/>
    <w:rsid w:val="3E52684D"/>
    <w:rsid w:val="3E9522AF"/>
    <w:rsid w:val="3EC37F7D"/>
    <w:rsid w:val="3ED92EC4"/>
    <w:rsid w:val="3EE13701"/>
    <w:rsid w:val="3F033FEC"/>
    <w:rsid w:val="3F1A4BB3"/>
    <w:rsid w:val="3FDD6BA6"/>
    <w:rsid w:val="4004345A"/>
    <w:rsid w:val="40192BA6"/>
    <w:rsid w:val="409D391E"/>
    <w:rsid w:val="415D671B"/>
    <w:rsid w:val="41766EA9"/>
    <w:rsid w:val="41895688"/>
    <w:rsid w:val="41DA15EE"/>
    <w:rsid w:val="42550A18"/>
    <w:rsid w:val="429D496A"/>
    <w:rsid w:val="42F473A1"/>
    <w:rsid w:val="430570A9"/>
    <w:rsid w:val="433D02BC"/>
    <w:rsid w:val="433F136A"/>
    <w:rsid w:val="435026E1"/>
    <w:rsid w:val="435E7A42"/>
    <w:rsid w:val="43651800"/>
    <w:rsid w:val="437217EA"/>
    <w:rsid w:val="439D4A0F"/>
    <w:rsid w:val="43AB7156"/>
    <w:rsid w:val="44136A7F"/>
    <w:rsid w:val="441E62C0"/>
    <w:rsid w:val="44627A06"/>
    <w:rsid w:val="44C905EA"/>
    <w:rsid w:val="450A0068"/>
    <w:rsid w:val="45325D14"/>
    <w:rsid w:val="453B645D"/>
    <w:rsid w:val="45811C7C"/>
    <w:rsid w:val="45906116"/>
    <w:rsid w:val="45931B8C"/>
    <w:rsid w:val="45D40D4F"/>
    <w:rsid w:val="45D7167C"/>
    <w:rsid w:val="45EF2552"/>
    <w:rsid w:val="46304F0D"/>
    <w:rsid w:val="468B3EFB"/>
    <w:rsid w:val="470A6193"/>
    <w:rsid w:val="47327792"/>
    <w:rsid w:val="47385210"/>
    <w:rsid w:val="475510F8"/>
    <w:rsid w:val="47A26255"/>
    <w:rsid w:val="47A67C0A"/>
    <w:rsid w:val="47C43492"/>
    <w:rsid w:val="47DC4F5C"/>
    <w:rsid w:val="48335942"/>
    <w:rsid w:val="48B40671"/>
    <w:rsid w:val="48D339E4"/>
    <w:rsid w:val="4953791E"/>
    <w:rsid w:val="499B5738"/>
    <w:rsid w:val="499F244D"/>
    <w:rsid w:val="4A1762AC"/>
    <w:rsid w:val="4A2C35E8"/>
    <w:rsid w:val="4A7A36C5"/>
    <w:rsid w:val="4A973F3F"/>
    <w:rsid w:val="4AB93D8B"/>
    <w:rsid w:val="4ABE5084"/>
    <w:rsid w:val="4AE253FD"/>
    <w:rsid w:val="4AF96BC7"/>
    <w:rsid w:val="4B2D35EC"/>
    <w:rsid w:val="4B862A85"/>
    <w:rsid w:val="4C5E6D05"/>
    <w:rsid w:val="4CEF36E2"/>
    <w:rsid w:val="4CEF4DC5"/>
    <w:rsid w:val="4D0C49B3"/>
    <w:rsid w:val="4D1E17E5"/>
    <w:rsid w:val="4D5C3245"/>
    <w:rsid w:val="4DDA060D"/>
    <w:rsid w:val="4E141B50"/>
    <w:rsid w:val="4E257655"/>
    <w:rsid w:val="4E2D14BA"/>
    <w:rsid w:val="4F26759B"/>
    <w:rsid w:val="4F372380"/>
    <w:rsid w:val="4F372FFB"/>
    <w:rsid w:val="5025116D"/>
    <w:rsid w:val="50475A57"/>
    <w:rsid w:val="50537FDF"/>
    <w:rsid w:val="506B7C43"/>
    <w:rsid w:val="50704D16"/>
    <w:rsid w:val="50830C9B"/>
    <w:rsid w:val="50DB0D6B"/>
    <w:rsid w:val="50E579F5"/>
    <w:rsid w:val="510936E3"/>
    <w:rsid w:val="51340732"/>
    <w:rsid w:val="513A1AEF"/>
    <w:rsid w:val="51616960"/>
    <w:rsid w:val="51CE2237"/>
    <w:rsid w:val="51D51818"/>
    <w:rsid w:val="51D976E1"/>
    <w:rsid w:val="522D5360"/>
    <w:rsid w:val="52395ECD"/>
    <w:rsid w:val="524E3378"/>
    <w:rsid w:val="526967B0"/>
    <w:rsid w:val="5283528F"/>
    <w:rsid w:val="528F39B3"/>
    <w:rsid w:val="52C10D75"/>
    <w:rsid w:val="530103EA"/>
    <w:rsid w:val="53B83A7A"/>
    <w:rsid w:val="53C27FF8"/>
    <w:rsid w:val="53DC6CF4"/>
    <w:rsid w:val="54330B5F"/>
    <w:rsid w:val="544C3CF9"/>
    <w:rsid w:val="546936AC"/>
    <w:rsid w:val="54806794"/>
    <w:rsid w:val="548177D1"/>
    <w:rsid w:val="549E1A80"/>
    <w:rsid w:val="54A7729D"/>
    <w:rsid w:val="54C658F4"/>
    <w:rsid w:val="550C4BD7"/>
    <w:rsid w:val="554B6E8B"/>
    <w:rsid w:val="554C1D56"/>
    <w:rsid w:val="554E3391"/>
    <w:rsid w:val="55572986"/>
    <w:rsid w:val="55693156"/>
    <w:rsid w:val="559E0172"/>
    <w:rsid w:val="565340FA"/>
    <w:rsid w:val="565753CA"/>
    <w:rsid w:val="5689497F"/>
    <w:rsid w:val="56AD5F59"/>
    <w:rsid w:val="56C60774"/>
    <w:rsid w:val="56E878F7"/>
    <w:rsid w:val="57272B15"/>
    <w:rsid w:val="579569D8"/>
    <w:rsid w:val="57B12A52"/>
    <w:rsid w:val="57B67711"/>
    <w:rsid w:val="57E70724"/>
    <w:rsid w:val="580B5808"/>
    <w:rsid w:val="581B541B"/>
    <w:rsid w:val="585078EF"/>
    <w:rsid w:val="588418A2"/>
    <w:rsid w:val="58C223CA"/>
    <w:rsid w:val="58C61AFF"/>
    <w:rsid w:val="5A19426B"/>
    <w:rsid w:val="5A1D5730"/>
    <w:rsid w:val="5A2F2CC8"/>
    <w:rsid w:val="5A8C2C8F"/>
    <w:rsid w:val="5A981865"/>
    <w:rsid w:val="5AF251E8"/>
    <w:rsid w:val="5BF517D6"/>
    <w:rsid w:val="5C0402E6"/>
    <w:rsid w:val="5C10702D"/>
    <w:rsid w:val="5C152601"/>
    <w:rsid w:val="5C4A7CE7"/>
    <w:rsid w:val="5C563555"/>
    <w:rsid w:val="5C591F03"/>
    <w:rsid w:val="5C8A1B2F"/>
    <w:rsid w:val="5D483861"/>
    <w:rsid w:val="5D704AEA"/>
    <w:rsid w:val="5DCE7B21"/>
    <w:rsid w:val="5DEE02FC"/>
    <w:rsid w:val="5E323CBE"/>
    <w:rsid w:val="5E604B5F"/>
    <w:rsid w:val="5E9B5B97"/>
    <w:rsid w:val="5EA5489B"/>
    <w:rsid w:val="5EA62054"/>
    <w:rsid w:val="5F561B72"/>
    <w:rsid w:val="606007BB"/>
    <w:rsid w:val="60670922"/>
    <w:rsid w:val="60AC7F66"/>
    <w:rsid w:val="60AD01DF"/>
    <w:rsid w:val="60AE7E03"/>
    <w:rsid w:val="618F629E"/>
    <w:rsid w:val="619863BE"/>
    <w:rsid w:val="61BF10D9"/>
    <w:rsid w:val="62785857"/>
    <w:rsid w:val="62816E52"/>
    <w:rsid w:val="62AC22DC"/>
    <w:rsid w:val="62BB1CC4"/>
    <w:rsid w:val="62EE2739"/>
    <w:rsid w:val="63A22BFD"/>
    <w:rsid w:val="63B35731"/>
    <w:rsid w:val="63BB71C0"/>
    <w:rsid w:val="643E149E"/>
    <w:rsid w:val="64A62BA0"/>
    <w:rsid w:val="64E45EF7"/>
    <w:rsid w:val="652366B9"/>
    <w:rsid w:val="654405AF"/>
    <w:rsid w:val="65CB0B10"/>
    <w:rsid w:val="66434B4A"/>
    <w:rsid w:val="66803B32"/>
    <w:rsid w:val="6691014E"/>
    <w:rsid w:val="66C87CCE"/>
    <w:rsid w:val="677435B2"/>
    <w:rsid w:val="67A61834"/>
    <w:rsid w:val="67EF75F1"/>
    <w:rsid w:val="67F819F7"/>
    <w:rsid w:val="684F4F11"/>
    <w:rsid w:val="68A85138"/>
    <w:rsid w:val="68B0223F"/>
    <w:rsid w:val="68BE5E61"/>
    <w:rsid w:val="68E43F44"/>
    <w:rsid w:val="68E819D9"/>
    <w:rsid w:val="69124F16"/>
    <w:rsid w:val="695D5F23"/>
    <w:rsid w:val="697426DF"/>
    <w:rsid w:val="69C30282"/>
    <w:rsid w:val="69CD5C14"/>
    <w:rsid w:val="69CF0D33"/>
    <w:rsid w:val="6B4355EC"/>
    <w:rsid w:val="6B9946B3"/>
    <w:rsid w:val="6BDF78B8"/>
    <w:rsid w:val="6BE518DA"/>
    <w:rsid w:val="6C20249B"/>
    <w:rsid w:val="6C276F3A"/>
    <w:rsid w:val="6C5460CE"/>
    <w:rsid w:val="6C7007C7"/>
    <w:rsid w:val="6CBC78E1"/>
    <w:rsid w:val="6CFB4979"/>
    <w:rsid w:val="6D2B65CD"/>
    <w:rsid w:val="6D934609"/>
    <w:rsid w:val="6DE76850"/>
    <w:rsid w:val="6E497C4A"/>
    <w:rsid w:val="6EC712F6"/>
    <w:rsid w:val="6EC959BA"/>
    <w:rsid w:val="6ED0363B"/>
    <w:rsid w:val="6EFA2466"/>
    <w:rsid w:val="6F252C58"/>
    <w:rsid w:val="6F5C4ECE"/>
    <w:rsid w:val="6F79782E"/>
    <w:rsid w:val="6F7D6FD7"/>
    <w:rsid w:val="6FB20BD4"/>
    <w:rsid w:val="6FBA59BE"/>
    <w:rsid w:val="6FD40F09"/>
    <w:rsid w:val="70296B3E"/>
    <w:rsid w:val="70560B9A"/>
    <w:rsid w:val="70611204"/>
    <w:rsid w:val="70C828CF"/>
    <w:rsid w:val="711E1BC9"/>
    <w:rsid w:val="715F5994"/>
    <w:rsid w:val="7165620F"/>
    <w:rsid w:val="717039F8"/>
    <w:rsid w:val="721E46BD"/>
    <w:rsid w:val="727D3192"/>
    <w:rsid w:val="72DC1CBC"/>
    <w:rsid w:val="73946471"/>
    <w:rsid w:val="73A7542E"/>
    <w:rsid w:val="73B21561"/>
    <w:rsid w:val="73DC1EFD"/>
    <w:rsid w:val="73E536E4"/>
    <w:rsid w:val="74654A7D"/>
    <w:rsid w:val="74D13AD5"/>
    <w:rsid w:val="74FA2C30"/>
    <w:rsid w:val="754D5C4B"/>
    <w:rsid w:val="75F45E61"/>
    <w:rsid w:val="765406AD"/>
    <w:rsid w:val="76612DCA"/>
    <w:rsid w:val="766776B6"/>
    <w:rsid w:val="76946CFC"/>
    <w:rsid w:val="76C240A7"/>
    <w:rsid w:val="76DA416A"/>
    <w:rsid w:val="77505319"/>
    <w:rsid w:val="775246B7"/>
    <w:rsid w:val="7768160D"/>
    <w:rsid w:val="77EF4CCB"/>
    <w:rsid w:val="781E69D1"/>
    <w:rsid w:val="78411E80"/>
    <w:rsid w:val="784F5340"/>
    <w:rsid w:val="786D0FEC"/>
    <w:rsid w:val="78B11B26"/>
    <w:rsid w:val="78D15D25"/>
    <w:rsid w:val="7901747F"/>
    <w:rsid w:val="799E5223"/>
    <w:rsid w:val="79E1494E"/>
    <w:rsid w:val="7A263B6B"/>
    <w:rsid w:val="7A4E752D"/>
    <w:rsid w:val="7A8C2314"/>
    <w:rsid w:val="7AB1500C"/>
    <w:rsid w:val="7AF46346"/>
    <w:rsid w:val="7B0F5EBF"/>
    <w:rsid w:val="7B130FB9"/>
    <w:rsid w:val="7B575960"/>
    <w:rsid w:val="7B67256C"/>
    <w:rsid w:val="7BD71E38"/>
    <w:rsid w:val="7BF14242"/>
    <w:rsid w:val="7BF64EDE"/>
    <w:rsid w:val="7C0003A5"/>
    <w:rsid w:val="7C400C1E"/>
    <w:rsid w:val="7CFE1373"/>
    <w:rsid w:val="7D434198"/>
    <w:rsid w:val="7D472362"/>
    <w:rsid w:val="7DCC7AE7"/>
    <w:rsid w:val="7DD11708"/>
    <w:rsid w:val="7DEE4A4F"/>
    <w:rsid w:val="7E0C7AC0"/>
    <w:rsid w:val="7E115151"/>
    <w:rsid w:val="7E9703E3"/>
    <w:rsid w:val="7EAE6230"/>
    <w:rsid w:val="7EBD579E"/>
    <w:rsid w:val="7EC167BD"/>
    <w:rsid w:val="7EC91C32"/>
    <w:rsid w:val="7F272D9E"/>
    <w:rsid w:val="7F907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nhideWhenUsed="0"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0"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99" w:semiHidden="0" w:name="annotation reference"/>
    <w:lsdException w:uiPriority="99" w:name="line number"/>
    <w:lsdException w:qFormat="1" w:unhideWhenUsed="0" w:uiPriority="99"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qFormat="1" w:uiPriority="0" w:semiHidden="0" w:name="Body Text 3"/>
    <w:lsdException w:qFormat="1" w:unhideWhenUsed="0" w:uiPriority="0" w:semiHidden="0" w:name="Body Text Indent 2"/>
    <w:lsdException w:qFormat="1" w:uiPriority="0" w:semiHidden="0" w:name="Body Text Indent 3"/>
    <w:lsdException w:qFormat="1" w:uiPriority="99"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99" w:semiHidden="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9"/>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183"/>
    <w:qFormat/>
    <w:uiPriority w:val="0"/>
    <w:pPr>
      <w:keepNext/>
      <w:keepLines/>
      <w:spacing w:before="260" w:after="260" w:line="416" w:lineRule="auto"/>
      <w:outlineLvl w:val="2"/>
    </w:pPr>
    <w:rPr>
      <w:b/>
      <w:bCs/>
      <w:sz w:val="32"/>
      <w:szCs w:val="32"/>
    </w:rPr>
  </w:style>
  <w:style w:type="paragraph" w:styleId="5">
    <w:name w:val="heading 4"/>
    <w:basedOn w:val="1"/>
    <w:next w:val="1"/>
    <w:link w:val="157"/>
    <w:qFormat/>
    <w:uiPriority w:val="0"/>
    <w:pPr>
      <w:keepNext/>
      <w:keepLines/>
      <w:spacing w:line="360" w:lineRule="auto"/>
      <w:outlineLvl w:val="3"/>
    </w:pPr>
    <w:rPr>
      <w:rFonts w:ascii="Arial" w:hAnsi="Arial"/>
      <w:b/>
      <w:bCs/>
      <w:sz w:val="28"/>
      <w:szCs w:val="28"/>
    </w:rPr>
  </w:style>
  <w:style w:type="paragraph" w:styleId="6">
    <w:name w:val="heading 5"/>
    <w:basedOn w:val="1"/>
    <w:next w:val="7"/>
    <w:link w:val="145"/>
    <w:qFormat/>
    <w:uiPriority w:val="99"/>
    <w:pPr>
      <w:keepNext/>
      <w:keepLines/>
      <w:spacing w:before="280" w:after="290" w:line="376" w:lineRule="auto"/>
      <w:outlineLvl w:val="4"/>
    </w:pPr>
    <w:rPr>
      <w:b/>
      <w:bCs/>
      <w:sz w:val="28"/>
      <w:szCs w:val="28"/>
    </w:rPr>
  </w:style>
  <w:style w:type="paragraph" w:styleId="8">
    <w:name w:val="heading 6"/>
    <w:basedOn w:val="1"/>
    <w:next w:val="1"/>
    <w:link w:val="185"/>
    <w:qFormat/>
    <w:uiPriority w:val="0"/>
    <w:pPr>
      <w:keepNext/>
      <w:keepLines/>
      <w:spacing w:before="240" w:after="64" w:line="317" w:lineRule="auto"/>
      <w:outlineLvl w:val="5"/>
    </w:pPr>
    <w:rPr>
      <w:rFonts w:ascii="Cambria" w:hAnsi="Cambria"/>
      <w:b/>
      <w:bCs/>
      <w:kern w:val="0"/>
      <w:sz w:val="24"/>
    </w:rPr>
  </w:style>
  <w:style w:type="paragraph" w:styleId="9">
    <w:name w:val="heading 7"/>
    <w:basedOn w:val="1"/>
    <w:next w:val="1"/>
    <w:link w:val="125"/>
    <w:qFormat/>
    <w:uiPriority w:val="0"/>
    <w:pPr>
      <w:keepNext/>
      <w:keepLines/>
      <w:spacing w:before="240" w:after="64" w:line="317" w:lineRule="auto"/>
      <w:outlineLvl w:val="6"/>
    </w:pPr>
    <w:rPr>
      <w:b/>
      <w:bCs/>
      <w:kern w:val="0"/>
      <w:sz w:val="24"/>
    </w:rPr>
  </w:style>
  <w:style w:type="paragraph" w:styleId="10">
    <w:name w:val="heading 8"/>
    <w:basedOn w:val="1"/>
    <w:next w:val="1"/>
    <w:link w:val="177"/>
    <w:qFormat/>
    <w:uiPriority w:val="9"/>
    <w:pPr>
      <w:keepNext/>
      <w:keepLines/>
      <w:spacing w:before="240" w:after="64" w:line="320" w:lineRule="auto"/>
      <w:outlineLvl w:val="7"/>
    </w:pPr>
    <w:rPr>
      <w:rFonts w:ascii="等线 Light" w:hAnsi="等线 Light" w:eastAsia="等线 Light"/>
      <w:sz w:val="24"/>
    </w:rPr>
  </w:style>
  <w:style w:type="paragraph" w:styleId="11">
    <w:name w:val="heading 9"/>
    <w:basedOn w:val="1"/>
    <w:next w:val="1"/>
    <w:link w:val="190"/>
    <w:qFormat/>
    <w:uiPriority w:val="0"/>
    <w:pPr>
      <w:keepNext/>
      <w:keepLines/>
      <w:spacing w:before="240" w:after="64" w:line="317" w:lineRule="auto"/>
      <w:outlineLvl w:val="8"/>
    </w:pPr>
    <w:rPr>
      <w:rFonts w:ascii="Cambria" w:hAnsi="Cambria"/>
      <w:kern w:val="0"/>
      <w:sz w:val="20"/>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Normal Indent"/>
    <w:basedOn w:val="1"/>
    <w:next w:val="1"/>
    <w:link w:val="84"/>
    <w:qFormat/>
    <w:uiPriority w:val="0"/>
    <w:pPr>
      <w:ind w:firstLine="420"/>
    </w:pPr>
    <w:rPr>
      <w:szCs w:val="20"/>
    </w:rPr>
  </w:style>
  <w:style w:type="paragraph" w:styleId="12">
    <w:name w:val="toc 7"/>
    <w:basedOn w:val="1"/>
    <w:next w:val="1"/>
    <w:qFormat/>
    <w:uiPriority w:val="0"/>
    <w:pPr>
      <w:ind w:left="2520" w:leftChars="1200"/>
    </w:pPr>
    <w:rPr>
      <w:rFonts w:ascii="Calibri" w:hAnsi="Calibri" w:cs="Calibri"/>
      <w:szCs w:val="21"/>
    </w:rPr>
  </w:style>
  <w:style w:type="paragraph" w:styleId="13">
    <w:name w:val="index 8"/>
    <w:basedOn w:val="1"/>
    <w:next w:val="1"/>
    <w:qFormat/>
    <w:uiPriority w:val="0"/>
    <w:pPr>
      <w:ind w:left="2940"/>
    </w:p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99"/>
    <w:rPr>
      <w:rFonts w:ascii="Cambria" w:hAnsi="Cambria" w:eastAsia="黑体" w:cs="Cambria"/>
      <w:sz w:val="20"/>
      <w:szCs w:val="20"/>
    </w:rPr>
  </w:style>
  <w:style w:type="paragraph" w:styleId="16">
    <w:name w:val="Document Map"/>
    <w:basedOn w:val="1"/>
    <w:link w:val="213"/>
    <w:qFormat/>
    <w:uiPriority w:val="0"/>
    <w:pPr>
      <w:shd w:val="clear" w:color="auto" w:fill="000080"/>
    </w:pPr>
    <w:rPr>
      <w:sz w:val="24"/>
      <w:shd w:val="clear" w:color="auto" w:fill="000080"/>
    </w:rPr>
  </w:style>
  <w:style w:type="paragraph" w:styleId="17">
    <w:name w:val="annotation text"/>
    <w:basedOn w:val="1"/>
    <w:link w:val="65"/>
    <w:qFormat/>
    <w:uiPriority w:val="99"/>
    <w:pPr>
      <w:jc w:val="left"/>
    </w:pPr>
    <w:rPr>
      <w:szCs w:val="21"/>
    </w:rPr>
  </w:style>
  <w:style w:type="paragraph" w:styleId="18">
    <w:name w:val="Body Text 3"/>
    <w:basedOn w:val="1"/>
    <w:link w:val="168"/>
    <w:unhideWhenUsed/>
    <w:qFormat/>
    <w:uiPriority w:val="0"/>
    <w:pPr>
      <w:spacing w:after="120"/>
    </w:pPr>
    <w:rPr>
      <w:sz w:val="16"/>
      <w:szCs w:val="16"/>
    </w:rPr>
  </w:style>
  <w:style w:type="paragraph" w:styleId="19">
    <w:name w:val="Body Text"/>
    <w:basedOn w:val="1"/>
    <w:link w:val="89"/>
    <w:unhideWhenUsed/>
    <w:qFormat/>
    <w:uiPriority w:val="0"/>
    <w:pPr>
      <w:spacing w:after="120"/>
    </w:pPr>
  </w:style>
  <w:style w:type="paragraph" w:styleId="20">
    <w:name w:val="Body Text Indent"/>
    <w:basedOn w:val="1"/>
    <w:link w:val="191"/>
    <w:qFormat/>
    <w:uiPriority w:val="0"/>
    <w:pPr>
      <w:ind w:firstLine="830" w:firstLineChars="352"/>
    </w:pPr>
    <w:rPr>
      <w:rFonts w:ascii="仿宋_GB2312" w:eastAsia="仿宋_GB2312"/>
      <w:kern w:val="0"/>
      <w:sz w:val="32"/>
      <w:szCs w:val="20"/>
    </w:rPr>
  </w:style>
  <w:style w:type="paragraph" w:styleId="21">
    <w:name w:val="List 2"/>
    <w:basedOn w:val="1"/>
    <w:unhideWhenUsed/>
    <w:qFormat/>
    <w:uiPriority w:val="99"/>
    <w:pPr>
      <w:ind w:left="100" w:leftChars="200" w:hanging="200" w:hangingChars="200"/>
      <w:contextualSpacing/>
    </w:pPr>
  </w:style>
  <w:style w:type="paragraph" w:styleId="22">
    <w:name w:val="Block Text"/>
    <w:basedOn w:val="1"/>
    <w:unhideWhenUsed/>
    <w:qFormat/>
    <w:uiPriority w:val="99"/>
    <w:pPr>
      <w:adjustRightInd w:val="0"/>
      <w:spacing w:line="400" w:lineRule="exact"/>
      <w:ind w:left="420" w:right="33" w:firstLine="1044" w:firstLineChars="200"/>
      <w:jc w:val="left"/>
    </w:pPr>
    <w:rPr>
      <w:kern w:val="0"/>
      <w:sz w:val="24"/>
      <w:szCs w:val="20"/>
    </w:rPr>
  </w:style>
  <w:style w:type="paragraph" w:styleId="23">
    <w:name w:val="index 4"/>
    <w:basedOn w:val="1"/>
    <w:next w:val="1"/>
    <w:semiHidden/>
    <w:qFormat/>
    <w:uiPriority w:val="99"/>
    <w:pPr>
      <w:ind w:left="600" w:leftChars="600"/>
    </w:pPr>
    <w:rPr>
      <w:szCs w:val="21"/>
    </w:rPr>
  </w:style>
  <w:style w:type="paragraph" w:styleId="24">
    <w:name w:val="toc 5"/>
    <w:basedOn w:val="1"/>
    <w:next w:val="1"/>
    <w:qFormat/>
    <w:uiPriority w:val="0"/>
    <w:pPr>
      <w:ind w:left="1680" w:leftChars="800"/>
    </w:pPr>
    <w:rPr>
      <w:rFonts w:ascii="Calibri" w:hAnsi="Calibri" w:cs="Calibri"/>
      <w:szCs w:val="21"/>
    </w:rPr>
  </w:style>
  <w:style w:type="paragraph" w:styleId="25">
    <w:name w:val="toc 3"/>
    <w:basedOn w:val="1"/>
    <w:next w:val="1"/>
    <w:qFormat/>
    <w:uiPriority w:val="0"/>
    <w:pPr>
      <w:ind w:left="840" w:leftChars="400"/>
    </w:pPr>
    <w:rPr>
      <w:szCs w:val="21"/>
    </w:rPr>
  </w:style>
  <w:style w:type="paragraph" w:styleId="26">
    <w:name w:val="Plain Text"/>
    <w:basedOn w:val="1"/>
    <w:next w:val="5"/>
    <w:link w:val="103"/>
    <w:qFormat/>
    <w:uiPriority w:val="0"/>
    <w:rPr>
      <w:rFonts w:ascii="宋体" w:hAnsi="Courier New"/>
      <w:kern w:val="0"/>
      <w:sz w:val="20"/>
      <w:szCs w:val="21"/>
    </w:rPr>
  </w:style>
  <w:style w:type="paragraph" w:styleId="27">
    <w:name w:val="toc 8"/>
    <w:basedOn w:val="1"/>
    <w:next w:val="1"/>
    <w:qFormat/>
    <w:uiPriority w:val="0"/>
    <w:pPr>
      <w:ind w:left="2940" w:leftChars="1400"/>
    </w:pPr>
    <w:rPr>
      <w:rFonts w:ascii="Calibri" w:hAnsi="Calibri" w:cs="Calibri"/>
      <w:szCs w:val="21"/>
    </w:rPr>
  </w:style>
  <w:style w:type="paragraph" w:styleId="28">
    <w:name w:val="Date"/>
    <w:basedOn w:val="1"/>
    <w:next w:val="1"/>
    <w:link w:val="204"/>
    <w:unhideWhenUsed/>
    <w:qFormat/>
    <w:uiPriority w:val="0"/>
    <w:pPr>
      <w:ind w:left="100" w:leftChars="2500"/>
    </w:pPr>
  </w:style>
  <w:style w:type="paragraph" w:styleId="29">
    <w:name w:val="Body Text Indent 2"/>
    <w:basedOn w:val="1"/>
    <w:link w:val="74"/>
    <w:qFormat/>
    <w:uiPriority w:val="0"/>
    <w:pPr>
      <w:spacing w:after="120" w:line="480" w:lineRule="auto"/>
      <w:ind w:left="420" w:leftChars="200"/>
    </w:pPr>
    <w:rPr>
      <w:sz w:val="24"/>
    </w:rPr>
  </w:style>
  <w:style w:type="paragraph" w:styleId="30">
    <w:name w:val="Balloon Text"/>
    <w:basedOn w:val="1"/>
    <w:link w:val="211"/>
    <w:qFormat/>
    <w:uiPriority w:val="0"/>
    <w:rPr>
      <w:sz w:val="18"/>
      <w:szCs w:val="18"/>
    </w:rPr>
  </w:style>
  <w:style w:type="paragraph" w:styleId="31">
    <w:name w:val="footer"/>
    <w:basedOn w:val="1"/>
    <w:link w:val="101"/>
    <w:unhideWhenUsed/>
    <w:qFormat/>
    <w:uiPriority w:val="99"/>
    <w:pPr>
      <w:tabs>
        <w:tab w:val="center" w:pos="4153"/>
        <w:tab w:val="right" w:pos="8306"/>
      </w:tabs>
      <w:snapToGrid w:val="0"/>
      <w:jc w:val="left"/>
    </w:pPr>
    <w:rPr>
      <w:kern w:val="0"/>
      <w:sz w:val="18"/>
      <w:szCs w:val="18"/>
    </w:rPr>
  </w:style>
  <w:style w:type="paragraph" w:styleId="32">
    <w:name w:val="header"/>
    <w:basedOn w:val="1"/>
    <w:link w:val="16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3">
    <w:name w:val="toc 1"/>
    <w:basedOn w:val="1"/>
    <w:next w:val="1"/>
    <w:unhideWhenUsed/>
    <w:qFormat/>
    <w:uiPriority w:val="0"/>
  </w:style>
  <w:style w:type="paragraph" w:styleId="34">
    <w:name w:val="toc 4"/>
    <w:basedOn w:val="1"/>
    <w:next w:val="1"/>
    <w:qFormat/>
    <w:uiPriority w:val="0"/>
    <w:pPr>
      <w:ind w:left="1260" w:leftChars="600"/>
    </w:pPr>
    <w:rPr>
      <w:rFonts w:ascii="Calibri" w:hAnsi="Calibri" w:cs="Calibri"/>
      <w:szCs w:val="21"/>
    </w:rPr>
  </w:style>
  <w:style w:type="paragraph" w:styleId="35">
    <w:name w:val="Subtitle"/>
    <w:basedOn w:val="1"/>
    <w:next w:val="1"/>
    <w:link w:val="134"/>
    <w:qFormat/>
    <w:uiPriority w:val="11"/>
    <w:pPr>
      <w:spacing w:before="240" w:after="60" w:line="312" w:lineRule="auto"/>
      <w:jc w:val="center"/>
      <w:outlineLvl w:val="1"/>
    </w:pPr>
    <w:rPr>
      <w:rFonts w:ascii="Cambria" w:hAnsi="Cambria"/>
      <w:b/>
      <w:bCs/>
      <w:kern w:val="28"/>
      <w:sz w:val="32"/>
      <w:szCs w:val="32"/>
    </w:rPr>
  </w:style>
  <w:style w:type="paragraph" w:styleId="36">
    <w:name w:val="footnote text"/>
    <w:basedOn w:val="1"/>
    <w:link w:val="178"/>
    <w:qFormat/>
    <w:uiPriority w:val="0"/>
    <w:pPr>
      <w:adjustRightInd w:val="0"/>
      <w:spacing w:line="312" w:lineRule="atLeast"/>
      <w:jc w:val="left"/>
      <w:textAlignment w:val="baseline"/>
    </w:pPr>
    <w:rPr>
      <w:kern w:val="0"/>
      <w:sz w:val="18"/>
      <w:szCs w:val="18"/>
    </w:rPr>
  </w:style>
  <w:style w:type="paragraph" w:styleId="37">
    <w:name w:val="toc 6"/>
    <w:basedOn w:val="1"/>
    <w:next w:val="1"/>
    <w:qFormat/>
    <w:uiPriority w:val="0"/>
    <w:pPr>
      <w:ind w:left="2100" w:leftChars="1000"/>
    </w:pPr>
    <w:rPr>
      <w:rFonts w:ascii="Calibri" w:hAnsi="Calibri" w:cs="Calibri"/>
      <w:szCs w:val="21"/>
    </w:rPr>
  </w:style>
  <w:style w:type="paragraph" w:styleId="38">
    <w:name w:val="Body Text Indent 3"/>
    <w:basedOn w:val="1"/>
    <w:link w:val="142"/>
    <w:unhideWhenUsed/>
    <w:qFormat/>
    <w:uiPriority w:val="0"/>
    <w:pPr>
      <w:adjustRightInd w:val="0"/>
      <w:spacing w:line="360" w:lineRule="auto"/>
      <w:ind w:firstLine="527"/>
    </w:pPr>
    <w:rPr>
      <w:kern w:val="0"/>
      <w:sz w:val="28"/>
      <w:szCs w:val="20"/>
    </w:rPr>
  </w:style>
  <w:style w:type="paragraph" w:styleId="39">
    <w:name w:val="toc 2"/>
    <w:basedOn w:val="1"/>
    <w:next w:val="1"/>
    <w:unhideWhenUsed/>
    <w:qFormat/>
    <w:uiPriority w:val="0"/>
    <w:pPr>
      <w:tabs>
        <w:tab w:val="right" w:leader="dot" w:pos="8296"/>
      </w:tabs>
      <w:ind w:left="420" w:leftChars="200"/>
    </w:pPr>
  </w:style>
  <w:style w:type="paragraph" w:styleId="40">
    <w:name w:val="toc 9"/>
    <w:basedOn w:val="1"/>
    <w:next w:val="1"/>
    <w:qFormat/>
    <w:uiPriority w:val="0"/>
    <w:pPr>
      <w:ind w:left="3360" w:leftChars="1600"/>
    </w:pPr>
    <w:rPr>
      <w:rFonts w:ascii="Calibri" w:hAnsi="Calibri" w:cs="Calibri"/>
      <w:szCs w:val="21"/>
    </w:rPr>
  </w:style>
  <w:style w:type="paragraph" w:styleId="41">
    <w:name w:val="HTML Preformatted"/>
    <w:basedOn w:val="1"/>
    <w:link w:val="16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2">
    <w:name w:val="Normal (Web)"/>
    <w:basedOn w:val="1"/>
    <w:unhideWhenUsed/>
    <w:qFormat/>
    <w:uiPriority w:val="0"/>
    <w:rPr>
      <w:rFonts w:ascii="Calibri" w:hAnsi="Calibri"/>
      <w:kern w:val="0"/>
      <w:sz w:val="24"/>
    </w:rPr>
  </w:style>
  <w:style w:type="paragraph" w:styleId="43">
    <w:name w:val="index 1"/>
    <w:basedOn w:val="1"/>
    <w:next w:val="1"/>
    <w:unhideWhenUsed/>
    <w:qFormat/>
    <w:uiPriority w:val="0"/>
    <w:pPr>
      <w:adjustRightInd w:val="0"/>
      <w:spacing w:line="312" w:lineRule="atLeast"/>
    </w:pPr>
    <w:rPr>
      <w:kern w:val="0"/>
      <w:szCs w:val="20"/>
    </w:rPr>
  </w:style>
  <w:style w:type="paragraph" w:styleId="44">
    <w:name w:val="Title"/>
    <w:basedOn w:val="1"/>
    <w:next w:val="1"/>
    <w:link w:val="198"/>
    <w:qFormat/>
    <w:uiPriority w:val="0"/>
    <w:pPr>
      <w:spacing w:before="240" w:after="60"/>
      <w:jc w:val="center"/>
      <w:outlineLvl w:val="0"/>
    </w:pPr>
    <w:rPr>
      <w:rFonts w:ascii="Cambria" w:hAnsi="Cambria"/>
      <w:b/>
      <w:bCs/>
      <w:sz w:val="32"/>
      <w:szCs w:val="32"/>
    </w:rPr>
  </w:style>
  <w:style w:type="paragraph" w:styleId="45">
    <w:name w:val="annotation subject"/>
    <w:basedOn w:val="17"/>
    <w:next w:val="17"/>
    <w:link w:val="176"/>
    <w:qFormat/>
    <w:uiPriority w:val="0"/>
    <w:rPr>
      <w:b/>
      <w:bCs/>
    </w:rPr>
  </w:style>
  <w:style w:type="table" w:styleId="47">
    <w:name w:val="Table Grid"/>
    <w:basedOn w:val="4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endnote reference"/>
    <w:unhideWhenUsed/>
    <w:qFormat/>
    <w:uiPriority w:val="99"/>
    <w:rPr>
      <w:vertAlign w:val="superscript"/>
    </w:rPr>
  </w:style>
  <w:style w:type="character" w:styleId="51">
    <w:name w:val="page number"/>
    <w:qFormat/>
    <w:uiPriority w:val="99"/>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TML Definition"/>
    <w:basedOn w:val="48"/>
    <w:unhideWhenUsed/>
    <w:qFormat/>
    <w:uiPriority w:val="0"/>
  </w:style>
  <w:style w:type="character" w:styleId="55">
    <w:name w:val="HTML Typewriter"/>
    <w:basedOn w:val="48"/>
    <w:unhideWhenUsed/>
    <w:qFormat/>
    <w:uiPriority w:val="0"/>
    <w:rPr>
      <w:rFonts w:hint="default" w:ascii="Courier New" w:hAnsi="Courier New" w:eastAsia="Courier New" w:cs="Courier New"/>
      <w:sz w:val="24"/>
      <w:szCs w:val="24"/>
    </w:rPr>
  </w:style>
  <w:style w:type="character" w:styleId="56">
    <w:name w:val="HTML Variable"/>
    <w:basedOn w:val="48"/>
    <w:unhideWhenUsed/>
    <w:qFormat/>
    <w:uiPriority w:val="0"/>
    <w:rPr>
      <w:vanish/>
      <w:bdr w:val="single" w:color="DCDCDC" w:sz="6" w:space="0"/>
    </w:rPr>
  </w:style>
  <w:style w:type="character" w:styleId="57">
    <w:name w:val="Hyperlink"/>
    <w:unhideWhenUsed/>
    <w:qFormat/>
    <w:uiPriority w:val="0"/>
    <w:rPr>
      <w:color w:val="0000FF"/>
      <w:u w:val="single"/>
    </w:rPr>
  </w:style>
  <w:style w:type="character" w:styleId="58">
    <w:name w:val="HTML Code"/>
    <w:basedOn w:val="48"/>
    <w:unhideWhenUsed/>
    <w:qFormat/>
    <w:uiPriority w:val="0"/>
    <w:rPr>
      <w:rFonts w:hint="default" w:ascii="Courier New" w:hAnsi="Courier New" w:eastAsia="Courier New" w:cs="Courier New"/>
      <w:sz w:val="24"/>
      <w:szCs w:val="24"/>
    </w:rPr>
  </w:style>
  <w:style w:type="character" w:styleId="59">
    <w:name w:val="annotation reference"/>
    <w:qFormat/>
    <w:uiPriority w:val="99"/>
    <w:rPr>
      <w:sz w:val="21"/>
      <w:szCs w:val="21"/>
    </w:rPr>
  </w:style>
  <w:style w:type="character" w:styleId="60">
    <w:name w:val="HTML Cite"/>
    <w:basedOn w:val="48"/>
    <w:unhideWhenUsed/>
    <w:qFormat/>
    <w:uiPriority w:val="0"/>
  </w:style>
  <w:style w:type="character" w:styleId="61">
    <w:name w:val="footnote reference"/>
    <w:basedOn w:val="48"/>
    <w:unhideWhenUsed/>
    <w:qFormat/>
    <w:uiPriority w:val="0"/>
    <w:rPr>
      <w:vertAlign w:val="superscript"/>
    </w:rPr>
  </w:style>
  <w:style w:type="character" w:styleId="62">
    <w:name w:val="HTML Keyboard"/>
    <w:basedOn w:val="48"/>
    <w:unhideWhenUsed/>
    <w:qFormat/>
    <w:uiPriority w:val="0"/>
    <w:rPr>
      <w:rFonts w:hint="default" w:ascii="Courier New" w:hAnsi="Courier New" w:eastAsia="Courier New" w:cs="Courier New"/>
      <w:sz w:val="24"/>
      <w:szCs w:val="24"/>
    </w:rPr>
  </w:style>
  <w:style w:type="character" w:styleId="63">
    <w:name w:val="HTML Sample"/>
    <w:basedOn w:val="48"/>
    <w:unhideWhenUsed/>
    <w:qFormat/>
    <w:uiPriority w:val="0"/>
    <w:rPr>
      <w:rFonts w:hint="default" w:ascii="Courier New" w:hAnsi="Courier New" w:eastAsia="Courier New" w:cs="Courier New"/>
    </w:rPr>
  </w:style>
  <w:style w:type="paragraph" w:styleId="6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65">
    <w:name w:val="批注文字 Char1"/>
    <w:link w:val="17"/>
    <w:qFormat/>
    <w:uiPriority w:val="99"/>
    <w:rPr>
      <w:rFonts w:ascii="Times New Roman" w:hAnsi="Times New Roman"/>
      <w:kern w:val="2"/>
      <w:sz w:val="21"/>
      <w:szCs w:val="24"/>
    </w:rPr>
  </w:style>
  <w:style w:type="character" w:customStyle="1" w:styleId="66">
    <w:name w:val="正文文本缩进 Char1"/>
    <w:basedOn w:val="48"/>
    <w:semiHidden/>
    <w:qFormat/>
    <w:locked/>
    <w:uiPriority w:val="0"/>
    <w:rPr>
      <w:kern w:val="2"/>
      <w:sz w:val="21"/>
      <w:szCs w:val="24"/>
    </w:rPr>
  </w:style>
  <w:style w:type="character" w:customStyle="1" w:styleId="67">
    <w:name w:val="Body text|2_"/>
    <w:link w:val="68"/>
    <w:qFormat/>
    <w:uiPriority w:val="0"/>
    <w:rPr>
      <w:sz w:val="21"/>
    </w:rPr>
  </w:style>
  <w:style w:type="paragraph" w:customStyle="1" w:styleId="68">
    <w:name w:val="Body text|2"/>
    <w:basedOn w:val="1"/>
    <w:link w:val="67"/>
    <w:qFormat/>
    <w:uiPriority w:val="0"/>
    <w:pPr>
      <w:spacing w:after="30"/>
      <w:ind w:firstLine="420"/>
      <w:jc w:val="left"/>
    </w:pPr>
    <w:rPr>
      <w:kern w:val="0"/>
      <w:szCs w:val="20"/>
    </w:rPr>
  </w:style>
  <w:style w:type="character" w:customStyle="1" w:styleId="69">
    <w:name w:val="标题 8 Char"/>
    <w:qFormat/>
    <w:uiPriority w:val="0"/>
    <w:rPr>
      <w:rFonts w:ascii="Arial" w:hAnsi="Arial" w:eastAsia="黑体"/>
      <w:kern w:val="2"/>
      <w:sz w:val="24"/>
      <w:szCs w:val="24"/>
    </w:rPr>
  </w:style>
  <w:style w:type="character" w:customStyle="1" w:styleId="70">
    <w:name w:val="Comment Text Char1"/>
    <w:qFormat/>
    <w:uiPriority w:val="99"/>
    <w:rPr>
      <w:sz w:val="24"/>
      <w:szCs w:val="24"/>
    </w:rPr>
  </w:style>
  <w:style w:type="character" w:customStyle="1" w:styleId="71">
    <w:name w:val="Char Char19"/>
    <w:qFormat/>
    <w:uiPriority w:val="99"/>
    <w:rPr>
      <w:rFonts w:ascii="Arial" w:hAnsi="Arial" w:eastAsia="宋体" w:cs="Arial"/>
      <w:b/>
      <w:bCs/>
      <w:sz w:val="28"/>
      <w:szCs w:val="28"/>
    </w:rPr>
  </w:style>
  <w:style w:type="character" w:styleId="72">
    <w:name w:val="Placeholder Text"/>
    <w:unhideWhenUsed/>
    <w:qFormat/>
    <w:uiPriority w:val="99"/>
    <w:rPr>
      <w:color w:val="808080"/>
    </w:rPr>
  </w:style>
  <w:style w:type="character" w:customStyle="1" w:styleId="73">
    <w:name w:val="apple-converted-space"/>
    <w:basedOn w:val="48"/>
    <w:qFormat/>
    <w:uiPriority w:val="0"/>
  </w:style>
  <w:style w:type="character" w:customStyle="1" w:styleId="74">
    <w:name w:val="正文文本缩进 2 Char"/>
    <w:basedOn w:val="48"/>
    <w:link w:val="29"/>
    <w:qFormat/>
    <w:uiPriority w:val="0"/>
    <w:rPr>
      <w:kern w:val="2"/>
      <w:sz w:val="24"/>
      <w:szCs w:val="24"/>
    </w:rPr>
  </w:style>
  <w:style w:type="character" w:customStyle="1" w:styleId="75">
    <w:name w:val="Heading 5 Char"/>
    <w:qFormat/>
    <w:uiPriority w:val="99"/>
    <w:rPr>
      <w:rFonts w:eastAsia="宋体"/>
      <w:b/>
      <w:bCs/>
      <w:kern w:val="2"/>
      <w:sz w:val="28"/>
      <w:szCs w:val="28"/>
      <w:lang w:val="en-US" w:eastAsia="zh-CN"/>
    </w:rPr>
  </w:style>
  <w:style w:type="character" w:customStyle="1" w:styleId="76">
    <w:name w:val="正文呀2 Char"/>
    <w:basedOn w:val="77"/>
    <w:link w:val="79"/>
    <w:qFormat/>
    <w:locked/>
    <w:uiPriority w:val="0"/>
    <w:rPr>
      <w:rFonts w:ascii="宋体" w:hAnsi="宋体"/>
      <w:szCs w:val="21"/>
    </w:rPr>
  </w:style>
  <w:style w:type="character" w:customStyle="1" w:styleId="77">
    <w:name w:val="正文呀 Char"/>
    <w:link w:val="78"/>
    <w:qFormat/>
    <w:locked/>
    <w:uiPriority w:val="0"/>
    <w:rPr>
      <w:rFonts w:ascii="宋体" w:hAnsi="宋体"/>
      <w:szCs w:val="21"/>
    </w:rPr>
  </w:style>
  <w:style w:type="paragraph" w:customStyle="1" w:styleId="78">
    <w:name w:val="正文呀"/>
    <w:basedOn w:val="1"/>
    <w:link w:val="77"/>
    <w:qFormat/>
    <w:uiPriority w:val="0"/>
    <w:pPr>
      <w:adjustRightInd w:val="0"/>
      <w:spacing w:line="420" w:lineRule="exact"/>
      <w:ind w:firstLine="420" w:firstLineChars="200"/>
    </w:pPr>
    <w:rPr>
      <w:rFonts w:ascii="宋体" w:hAnsi="宋体"/>
      <w:kern w:val="0"/>
      <w:sz w:val="20"/>
      <w:szCs w:val="21"/>
    </w:rPr>
  </w:style>
  <w:style w:type="paragraph" w:customStyle="1" w:styleId="79">
    <w:name w:val="正文呀2"/>
    <w:basedOn w:val="78"/>
    <w:link w:val="76"/>
    <w:qFormat/>
    <w:uiPriority w:val="0"/>
  </w:style>
  <w:style w:type="character" w:customStyle="1" w:styleId="80">
    <w:name w:val="Document Map Char"/>
    <w:qFormat/>
    <w:uiPriority w:val="99"/>
    <w:rPr>
      <w:rFonts w:eastAsia="宋体"/>
      <w:kern w:val="2"/>
      <w:sz w:val="24"/>
      <w:szCs w:val="24"/>
      <w:lang w:val="en-US" w:eastAsia="zh-CN"/>
    </w:rPr>
  </w:style>
  <w:style w:type="character" w:customStyle="1" w:styleId="81">
    <w:name w:val="Char Char18"/>
    <w:qFormat/>
    <w:uiPriority w:val="99"/>
    <w:rPr>
      <w:rFonts w:ascii="Times New Roman" w:hAnsi="Times New Roman" w:eastAsia="宋体" w:cs="Times New Roman"/>
      <w:b/>
      <w:bCs/>
      <w:sz w:val="28"/>
      <w:szCs w:val="28"/>
    </w:rPr>
  </w:style>
  <w:style w:type="character" w:customStyle="1" w:styleId="82">
    <w:name w:val="Heading 1 Char"/>
    <w:qFormat/>
    <w:uiPriority w:val="99"/>
    <w:rPr>
      <w:rFonts w:eastAsia="宋体"/>
      <w:b/>
      <w:bCs/>
      <w:kern w:val="44"/>
      <w:sz w:val="44"/>
      <w:szCs w:val="44"/>
      <w:lang w:val="en-US" w:eastAsia="zh-CN"/>
    </w:rPr>
  </w:style>
  <w:style w:type="character" w:customStyle="1" w:styleId="83">
    <w:name w:val="ca-51"/>
    <w:qFormat/>
    <w:uiPriority w:val="0"/>
    <w:rPr>
      <w:rFonts w:hint="eastAsia" w:ascii="宋体" w:hAnsi="宋体" w:eastAsia="宋体" w:cs="Times New Roman"/>
      <w:color w:val="E60000"/>
      <w:sz w:val="20"/>
      <w:szCs w:val="20"/>
    </w:rPr>
  </w:style>
  <w:style w:type="character" w:customStyle="1" w:styleId="84">
    <w:name w:val="正文缩进 Char"/>
    <w:link w:val="7"/>
    <w:qFormat/>
    <w:uiPriority w:val="0"/>
    <w:rPr>
      <w:kern w:val="2"/>
      <w:sz w:val="21"/>
    </w:rPr>
  </w:style>
  <w:style w:type="character" w:customStyle="1" w:styleId="85">
    <w:name w:val="Heading #3|1_"/>
    <w:link w:val="86"/>
    <w:qFormat/>
    <w:uiPriority w:val="0"/>
    <w:rPr>
      <w:rFonts w:ascii="宋体" w:hAnsi="宋体" w:cs="宋体"/>
      <w:sz w:val="28"/>
      <w:szCs w:val="28"/>
      <w:lang w:val="zh-CN" w:bidi="zh-CN"/>
    </w:rPr>
  </w:style>
  <w:style w:type="paragraph" w:customStyle="1" w:styleId="86">
    <w:name w:val="Heading #3|1"/>
    <w:basedOn w:val="1"/>
    <w:link w:val="85"/>
    <w:qFormat/>
    <w:uiPriority w:val="0"/>
    <w:pPr>
      <w:spacing w:after="570"/>
      <w:jc w:val="center"/>
      <w:outlineLvl w:val="2"/>
    </w:pPr>
    <w:rPr>
      <w:rFonts w:ascii="宋体" w:hAnsi="宋体" w:cs="宋体"/>
      <w:kern w:val="0"/>
      <w:sz w:val="28"/>
      <w:szCs w:val="28"/>
      <w:lang w:val="zh-CN" w:bidi="zh-CN"/>
    </w:rPr>
  </w:style>
  <w:style w:type="character" w:customStyle="1" w:styleId="87">
    <w:name w:val="标题5 Char Char"/>
    <w:link w:val="88"/>
    <w:qFormat/>
    <w:locked/>
    <w:uiPriority w:val="99"/>
    <w:rPr>
      <w:rFonts w:ascii="Arial" w:hAnsi="Arial" w:cs="Arial"/>
      <w:b/>
      <w:bCs/>
      <w:sz w:val="32"/>
      <w:szCs w:val="32"/>
    </w:rPr>
  </w:style>
  <w:style w:type="paragraph" w:customStyle="1" w:styleId="88">
    <w:name w:val="标题5"/>
    <w:basedOn w:val="4"/>
    <w:link w:val="87"/>
    <w:qFormat/>
    <w:uiPriority w:val="99"/>
    <w:pPr>
      <w:spacing w:line="413" w:lineRule="auto"/>
    </w:pPr>
    <w:rPr>
      <w:rFonts w:ascii="Arial" w:hAnsi="Arial"/>
      <w:kern w:val="0"/>
    </w:rPr>
  </w:style>
  <w:style w:type="character" w:customStyle="1" w:styleId="89">
    <w:name w:val="正文文本 Char1"/>
    <w:link w:val="19"/>
    <w:qFormat/>
    <w:uiPriority w:val="0"/>
    <w:rPr>
      <w:rFonts w:ascii="Times New Roman" w:hAnsi="Times New Roman"/>
      <w:kern w:val="2"/>
      <w:sz w:val="21"/>
      <w:szCs w:val="24"/>
    </w:rPr>
  </w:style>
  <w:style w:type="character" w:customStyle="1" w:styleId="90">
    <w:name w:val="明显强调1"/>
    <w:qFormat/>
    <w:uiPriority w:val="99"/>
    <w:rPr>
      <w:b/>
      <w:bCs/>
      <w:i/>
      <w:iCs/>
      <w:color w:val="4F81BD"/>
    </w:rPr>
  </w:style>
  <w:style w:type="character" w:customStyle="1" w:styleId="91">
    <w:name w:val="Char Char24"/>
    <w:qFormat/>
    <w:uiPriority w:val="99"/>
    <w:rPr>
      <w:rFonts w:eastAsia="宋体"/>
      <w:b/>
      <w:bCs/>
      <w:kern w:val="44"/>
      <w:sz w:val="44"/>
      <w:szCs w:val="44"/>
      <w:lang w:val="en-US" w:eastAsia="zh-CN"/>
    </w:rPr>
  </w:style>
  <w:style w:type="character" w:customStyle="1" w:styleId="92">
    <w:name w:val="ca-71"/>
    <w:qFormat/>
    <w:uiPriority w:val="0"/>
    <w:rPr>
      <w:rFonts w:hint="eastAsia" w:ascii="宋体" w:hAnsi="宋体" w:eastAsia="宋体" w:cs="Times New Roman"/>
      <w:color w:val="000000"/>
      <w:sz w:val="12"/>
      <w:szCs w:val="12"/>
    </w:rPr>
  </w:style>
  <w:style w:type="character" w:customStyle="1" w:styleId="93">
    <w:name w:val="书籍标题1"/>
    <w:qFormat/>
    <w:uiPriority w:val="99"/>
    <w:rPr>
      <w:b/>
      <w:bCs/>
      <w:smallCaps/>
      <w:spacing w:val="5"/>
    </w:rPr>
  </w:style>
  <w:style w:type="character" w:customStyle="1" w:styleId="94">
    <w:name w:val="ca-41"/>
    <w:qFormat/>
    <w:uiPriority w:val="0"/>
    <w:rPr>
      <w:rFonts w:hint="eastAsia" w:ascii="宋体" w:hAnsi="宋体" w:eastAsia="宋体" w:cs="Times New Roman"/>
      <w:color w:val="000000"/>
      <w:sz w:val="20"/>
      <w:szCs w:val="20"/>
    </w:rPr>
  </w:style>
  <w:style w:type="character" w:customStyle="1" w:styleId="95">
    <w:name w:val="不明显强调1"/>
    <w:qFormat/>
    <w:uiPriority w:val="99"/>
    <w:rPr>
      <w:i/>
      <w:iCs/>
      <w:color w:val="808080"/>
    </w:rPr>
  </w:style>
  <w:style w:type="character" w:customStyle="1" w:styleId="96">
    <w:name w:val="标题 1 字符1"/>
    <w:qFormat/>
    <w:uiPriority w:val="0"/>
    <w:rPr>
      <w:b/>
      <w:bCs/>
      <w:kern w:val="44"/>
      <w:sz w:val="44"/>
      <w:szCs w:val="44"/>
    </w:rPr>
  </w:style>
  <w:style w:type="character" w:customStyle="1" w:styleId="97">
    <w:name w:val="Body Text Indent 2 Char"/>
    <w:qFormat/>
    <w:uiPriority w:val="99"/>
    <w:rPr>
      <w:rFonts w:eastAsia="宋体"/>
      <w:kern w:val="2"/>
      <w:sz w:val="24"/>
      <w:szCs w:val="24"/>
      <w:lang w:val="en-US" w:eastAsia="zh-CN"/>
    </w:rPr>
  </w:style>
  <w:style w:type="character" w:customStyle="1" w:styleId="98">
    <w:name w:val="普通文字 Char Char3"/>
    <w:qFormat/>
    <w:uiPriority w:val="0"/>
    <w:rPr>
      <w:rFonts w:hint="eastAsia" w:ascii="宋体" w:hAnsi="Courier New" w:eastAsia="宋体"/>
      <w:kern w:val="2"/>
      <w:sz w:val="21"/>
      <w:lang w:val="en-US" w:eastAsia="zh-CN" w:bidi="ar-SA"/>
    </w:rPr>
  </w:style>
  <w:style w:type="character" w:customStyle="1" w:styleId="99">
    <w:name w:val="标题 Char2"/>
    <w:qFormat/>
    <w:uiPriority w:val="99"/>
    <w:rPr>
      <w:rFonts w:ascii="Cambria" w:hAnsi="Cambria" w:eastAsia="宋体" w:cs="Cambria"/>
      <w:b/>
      <w:bCs/>
      <w:sz w:val="32"/>
      <w:szCs w:val="32"/>
    </w:rPr>
  </w:style>
  <w:style w:type="character" w:customStyle="1" w:styleId="100">
    <w:name w:val="标题 2 Char"/>
    <w:qFormat/>
    <w:uiPriority w:val="0"/>
    <w:rPr>
      <w:rFonts w:ascii="Cambria" w:hAnsi="Cambria" w:eastAsia="宋体" w:cs="Times New Roman"/>
      <w:b/>
      <w:bCs/>
      <w:kern w:val="2"/>
      <w:sz w:val="32"/>
      <w:szCs w:val="32"/>
    </w:rPr>
  </w:style>
  <w:style w:type="character" w:customStyle="1" w:styleId="101">
    <w:name w:val="页脚 Char"/>
    <w:link w:val="31"/>
    <w:qFormat/>
    <w:uiPriority w:val="99"/>
    <w:rPr>
      <w:sz w:val="18"/>
      <w:szCs w:val="18"/>
    </w:rPr>
  </w:style>
  <w:style w:type="character" w:customStyle="1" w:styleId="102">
    <w:name w:val="批注主题 Char1"/>
    <w:qFormat/>
    <w:uiPriority w:val="99"/>
    <w:rPr>
      <w:rFonts w:ascii="Times New Roman" w:hAnsi="Times New Roman" w:eastAsia="宋体" w:cs="Times New Roman"/>
      <w:b/>
      <w:bCs/>
      <w:sz w:val="24"/>
      <w:szCs w:val="24"/>
    </w:rPr>
  </w:style>
  <w:style w:type="character" w:customStyle="1" w:styleId="103">
    <w:name w:val="纯文本 Char1"/>
    <w:link w:val="26"/>
    <w:qFormat/>
    <w:uiPriority w:val="0"/>
    <w:rPr>
      <w:rFonts w:ascii="宋体" w:hAnsi="Courier New" w:eastAsia="宋体" w:cs="Courier New"/>
      <w:szCs w:val="21"/>
    </w:rPr>
  </w:style>
  <w:style w:type="character" w:customStyle="1" w:styleId="104">
    <w:name w:val="Heading #2|1_"/>
    <w:link w:val="105"/>
    <w:qFormat/>
    <w:uiPriority w:val="0"/>
    <w:rPr>
      <w:rFonts w:ascii="宋体" w:hAnsi="宋体" w:cs="宋体"/>
      <w:sz w:val="34"/>
      <w:szCs w:val="34"/>
      <w:lang w:val="zh-CN" w:bidi="zh-CN"/>
    </w:rPr>
  </w:style>
  <w:style w:type="paragraph" w:customStyle="1" w:styleId="105">
    <w:name w:val="Heading #2|1"/>
    <w:basedOn w:val="1"/>
    <w:link w:val="104"/>
    <w:qFormat/>
    <w:uiPriority w:val="0"/>
    <w:pPr>
      <w:spacing w:after="900"/>
      <w:jc w:val="center"/>
      <w:outlineLvl w:val="1"/>
    </w:pPr>
    <w:rPr>
      <w:rFonts w:ascii="宋体" w:hAnsi="宋体" w:cs="宋体"/>
      <w:kern w:val="0"/>
      <w:sz w:val="34"/>
      <w:szCs w:val="34"/>
      <w:lang w:val="zh-CN" w:bidi="zh-CN"/>
    </w:rPr>
  </w:style>
  <w:style w:type="character" w:customStyle="1" w:styleId="106">
    <w:name w:val="Body text|7_"/>
    <w:link w:val="107"/>
    <w:qFormat/>
    <w:uiPriority w:val="0"/>
    <w:rPr>
      <w:rFonts w:ascii="Courier New" w:hAnsi="Courier New" w:eastAsia="Courier New" w:cs="Courier New"/>
      <w:b/>
      <w:bCs/>
      <w:sz w:val="8"/>
      <w:szCs w:val="8"/>
      <w:lang w:val="zh-CN"/>
    </w:rPr>
  </w:style>
  <w:style w:type="paragraph" w:customStyle="1" w:styleId="107">
    <w:name w:val="Body text|7"/>
    <w:basedOn w:val="1"/>
    <w:link w:val="106"/>
    <w:qFormat/>
    <w:uiPriority w:val="0"/>
    <w:pPr>
      <w:ind w:hanging="1760"/>
      <w:jc w:val="left"/>
    </w:pPr>
    <w:rPr>
      <w:rFonts w:ascii="Courier New" w:hAnsi="Courier New" w:eastAsia="Courier New"/>
      <w:b/>
      <w:bCs/>
      <w:kern w:val="0"/>
      <w:sz w:val="8"/>
      <w:szCs w:val="8"/>
      <w:lang w:val="zh-CN"/>
    </w:rPr>
  </w:style>
  <w:style w:type="character" w:customStyle="1" w:styleId="108">
    <w:name w:val="Heading 3 Char"/>
    <w:qFormat/>
    <w:uiPriority w:val="99"/>
    <w:rPr>
      <w:b/>
      <w:bCs/>
      <w:kern w:val="2"/>
      <w:sz w:val="32"/>
      <w:szCs w:val="32"/>
    </w:rPr>
  </w:style>
  <w:style w:type="character" w:customStyle="1" w:styleId="109">
    <w:name w:val="正文文本 Char"/>
    <w:qFormat/>
    <w:uiPriority w:val="0"/>
    <w:rPr>
      <w:rFonts w:ascii="Times New Roman" w:hAnsi="Times New Roman"/>
      <w:kern w:val="2"/>
      <w:sz w:val="21"/>
      <w:szCs w:val="24"/>
    </w:rPr>
  </w:style>
  <w:style w:type="character" w:customStyle="1" w:styleId="110">
    <w:name w:val="正文文本 字符"/>
    <w:qFormat/>
    <w:uiPriority w:val="0"/>
    <w:rPr>
      <w:rFonts w:ascii="Times New Roman" w:hAnsi="Times New Roman"/>
      <w:kern w:val="2"/>
      <w:sz w:val="21"/>
      <w:szCs w:val="24"/>
    </w:rPr>
  </w:style>
  <w:style w:type="character" w:customStyle="1" w:styleId="111">
    <w:name w:val="Balloon Text Char"/>
    <w:qFormat/>
    <w:uiPriority w:val="99"/>
    <w:rPr>
      <w:sz w:val="18"/>
      <w:szCs w:val="18"/>
    </w:rPr>
  </w:style>
  <w:style w:type="character" w:customStyle="1" w:styleId="112">
    <w:name w:val="Footnote Text Char"/>
    <w:qFormat/>
    <w:uiPriority w:val="99"/>
    <w:rPr>
      <w:rFonts w:eastAsia="宋体"/>
      <w:sz w:val="18"/>
      <w:szCs w:val="18"/>
      <w:lang w:val="en-US" w:eastAsia="zh-CN"/>
    </w:rPr>
  </w:style>
  <w:style w:type="character" w:customStyle="1" w:styleId="113">
    <w:name w:val="列出段落 Char"/>
    <w:link w:val="114"/>
    <w:qFormat/>
    <w:locked/>
    <w:uiPriority w:val="0"/>
    <w:rPr>
      <w:kern w:val="2"/>
      <w:sz w:val="21"/>
      <w:szCs w:val="24"/>
    </w:rPr>
  </w:style>
  <w:style w:type="paragraph" w:styleId="114">
    <w:name w:val="List Paragraph"/>
    <w:basedOn w:val="1"/>
    <w:link w:val="113"/>
    <w:qFormat/>
    <w:uiPriority w:val="0"/>
    <w:pPr>
      <w:ind w:firstLine="420" w:firstLineChars="200"/>
    </w:pPr>
  </w:style>
  <w:style w:type="character" w:customStyle="1" w:styleId="115">
    <w:name w:val="引用 Char1"/>
    <w:qFormat/>
    <w:uiPriority w:val="99"/>
    <w:rPr>
      <w:rFonts w:ascii="Times New Roman" w:hAnsi="Times New Roman" w:eastAsia="宋体" w:cs="Times New Roman"/>
      <w:i/>
      <w:iCs/>
      <w:color w:val="000000"/>
      <w:sz w:val="24"/>
      <w:szCs w:val="24"/>
    </w:rPr>
  </w:style>
  <w:style w:type="character" w:customStyle="1" w:styleId="116">
    <w:name w:val="Title Char"/>
    <w:qFormat/>
    <w:uiPriority w:val="99"/>
    <w:rPr>
      <w:rFonts w:ascii="Cambria" w:hAnsi="Cambria" w:cs="Cambria"/>
      <w:b/>
      <w:bCs/>
      <w:sz w:val="32"/>
      <w:szCs w:val="32"/>
    </w:rPr>
  </w:style>
  <w:style w:type="character" w:customStyle="1" w:styleId="117">
    <w:name w:val="Plain Text Char"/>
    <w:qFormat/>
    <w:uiPriority w:val="99"/>
    <w:rPr>
      <w:rFonts w:ascii="宋体" w:hAnsi="Courier New" w:eastAsia="宋体" w:cs="宋体"/>
      <w:sz w:val="24"/>
      <w:szCs w:val="24"/>
    </w:rPr>
  </w:style>
  <w:style w:type="character" w:customStyle="1" w:styleId="118">
    <w:name w:val="批注文字 字符1"/>
    <w:qFormat/>
    <w:uiPriority w:val="0"/>
    <w:rPr>
      <w:rFonts w:ascii="Times New Roman" w:hAnsi="Times New Roman"/>
      <w:kern w:val="2"/>
      <w:sz w:val="21"/>
      <w:szCs w:val="24"/>
    </w:rPr>
  </w:style>
  <w:style w:type="character" w:customStyle="1" w:styleId="119">
    <w:name w:val="纯文本 字符2"/>
    <w:qFormat/>
    <w:uiPriority w:val="0"/>
    <w:rPr>
      <w:rFonts w:ascii="宋体" w:hAnsi="Courier New" w:eastAsia="宋体" w:cs="Courier New"/>
      <w:szCs w:val="21"/>
    </w:rPr>
  </w:style>
  <w:style w:type="character" w:customStyle="1" w:styleId="120">
    <w:name w:val="纯文本 Char2"/>
    <w:qFormat/>
    <w:uiPriority w:val="0"/>
    <w:rPr>
      <w:rFonts w:hint="eastAsia" w:ascii="宋体" w:hAnsi="Courier New" w:eastAsia="宋体" w:cs="宋体"/>
      <w:kern w:val="0"/>
      <w:sz w:val="20"/>
      <w:szCs w:val="20"/>
    </w:rPr>
  </w:style>
  <w:style w:type="character" w:customStyle="1" w:styleId="121">
    <w:name w:val="不明显参考1"/>
    <w:qFormat/>
    <w:uiPriority w:val="99"/>
    <w:rPr>
      <w:smallCaps/>
      <w:color w:val="auto"/>
      <w:u w:val="single"/>
    </w:rPr>
  </w:style>
  <w:style w:type="character" w:customStyle="1" w:styleId="122">
    <w:name w:val="页脚 Char1"/>
    <w:qFormat/>
    <w:locked/>
    <w:uiPriority w:val="0"/>
    <w:rPr>
      <w:sz w:val="18"/>
      <w:szCs w:val="18"/>
    </w:rPr>
  </w:style>
  <w:style w:type="character" w:customStyle="1" w:styleId="123">
    <w:name w:val="Char Char20"/>
    <w:qFormat/>
    <w:uiPriority w:val="99"/>
    <w:rPr>
      <w:rFonts w:ascii="Times New Roman" w:hAnsi="Times New Roman" w:eastAsia="宋体" w:cs="Times New Roman"/>
      <w:b/>
      <w:bCs/>
      <w:sz w:val="32"/>
      <w:szCs w:val="32"/>
    </w:rPr>
  </w:style>
  <w:style w:type="character" w:customStyle="1" w:styleId="124">
    <w:name w:val="Char Char23"/>
    <w:qFormat/>
    <w:uiPriority w:val="99"/>
    <w:rPr>
      <w:rFonts w:eastAsia="宋体"/>
      <w:b/>
      <w:bCs/>
      <w:kern w:val="44"/>
      <w:sz w:val="44"/>
      <w:szCs w:val="44"/>
      <w:lang w:val="en-US" w:eastAsia="zh-CN"/>
    </w:rPr>
  </w:style>
  <w:style w:type="character" w:customStyle="1" w:styleId="125">
    <w:name w:val="标题 7 Char"/>
    <w:basedOn w:val="48"/>
    <w:link w:val="9"/>
    <w:qFormat/>
    <w:uiPriority w:val="0"/>
    <w:rPr>
      <w:b/>
      <w:bCs/>
      <w:sz w:val="24"/>
      <w:szCs w:val="24"/>
    </w:rPr>
  </w:style>
  <w:style w:type="character" w:customStyle="1" w:styleId="126">
    <w:name w:val="Body text|6_"/>
    <w:link w:val="127"/>
    <w:qFormat/>
    <w:uiPriority w:val="0"/>
    <w:rPr>
      <w:rFonts w:ascii="Arial" w:hAnsi="Arial" w:eastAsia="Arial" w:cs="Arial"/>
      <w:lang w:val="zh-CN"/>
    </w:rPr>
  </w:style>
  <w:style w:type="paragraph" w:customStyle="1" w:styleId="127">
    <w:name w:val="Body text|6"/>
    <w:basedOn w:val="1"/>
    <w:link w:val="126"/>
    <w:qFormat/>
    <w:uiPriority w:val="0"/>
    <w:pPr>
      <w:ind w:hanging="2220"/>
      <w:jc w:val="left"/>
    </w:pPr>
    <w:rPr>
      <w:rFonts w:ascii="Arial" w:hAnsi="Arial" w:eastAsia="Arial"/>
      <w:kern w:val="0"/>
      <w:sz w:val="20"/>
      <w:szCs w:val="20"/>
      <w:lang w:val="zh-CN"/>
    </w:rPr>
  </w:style>
  <w:style w:type="character" w:customStyle="1" w:styleId="128">
    <w:name w:val="Body text|5_"/>
    <w:link w:val="129"/>
    <w:qFormat/>
    <w:uiPriority w:val="0"/>
    <w:rPr>
      <w:rFonts w:ascii="宋体" w:hAnsi="宋体" w:cs="宋体"/>
      <w:sz w:val="52"/>
      <w:szCs w:val="52"/>
      <w:lang w:val="zh-CN" w:bidi="zh-CN"/>
    </w:rPr>
  </w:style>
  <w:style w:type="paragraph" w:customStyle="1" w:styleId="129">
    <w:name w:val="Body text|5"/>
    <w:basedOn w:val="1"/>
    <w:link w:val="128"/>
    <w:qFormat/>
    <w:uiPriority w:val="0"/>
    <w:pPr>
      <w:jc w:val="center"/>
    </w:pPr>
    <w:rPr>
      <w:rFonts w:ascii="宋体" w:hAnsi="宋体" w:cs="宋体"/>
      <w:kern w:val="0"/>
      <w:sz w:val="52"/>
      <w:szCs w:val="52"/>
      <w:lang w:val="zh-CN" w:bidi="zh-CN"/>
    </w:rPr>
  </w:style>
  <w:style w:type="character" w:customStyle="1" w:styleId="130">
    <w:name w:val="批注文字 Char Char"/>
    <w:qFormat/>
    <w:uiPriority w:val="99"/>
    <w:rPr>
      <w:rFonts w:ascii="宋体" w:hAnsi="Times New Roman" w:eastAsia="宋体" w:cs="宋体"/>
      <w:sz w:val="20"/>
      <w:szCs w:val="20"/>
    </w:rPr>
  </w:style>
  <w:style w:type="character" w:customStyle="1" w:styleId="131">
    <w:name w:val="引用 Char"/>
    <w:link w:val="132"/>
    <w:qFormat/>
    <w:locked/>
    <w:uiPriority w:val="99"/>
    <w:rPr>
      <w:i/>
      <w:iCs/>
      <w:color w:val="000000"/>
    </w:rPr>
  </w:style>
  <w:style w:type="paragraph" w:customStyle="1" w:styleId="132">
    <w:name w:val="引用1"/>
    <w:basedOn w:val="1"/>
    <w:next w:val="1"/>
    <w:link w:val="131"/>
    <w:qFormat/>
    <w:uiPriority w:val="99"/>
    <w:rPr>
      <w:i/>
      <w:iCs/>
      <w:color w:val="000000"/>
      <w:kern w:val="0"/>
      <w:sz w:val="20"/>
      <w:szCs w:val="20"/>
    </w:rPr>
  </w:style>
  <w:style w:type="character" w:customStyle="1" w:styleId="133">
    <w:name w:val="批注文字 Char2"/>
    <w:qFormat/>
    <w:uiPriority w:val="0"/>
    <w:rPr>
      <w:rFonts w:ascii="Times New Roman" w:hAnsi="Times New Roman"/>
      <w:kern w:val="2"/>
      <w:sz w:val="21"/>
      <w:szCs w:val="24"/>
    </w:rPr>
  </w:style>
  <w:style w:type="character" w:customStyle="1" w:styleId="134">
    <w:name w:val="副标题 Char"/>
    <w:basedOn w:val="48"/>
    <w:link w:val="35"/>
    <w:qFormat/>
    <w:uiPriority w:val="11"/>
    <w:rPr>
      <w:rFonts w:ascii="Cambria" w:hAnsi="Cambria"/>
      <w:b/>
      <w:bCs/>
      <w:kern w:val="28"/>
      <w:sz w:val="32"/>
      <w:szCs w:val="32"/>
    </w:rPr>
  </w:style>
  <w:style w:type="character" w:customStyle="1" w:styleId="135">
    <w:name w:val="正文文本缩进 3 Char1"/>
    <w:basedOn w:val="48"/>
    <w:semiHidden/>
    <w:qFormat/>
    <w:locked/>
    <w:uiPriority w:val="0"/>
    <w:rPr>
      <w:sz w:val="28"/>
    </w:rPr>
  </w:style>
  <w:style w:type="character" w:customStyle="1" w:styleId="136">
    <w:name w:val="textcontents"/>
    <w:qFormat/>
    <w:uiPriority w:val="0"/>
  </w:style>
  <w:style w:type="character" w:customStyle="1" w:styleId="137">
    <w:name w:val="Heading 2 Char"/>
    <w:qFormat/>
    <w:uiPriority w:val="99"/>
    <w:rPr>
      <w:rFonts w:ascii="Arial" w:hAnsi="Arial" w:eastAsia="黑体" w:cs="Arial"/>
      <w:b/>
      <w:bCs/>
      <w:kern w:val="2"/>
      <w:sz w:val="32"/>
      <w:szCs w:val="32"/>
      <w:lang w:val="en-US" w:eastAsia="zh-CN"/>
    </w:rPr>
  </w:style>
  <w:style w:type="character" w:customStyle="1" w:styleId="138">
    <w:name w:val="Char Char9"/>
    <w:qFormat/>
    <w:uiPriority w:val="0"/>
    <w:rPr>
      <w:rFonts w:eastAsia="宋体"/>
      <w:b/>
      <w:bCs/>
      <w:kern w:val="44"/>
      <w:sz w:val="44"/>
      <w:szCs w:val="44"/>
      <w:lang w:val="en-US" w:eastAsia="zh-CN"/>
    </w:rPr>
  </w:style>
  <w:style w:type="character" w:customStyle="1" w:styleId="139">
    <w:name w:val="Other|1_"/>
    <w:link w:val="140"/>
    <w:qFormat/>
    <w:uiPriority w:val="0"/>
    <w:rPr>
      <w:rFonts w:ascii="宋体" w:hAnsi="宋体" w:cs="宋体"/>
      <w:lang w:val="zh-CN" w:bidi="zh-CN"/>
    </w:rPr>
  </w:style>
  <w:style w:type="paragraph" w:customStyle="1" w:styleId="140">
    <w:name w:val="Other|1"/>
    <w:basedOn w:val="1"/>
    <w:link w:val="139"/>
    <w:qFormat/>
    <w:uiPriority w:val="0"/>
    <w:pPr>
      <w:spacing w:line="360" w:lineRule="auto"/>
      <w:ind w:firstLine="400"/>
      <w:jc w:val="left"/>
    </w:pPr>
    <w:rPr>
      <w:rFonts w:ascii="宋体" w:hAnsi="宋体" w:cs="宋体"/>
      <w:kern w:val="0"/>
      <w:sz w:val="20"/>
      <w:szCs w:val="20"/>
      <w:lang w:val="zh-CN" w:bidi="zh-CN"/>
    </w:rPr>
  </w:style>
  <w:style w:type="character" w:customStyle="1" w:styleId="141">
    <w:name w:val="标题 Char1"/>
    <w:qFormat/>
    <w:uiPriority w:val="99"/>
    <w:rPr>
      <w:rFonts w:ascii="Cambria" w:hAnsi="Cambria" w:eastAsia="宋体" w:cs="Cambria"/>
      <w:b/>
      <w:bCs/>
      <w:sz w:val="32"/>
      <w:szCs w:val="32"/>
    </w:rPr>
  </w:style>
  <w:style w:type="character" w:customStyle="1" w:styleId="142">
    <w:name w:val="正文文本缩进 3 Char"/>
    <w:basedOn w:val="48"/>
    <w:link w:val="38"/>
    <w:semiHidden/>
    <w:qFormat/>
    <w:uiPriority w:val="0"/>
    <w:rPr>
      <w:sz w:val="28"/>
    </w:rPr>
  </w:style>
  <w:style w:type="character" w:customStyle="1" w:styleId="143">
    <w:name w:val="Heading #4|1_"/>
    <w:link w:val="144"/>
    <w:qFormat/>
    <w:uiPriority w:val="0"/>
    <w:rPr>
      <w:rFonts w:ascii="宋体" w:hAnsi="宋体" w:cs="宋体"/>
      <w:lang w:val="zh-CN" w:bidi="zh-CN"/>
    </w:rPr>
  </w:style>
  <w:style w:type="paragraph" w:customStyle="1" w:styleId="144">
    <w:name w:val="Heading #4|1"/>
    <w:basedOn w:val="1"/>
    <w:link w:val="143"/>
    <w:qFormat/>
    <w:uiPriority w:val="0"/>
    <w:pPr>
      <w:spacing w:after="120"/>
      <w:jc w:val="left"/>
      <w:outlineLvl w:val="3"/>
    </w:pPr>
    <w:rPr>
      <w:rFonts w:ascii="宋体" w:hAnsi="宋体" w:cs="宋体"/>
      <w:kern w:val="0"/>
      <w:sz w:val="20"/>
      <w:szCs w:val="20"/>
      <w:lang w:val="zh-CN" w:bidi="zh-CN"/>
    </w:rPr>
  </w:style>
  <w:style w:type="character" w:customStyle="1" w:styleId="145">
    <w:name w:val="标题 5 Char"/>
    <w:link w:val="6"/>
    <w:qFormat/>
    <w:uiPriority w:val="99"/>
    <w:rPr>
      <w:rFonts w:ascii="Times New Roman" w:hAnsi="Times New Roman"/>
      <w:b/>
      <w:bCs/>
      <w:kern w:val="2"/>
      <w:sz w:val="28"/>
      <w:szCs w:val="28"/>
    </w:rPr>
  </w:style>
  <w:style w:type="character" w:customStyle="1" w:styleId="146">
    <w:name w:val="Char Char6"/>
    <w:qFormat/>
    <w:uiPriority w:val="99"/>
    <w:rPr>
      <w:rFonts w:eastAsia="宋体"/>
      <w:b/>
      <w:bCs/>
      <w:kern w:val="44"/>
      <w:sz w:val="44"/>
      <w:szCs w:val="44"/>
      <w:lang w:val="en-US" w:eastAsia="zh-CN"/>
    </w:rPr>
  </w:style>
  <w:style w:type="character" w:customStyle="1" w:styleId="147">
    <w:name w:val="文档结构图 Char1"/>
    <w:qFormat/>
    <w:uiPriority w:val="0"/>
    <w:rPr>
      <w:rFonts w:ascii="宋体" w:hAnsi="Times New Roman" w:eastAsia="宋体" w:cs="宋体"/>
      <w:sz w:val="18"/>
      <w:szCs w:val="18"/>
    </w:rPr>
  </w:style>
  <w:style w:type="character" w:customStyle="1" w:styleId="148">
    <w:name w:val="Char Char22"/>
    <w:qFormat/>
    <w:uiPriority w:val="99"/>
    <w:rPr>
      <w:rFonts w:ascii="Times New Roman" w:hAnsi="Times New Roman" w:eastAsia="宋体" w:cs="Times New Roman"/>
      <w:b/>
      <w:bCs/>
      <w:kern w:val="44"/>
      <w:sz w:val="44"/>
      <w:szCs w:val="44"/>
    </w:rPr>
  </w:style>
  <w:style w:type="character" w:customStyle="1" w:styleId="149">
    <w:name w:val="Comment Subject Char"/>
    <w:qFormat/>
    <w:uiPriority w:val="99"/>
    <w:rPr>
      <w:b/>
      <w:bCs/>
      <w:sz w:val="24"/>
      <w:szCs w:val="24"/>
    </w:rPr>
  </w:style>
  <w:style w:type="character" w:customStyle="1" w:styleId="150">
    <w:name w:val="！正文 Char Char"/>
    <w:link w:val="151"/>
    <w:qFormat/>
    <w:locked/>
    <w:uiPriority w:val="0"/>
    <w:rPr>
      <w:rFonts w:ascii="华文细黑" w:hAnsi="华文细黑" w:eastAsia="华文细黑"/>
      <w:sz w:val="24"/>
    </w:rPr>
  </w:style>
  <w:style w:type="paragraph" w:customStyle="1" w:styleId="151">
    <w:name w:val="！正文"/>
    <w:basedOn w:val="1"/>
    <w:link w:val="150"/>
    <w:qFormat/>
    <w:uiPriority w:val="0"/>
    <w:pPr>
      <w:spacing w:line="360" w:lineRule="auto"/>
      <w:ind w:firstLine="200" w:firstLineChars="200"/>
    </w:pPr>
    <w:rPr>
      <w:rFonts w:ascii="华文细黑" w:hAnsi="华文细黑" w:eastAsia="华文细黑"/>
      <w:kern w:val="0"/>
      <w:sz w:val="24"/>
      <w:szCs w:val="20"/>
    </w:rPr>
  </w:style>
  <w:style w:type="character" w:customStyle="1" w:styleId="152">
    <w:name w:val="Comment Text Char"/>
    <w:qFormat/>
    <w:uiPriority w:val="99"/>
    <w:rPr>
      <w:sz w:val="24"/>
      <w:szCs w:val="24"/>
    </w:rPr>
  </w:style>
  <w:style w:type="character" w:customStyle="1" w:styleId="153">
    <w:name w:val="正文2 Char Char"/>
    <w:link w:val="154"/>
    <w:qFormat/>
    <w:uiPriority w:val="0"/>
    <w:rPr>
      <w:kern w:val="2"/>
      <w:sz w:val="24"/>
    </w:rPr>
  </w:style>
  <w:style w:type="paragraph" w:customStyle="1" w:styleId="154">
    <w:name w:val="正文2"/>
    <w:basedOn w:val="1"/>
    <w:link w:val="153"/>
    <w:qFormat/>
    <w:uiPriority w:val="0"/>
    <w:pPr>
      <w:adjustRightInd w:val="0"/>
      <w:spacing w:before="156" w:line="360" w:lineRule="auto"/>
      <w:ind w:firstLine="510" w:firstLineChars="200"/>
    </w:pPr>
    <w:rPr>
      <w:sz w:val="24"/>
      <w:szCs w:val="20"/>
    </w:rPr>
  </w:style>
  <w:style w:type="character" w:customStyle="1" w:styleId="155">
    <w:name w:val="Table caption|1_"/>
    <w:link w:val="156"/>
    <w:qFormat/>
    <w:uiPriority w:val="0"/>
    <w:rPr>
      <w:rFonts w:ascii="宋体" w:hAnsi="宋体" w:cs="宋体"/>
      <w:lang w:val="zh-CN" w:bidi="zh-CN"/>
    </w:rPr>
  </w:style>
  <w:style w:type="paragraph" w:customStyle="1" w:styleId="156">
    <w:name w:val="Table caption|1"/>
    <w:basedOn w:val="1"/>
    <w:link w:val="155"/>
    <w:qFormat/>
    <w:uiPriority w:val="0"/>
    <w:pPr>
      <w:jc w:val="left"/>
    </w:pPr>
    <w:rPr>
      <w:rFonts w:ascii="宋体" w:hAnsi="宋体" w:cs="宋体"/>
      <w:kern w:val="0"/>
      <w:sz w:val="20"/>
      <w:szCs w:val="20"/>
      <w:lang w:val="zh-CN" w:bidi="zh-CN"/>
    </w:rPr>
  </w:style>
  <w:style w:type="character" w:customStyle="1" w:styleId="157">
    <w:name w:val="标题 4 Char"/>
    <w:basedOn w:val="48"/>
    <w:link w:val="5"/>
    <w:qFormat/>
    <w:uiPriority w:val="0"/>
    <w:rPr>
      <w:rFonts w:ascii="Arial" w:hAnsi="Arial"/>
      <w:b/>
      <w:bCs/>
      <w:kern w:val="2"/>
      <w:sz w:val="28"/>
      <w:szCs w:val="28"/>
    </w:rPr>
  </w:style>
  <w:style w:type="character" w:customStyle="1" w:styleId="158">
    <w:name w:val="明显引用 Char1"/>
    <w:qFormat/>
    <w:uiPriority w:val="99"/>
    <w:rPr>
      <w:rFonts w:ascii="Times New Roman" w:hAnsi="Times New Roman" w:eastAsia="宋体" w:cs="Times New Roman"/>
      <w:b/>
      <w:bCs/>
      <w:i/>
      <w:iCs/>
      <w:color w:val="4F81BD"/>
      <w:sz w:val="24"/>
      <w:szCs w:val="24"/>
    </w:rPr>
  </w:style>
  <w:style w:type="character" w:customStyle="1" w:styleId="159">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60">
    <w:name w:val="页眉 Char1"/>
    <w:basedOn w:val="48"/>
    <w:semiHidden/>
    <w:qFormat/>
    <w:locked/>
    <w:uiPriority w:val="0"/>
    <w:rPr>
      <w:kern w:val="2"/>
      <w:sz w:val="18"/>
      <w:szCs w:val="18"/>
    </w:rPr>
  </w:style>
  <w:style w:type="character" w:customStyle="1" w:styleId="161">
    <w:name w:val="页眉 Char"/>
    <w:link w:val="32"/>
    <w:qFormat/>
    <w:uiPriority w:val="0"/>
    <w:rPr>
      <w:sz w:val="18"/>
      <w:szCs w:val="18"/>
    </w:rPr>
  </w:style>
  <w:style w:type="character" w:customStyle="1" w:styleId="162">
    <w:name w:val="Heading 4 Char"/>
    <w:qFormat/>
    <w:uiPriority w:val="99"/>
    <w:rPr>
      <w:rFonts w:ascii="Arial" w:hAnsi="Arial" w:eastAsia="宋体" w:cs="Arial"/>
      <w:b/>
      <w:bCs/>
      <w:kern w:val="2"/>
      <w:sz w:val="28"/>
      <w:szCs w:val="28"/>
      <w:lang w:val="en-US" w:eastAsia="zh-CN"/>
    </w:rPr>
  </w:style>
  <w:style w:type="character" w:customStyle="1" w:styleId="163">
    <w:name w:val="Char Char21"/>
    <w:qFormat/>
    <w:uiPriority w:val="99"/>
    <w:rPr>
      <w:rFonts w:ascii="Arial" w:hAnsi="Arial" w:eastAsia="黑体" w:cs="Arial"/>
      <w:b/>
      <w:bCs/>
      <w:sz w:val="32"/>
      <w:szCs w:val="32"/>
    </w:rPr>
  </w:style>
  <w:style w:type="character" w:customStyle="1" w:styleId="164">
    <w:name w:val="Header or footer|2_"/>
    <w:link w:val="165"/>
    <w:qFormat/>
    <w:uiPriority w:val="0"/>
    <w:rPr>
      <w:lang w:val="zh-CN" w:bidi="zh-CN"/>
    </w:rPr>
  </w:style>
  <w:style w:type="paragraph" w:customStyle="1" w:styleId="165">
    <w:name w:val="Header or footer|2"/>
    <w:basedOn w:val="1"/>
    <w:link w:val="164"/>
    <w:qFormat/>
    <w:uiPriority w:val="0"/>
    <w:pPr>
      <w:jc w:val="left"/>
    </w:pPr>
    <w:rPr>
      <w:kern w:val="0"/>
      <w:sz w:val="20"/>
      <w:szCs w:val="20"/>
      <w:lang w:val="zh-CN" w:bidi="zh-CN"/>
    </w:rPr>
  </w:style>
  <w:style w:type="character" w:customStyle="1" w:styleId="166">
    <w:name w:val="HTML 预设格式 Char"/>
    <w:basedOn w:val="48"/>
    <w:link w:val="41"/>
    <w:qFormat/>
    <w:uiPriority w:val="99"/>
    <w:rPr>
      <w:rFonts w:ascii="宋体" w:hAnsi="宋体"/>
      <w:sz w:val="24"/>
      <w:szCs w:val="24"/>
    </w:rPr>
  </w:style>
  <w:style w:type="character" w:customStyle="1" w:styleId="167">
    <w:name w:val="纯文本 字符"/>
    <w:qFormat/>
    <w:uiPriority w:val="0"/>
    <w:rPr>
      <w:rFonts w:ascii="宋体" w:hAnsi="Courier New" w:eastAsia="宋体" w:cs="Courier New"/>
      <w:szCs w:val="21"/>
    </w:rPr>
  </w:style>
  <w:style w:type="character" w:customStyle="1" w:styleId="168">
    <w:name w:val="正文文本 3 Char"/>
    <w:link w:val="18"/>
    <w:semiHidden/>
    <w:qFormat/>
    <w:uiPriority w:val="0"/>
    <w:rPr>
      <w:kern w:val="2"/>
      <w:sz w:val="16"/>
      <w:szCs w:val="16"/>
    </w:rPr>
  </w:style>
  <w:style w:type="character" w:customStyle="1" w:styleId="169">
    <w:name w:val="Heading 3 Char1"/>
    <w:qFormat/>
    <w:uiPriority w:val="99"/>
    <w:rPr>
      <w:rFonts w:eastAsia="宋体"/>
      <w:b/>
      <w:bCs/>
      <w:kern w:val="2"/>
      <w:sz w:val="32"/>
      <w:szCs w:val="32"/>
      <w:lang w:val="en-US" w:eastAsia="zh-CN"/>
    </w:rPr>
  </w:style>
  <w:style w:type="character" w:customStyle="1" w:styleId="170">
    <w:name w:val="日期 Char1"/>
    <w:qFormat/>
    <w:uiPriority w:val="0"/>
    <w:rPr>
      <w:rFonts w:ascii="Times New Roman" w:hAnsi="Times New Roman" w:eastAsia="宋体" w:cs="Times New Roman"/>
      <w:sz w:val="24"/>
      <w:szCs w:val="24"/>
    </w:rPr>
  </w:style>
  <w:style w:type="character" w:customStyle="1" w:styleId="171">
    <w:name w:val="Date Char"/>
    <w:qFormat/>
    <w:uiPriority w:val="99"/>
    <w:rPr>
      <w:rFonts w:eastAsia="宋体"/>
      <w:kern w:val="2"/>
      <w:sz w:val="24"/>
      <w:szCs w:val="24"/>
      <w:lang w:val="en-US" w:eastAsia="zh-CN"/>
    </w:rPr>
  </w:style>
  <w:style w:type="character" w:customStyle="1" w:styleId="172">
    <w:name w:val="Heading #1|1_"/>
    <w:link w:val="173"/>
    <w:qFormat/>
    <w:uiPriority w:val="0"/>
    <w:rPr>
      <w:rFonts w:ascii="宋体" w:hAnsi="宋体" w:cs="宋体"/>
      <w:sz w:val="38"/>
      <w:szCs w:val="38"/>
      <w:lang w:val="zh-CN" w:bidi="zh-CN"/>
    </w:rPr>
  </w:style>
  <w:style w:type="paragraph" w:customStyle="1" w:styleId="173">
    <w:name w:val="Heading #1|1"/>
    <w:basedOn w:val="1"/>
    <w:link w:val="172"/>
    <w:qFormat/>
    <w:uiPriority w:val="0"/>
    <w:pPr>
      <w:spacing w:after="440" w:line="564" w:lineRule="exact"/>
      <w:jc w:val="center"/>
      <w:outlineLvl w:val="0"/>
    </w:pPr>
    <w:rPr>
      <w:rFonts w:ascii="宋体" w:hAnsi="宋体" w:cs="宋体"/>
      <w:kern w:val="0"/>
      <w:sz w:val="38"/>
      <w:szCs w:val="38"/>
      <w:lang w:val="zh-CN" w:bidi="zh-CN"/>
    </w:rPr>
  </w:style>
  <w:style w:type="character" w:customStyle="1" w:styleId="174">
    <w:name w:val="ca-31"/>
    <w:qFormat/>
    <w:uiPriority w:val="0"/>
    <w:rPr>
      <w:rFonts w:hint="eastAsia" w:ascii="宋体" w:hAnsi="宋体" w:eastAsia="宋体" w:cs="Times New Roman"/>
      <w:color w:val="000000"/>
      <w:sz w:val="24"/>
      <w:szCs w:val="24"/>
    </w:rPr>
  </w:style>
  <w:style w:type="character" w:customStyle="1" w:styleId="175">
    <w:name w:val="批注框文本 Char1"/>
    <w:qFormat/>
    <w:uiPriority w:val="0"/>
    <w:rPr>
      <w:rFonts w:ascii="Times New Roman" w:hAnsi="Times New Roman" w:eastAsia="宋体" w:cs="Times New Roman"/>
      <w:sz w:val="18"/>
      <w:szCs w:val="18"/>
    </w:rPr>
  </w:style>
  <w:style w:type="character" w:customStyle="1" w:styleId="176">
    <w:name w:val="批注主题 Char"/>
    <w:link w:val="45"/>
    <w:qFormat/>
    <w:uiPriority w:val="0"/>
    <w:rPr>
      <w:rFonts w:ascii="Times New Roman" w:hAnsi="Times New Roman"/>
      <w:b/>
      <w:bCs/>
      <w:kern w:val="2"/>
      <w:sz w:val="21"/>
      <w:szCs w:val="24"/>
    </w:rPr>
  </w:style>
  <w:style w:type="character" w:customStyle="1" w:styleId="177">
    <w:name w:val="标题 8 Char1"/>
    <w:link w:val="10"/>
    <w:semiHidden/>
    <w:qFormat/>
    <w:uiPriority w:val="9"/>
    <w:rPr>
      <w:rFonts w:ascii="等线 Light" w:hAnsi="等线 Light" w:eastAsia="等线 Light" w:cs="Times New Roman"/>
      <w:kern w:val="2"/>
      <w:sz w:val="24"/>
      <w:szCs w:val="24"/>
    </w:rPr>
  </w:style>
  <w:style w:type="character" w:customStyle="1" w:styleId="178">
    <w:name w:val="脚注文本 Char"/>
    <w:basedOn w:val="48"/>
    <w:link w:val="36"/>
    <w:semiHidden/>
    <w:qFormat/>
    <w:uiPriority w:val="0"/>
    <w:rPr>
      <w:sz w:val="18"/>
      <w:szCs w:val="18"/>
    </w:rPr>
  </w:style>
  <w:style w:type="character" w:customStyle="1" w:styleId="179">
    <w:name w:val="Table of contents|1_"/>
    <w:link w:val="180"/>
    <w:qFormat/>
    <w:uiPriority w:val="0"/>
    <w:rPr>
      <w:rFonts w:ascii="宋体" w:hAnsi="宋体" w:cs="宋体"/>
      <w:lang w:val="zh-CN" w:bidi="zh-CN"/>
    </w:rPr>
  </w:style>
  <w:style w:type="paragraph" w:customStyle="1" w:styleId="180">
    <w:name w:val="Table of contents|1"/>
    <w:basedOn w:val="1"/>
    <w:link w:val="179"/>
    <w:qFormat/>
    <w:uiPriority w:val="0"/>
    <w:pPr>
      <w:spacing w:after="100"/>
      <w:ind w:firstLine="600"/>
      <w:jc w:val="left"/>
    </w:pPr>
    <w:rPr>
      <w:rFonts w:ascii="宋体" w:hAnsi="宋体" w:cs="宋体"/>
      <w:kern w:val="0"/>
      <w:sz w:val="20"/>
      <w:szCs w:val="20"/>
      <w:lang w:val="zh-CN" w:bidi="zh-CN"/>
    </w:rPr>
  </w:style>
  <w:style w:type="character" w:customStyle="1" w:styleId="181">
    <w:name w:val="Char Char181"/>
    <w:qFormat/>
    <w:uiPriority w:val="99"/>
    <w:rPr>
      <w:b/>
      <w:bCs/>
      <w:kern w:val="44"/>
      <w:sz w:val="44"/>
      <w:szCs w:val="44"/>
    </w:rPr>
  </w:style>
  <w:style w:type="character" w:customStyle="1" w:styleId="182">
    <w:name w:val="NormalCharacter"/>
    <w:qFormat/>
    <w:uiPriority w:val="0"/>
  </w:style>
  <w:style w:type="character" w:customStyle="1" w:styleId="183">
    <w:name w:val="标题 3 Char"/>
    <w:basedOn w:val="48"/>
    <w:link w:val="4"/>
    <w:qFormat/>
    <w:uiPriority w:val="0"/>
    <w:rPr>
      <w:b/>
      <w:bCs/>
      <w:kern w:val="2"/>
      <w:sz w:val="32"/>
      <w:szCs w:val="32"/>
    </w:rPr>
  </w:style>
  <w:style w:type="character" w:customStyle="1" w:styleId="184">
    <w:name w:val="Footer Char"/>
    <w:qFormat/>
    <w:uiPriority w:val="99"/>
    <w:rPr>
      <w:rFonts w:eastAsia="宋体"/>
      <w:kern w:val="2"/>
      <w:sz w:val="18"/>
      <w:szCs w:val="18"/>
      <w:lang w:val="en-US" w:eastAsia="zh-CN"/>
    </w:rPr>
  </w:style>
  <w:style w:type="character" w:customStyle="1" w:styleId="185">
    <w:name w:val="标题 6 Char"/>
    <w:basedOn w:val="48"/>
    <w:link w:val="8"/>
    <w:qFormat/>
    <w:uiPriority w:val="0"/>
    <w:rPr>
      <w:rFonts w:ascii="Cambria" w:hAnsi="Cambria"/>
      <w:b/>
      <w:bCs/>
      <w:sz w:val="24"/>
      <w:szCs w:val="24"/>
    </w:rPr>
  </w:style>
  <w:style w:type="character" w:customStyle="1" w:styleId="186">
    <w:name w:val="Body text|3_"/>
    <w:link w:val="187"/>
    <w:qFormat/>
    <w:uiPriority w:val="0"/>
    <w:rPr>
      <w:rFonts w:ascii="宋体" w:hAnsi="宋体" w:cs="宋体"/>
      <w:lang w:val="zh-CN" w:bidi="zh-CN"/>
    </w:rPr>
  </w:style>
  <w:style w:type="paragraph" w:customStyle="1" w:styleId="187">
    <w:name w:val="Body text|3"/>
    <w:basedOn w:val="1"/>
    <w:link w:val="186"/>
    <w:qFormat/>
    <w:uiPriority w:val="0"/>
    <w:pPr>
      <w:spacing w:after="340"/>
      <w:jc w:val="left"/>
    </w:pPr>
    <w:rPr>
      <w:rFonts w:ascii="宋体" w:hAnsi="宋体" w:cs="宋体"/>
      <w:kern w:val="0"/>
      <w:sz w:val="20"/>
      <w:szCs w:val="20"/>
      <w:lang w:val="zh-CN" w:bidi="zh-CN"/>
    </w:rPr>
  </w:style>
  <w:style w:type="character" w:customStyle="1" w:styleId="188">
    <w:name w:val="批注文字 Char"/>
    <w:qFormat/>
    <w:uiPriority w:val="0"/>
    <w:rPr>
      <w:rFonts w:ascii="Times New Roman" w:hAnsi="Times New Roman"/>
      <w:kern w:val="2"/>
      <w:sz w:val="21"/>
      <w:szCs w:val="24"/>
    </w:rPr>
  </w:style>
  <w:style w:type="character" w:customStyle="1" w:styleId="189">
    <w:name w:val="标题 2 Char1"/>
    <w:link w:val="3"/>
    <w:qFormat/>
    <w:uiPriority w:val="9"/>
    <w:rPr>
      <w:rFonts w:ascii="Cambria" w:hAnsi="Cambria" w:eastAsia="宋体" w:cs="Times New Roman"/>
      <w:b/>
      <w:bCs/>
      <w:kern w:val="2"/>
      <w:sz w:val="32"/>
      <w:szCs w:val="32"/>
    </w:rPr>
  </w:style>
  <w:style w:type="character" w:customStyle="1" w:styleId="190">
    <w:name w:val="标题 9 Char"/>
    <w:basedOn w:val="48"/>
    <w:link w:val="11"/>
    <w:qFormat/>
    <w:uiPriority w:val="0"/>
    <w:rPr>
      <w:rFonts w:ascii="Cambria" w:hAnsi="Cambria"/>
      <w:szCs w:val="21"/>
    </w:rPr>
  </w:style>
  <w:style w:type="character" w:customStyle="1" w:styleId="191">
    <w:name w:val="正文文本缩进 Char"/>
    <w:link w:val="20"/>
    <w:qFormat/>
    <w:uiPriority w:val="0"/>
    <w:rPr>
      <w:rFonts w:ascii="仿宋_GB2312" w:hAnsi="Times New Roman" w:eastAsia="仿宋_GB2312" w:cs="Times New Roman"/>
      <w:sz w:val="32"/>
      <w:szCs w:val="20"/>
    </w:rPr>
  </w:style>
  <w:style w:type="character" w:customStyle="1" w:styleId="192">
    <w:name w:val="纯文本 Char"/>
    <w:qFormat/>
    <w:uiPriority w:val="0"/>
    <w:rPr>
      <w:rFonts w:ascii="宋体" w:hAnsi="Courier New" w:eastAsia="宋体" w:cs="Courier New"/>
      <w:szCs w:val="21"/>
    </w:rPr>
  </w:style>
  <w:style w:type="character" w:customStyle="1" w:styleId="193">
    <w:name w:val="Body text|4_"/>
    <w:link w:val="194"/>
    <w:qFormat/>
    <w:uiPriority w:val="0"/>
    <w:rPr>
      <w:rFonts w:ascii="宋体" w:hAnsi="宋体" w:cs="宋体"/>
      <w:b/>
      <w:bCs/>
      <w:sz w:val="17"/>
      <w:szCs w:val="17"/>
      <w:lang w:val="zh-CN" w:bidi="zh-CN"/>
    </w:rPr>
  </w:style>
  <w:style w:type="paragraph" w:customStyle="1" w:styleId="194">
    <w:name w:val="Body text|4"/>
    <w:basedOn w:val="1"/>
    <w:link w:val="193"/>
    <w:qFormat/>
    <w:uiPriority w:val="0"/>
    <w:pPr>
      <w:spacing w:line="281" w:lineRule="exact"/>
      <w:jc w:val="center"/>
    </w:pPr>
    <w:rPr>
      <w:rFonts w:ascii="宋体" w:hAnsi="宋体" w:cs="宋体"/>
      <w:b/>
      <w:bCs/>
      <w:kern w:val="0"/>
      <w:sz w:val="17"/>
      <w:szCs w:val="17"/>
      <w:lang w:val="zh-CN" w:bidi="zh-CN"/>
    </w:rPr>
  </w:style>
  <w:style w:type="character" w:customStyle="1" w:styleId="195">
    <w:name w:val="明显参考1"/>
    <w:qFormat/>
    <w:uiPriority w:val="99"/>
    <w:rPr>
      <w:b/>
      <w:bCs/>
      <w:smallCaps/>
      <w:color w:val="auto"/>
      <w:spacing w:val="5"/>
      <w:u w:val="single"/>
    </w:rPr>
  </w:style>
  <w:style w:type="character" w:customStyle="1" w:styleId="196">
    <w:name w:val="UserStyle_9"/>
    <w:link w:val="197"/>
    <w:qFormat/>
    <w:locked/>
    <w:uiPriority w:val="0"/>
    <w:rPr>
      <w:kern w:val="2"/>
      <w:sz w:val="21"/>
      <w:szCs w:val="24"/>
    </w:rPr>
  </w:style>
  <w:style w:type="paragraph" w:customStyle="1" w:styleId="197">
    <w:name w:val="AnnotationText"/>
    <w:basedOn w:val="1"/>
    <w:link w:val="196"/>
    <w:qFormat/>
    <w:uiPriority w:val="0"/>
    <w:pPr>
      <w:widowControl/>
      <w:jc w:val="left"/>
    </w:pPr>
  </w:style>
  <w:style w:type="character" w:customStyle="1" w:styleId="198">
    <w:name w:val="标题 Char"/>
    <w:basedOn w:val="48"/>
    <w:link w:val="44"/>
    <w:qFormat/>
    <w:uiPriority w:val="0"/>
    <w:rPr>
      <w:rFonts w:ascii="Cambria" w:hAnsi="Cambria"/>
      <w:b/>
      <w:bCs/>
      <w:kern w:val="2"/>
      <w:sz w:val="32"/>
      <w:szCs w:val="32"/>
    </w:rPr>
  </w:style>
  <w:style w:type="character" w:customStyle="1" w:styleId="199">
    <w:name w:val="标题 1 Char"/>
    <w:link w:val="2"/>
    <w:qFormat/>
    <w:uiPriority w:val="0"/>
    <w:rPr>
      <w:b/>
      <w:bCs/>
      <w:kern w:val="44"/>
      <w:sz w:val="44"/>
      <w:szCs w:val="44"/>
    </w:rPr>
  </w:style>
  <w:style w:type="character" w:customStyle="1" w:styleId="200">
    <w:name w:val="Char Char91"/>
    <w:qFormat/>
    <w:uiPriority w:val="99"/>
    <w:rPr>
      <w:rFonts w:eastAsia="宋体"/>
      <w:b/>
      <w:bCs/>
      <w:kern w:val="44"/>
      <w:sz w:val="44"/>
      <w:szCs w:val="44"/>
      <w:lang w:val="en-US" w:eastAsia="zh-CN"/>
    </w:rPr>
  </w:style>
  <w:style w:type="character" w:customStyle="1" w:styleId="201">
    <w:name w:val="明显引用 Char"/>
    <w:link w:val="202"/>
    <w:qFormat/>
    <w:locked/>
    <w:uiPriority w:val="99"/>
    <w:rPr>
      <w:b/>
      <w:bCs/>
      <w:i/>
      <w:iCs/>
      <w:color w:val="4F81BD"/>
    </w:rPr>
  </w:style>
  <w:style w:type="paragraph" w:customStyle="1" w:styleId="202">
    <w:name w:val="明显引用1"/>
    <w:basedOn w:val="1"/>
    <w:next w:val="1"/>
    <w:link w:val="201"/>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203">
    <w:name w:val="手改 Char Char"/>
    <w:qFormat/>
    <w:uiPriority w:val="0"/>
    <w:rPr>
      <w:rFonts w:hint="default" w:ascii="Times New Roman" w:hAnsi="Times New Roman" w:eastAsia="宋体" w:cs="Times New Roman"/>
      <w:sz w:val="24"/>
      <w:szCs w:val="24"/>
      <w:lang w:bidi="ar-SA"/>
    </w:rPr>
  </w:style>
  <w:style w:type="character" w:customStyle="1" w:styleId="204">
    <w:name w:val="日期 Char"/>
    <w:link w:val="28"/>
    <w:qFormat/>
    <w:uiPriority w:val="0"/>
    <w:rPr>
      <w:rFonts w:ascii="Times New Roman" w:hAnsi="Times New Roman"/>
      <w:kern w:val="2"/>
      <w:sz w:val="21"/>
      <w:szCs w:val="24"/>
    </w:rPr>
  </w:style>
  <w:style w:type="character" w:customStyle="1" w:styleId="205">
    <w:name w:val="标准文本 Char"/>
    <w:link w:val="206"/>
    <w:qFormat/>
    <w:locked/>
    <w:uiPriority w:val="0"/>
    <w:rPr>
      <w:kern w:val="2"/>
      <w:sz w:val="24"/>
    </w:rPr>
  </w:style>
  <w:style w:type="paragraph" w:customStyle="1" w:styleId="206">
    <w:name w:val="标准文本"/>
    <w:basedOn w:val="1"/>
    <w:link w:val="205"/>
    <w:qFormat/>
    <w:uiPriority w:val="0"/>
    <w:pPr>
      <w:spacing w:line="360" w:lineRule="auto"/>
      <w:ind w:firstLine="480" w:firstLineChars="200"/>
    </w:pPr>
    <w:rPr>
      <w:sz w:val="24"/>
      <w:szCs w:val="20"/>
    </w:rPr>
  </w:style>
  <w:style w:type="character" w:customStyle="1" w:styleId="207">
    <w:name w:val="段 Char"/>
    <w:link w:val="208"/>
    <w:qFormat/>
    <w:locked/>
    <w:uiPriority w:val="0"/>
    <w:rPr>
      <w:rFonts w:ascii="宋体" w:hAnsi="宋体"/>
      <w:lang w:val="en-US" w:eastAsia="zh-CN" w:bidi="ar-SA"/>
    </w:rPr>
  </w:style>
  <w:style w:type="paragraph" w:customStyle="1" w:styleId="208">
    <w:name w:val="段"/>
    <w:link w:val="207"/>
    <w:qFormat/>
    <w:uiPriority w:val="0"/>
    <w:pPr>
      <w:autoSpaceDE w:val="0"/>
      <w:autoSpaceDN w:val="0"/>
      <w:ind w:firstLine="200" w:firstLineChars="200"/>
      <w:jc w:val="both"/>
    </w:pPr>
    <w:rPr>
      <w:rFonts w:ascii="宋体" w:hAnsi="宋体" w:eastAsia="宋体" w:cs="Times New Roman"/>
      <w:lang w:val="en-US" w:eastAsia="zh-CN" w:bidi="ar-SA"/>
    </w:rPr>
  </w:style>
  <w:style w:type="character" w:customStyle="1" w:styleId="209">
    <w:name w:val="批注文字 字符"/>
    <w:qFormat/>
    <w:uiPriority w:val="0"/>
    <w:rPr>
      <w:rFonts w:ascii="Times New Roman" w:hAnsi="Times New Roman"/>
      <w:kern w:val="2"/>
      <w:sz w:val="21"/>
      <w:szCs w:val="24"/>
    </w:rPr>
  </w:style>
  <w:style w:type="character" w:customStyle="1" w:styleId="210">
    <w:name w:val="apple-style-span"/>
    <w:qFormat/>
    <w:uiPriority w:val="0"/>
  </w:style>
  <w:style w:type="character" w:customStyle="1" w:styleId="211">
    <w:name w:val="批注框文本 Char"/>
    <w:link w:val="30"/>
    <w:qFormat/>
    <w:locked/>
    <w:uiPriority w:val="0"/>
    <w:rPr>
      <w:kern w:val="2"/>
      <w:sz w:val="18"/>
      <w:szCs w:val="18"/>
    </w:rPr>
  </w:style>
  <w:style w:type="character" w:customStyle="1" w:styleId="212">
    <w:name w:val="纯文本 字符1"/>
    <w:qFormat/>
    <w:uiPriority w:val="0"/>
    <w:rPr>
      <w:rFonts w:ascii="宋体" w:hAnsi="Courier New"/>
    </w:rPr>
  </w:style>
  <w:style w:type="character" w:customStyle="1" w:styleId="213">
    <w:name w:val="文档结构图 Char"/>
    <w:basedOn w:val="48"/>
    <w:link w:val="16"/>
    <w:qFormat/>
    <w:uiPriority w:val="0"/>
    <w:rPr>
      <w:kern w:val="2"/>
      <w:sz w:val="24"/>
      <w:szCs w:val="24"/>
      <w:shd w:val="clear" w:color="auto" w:fill="000080"/>
    </w:rPr>
  </w:style>
  <w:style w:type="character" w:customStyle="1" w:styleId="214">
    <w:name w:val="Header or footer|1_"/>
    <w:link w:val="215"/>
    <w:qFormat/>
    <w:uiPriority w:val="0"/>
    <w:rPr>
      <w:sz w:val="17"/>
      <w:szCs w:val="17"/>
      <w:lang w:val="zh-CN" w:bidi="zh-CN"/>
    </w:rPr>
  </w:style>
  <w:style w:type="paragraph" w:customStyle="1" w:styleId="215">
    <w:name w:val="Header or footer|1"/>
    <w:basedOn w:val="1"/>
    <w:link w:val="214"/>
    <w:qFormat/>
    <w:uiPriority w:val="0"/>
    <w:pPr>
      <w:jc w:val="center"/>
    </w:pPr>
    <w:rPr>
      <w:kern w:val="0"/>
      <w:sz w:val="17"/>
      <w:szCs w:val="17"/>
      <w:lang w:val="zh-CN" w:bidi="zh-CN"/>
    </w:rPr>
  </w:style>
  <w:style w:type="character" w:customStyle="1" w:styleId="216">
    <w:name w:val="Body text|1_"/>
    <w:link w:val="217"/>
    <w:qFormat/>
    <w:uiPriority w:val="0"/>
    <w:rPr>
      <w:rFonts w:ascii="宋体" w:hAnsi="宋体" w:cs="宋体"/>
      <w:kern w:val="2"/>
      <w:sz w:val="21"/>
      <w:lang w:val="zh-CN" w:bidi="zh-CN"/>
    </w:rPr>
  </w:style>
  <w:style w:type="paragraph" w:customStyle="1" w:styleId="217">
    <w:name w:val="Body text|1"/>
    <w:basedOn w:val="1"/>
    <w:link w:val="216"/>
    <w:qFormat/>
    <w:uiPriority w:val="0"/>
    <w:pPr>
      <w:spacing w:line="360" w:lineRule="auto"/>
      <w:ind w:firstLine="400"/>
    </w:pPr>
    <w:rPr>
      <w:rFonts w:ascii="宋体" w:hAnsi="宋体" w:cs="宋体"/>
      <w:szCs w:val="20"/>
      <w:lang w:val="zh-CN" w:bidi="zh-CN"/>
    </w:rPr>
  </w:style>
  <w:style w:type="character" w:customStyle="1" w:styleId="218">
    <w:name w:val="Body Text Indent Char"/>
    <w:qFormat/>
    <w:uiPriority w:val="99"/>
    <w:rPr>
      <w:rFonts w:ascii="宋体" w:hAnsi="宋体" w:eastAsia="宋体" w:cs="宋体"/>
      <w:kern w:val="2"/>
      <w:sz w:val="21"/>
      <w:szCs w:val="21"/>
      <w:lang w:val="en-US" w:eastAsia="zh-CN"/>
    </w:rPr>
  </w:style>
  <w:style w:type="character" w:customStyle="1" w:styleId="219">
    <w:name w:val="Header Char"/>
    <w:qFormat/>
    <w:uiPriority w:val="99"/>
    <w:rPr>
      <w:rFonts w:eastAsia="宋体"/>
      <w:kern w:val="2"/>
      <w:sz w:val="18"/>
      <w:szCs w:val="18"/>
      <w:lang w:val="en-US" w:eastAsia="zh-CN"/>
    </w:rPr>
  </w:style>
  <w:style w:type="character" w:customStyle="1" w:styleId="220">
    <w:name w:val="标题4 Char Char"/>
    <w:link w:val="221"/>
    <w:qFormat/>
    <w:locked/>
    <w:uiPriority w:val="99"/>
    <w:rPr>
      <w:rFonts w:ascii="Arial" w:hAnsi="Arial" w:cs="Arial"/>
      <w:b/>
      <w:bCs/>
      <w:sz w:val="32"/>
      <w:szCs w:val="32"/>
    </w:rPr>
  </w:style>
  <w:style w:type="paragraph" w:customStyle="1" w:styleId="221">
    <w:name w:val="标题4"/>
    <w:basedOn w:val="3"/>
    <w:next w:val="23"/>
    <w:link w:val="220"/>
    <w:qFormat/>
    <w:uiPriority w:val="99"/>
    <w:pPr>
      <w:spacing w:before="60" w:after="60" w:line="413" w:lineRule="auto"/>
    </w:pPr>
    <w:rPr>
      <w:rFonts w:ascii="Arial" w:hAnsi="Arial"/>
      <w:kern w:val="0"/>
    </w:rPr>
  </w:style>
  <w:style w:type="paragraph" w:customStyle="1" w:styleId="222">
    <w:name w:val="xl61"/>
    <w:basedOn w:val="1"/>
    <w:qFormat/>
    <w:uiPriority w:val="0"/>
    <w:pPr>
      <w:widowControl/>
      <w:pBdr>
        <w:top w:val="single" w:color="0000FF" w:sz="4" w:space="0"/>
        <w:left w:val="single" w:color="0000FF" w:sz="4" w:space="0"/>
        <w:right w:val="single" w:color="0000FF" w:sz="4" w:space="0"/>
      </w:pBdr>
      <w:spacing w:before="100" w:beforeAutospacing="1" w:after="100" w:afterAutospacing="1"/>
      <w:jc w:val="center"/>
    </w:pPr>
    <w:rPr>
      <w:color w:val="000000"/>
      <w:kern w:val="0"/>
      <w:szCs w:val="21"/>
    </w:rPr>
  </w:style>
  <w:style w:type="paragraph" w:customStyle="1" w:styleId="223">
    <w:name w:val="Char Char1 Char Char Char Char Char Char Char Char Char Char"/>
    <w:basedOn w:val="1"/>
    <w:qFormat/>
    <w:uiPriority w:val="0"/>
    <w:pPr>
      <w:widowControl/>
      <w:spacing w:after="160" w:line="240" w:lineRule="exact"/>
      <w:jc w:val="left"/>
    </w:pPr>
    <w:rPr>
      <w:szCs w:val="20"/>
    </w:rPr>
  </w:style>
  <w:style w:type="paragraph" w:customStyle="1" w:styleId="224">
    <w:name w:val="正文 A"/>
    <w:qFormat/>
    <w:uiPriority w:val="0"/>
    <w:pPr>
      <w:widowControl w:val="0"/>
      <w:jc w:val="both"/>
    </w:pPr>
    <w:rPr>
      <w:rFonts w:ascii="Calibri" w:hAnsi="Calibri" w:eastAsia="宋体" w:cs="Calibri"/>
      <w:color w:val="000000"/>
      <w:kern w:val="2"/>
      <w:sz w:val="21"/>
      <w:szCs w:val="21"/>
      <w:u w:color="000000"/>
      <w:lang w:val="en-US" w:eastAsia="zh-CN" w:bidi="ar-SA"/>
    </w:rPr>
  </w:style>
  <w:style w:type="paragraph" w:customStyle="1" w:styleId="225">
    <w:name w:val="Char1 Char Char Char Char Char Char"/>
    <w:basedOn w:val="1"/>
    <w:qFormat/>
    <w:uiPriority w:val="0"/>
    <w:rPr>
      <w:rFonts w:ascii="Tahoma" w:hAnsi="Tahoma"/>
      <w:sz w:val="24"/>
      <w:szCs w:val="20"/>
    </w:rPr>
  </w:style>
  <w:style w:type="paragraph" w:customStyle="1" w:styleId="226">
    <w:name w:val="正正正正"/>
    <w:basedOn w:val="19"/>
    <w:qFormat/>
    <w:uiPriority w:val="1"/>
    <w:pPr>
      <w:tabs>
        <w:tab w:val="left" w:pos="2812"/>
        <w:tab w:val="left" w:pos="3986"/>
      </w:tabs>
      <w:spacing w:after="0" w:line="360" w:lineRule="exact"/>
      <w:ind w:firstLine="200" w:firstLineChars="200"/>
    </w:pPr>
    <w:rPr>
      <w:rFonts w:ascii="Calibri" w:hAnsi="Calibri"/>
      <w:sz w:val="20"/>
      <w:szCs w:val="21"/>
      <w:lang w:eastAsia="en-US"/>
    </w:rPr>
  </w:style>
  <w:style w:type="paragraph" w:customStyle="1" w:styleId="227">
    <w:name w:val="表格文字"/>
    <w:basedOn w:val="1"/>
    <w:qFormat/>
    <w:uiPriority w:val="0"/>
    <w:pPr>
      <w:adjustRightInd w:val="0"/>
      <w:spacing w:line="420" w:lineRule="atLeast"/>
      <w:jc w:val="left"/>
    </w:pPr>
    <w:rPr>
      <w:kern w:val="0"/>
    </w:rPr>
  </w:style>
  <w:style w:type="paragraph" w:customStyle="1" w:styleId="22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9">
    <w:name w:val="正文_1_0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0">
    <w:name w:val="xl59"/>
    <w:basedOn w:val="1"/>
    <w:qFormat/>
    <w:uiPriority w:val="0"/>
    <w:pPr>
      <w:widowControl/>
      <w:pBdr>
        <w:top w:val="single" w:color="0000FF" w:sz="4" w:space="0"/>
        <w:left w:val="single" w:color="0000FF" w:sz="4" w:space="0"/>
        <w:right w:val="single" w:color="0000FF" w:sz="8" w:space="0"/>
      </w:pBdr>
      <w:shd w:val="clear" w:color="auto" w:fill="FFFFFF"/>
      <w:spacing w:before="100" w:beforeAutospacing="1" w:after="100" w:afterAutospacing="1"/>
      <w:jc w:val="center"/>
    </w:pPr>
    <w:rPr>
      <w:rFonts w:ascii="宋体" w:hAnsi="宋体"/>
      <w:kern w:val="0"/>
      <w:sz w:val="24"/>
    </w:rPr>
  </w:style>
  <w:style w:type="paragraph" w:customStyle="1" w:styleId="231">
    <w:name w:val="次小点说明 Char"/>
    <w:basedOn w:val="7"/>
    <w:qFormat/>
    <w:uiPriority w:val="0"/>
    <w:pPr>
      <w:ind w:firstLine="0"/>
    </w:pPr>
    <w:rPr>
      <w:sz w:val="24"/>
      <w:szCs w:val="24"/>
    </w:rPr>
  </w:style>
  <w:style w:type="paragraph" w:customStyle="1" w:styleId="232">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33">
    <w:name w:val="Char Char Char Char Char Char Char"/>
    <w:basedOn w:val="1"/>
    <w:qFormat/>
    <w:uiPriority w:val="99"/>
    <w:pPr>
      <w:widowControl/>
      <w:spacing w:after="160" w:line="240" w:lineRule="exact"/>
      <w:jc w:val="left"/>
    </w:pPr>
    <w:rPr>
      <w:szCs w:val="21"/>
    </w:rPr>
  </w:style>
  <w:style w:type="paragraph" w:customStyle="1" w:styleId="234">
    <w:name w:val="font0"/>
    <w:basedOn w:val="1"/>
    <w:qFormat/>
    <w:uiPriority w:val="0"/>
    <w:pPr>
      <w:widowControl/>
      <w:spacing w:before="100" w:beforeAutospacing="1" w:after="100" w:afterAutospacing="1"/>
      <w:jc w:val="left"/>
    </w:pPr>
    <w:rPr>
      <w:rFonts w:ascii="宋体" w:hAnsi="宋体"/>
      <w:kern w:val="0"/>
      <w:sz w:val="24"/>
    </w:rPr>
  </w:style>
  <w:style w:type="paragraph" w:customStyle="1" w:styleId="235">
    <w:name w:val="修订1"/>
    <w:qFormat/>
    <w:uiPriority w:val="99"/>
    <w:rPr>
      <w:rFonts w:ascii="Times New Roman" w:hAnsi="Times New Roman" w:eastAsia="宋体" w:cs="Times New Roman"/>
      <w:kern w:val="2"/>
      <w:sz w:val="21"/>
      <w:szCs w:val="21"/>
      <w:lang w:val="en-US" w:eastAsia="zh-CN" w:bidi="ar-SA"/>
    </w:rPr>
  </w:style>
  <w:style w:type="paragraph" w:customStyle="1" w:styleId="236">
    <w:name w:val="xl3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Cs w:val="21"/>
    </w:rPr>
  </w:style>
  <w:style w:type="paragraph" w:customStyle="1" w:styleId="23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8">
    <w:name w:val="样式1"/>
    <w:basedOn w:val="1"/>
    <w:next w:val="5"/>
    <w:qFormat/>
    <w:uiPriority w:val="99"/>
    <w:pPr>
      <w:spacing w:line="360" w:lineRule="auto"/>
      <w:ind w:firstLine="420" w:firstLineChars="200"/>
    </w:pPr>
    <w:rPr>
      <w:rFonts w:ascii="宋体" w:hAnsi="宋体" w:cs="宋体"/>
      <w:szCs w:val="21"/>
    </w:rPr>
  </w:style>
  <w:style w:type="paragraph" w:customStyle="1" w:styleId="239">
    <w:name w:val="Default"/>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240">
    <w:name w:val="列出段落1"/>
    <w:basedOn w:val="1"/>
    <w:qFormat/>
    <w:uiPriority w:val="0"/>
    <w:pPr>
      <w:ind w:firstLine="420" w:firstLineChars="200"/>
    </w:pPr>
    <w:rPr>
      <w:rFonts w:ascii="Calibri" w:hAnsi="Calibri" w:cs="Calibri"/>
      <w:szCs w:val="21"/>
    </w:rPr>
  </w:style>
  <w:style w:type="paragraph" w:customStyle="1" w:styleId="241">
    <w:name w:val="xl31"/>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242">
    <w:name w:val="修订11"/>
    <w:qFormat/>
    <w:uiPriority w:val="99"/>
    <w:rPr>
      <w:rFonts w:ascii="Times New Roman" w:hAnsi="Times New Roman" w:eastAsia="宋体" w:cs="Times New Roman"/>
      <w:kern w:val="2"/>
      <w:sz w:val="21"/>
      <w:szCs w:val="21"/>
      <w:lang w:val="en-US" w:eastAsia="zh-CN" w:bidi="ar-SA"/>
    </w:rPr>
  </w:style>
  <w:style w:type="paragraph" w:customStyle="1" w:styleId="243">
    <w:name w:val="xl49"/>
    <w:basedOn w:val="1"/>
    <w:qFormat/>
    <w:uiPriority w:val="0"/>
    <w:pPr>
      <w:widowControl/>
      <w:pBdr>
        <w:top w:val="single" w:color="0000FF" w:sz="8" w:space="0"/>
        <w:left w:val="single" w:color="0000FF" w:sz="4" w:space="0"/>
        <w:bottom w:val="single" w:color="0000FF" w:sz="4" w:space="0"/>
        <w:right w:val="single" w:color="0000FF" w:sz="4" w:space="0"/>
      </w:pBdr>
      <w:spacing w:before="100" w:beforeAutospacing="1" w:after="100" w:afterAutospacing="1"/>
      <w:jc w:val="center"/>
    </w:pPr>
    <w:rPr>
      <w:rFonts w:ascii="宋体" w:hAnsi="宋体"/>
      <w:b/>
      <w:bCs/>
      <w:color w:val="000000"/>
      <w:kern w:val="0"/>
      <w:szCs w:val="21"/>
    </w:rPr>
  </w:style>
  <w:style w:type="paragraph" w:customStyle="1" w:styleId="244">
    <w:name w:val="xl3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b/>
      <w:bCs/>
      <w:kern w:val="0"/>
      <w:szCs w:val="21"/>
      <w:u w:val="single"/>
    </w:rPr>
  </w:style>
  <w:style w:type="paragraph" w:customStyle="1" w:styleId="245">
    <w:name w:val="p0"/>
    <w:basedOn w:val="1"/>
    <w:qFormat/>
    <w:uiPriority w:val="0"/>
    <w:pPr>
      <w:widowControl/>
    </w:pPr>
    <w:rPr>
      <w:rFonts w:ascii="Calibri" w:hAnsi="Calibri" w:cs="Calibri"/>
      <w:kern w:val="0"/>
      <w:szCs w:val="21"/>
    </w:rPr>
  </w:style>
  <w:style w:type="paragraph" w:customStyle="1" w:styleId="246">
    <w:name w:val="xl3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kern w:val="0"/>
      <w:szCs w:val="21"/>
    </w:rPr>
  </w:style>
  <w:style w:type="paragraph" w:customStyle="1" w:styleId="247">
    <w:name w:val="样式 标题 3 + (中文) 黑体 小四 非加粗 段前: 7.8 磅 段后: 0 磅 行距: 固定值 20 磅"/>
    <w:basedOn w:val="4"/>
    <w:qFormat/>
    <w:uiPriority w:val="99"/>
    <w:pPr>
      <w:spacing w:before="0" w:after="0" w:line="400" w:lineRule="exact"/>
    </w:pPr>
    <w:rPr>
      <w:rFonts w:eastAsia="黑体"/>
      <w:b w:val="0"/>
      <w:bCs w:val="0"/>
      <w:lang w:val="zh-CN"/>
    </w:rPr>
  </w:style>
  <w:style w:type="paragraph" w:customStyle="1" w:styleId="248">
    <w:name w:val="xl58"/>
    <w:basedOn w:val="1"/>
    <w:qFormat/>
    <w:uiPriority w:val="0"/>
    <w:pPr>
      <w:widowControl/>
      <w:pBdr>
        <w:top w:val="single" w:color="0000FF" w:sz="4" w:space="0"/>
        <w:left w:val="single" w:color="0000FF" w:sz="4" w:space="0"/>
        <w:bottom w:val="single" w:color="0000FF" w:sz="4" w:space="0"/>
        <w:right w:val="single" w:color="0000FF" w:sz="8" w:space="0"/>
      </w:pBdr>
      <w:spacing w:before="100" w:beforeAutospacing="1" w:after="100" w:afterAutospacing="1"/>
      <w:jc w:val="center"/>
    </w:pPr>
    <w:rPr>
      <w:kern w:val="0"/>
      <w:szCs w:val="21"/>
    </w:rPr>
  </w:style>
  <w:style w:type="paragraph" w:customStyle="1" w:styleId="249">
    <w:name w:val="_Style 1"/>
    <w:basedOn w:val="1"/>
    <w:qFormat/>
    <w:uiPriority w:val="1"/>
    <w:pPr>
      <w:ind w:firstLine="420" w:firstLineChars="200"/>
      <w:jc w:val="left"/>
    </w:pPr>
    <w:rPr>
      <w:rFonts w:ascii="Times New Roman)" w:hAnsi="Times New Roman)" w:eastAsia="宋体正文"/>
      <w:color w:val="000000"/>
      <w:kern w:val="0"/>
      <w:lang w:eastAsia="en-US" w:bidi="en-US"/>
    </w:rPr>
  </w:style>
  <w:style w:type="paragraph" w:customStyle="1" w:styleId="250">
    <w:name w:val="Char Char Char1"/>
    <w:basedOn w:val="1"/>
    <w:qFormat/>
    <w:uiPriority w:val="0"/>
    <w:rPr>
      <w:rFonts w:ascii="Tahoma" w:hAnsi="Tahoma"/>
      <w:sz w:val="24"/>
      <w:szCs w:val="20"/>
    </w:rPr>
  </w:style>
  <w:style w:type="paragraph" w:customStyle="1" w:styleId="251">
    <w:name w:val="xl46"/>
    <w:basedOn w:val="1"/>
    <w:qFormat/>
    <w:uiPriority w:val="0"/>
    <w:pPr>
      <w:widowControl/>
      <w:pBdr>
        <w:top w:val="single" w:color="0000FF" w:sz="8" w:space="0"/>
        <w:left w:val="single" w:color="0000FF" w:sz="8" w:space="0"/>
        <w:bottom w:val="single" w:color="0000FF" w:sz="4" w:space="0"/>
        <w:right w:val="single" w:color="0000FF" w:sz="4" w:space="0"/>
      </w:pBdr>
      <w:spacing w:before="100" w:beforeAutospacing="1" w:after="100" w:afterAutospacing="1"/>
      <w:jc w:val="center"/>
    </w:pPr>
    <w:rPr>
      <w:rFonts w:ascii="宋体" w:hAnsi="宋体"/>
      <w:b/>
      <w:bCs/>
      <w:color w:val="000000"/>
      <w:kern w:val="0"/>
      <w:szCs w:val="21"/>
    </w:rPr>
  </w:style>
  <w:style w:type="paragraph" w:customStyle="1" w:styleId="252">
    <w:name w:val="样式 标题 2 + Times New Roman 四号 非加粗 段前: 5 磅 段后: 0 磅 行距: 固定值 20..."/>
    <w:basedOn w:val="3"/>
    <w:qFormat/>
    <w:uiPriority w:val="99"/>
    <w:pPr>
      <w:spacing w:before="100" w:after="0" w:line="400" w:lineRule="exact"/>
    </w:pPr>
    <w:rPr>
      <w:rFonts w:ascii="Times New Roman" w:hAnsi="Times New Roman" w:eastAsia="黑体"/>
      <w:b w:val="0"/>
      <w:bCs w:val="0"/>
      <w:kern w:val="0"/>
      <w:sz w:val="28"/>
      <w:szCs w:val="28"/>
      <w:lang w:val="zh-CN"/>
    </w:rPr>
  </w:style>
  <w:style w:type="paragraph" w:customStyle="1" w:styleId="253">
    <w:name w:val="Blockquote"/>
    <w:basedOn w:val="1"/>
    <w:qFormat/>
    <w:uiPriority w:val="0"/>
    <w:pPr>
      <w:autoSpaceDE w:val="0"/>
      <w:autoSpaceDN w:val="0"/>
      <w:adjustRightInd w:val="0"/>
      <w:spacing w:before="100" w:after="100" w:line="312" w:lineRule="atLeast"/>
      <w:ind w:left="360" w:right="360"/>
    </w:pPr>
    <w:rPr>
      <w:kern w:val="0"/>
      <w:sz w:val="24"/>
      <w:szCs w:val="20"/>
    </w:rPr>
  </w:style>
  <w:style w:type="paragraph" w:customStyle="1" w:styleId="254">
    <w:name w:val="TOC 标题1"/>
    <w:basedOn w:val="2"/>
    <w:next w:val="1"/>
    <w:qFormat/>
    <w:uiPriority w:val="99"/>
    <w:pPr>
      <w:spacing w:line="576" w:lineRule="auto"/>
      <w:outlineLvl w:val="9"/>
    </w:pPr>
    <w:rPr>
      <w:rFonts w:ascii="Calibri" w:hAnsi="Calibri" w:eastAsia="黑体" w:cs="Calibri"/>
      <w:lang w:val="zh-CN"/>
    </w:rPr>
  </w:style>
  <w:style w:type="paragraph" w:customStyle="1" w:styleId="255">
    <w:name w:val="列表段落1"/>
    <w:basedOn w:val="1"/>
    <w:qFormat/>
    <w:uiPriority w:val="34"/>
    <w:pPr>
      <w:ind w:firstLine="420" w:firstLineChars="200"/>
    </w:pPr>
    <w:rPr>
      <w:rFonts w:ascii="Calibri" w:hAnsi="Calibri"/>
      <w:szCs w:val="22"/>
    </w:rPr>
  </w:style>
  <w:style w:type="paragraph" w:customStyle="1" w:styleId="256">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57">
    <w:name w:val="xl57"/>
    <w:basedOn w:val="1"/>
    <w:qFormat/>
    <w:uiPriority w:val="0"/>
    <w:pPr>
      <w:widowControl/>
      <w:pBdr>
        <w:left w:val="single" w:color="0000FF" w:sz="4" w:space="0"/>
        <w:bottom w:val="single" w:color="0000FF" w:sz="4" w:space="0"/>
        <w:right w:val="single" w:color="0000FF" w:sz="4" w:space="0"/>
      </w:pBdr>
      <w:shd w:val="clear" w:color="auto" w:fill="FFFFFF"/>
      <w:spacing w:before="100" w:beforeAutospacing="1" w:after="100" w:afterAutospacing="1"/>
      <w:jc w:val="center"/>
    </w:pPr>
    <w:rPr>
      <w:rFonts w:ascii="宋体" w:hAnsi="宋体"/>
      <w:kern w:val="0"/>
      <w:sz w:val="24"/>
    </w:rPr>
  </w:style>
  <w:style w:type="paragraph" w:customStyle="1" w:styleId="258">
    <w:name w:val="xl51"/>
    <w:basedOn w:val="1"/>
    <w:qFormat/>
    <w:uiPriority w:val="0"/>
    <w:pPr>
      <w:widowControl/>
      <w:pBdr>
        <w:top w:val="single" w:color="0000FF" w:sz="4" w:space="0"/>
        <w:left w:val="single" w:color="0000FF" w:sz="4" w:space="0"/>
        <w:bottom w:val="single" w:color="0000FF" w:sz="8" w:space="0"/>
        <w:right w:val="single" w:color="0000FF" w:sz="4" w:space="0"/>
      </w:pBdr>
      <w:spacing w:before="100" w:beforeAutospacing="1" w:after="100" w:afterAutospacing="1"/>
      <w:jc w:val="center"/>
    </w:pPr>
    <w:rPr>
      <w:rFonts w:ascii="宋体" w:hAnsi="宋体"/>
      <w:kern w:val="0"/>
      <w:sz w:val="24"/>
    </w:rPr>
  </w:style>
  <w:style w:type="paragraph" w:customStyle="1" w:styleId="25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Cs w:val="21"/>
    </w:rPr>
  </w:style>
  <w:style w:type="paragraph" w:customStyle="1" w:styleId="260">
    <w:name w:val="xl45"/>
    <w:basedOn w:val="1"/>
    <w:qFormat/>
    <w:uiPriority w:val="0"/>
    <w:pPr>
      <w:widowControl/>
      <w:pBdr>
        <w:top w:val="single" w:color="0000FF" w:sz="4" w:space="0"/>
        <w:left w:val="single" w:color="0000FF" w:sz="4" w:space="0"/>
        <w:right w:val="single" w:color="0000FF" w:sz="4" w:space="0"/>
      </w:pBdr>
      <w:spacing w:before="100" w:beforeAutospacing="1" w:after="100" w:afterAutospacing="1"/>
      <w:jc w:val="left"/>
    </w:pPr>
    <w:rPr>
      <w:rFonts w:ascii="宋体" w:hAnsi="宋体"/>
      <w:kern w:val="0"/>
      <w:sz w:val="24"/>
    </w:rPr>
  </w:style>
  <w:style w:type="paragraph" w:customStyle="1" w:styleId="261">
    <w:name w:val="_Style 36"/>
    <w:basedOn w:val="1"/>
    <w:qFormat/>
    <w:uiPriority w:val="0"/>
    <w:rPr>
      <w:rFonts w:ascii="Tahoma" w:hAnsi="Tahoma"/>
      <w:sz w:val="24"/>
      <w:szCs w:val="20"/>
    </w:rPr>
  </w:style>
  <w:style w:type="paragraph" w:customStyle="1" w:styleId="262">
    <w:name w:val="xl54"/>
    <w:basedOn w:val="1"/>
    <w:qFormat/>
    <w:uiPriority w:val="0"/>
    <w:pPr>
      <w:widowControl/>
      <w:pBdr>
        <w:top w:val="single" w:color="0000FF" w:sz="4" w:space="0"/>
        <w:left w:val="single" w:color="0000FF" w:sz="8" w:space="0"/>
        <w:right w:val="single" w:color="0000FF" w:sz="4" w:space="0"/>
      </w:pBdr>
      <w:spacing w:before="100" w:beforeAutospacing="1" w:after="100" w:afterAutospacing="1"/>
      <w:jc w:val="center"/>
    </w:pPr>
    <w:rPr>
      <w:rFonts w:ascii="宋体" w:hAnsi="宋体"/>
      <w:color w:val="000000"/>
      <w:kern w:val="0"/>
      <w:szCs w:val="21"/>
    </w:rPr>
  </w:style>
  <w:style w:type="paragraph" w:customStyle="1" w:styleId="263">
    <w:name w:val="Char Char Char"/>
    <w:basedOn w:val="1"/>
    <w:qFormat/>
    <w:uiPriority w:val="0"/>
    <w:rPr>
      <w:rFonts w:ascii="Tahoma" w:hAnsi="Tahoma"/>
      <w:sz w:val="24"/>
      <w:szCs w:val="20"/>
    </w:rPr>
  </w:style>
  <w:style w:type="paragraph" w:customStyle="1" w:styleId="264">
    <w:name w:val="Char"/>
    <w:basedOn w:val="1"/>
    <w:qFormat/>
    <w:uiPriority w:val="0"/>
    <w:pPr>
      <w:widowControl/>
      <w:spacing w:after="160" w:line="240" w:lineRule="exact"/>
      <w:jc w:val="left"/>
    </w:pPr>
    <w:rPr>
      <w:szCs w:val="21"/>
    </w:rPr>
  </w:style>
  <w:style w:type="paragraph" w:customStyle="1" w:styleId="265">
    <w:name w:val="xl53"/>
    <w:basedOn w:val="1"/>
    <w:qFormat/>
    <w:uiPriority w:val="0"/>
    <w:pPr>
      <w:widowControl/>
      <w:pBdr>
        <w:top w:val="single" w:color="0000FF" w:sz="4" w:space="0"/>
        <w:left w:val="single" w:color="0000FF" w:sz="4" w:space="0"/>
        <w:bottom w:val="single" w:color="0000FF" w:sz="4" w:space="0"/>
        <w:right w:val="single" w:color="0000FF" w:sz="8" w:space="0"/>
      </w:pBdr>
      <w:spacing w:before="100" w:beforeAutospacing="1" w:after="100" w:afterAutospacing="1"/>
      <w:jc w:val="center"/>
    </w:pPr>
    <w:rPr>
      <w:rFonts w:ascii="宋体" w:hAnsi="宋体"/>
      <w:b/>
      <w:bCs/>
      <w:color w:val="000000"/>
      <w:kern w:val="0"/>
      <w:szCs w:val="21"/>
    </w:rPr>
  </w:style>
  <w:style w:type="paragraph" w:customStyle="1" w:styleId="266">
    <w:name w:val="font8"/>
    <w:basedOn w:val="1"/>
    <w:qFormat/>
    <w:uiPriority w:val="0"/>
    <w:pPr>
      <w:widowControl/>
      <w:spacing w:before="100" w:beforeAutospacing="1" w:after="100" w:afterAutospacing="1"/>
      <w:jc w:val="left"/>
    </w:pPr>
    <w:rPr>
      <w:rFonts w:ascii="宋体" w:hAnsi="宋体"/>
      <w:b/>
      <w:bCs/>
      <w:color w:val="000000"/>
      <w:kern w:val="0"/>
      <w:szCs w:val="21"/>
    </w:rPr>
  </w:style>
  <w:style w:type="paragraph" w:customStyle="1" w:styleId="267">
    <w:name w:val="xl2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68">
    <w:name w:val="正文呀2_0"/>
    <w:basedOn w:val="269"/>
    <w:qFormat/>
    <w:uiPriority w:val="0"/>
    <w:rPr>
      <w:rFonts w:ascii="Times New Roman" w:hAnsi="Times New Roman" w:eastAsia="宋体"/>
    </w:rPr>
  </w:style>
  <w:style w:type="paragraph" w:customStyle="1" w:styleId="269">
    <w:name w:val="正文呀_0"/>
    <w:basedOn w:val="270"/>
    <w:qFormat/>
    <w:uiPriority w:val="0"/>
    <w:pPr>
      <w:spacing w:line="420" w:lineRule="exact"/>
      <w:ind w:firstLine="420" w:firstLineChars="200"/>
    </w:pPr>
    <w:rPr>
      <w:rFonts w:ascii="宋体" w:hAnsi="宋体" w:eastAsia="等线"/>
    </w:rPr>
  </w:style>
  <w:style w:type="paragraph" w:customStyle="1" w:styleId="270">
    <w:name w:val="正文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1">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272">
    <w:name w:val="默认段落字体 Para Char Char Char Char Char Char Char Char Char1 Char Char Char Char"/>
    <w:basedOn w:val="1"/>
    <w:qFormat/>
    <w:uiPriority w:val="0"/>
    <w:rPr>
      <w:rFonts w:ascii="Tahoma" w:hAnsi="Tahoma"/>
      <w:sz w:val="24"/>
      <w:szCs w:val="20"/>
    </w:rPr>
  </w:style>
  <w:style w:type="paragraph" w:customStyle="1" w:styleId="273">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74">
    <w:name w:val="font6"/>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275">
    <w:name w:val="标题 3_0"/>
    <w:basedOn w:val="276"/>
    <w:next w:val="1"/>
    <w:qFormat/>
    <w:uiPriority w:val="0"/>
    <w:pPr>
      <w:keepNext/>
      <w:keepLines/>
      <w:spacing w:before="260" w:after="260" w:line="412" w:lineRule="auto"/>
      <w:jc w:val="left"/>
      <w:outlineLvl w:val="2"/>
    </w:pPr>
    <w:rPr>
      <w:b/>
    </w:rPr>
  </w:style>
  <w:style w:type="paragraph" w:customStyle="1" w:styleId="276">
    <w:name w:val="正文_0"/>
    <w:qFormat/>
    <w:uiPriority w:val="0"/>
    <w:pPr>
      <w:widowControl w:val="0"/>
      <w:spacing w:before="120" w:after="120"/>
      <w:jc w:val="both"/>
    </w:pPr>
    <w:rPr>
      <w:rFonts w:ascii="Calibri" w:hAnsi="Calibri" w:eastAsia="宋体" w:cs="Times New Roman"/>
      <w:kern w:val="2"/>
      <w:sz w:val="21"/>
      <w:szCs w:val="24"/>
      <w:lang w:val="en-US" w:eastAsia="zh-CN" w:bidi="ar-SA"/>
    </w:rPr>
  </w:style>
  <w:style w:type="paragraph" w:customStyle="1" w:styleId="277">
    <w:name w:val="font7"/>
    <w:basedOn w:val="1"/>
    <w:qFormat/>
    <w:uiPriority w:val="0"/>
    <w:pPr>
      <w:widowControl/>
      <w:spacing w:before="100" w:beforeAutospacing="1" w:after="100" w:afterAutospacing="1"/>
      <w:jc w:val="left"/>
    </w:pPr>
    <w:rPr>
      <w:kern w:val="0"/>
      <w:sz w:val="20"/>
      <w:szCs w:val="20"/>
    </w:rPr>
  </w:style>
  <w:style w:type="paragraph" w:customStyle="1" w:styleId="278">
    <w:name w:val="列出段落11"/>
    <w:qFormat/>
    <w:uiPriority w:val="34"/>
    <w:pPr>
      <w:widowControl w:val="0"/>
      <w:ind w:firstLine="420"/>
      <w:jc w:val="both"/>
    </w:pPr>
    <w:rPr>
      <w:rFonts w:ascii="Calibri" w:hAnsi="Calibri" w:eastAsia="宋体" w:cs="Calibri"/>
      <w:color w:val="000000"/>
      <w:kern w:val="2"/>
      <w:sz w:val="21"/>
      <w:szCs w:val="21"/>
      <w:u w:color="000000"/>
      <w:lang w:val="en-US" w:eastAsia="zh-CN" w:bidi="ar-SA"/>
    </w:rPr>
  </w:style>
  <w:style w:type="paragraph" w:customStyle="1" w:styleId="27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楷体_GB2312" w:hAnsi="宋体" w:eastAsia="楷体_GB2312"/>
      <w:kern w:val="0"/>
      <w:szCs w:val="21"/>
    </w:rPr>
  </w:style>
  <w:style w:type="paragraph" w:customStyle="1" w:styleId="280">
    <w:name w:val="xl50"/>
    <w:basedOn w:val="1"/>
    <w:qFormat/>
    <w:uiPriority w:val="0"/>
    <w:pPr>
      <w:widowControl/>
      <w:pBdr>
        <w:top w:val="single" w:color="0000FF" w:sz="4" w:space="0"/>
        <w:left w:val="single" w:color="0000FF" w:sz="4" w:space="0"/>
        <w:bottom w:val="single" w:color="0000FF" w:sz="4" w:space="0"/>
        <w:right w:val="single" w:color="0000FF" w:sz="4" w:space="0"/>
      </w:pBdr>
      <w:spacing w:before="100" w:beforeAutospacing="1" w:after="100" w:afterAutospacing="1"/>
      <w:jc w:val="center"/>
    </w:pPr>
    <w:rPr>
      <w:rFonts w:ascii="宋体" w:hAnsi="宋体"/>
      <w:b/>
      <w:bCs/>
      <w:color w:val="000000"/>
      <w:kern w:val="0"/>
      <w:szCs w:val="21"/>
    </w:rPr>
  </w:style>
  <w:style w:type="paragraph" w:customStyle="1" w:styleId="281">
    <w:name w:val="xl2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82">
    <w:name w:val="xl42"/>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楷体_GB2312" w:hAnsi="宋体" w:eastAsia="楷体_GB2312"/>
      <w:b/>
      <w:bCs/>
      <w:kern w:val="0"/>
      <w:sz w:val="20"/>
      <w:szCs w:val="20"/>
    </w:rPr>
  </w:style>
  <w:style w:type="paragraph" w:customStyle="1" w:styleId="28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Cs w:val="21"/>
      <w:u w:val="single"/>
    </w:rPr>
  </w:style>
  <w:style w:type="paragraph" w:customStyle="1" w:styleId="284">
    <w:name w:val="xl4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4"/>
      <w:szCs w:val="20"/>
    </w:rPr>
  </w:style>
  <w:style w:type="paragraph" w:customStyle="1" w:styleId="285">
    <w:name w:val="xl52"/>
    <w:basedOn w:val="1"/>
    <w:qFormat/>
    <w:uiPriority w:val="0"/>
    <w:pPr>
      <w:widowControl/>
      <w:pBdr>
        <w:top w:val="single" w:color="0000FF" w:sz="8" w:space="0"/>
        <w:left w:val="single" w:color="0000FF" w:sz="4" w:space="0"/>
        <w:bottom w:val="single" w:color="0000FF" w:sz="4" w:space="0"/>
        <w:right w:val="single" w:color="0000FF" w:sz="8" w:space="0"/>
      </w:pBdr>
      <w:spacing w:before="100" w:beforeAutospacing="1" w:after="100" w:afterAutospacing="1"/>
      <w:jc w:val="center"/>
    </w:pPr>
    <w:rPr>
      <w:rFonts w:ascii="宋体" w:hAnsi="宋体"/>
      <w:b/>
      <w:bCs/>
      <w:color w:val="000000"/>
      <w:kern w:val="0"/>
      <w:szCs w:val="21"/>
    </w:rPr>
  </w:style>
  <w:style w:type="paragraph" w:customStyle="1" w:styleId="286">
    <w:name w:val="列出段落2"/>
    <w:basedOn w:val="1"/>
    <w:qFormat/>
    <w:uiPriority w:val="99"/>
    <w:pPr>
      <w:ind w:firstLine="420" w:firstLineChars="200"/>
    </w:pPr>
    <w:rPr>
      <w:rFonts w:ascii="Calibri" w:hAnsi="Calibri" w:cs="Calibri"/>
      <w:szCs w:val="21"/>
    </w:rPr>
  </w:style>
  <w:style w:type="paragraph" w:customStyle="1" w:styleId="287">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288">
    <w:name w:val="标题 2_0"/>
    <w:basedOn w:val="1"/>
    <w:next w:val="1"/>
    <w:qFormat/>
    <w:uiPriority w:val="9"/>
    <w:pPr>
      <w:keepNext/>
      <w:keepLines/>
      <w:spacing w:before="260" w:after="260" w:line="412" w:lineRule="auto"/>
      <w:jc w:val="left"/>
      <w:outlineLvl w:val="1"/>
    </w:pPr>
    <w:rPr>
      <w:rFonts w:ascii="Arial" w:hAnsi="Arial"/>
      <w:b/>
    </w:rPr>
  </w:style>
  <w:style w:type="paragraph" w:customStyle="1" w:styleId="289">
    <w:name w:val="xl44"/>
    <w:basedOn w:val="1"/>
    <w:qFormat/>
    <w:uiPriority w:val="0"/>
    <w:pPr>
      <w:widowControl/>
      <w:pBdr>
        <w:top w:val="single" w:color="0000FF" w:sz="4" w:space="0"/>
        <w:left w:val="single" w:color="0000FF" w:sz="4" w:space="0"/>
        <w:right w:val="single" w:color="0000FF" w:sz="4" w:space="0"/>
      </w:pBdr>
      <w:shd w:val="clear" w:color="auto" w:fill="FFFFFF"/>
      <w:spacing w:before="100" w:beforeAutospacing="1" w:after="100" w:afterAutospacing="1"/>
      <w:jc w:val="center"/>
    </w:pPr>
    <w:rPr>
      <w:rFonts w:ascii="宋体" w:hAnsi="宋体"/>
      <w:kern w:val="0"/>
      <w:sz w:val="24"/>
    </w:rPr>
  </w:style>
  <w:style w:type="paragraph" w:customStyle="1" w:styleId="29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9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92">
    <w:name w:val="xl2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kern w:val="0"/>
      <w:szCs w:val="21"/>
    </w:rPr>
  </w:style>
  <w:style w:type="paragraph" w:customStyle="1" w:styleId="293">
    <w:name w:val="正文小四缩进"/>
    <w:next w:val="1"/>
    <w:qFormat/>
    <w:uiPriority w:val="0"/>
    <w:pPr>
      <w:widowControl w:val="0"/>
      <w:adjustRightInd w:val="0"/>
      <w:snapToGrid w:val="0"/>
      <w:spacing w:line="360" w:lineRule="auto"/>
      <w:ind w:firstLine="420" w:firstLineChars="200"/>
    </w:pPr>
    <w:rPr>
      <w:rFonts w:ascii="宋体" w:hAnsi="宋体" w:eastAsia="Times New Roman" w:cs="Times New Roman"/>
      <w:kern w:val="2"/>
      <w:sz w:val="21"/>
      <w:szCs w:val="21"/>
      <w:lang w:val="en-US" w:eastAsia="zh-CN" w:bidi="ar-SA"/>
    </w:rPr>
  </w:style>
  <w:style w:type="paragraph" w:customStyle="1" w:styleId="294">
    <w:name w:val="1"/>
    <w:basedOn w:val="1"/>
    <w:next w:val="26"/>
    <w:qFormat/>
    <w:uiPriority w:val="99"/>
    <w:rPr>
      <w:szCs w:val="21"/>
    </w:rPr>
  </w:style>
  <w:style w:type="paragraph" w:customStyle="1" w:styleId="295">
    <w:name w:val="Table Paragraph"/>
    <w:basedOn w:val="1"/>
    <w:qFormat/>
    <w:uiPriority w:val="1"/>
    <w:pPr>
      <w:jc w:val="left"/>
    </w:pPr>
    <w:rPr>
      <w:rFonts w:ascii="Calibri" w:hAnsi="Calibri"/>
      <w:kern w:val="0"/>
      <w:sz w:val="22"/>
      <w:szCs w:val="22"/>
      <w:lang w:eastAsia="en-US"/>
    </w:rPr>
  </w:style>
  <w:style w:type="paragraph" w:customStyle="1" w:styleId="296">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297">
    <w:name w:val="xl60"/>
    <w:basedOn w:val="1"/>
    <w:qFormat/>
    <w:uiPriority w:val="0"/>
    <w:pPr>
      <w:widowControl/>
      <w:pBdr>
        <w:left w:val="single" w:color="0000FF" w:sz="4" w:space="0"/>
        <w:bottom w:val="single" w:color="0000FF" w:sz="4" w:space="0"/>
        <w:right w:val="single" w:color="0000FF" w:sz="8" w:space="0"/>
      </w:pBdr>
      <w:shd w:val="clear" w:color="auto" w:fill="FFFFFF"/>
      <w:spacing w:before="100" w:beforeAutospacing="1" w:after="100" w:afterAutospacing="1"/>
      <w:jc w:val="center"/>
    </w:pPr>
    <w:rPr>
      <w:rFonts w:ascii="宋体" w:hAnsi="宋体"/>
      <w:kern w:val="0"/>
      <w:sz w:val="24"/>
    </w:rPr>
  </w:style>
  <w:style w:type="paragraph" w:customStyle="1" w:styleId="298">
    <w:name w:val="正文缩进1"/>
    <w:basedOn w:val="1"/>
    <w:next w:val="1"/>
    <w:qFormat/>
    <w:uiPriority w:val="0"/>
    <w:pPr>
      <w:widowControl/>
      <w:ind w:firstLine="420"/>
    </w:pPr>
    <w:rPr>
      <w:color w:val="000000"/>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楷体_GB2312" w:hAnsi="宋体" w:eastAsia="楷体_GB2312"/>
      <w:b/>
      <w:bCs/>
      <w:kern w:val="0"/>
      <w:szCs w:val="21"/>
    </w:rPr>
  </w:style>
  <w:style w:type="paragraph" w:customStyle="1" w:styleId="300">
    <w:name w:val="xl3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kern w:val="0"/>
      <w:szCs w:val="21"/>
    </w:rPr>
  </w:style>
  <w:style w:type="paragraph" w:customStyle="1" w:styleId="301">
    <w:name w:val="xl36"/>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楷体_GB2312" w:hAnsi="宋体" w:eastAsia="楷体_GB2312"/>
      <w:kern w:val="0"/>
      <w:szCs w:val="21"/>
    </w:rPr>
  </w:style>
  <w:style w:type="paragraph" w:customStyle="1" w:styleId="302">
    <w:name w:val="pa-1"/>
    <w:basedOn w:val="1"/>
    <w:qFormat/>
    <w:uiPriority w:val="0"/>
    <w:pPr>
      <w:widowControl/>
      <w:spacing w:line="384" w:lineRule="atLeast"/>
      <w:jc w:val="left"/>
    </w:pPr>
    <w:rPr>
      <w:rFonts w:ascii="宋体" w:hAnsi="宋体" w:cs="宋体"/>
      <w:kern w:val="0"/>
      <w:sz w:val="24"/>
    </w:rPr>
  </w:style>
  <w:style w:type="paragraph" w:customStyle="1" w:styleId="303">
    <w:name w:val="xl2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pPr>
    <w:rPr>
      <w:rFonts w:ascii="楷体_GB2312" w:hAnsi="宋体" w:eastAsia="楷体_GB2312"/>
      <w:b/>
      <w:bCs/>
      <w:kern w:val="0"/>
      <w:szCs w:val="21"/>
    </w:rPr>
  </w:style>
  <w:style w:type="paragraph" w:customStyle="1" w:styleId="304">
    <w:name w:val="one"/>
    <w:basedOn w:val="1"/>
    <w:qFormat/>
    <w:uiPriority w:val="0"/>
    <w:pPr>
      <w:widowControl/>
      <w:jc w:val="left"/>
    </w:pPr>
    <w:rPr>
      <w:rFonts w:ascii="宋体" w:cs="宋体"/>
      <w:kern w:val="0"/>
      <w:sz w:val="24"/>
    </w:rPr>
  </w:style>
  <w:style w:type="paragraph" w:customStyle="1" w:styleId="305">
    <w:name w:val="Char1"/>
    <w:basedOn w:val="1"/>
    <w:qFormat/>
    <w:uiPriority w:val="99"/>
    <w:pPr>
      <w:widowControl/>
      <w:spacing w:after="160" w:line="240" w:lineRule="exact"/>
      <w:jc w:val="left"/>
    </w:pPr>
    <w:rPr>
      <w:szCs w:val="21"/>
    </w:rPr>
  </w:style>
  <w:style w:type="paragraph" w:customStyle="1" w:styleId="306">
    <w:name w:val="正文1"/>
    <w:basedOn w:val="1"/>
    <w:qFormat/>
    <w:uiPriority w:val="0"/>
    <w:pPr>
      <w:spacing w:line="360" w:lineRule="auto"/>
      <w:ind w:firstLine="200" w:firstLineChars="200"/>
      <w:jc w:val="left"/>
    </w:pPr>
    <w:rPr>
      <w:rFonts w:ascii="Times New Roman)" w:hAnsi="Times New Roman)" w:eastAsia="宋体正文"/>
      <w:color w:val="000000"/>
      <w:kern w:val="0"/>
      <w:sz w:val="24"/>
      <w:lang w:eastAsia="en-US" w:bidi="en-US"/>
    </w:rPr>
  </w:style>
  <w:style w:type="paragraph" w:customStyle="1" w:styleId="307">
    <w:name w:val="xl56"/>
    <w:basedOn w:val="1"/>
    <w:qFormat/>
    <w:uiPriority w:val="0"/>
    <w:pPr>
      <w:widowControl/>
      <w:pBdr>
        <w:top w:val="single" w:color="0000FF" w:sz="4" w:space="0"/>
        <w:left w:val="single" w:color="0000FF" w:sz="4" w:space="0"/>
        <w:right w:val="single" w:color="0000FF" w:sz="4" w:space="0"/>
      </w:pBdr>
      <w:shd w:val="clear" w:color="auto" w:fill="FFFFFF"/>
      <w:spacing w:before="100" w:beforeAutospacing="1" w:after="100" w:afterAutospacing="1"/>
      <w:jc w:val="center"/>
    </w:pPr>
    <w:rPr>
      <w:rFonts w:ascii="宋体" w:hAnsi="宋体"/>
      <w:kern w:val="0"/>
      <w:sz w:val="24"/>
    </w:rPr>
  </w:style>
  <w:style w:type="paragraph" w:customStyle="1" w:styleId="308">
    <w:name w:val="Char Char1 Char Char Char Char Char Char"/>
    <w:basedOn w:val="1"/>
    <w:qFormat/>
    <w:uiPriority w:val="0"/>
    <w:pPr>
      <w:widowControl/>
      <w:adjustRightInd w:val="0"/>
      <w:snapToGrid w:val="0"/>
      <w:spacing w:beforeLines="25" w:line="240" w:lineRule="exact"/>
      <w:ind w:firstLine="560" w:firstLineChars="192"/>
      <w:jc w:val="left"/>
    </w:pPr>
    <w:rPr>
      <w:szCs w:val="20"/>
    </w:rPr>
  </w:style>
  <w:style w:type="paragraph" w:customStyle="1" w:styleId="309">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10">
    <w:name w:val="font11"/>
    <w:basedOn w:val="1"/>
    <w:qFormat/>
    <w:uiPriority w:val="0"/>
    <w:pPr>
      <w:widowControl/>
      <w:spacing w:before="100" w:beforeAutospacing="1" w:after="100" w:afterAutospacing="1"/>
      <w:jc w:val="left"/>
    </w:pPr>
    <w:rPr>
      <w:rFonts w:ascii="宋体" w:hAnsi="宋体"/>
      <w:kern w:val="0"/>
      <w:szCs w:val="21"/>
    </w:rPr>
  </w:style>
  <w:style w:type="paragraph" w:customStyle="1" w:styleId="311">
    <w:name w:val="_Style 37"/>
    <w:basedOn w:val="1"/>
    <w:next w:val="1"/>
    <w:qFormat/>
    <w:uiPriority w:val="0"/>
    <w:rPr>
      <w:szCs w:val="21"/>
    </w:rPr>
  </w:style>
  <w:style w:type="paragraph" w:customStyle="1" w:styleId="312">
    <w:name w:val="xl47"/>
    <w:basedOn w:val="1"/>
    <w:qFormat/>
    <w:uiPriority w:val="0"/>
    <w:pPr>
      <w:widowControl/>
      <w:pBdr>
        <w:top w:val="single" w:color="0000FF" w:sz="4" w:space="0"/>
        <w:left w:val="single" w:color="0000FF" w:sz="8" w:space="0"/>
        <w:bottom w:val="single" w:color="0000FF" w:sz="4" w:space="0"/>
        <w:right w:val="single" w:color="0000FF" w:sz="4" w:space="0"/>
      </w:pBdr>
      <w:spacing w:before="100" w:beforeAutospacing="1" w:after="100" w:afterAutospacing="1"/>
      <w:jc w:val="center"/>
    </w:pPr>
    <w:rPr>
      <w:rFonts w:ascii="宋体" w:hAnsi="宋体"/>
      <w:kern w:val="0"/>
      <w:sz w:val="24"/>
    </w:rPr>
  </w:style>
  <w:style w:type="paragraph" w:customStyle="1" w:styleId="313">
    <w:name w:val="CM24"/>
    <w:basedOn w:val="1"/>
    <w:next w:val="1"/>
    <w:qFormat/>
    <w:uiPriority w:val="0"/>
    <w:pPr>
      <w:autoSpaceDE w:val="0"/>
      <w:autoSpaceDN w:val="0"/>
      <w:adjustRightInd w:val="0"/>
      <w:spacing w:after="298"/>
      <w:jc w:val="left"/>
    </w:pPr>
    <w:rPr>
      <w:rFonts w:ascii="楷体_GB2312" w:eastAsia="楷体_GB2312" w:cs="楷体_GB2312"/>
      <w:kern w:val="0"/>
      <w:sz w:val="24"/>
    </w:rPr>
  </w:style>
  <w:style w:type="paragraph" w:customStyle="1" w:styleId="314">
    <w:name w:val="font9"/>
    <w:basedOn w:val="1"/>
    <w:qFormat/>
    <w:uiPriority w:val="0"/>
    <w:pPr>
      <w:widowControl/>
      <w:spacing w:before="100" w:beforeAutospacing="1" w:after="100" w:afterAutospacing="1"/>
      <w:jc w:val="left"/>
    </w:pPr>
    <w:rPr>
      <w:b/>
      <w:bCs/>
      <w:color w:val="000000"/>
      <w:kern w:val="0"/>
      <w:szCs w:val="21"/>
    </w:rPr>
  </w:style>
  <w:style w:type="paragraph" w:customStyle="1" w:styleId="315">
    <w:name w:val="xl55"/>
    <w:basedOn w:val="1"/>
    <w:qFormat/>
    <w:uiPriority w:val="0"/>
    <w:pPr>
      <w:widowControl/>
      <w:pBdr>
        <w:left w:val="single" w:color="0000FF" w:sz="8" w:space="0"/>
        <w:bottom w:val="single" w:color="0000FF" w:sz="4" w:space="0"/>
        <w:right w:val="single" w:color="0000FF" w:sz="4" w:space="0"/>
      </w:pBdr>
      <w:spacing w:before="100" w:beforeAutospacing="1" w:after="100" w:afterAutospacing="1"/>
      <w:jc w:val="center"/>
    </w:pPr>
    <w:rPr>
      <w:rFonts w:ascii="宋体" w:hAnsi="宋体"/>
      <w:color w:val="000000"/>
      <w:kern w:val="0"/>
      <w:szCs w:val="21"/>
    </w:rPr>
  </w:style>
  <w:style w:type="paragraph" w:customStyle="1" w:styleId="316">
    <w:name w:val="xl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317">
    <w:name w:val="_Style 20"/>
    <w:basedOn w:val="1"/>
    <w:qFormat/>
    <w:uiPriority w:val="0"/>
    <w:rPr>
      <w:rFonts w:ascii="Tahoma" w:hAnsi="Tahoma"/>
      <w:sz w:val="24"/>
      <w:szCs w:val="20"/>
    </w:rPr>
  </w:style>
  <w:style w:type="paragraph" w:customStyle="1" w:styleId="318">
    <w:name w:val="font10"/>
    <w:basedOn w:val="1"/>
    <w:qFormat/>
    <w:uiPriority w:val="0"/>
    <w:pPr>
      <w:widowControl/>
      <w:spacing w:before="100" w:beforeAutospacing="1" w:after="100" w:afterAutospacing="1"/>
      <w:jc w:val="left"/>
    </w:pPr>
    <w:rPr>
      <w:rFonts w:ascii="宋体" w:hAnsi="宋体"/>
      <w:b/>
      <w:bCs/>
      <w:color w:val="000000"/>
      <w:kern w:val="0"/>
      <w:szCs w:val="21"/>
    </w:rPr>
  </w:style>
  <w:style w:type="paragraph" w:customStyle="1" w:styleId="319">
    <w:name w:val="xl4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kern w:val="0"/>
      <w:sz w:val="24"/>
      <w:szCs w:val="20"/>
    </w:rPr>
  </w:style>
  <w:style w:type="paragraph" w:customStyle="1" w:styleId="320">
    <w:name w:val="xl48"/>
    <w:basedOn w:val="1"/>
    <w:qFormat/>
    <w:uiPriority w:val="0"/>
    <w:pPr>
      <w:widowControl/>
      <w:pBdr>
        <w:top w:val="single" w:color="0000FF" w:sz="8" w:space="0"/>
        <w:left w:val="single" w:color="0000FF" w:sz="4" w:space="0"/>
        <w:bottom w:val="single" w:color="0000FF" w:sz="4" w:space="0"/>
        <w:right w:val="single" w:color="0000FF" w:sz="4" w:space="0"/>
      </w:pBdr>
      <w:spacing w:before="100" w:beforeAutospacing="1" w:after="100" w:afterAutospacing="1"/>
      <w:jc w:val="center"/>
    </w:pPr>
    <w:rPr>
      <w:rFonts w:ascii="宋体" w:hAnsi="宋体"/>
      <w:b/>
      <w:bCs/>
      <w:color w:val="000000"/>
      <w:kern w:val="0"/>
      <w:szCs w:val="21"/>
    </w:rPr>
  </w:style>
  <w:style w:type="paragraph" w:customStyle="1" w:styleId="321">
    <w:name w:val="正文小标题"/>
    <w:basedOn w:val="2"/>
    <w:qFormat/>
    <w:uiPriority w:val="0"/>
    <w:pPr>
      <w:spacing w:line="420" w:lineRule="exact"/>
    </w:pPr>
    <w:rPr>
      <w:rFonts w:hAnsi="宋体"/>
      <w:sz w:val="21"/>
      <w:szCs w:val="21"/>
    </w:rPr>
  </w:style>
  <w:style w:type="paragraph" w:customStyle="1" w:styleId="322">
    <w:name w:val="xl2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b/>
      <w:bCs/>
      <w:kern w:val="0"/>
      <w:szCs w:val="21"/>
    </w:rPr>
  </w:style>
  <w:style w:type="paragraph" w:customStyle="1" w:styleId="323">
    <w:name w:val="2-2ji"/>
    <w:basedOn w:val="3"/>
    <w:qFormat/>
    <w:uiPriority w:val="99"/>
    <w:pPr>
      <w:spacing w:before="0" w:after="0" w:line="360" w:lineRule="auto"/>
      <w:jc w:val="center"/>
    </w:pPr>
    <w:rPr>
      <w:rFonts w:ascii="宋体" w:hAnsi="宋体" w:cs="宋体"/>
      <w:sz w:val="36"/>
      <w:szCs w:val="36"/>
      <w:lang w:val="zh-CN"/>
    </w:rPr>
  </w:style>
  <w:style w:type="character" w:customStyle="1" w:styleId="324">
    <w:name w:val="未处理的提及1"/>
    <w:basedOn w:val="48"/>
    <w:semiHidden/>
    <w:unhideWhenUsed/>
    <w:qFormat/>
    <w:uiPriority w:val="99"/>
    <w:rPr>
      <w:color w:val="605E5C"/>
      <w:shd w:val="clear" w:color="auto" w:fill="E1DFDD"/>
    </w:rPr>
  </w:style>
  <w:style w:type="paragraph" w:customStyle="1" w:styleId="325">
    <w:name w:val="正文_3"/>
    <w:basedOn w:val="1"/>
    <w:qFormat/>
    <w:uiPriority w:val="0"/>
    <w:rPr>
      <w:rFonts w:ascii="Calibri" w:hAnsi="Calibri"/>
      <w:szCs w:val="21"/>
    </w:rPr>
  </w:style>
  <w:style w:type="character" w:customStyle="1" w:styleId="326">
    <w:name w:val="15"/>
    <w:basedOn w:val="48"/>
    <w:qFormat/>
    <w:uiPriority w:val="0"/>
    <w:rPr>
      <w:rFonts w:hint="default" w:ascii="Times New Roman" w:hAnsi="Times New Roman" w:cs="Times New Roman"/>
      <w:sz w:val="21"/>
      <w:szCs w:val="21"/>
    </w:rPr>
  </w:style>
  <w:style w:type="character" w:customStyle="1" w:styleId="327">
    <w:name w:val="10"/>
    <w:basedOn w:val="48"/>
    <w:qFormat/>
    <w:uiPriority w:val="0"/>
    <w:rPr>
      <w:rFonts w:hint="default" w:ascii="Times New Roman" w:hAnsi="Times New Roman" w:cs="Times New Roman"/>
    </w:rPr>
  </w:style>
  <w:style w:type="paragraph" w:customStyle="1" w:styleId="328">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329">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330">
    <w:name w:val="_Style 5"/>
    <w:basedOn w:val="1"/>
    <w:qFormat/>
    <w:uiPriority w:val="0"/>
    <w:pPr>
      <w:widowControl/>
      <w:jc w:val="left"/>
    </w:pPr>
    <w:rPr>
      <w:kern w:val="0"/>
      <w:sz w:val="22"/>
      <w:szCs w:val="22"/>
    </w:rPr>
  </w:style>
  <w:style w:type="paragraph" w:customStyle="1" w:styleId="331">
    <w:name w:val="列表段落2"/>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7.wmf"/><Relationship Id="rId22" Type="http://schemas.openxmlformats.org/officeDocument/2006/relationships/oleObject" Target="embeddings/oleObject5.bin"/><Relationship Id="rId21" Type="http://schemas.openxmlformats.org/officeDocument/2006/relationships/image" Target="media/image6.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3.bin"/><Relationship Id="rId17" Type="http://schemas.openxmlformats.org/officeDocument/2006/relationships/image" Target="media/image4.wmf"/><Relationship Id="rId16" Type="http://schemas.openxmlformats.org/officeDocument/2006/relationships/oleObject" Target="embeddings/oleObject2.bin"/><Relationship Id="rId15" Type="http://schemas.openxmlformats.org/officeDocument/2006/relationships/image" Target="media/image3.wmf"/><Relationship Id="rId14" Type="http://schemas.openxmlformats.org/officeDocument/2006/relationships/oleObject" Target="embeddings/oleObject1.bin"/><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189</Pages>
  <Words>15007</Words>
  <Characters>15969</Characters>
  <Lines>1</Lines>
  <Paragraphs>1</Paragraphs>
  <TotalTime>145</TotalTime>
  <ScaleCrop>false</ScaleCrop>
  <LinksUpToDate>false</LinksUpToDate>
  <CharactersWithSpaces>16261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2025-08-20T03:54:00Z</dcterms:created>
  <dc:creator>唐冰</dc:creator>
  <cp:lastModifiedBy>Administrator</cp:lastModifiedBy>
  <cp:lastPrinted>2024-07-27T11:48:00Z</cp:lastPrinted>
  <dcterms:modified xsi:type="dcterms:W3CDTF">2025-09-23T08:32:44Z</dcterms:modified>
  <dc:title>竞争性谈判文件规范</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CD250CC9351140AF9CF07522F55D13CC_13</vt:lpwstr>
  </property>
  <property fmtid="{D5CDD505-2E9C-101B-9397-08002B2CF9AE}" pid="4" name="KSOTemplateDocerSaveRecord">
    <vt:lpwstr>eyJoZGlkIjoiNzI5OWM3OGY1NTAzMjZjNjUxMTAzMDE0ZGZiNTY1MWMifQ==</vt:lpwstr>
  </property>
</Properties>
</file>