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914DBF">
      <w:pPr>
        <w:spacing w:before="312" w:beforeLines="100" w:after="156" w:afterLines="50" w:line="600" w:lineRule="exact"/>
        <w:jc w:val="center"/>
        <w:rPr>
          <w:rFonts w:hint="eastAsia" w:ascii="方正小标宋简体" w:hAnsi="宋体" w:eastAsia="方正小标宋简体"/>
          <w:color w:val="auto"/>
          <w:sz w:val="28"/>
          <w:szCs w:val="28"/>
          <w:highlight w:val="none"/>
        </w:rPr>
      </w:pPr>
    </w:p>
    <w:p w14:paraId="58607B5E">
      <w:pPr>
        <w:spacing w:line="360" w:lineRule="auto"/>
        <w:jc w:val="center"/>
        <w:rPr>
          <w:rFonts w:hint="eastAsia" w:ascii="方正小标宋简体" w:hAnsi="宋体" w:eastAsia="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08699CF8">
      <w:pPr>
        <w:spacing w:before="156" w:beforeLines="50" w:line="360" w:lineRule="auto"/>
        <w:jc w:val="center"/>
        <w:rPr>
          <w:rFonts w:ascii="宋体"/>
          <w:i/>
          <w:color w:val="auto"/>
          <w:sz w:val="52"/>
          <w:szCs w:val="52"/>
          <w:highlight w:val="none"/>
        </w:rPr>
      </w:pPr>
    </w:p>
    <w:p w14:paraId="56B78513">
      <w:pPr>
        <w:tabs>
          <w:tab w:val="left" w:pos="3720"/>
          <w:tab w:val="center" w:pos="4439"/>
        </w:tabs>
        <w:spacing w:line="360" w:lineRule="auto"/>
        <w:rPr>
          <w:rFonts w:hint="eastAsia" w:ascii="方正小标宋简体" w:hAnsi="方正小标宋简体" w:eastAsia="方正小标宋简体" w:cs="方正小标宋简体"/>
          <w:b/>
          <w:color w:val="auto"/>
          <w:sz w:val="44"/>
          <w:szCs w:val="44"/>
          <w:highlight w:val="none"/>
        </w:rPr>
      </w:pPr>
      <w:r>
        <w:rPr>
          <w:rFonts w:ascii="方正小标宋简体" w:hAnsi="方正小标宋简体" w:eastAsia="方正小标宋简体" w:cs="方正小标宋简体"/>
          <w:b/>
          <w:color w:val="auto"/>
          <w:sz w:val="44"/>
          <w:szCs w:val="44"/>
          <w:highlight w:val="none"/>
        </w:rPr>
        <w:tab/>
      </w:r>
      <w:r>
        <w:rPr>
          <w:rFonts w:ascii="方正小标宋简体" w:hAnsi="方正小标宋简体" w:eastAsia="方正小标宋简体" w:cs="方正小标宋简体"/>
          <w:b/>
          <w:color w:val="auto"/>
          <w:sz w:val="44"/>
          <w:szCs w:val="44"/>
          <w:highlight w:val="none"/>
        </w:rPr>
        <w:tab/>
      </w:r>
    </w:p>
    <w:p w14:paraId="5978FF78">
      <w:pPr>
        <w:snapToGrid w:val="0"/>
        <w:spacing w:before="156" w:beforeLines="50"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竞争性谈判文件</w:t>
      </w:r>
    </w:p>
    <w:p w14:paraId="11ED8912">
      <w:pPr>
        <w:snapToGrid w:val="0"/>
        <w:spacing w:before="156" w:beforeLines="50" w:line="360" w:lineRule="auto"/>
        <w:jc w:val="center"/>
        <w:rPr>
          <w:rFonts w:hint="eastAsia" w:ascii="仿宋" w:hAnsi="仿宋" w:eastAsia="仿宋"/>
          <w:b/>
          <w:color w:val="auto"/>
          <w:sz w:val="30"/>
          <w:szCs w:val="72"/>
          <w:highlight w:val="none"/>
        </w:rPr>
      </w:pPr>
      <w:r>
        <w:rPr>
          <w:rFonts w:hint="eastAsia" w:ascii="仿宋" w:hAnsi="仿宋" w:eastAsia="仿宋"/>
          <w:b/>
          <w:color w:val="auto"/>
          <w:sz w:val="48"/>
          <w:szCs w:val="48"/>
          <w:highlight w:val="none"/>
        </w:rPr>
        <w:t>（全流程电子化采购）</w:t>
      </w:r>
    </w:p>
    <w:p w14:paraId="60B02F49">
      <w:pPr>
        <w:snapToGrid w:val="0"/>
        <w:spacing w:line="360" w:lineRule="auto"/>
        <w:rPr>
          <w:rFonts w:hint="eastAsia" w:ascii="仿宋" w:hAnsi="仿宋" w:eastAsia="仿宋"/>
          <w:color w:val="auto"/>
          <w:sz w:val="30"/>
          <w:szCs w:val="72"/>
          <w:highlight w:val="none"/>
        </w:rPr>
      </w:pPr>
    </w:p>
    <w:p w14:paraId="6212E2C0">
      <w:pPr>
        <w:pStyle w:val="15"/>
        <w:snapToGrid w:val="0"/>
        <w:spacing w:line="360" w:lineRule="auto"/>
        <w:ind w:firstLine="1193" w:firstLineChars="396"/>
        <w:rPr>
          <w:rFonts w:hint="eastAsia" w:ascii="仿宋" w:hAnsi="仿宋" w:eastAsia="仿宋"/>
          <w:b/>
          <w:bCs/>
          <w:color w:val="auto"/>
          <w:spacing w:val="-23"/>
          <w:sz w:val="30"/>
          <w:szCs w:val="30"/>
          <w:highlight w:val="none"/>
        </w:rPr>
      </w:pPr>
      <w:r>
        <w:rPr>
          <w:rFonts w:hint="eastAsia" w:ascii="仿宋" w:hAnsi="仿宋" w:eastAsia="仿宋"/>
          <w:b/>
          <w:bCs/>
          <w:color w:val="auto"/>
          <w:sz w:val="30"/>
          <w:szCs w:val="30"/>
          <w:highlight w:val="none"/>
        </w:rPr>
        <w:t>项目名称：</w:t>
      </w:r>
      <w:r>
        <w:rPr>
          <w:rFonts w:hint="eastAsia" w:ascii="仿宋" w:hAnsi="仿宋" w:eastAsia="仿宋"/>
          <w:b/>
          <w:bCs/>
          <w:color w:val="auto"/>
          <w:spacing w:val="-23"/>
          <w:sz w:val="30"/>
          <w:szCs w:val="30"/>
          <w:highlight w:val="none"/>
        </w:rPr>
        <w:t>桂林医科大学临床教学培训中心智慧实训室设备采购</w:t>
      </w:r>
    </w:p>
    <w:p w14:paraId="0991DAC9">
      <w:pPr>
        <w:pStyle w:val="15"/>
        <w:snapToGrid w:val="0"/>
        <w:spacing w:line="360" w:lineRule="auto"/>
        <w:ind w:firstLine="1193" w:firstLineChars="396"/>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项目编号：GXZC2025-J1-002937-YZLZ</w:t>
      </w:r>
    </w:p>
    <w:p w14:paraId="3B830E3D">
      <w:pPr>
        <w:pStyle w:val="15"/>
        <w:snapToGrid w:val="0"/>
        <w:spacing w:line="360" w:lineRule="auto"/>
        <w:ind w:firstLine="1193" w:firstLineChars="396"/>
        <w:rPr>
          <w:rFonts w:hint="eastAsia" w:ascii="仿宋" w:hAnsi="仿宋" w:eastAsia="仿宋"/>
          <w:b/>
          <w:bCs/>
          <w:color w:val="auto"/>
          <w:sz w:val="30"/>
          <w:szCs w:val="30"/>
          <w:highlight w:val="none"/>
        </w:rPr>
      </w:pPr>
      <w:r>
        <w:rPr>
          <w:rFonts w:hint="eastAsia" w:ascii="仿宋" w:hAnsi="仿宋" w:eastAsia="仿宋"/>
          <w:b/>
          <w:bCs/>
          <w:color w:val="auto"/>
          <w:sz w:val="30"/>
          <w:szCs w:val="30"/>
          <w:highlight w:val="none"/>
        </w:rPr>
        <w:t>采购人：桂林医科大学</w:t>
      </w:r>
    </w:p>
    <w:p w14:paraId="2DC5FCFF">
      <w:pPr>
        <w:pStyle w:val="15"/>
        <w:snapToGrid w:val="0"/>
        <w:spacing w:line="360" w:lineRule="auto"/>
        <w:ind w:firstLine="1133" w:firstLineChars="396"/>
        <w:rPr>
          <w:rFonts w:hint="eastAsia" w:ascii="仿宋" w:hAnsi="仿宋" w:eastAsia="仿宋"/>
          <w:b/>
          <w:bCs/>
          <w:color w:val="auto"/>
          <w:sz w:val="30"/>
          <w:szCs w:val="30"/>
          <w:highlight w:val="none"/>
        </w:rPr>
      </w:pPr>
      <w:r>
        <w:rPr>
          <w:rFonts w:hint="eastAsia" w:ascii="仿宋" w:hAnsi="仿宋" w:eastAsia="仿宋"/>
          <w:b/>
          <w:bCs/>
          <w:color w:val="auto"/>
          <w:w w:val="95"/>
          <w:sz w:val="30"/>
          <w:szCs w:val="30"/>
          <w:highlight w:val="none"/>
        </w:rPr>
        <w:t>采购代理机构：云之龙咨询集团有限公司</w:t>
      </w:r>
    </w:p>
    <w:p w14:paraId="1F879D61">
      <w:pPr>
        <w:pStyle w:val="15"/>
        <w:snapToGrid w:val="0"/>
        <w:spacing w:line="360" w:lineRule="auto"/>
        <w:ind w:firstLine="1125" w:firstLineChars="393"/>
        <w:rPr>
          <w:rFonts w:hint="eastAsia" w:ascii="仿宋_GB2312" w:hAnsi="宋体" w:eastAsia="仿宋_GB2312"/>
          <w:b/>
          <w:bCs/>
          <w:color w:val="auto"/>
          <w:w w:val="95"/>
          <w:sz w:val="30"/>
          <w:szCs w:val="30"/>
          <w:highlight w:val="none"/>
        </w:rPr>
      </w:pPr>
    </w:p>
    <w:p w14:paraId="30AD4471">
      <w:pPr>
        <w:pStyle w:val="15"/>
        <w:snapToGrid w:val="0"/>
        <w:spacing w:line="360" w:lineRule="auto"/>
        <w:ind w:firstLine="1125" w:firstLineChars="393"/>
        <w:rPr>
          <w:rFonts w:hint="eastAsia" w:ascii="仿宋_GB2312" w:hAnsi="宋体" w:eastAsia="仿宋_GB2312"/>
          <w:b/>
          <w:bCs/>
          <w:color w:val="auto"/>
          <w:w w:val="95"/>
          <w:sz w:val="30"/>
          <w:szCs w:val="30"/>
          <w:highlight w:val="none"/>
        </w:rPr>
      </w:pPr>
    </w:p>
    <w:p w14:paraId="0227715B">
      <w:pPr>
        <w:pStyle w:val="15"/>
        <w:snapToGrid w:val="0"/>
        <w:spacing w:line="360" w:lineRule="auto"/>
        <w:ind w:firstLine="841" w:firstLineChars="294"/>
        <w:jc w:val="center"/>
        <w:rPr>
          <w:rFonts w:hint="eastAsia" w:ascii="仿宋" w:hAnsi="仿宋" w:eastAsia="仿宋"/>
          <w:color w:val="auto"/>
          <w:szCs w:val="20"/>
          <w:highlight w:val="none"/>
        </w:rPr>
      </w:pPr>
      <w:r>
        <w:rPr>
          <w:rFonts w:hint="eastAsia" w:ascii="仿宋" w:hAnsi="仿宋" w:eastAsia="仿宋"/>
          <w:b/>
          <w:bCs/>
          <w:color w:val="auto"/>
          <w:w w:val="95"/>
          <w:sz w:val="30"/>
          <w:szCs w:val="30"/>
          <w:highlight w:val="none"/>
        </w:rPr>
        <w:t>2025年</w:t>
      </w:r>
      <w:r>
        <w:rPr>
          <w:rFonts w:hint="eastAsia" w:ascii="仿宋" w:hAnsi="仿宋" w:eastAsia="仿宋"/>
          <w:b/>
          <w:bCs/>
          <w:color w:val="auto"/>
          <w:w w:val="95"/>
          <w:sz w:val="30"/>
          <w:szCs w:val="30"/>
          <w:highlight w:val="none"/>
          <w:lang w:val="en-US" w:eastAsia="zh-CN"/>
        </w:rPr>
        <w:t>9</w:t>
      </w:r>
      <w:r>
        <w:rPr>
          <w:rFonts w:hint="eastAsia" w:ascii="仿宋" w:hAnsi="仿宋" w:eastAsia="仿宋"/>
          <w:b/>
          <w:bCs/>
          <w:color w:val="auto"/>
          <w:w w:val="95"/>
          <w:sz w:val="30"/>
          <w:szCs w:val="30"/>
          <w:highlight w:val="none"/>
        </w:rPr>
        <w:t>月</w:t>
      </w:r>
      <w:r>
        <w:rPr>
          <w:rFonts w:hint="eastAsia" w:ascii="仿宋" w:hAnsi="仿宋" w:eastAsia="仿宋"/>
          <w:b/>
          <w:bCs/>
          <w:color w:val="auto"/>
          <w:w w:val="95"/>
          <w:sz w:val="30"/>
          <w:szCs w:val="30"/>
          <w:highlight w:val="none"/>
          <w:lang w:val="en-US" w:eastAsia="zh-CN"/>
        </w:rPr>
        <w:t>28</w:t>
      </w:r>
      <w:r>
        <w:rPr>
          <w:rFonts w:hint="eastAsia" w:ascii="仿宋" w:hAnsi="仿宋" w:eastAsia="仿宋"/>
          <w:b/>
          <w:bCs/>
          <w:color w:val="auto"/>
          <w:w w:val="95"/>
          <w:sz w:val="30"/>
          <w:szCs w:val="30"/>
          <w:highlight w:val="none"/>
        </w:rPr>
        <w:t>日</w:t>
      </w:r>
    </w:p>
    <w:p w14:paraId="3E345C6B">
      <w:pPr>
        <w:pStyle w:val="9"/>
        <w:ind w:firstLine="803"/>
        <w:jc w:val="center"/>
        <w:rPr>
          <w:rFonts w:ascii="宋体"/>
          <w:b/>
          <w:color w:val="auto"/>
          <w:sz w:val="44"/>
          <w:szCs w:val="44"/>
          <w:highlight w:val="none"/>
        </w:rPr>
      </w:pPr>
      <w:r>
        <w:rPr>
          <w:rFonts w:ascii="仿宋_GB2312" w:hAnsi="宋体" w:eastAsia="仿宋_GB2312"/>
          <w:b/>
          <w:color w:val="auto"/>
          <w:sz w:val="30"/>
          <w:szCs w:val="30"/>
          <w:highlight w:val="none"/>
        </w:rPr>
        <w:br w:type="page"/>
      </w:r>
    </w:p>
    <w:p w14:paraId="79CA3CBA">
      <w:pPr>
        <w:spacing w:line="360" w:lineRule="auto"/>
        <w:jc w:val="center"/>
        <w:rPr>
          <w:rFonts w:ascii="宋体"/>
          <w:b/>
          <w:color w:val="auto"/>
          <w:sz w:val="44"/>
          <w:szCs w:val="44"/>
          <w:highlight w:val="none"/>
        </w:rPr>
      </w:pPr>
      <w:r>
        <w:rPr>
          <w:rFonts w:hint="eastAsia" w:ascii="宋体" w:hAnsi="宋体"/>
          <w:b/>
          <w:color w:val="auto"/>
          <w:sz w:val="44"/>
          <w:szCs w:val="44"/>
          <w:highlight w:val="none"/>
        </w:rPr>
        <w:t>目录</w:t>
      </w:r>
    </w:p>
    <w:p w14:paraId="5E88A3D4">
      <w:pPr>
        <w:spacing w:line="400" w:lineRule="exact"/>
        <w:jc w:val="center"/>
        <w:rPr>
          <w:rFonts w:ascii="宋体"/>
          <w:b/>
          <w:color w:val="auto"/>
          <w:sz w:val="44"/>
          <w:szCs w:val="44"/>
          <w:highlight w:val="none"/>
        </w:rPr>
      </w:pPr>
    </w:p>
    <w:p w14:paraId="3B01EA63">
      <w:pPr>
        <w:pStyle w:val="20"/>
        <w:tabs>
          <w:tab w:val="right" w:leader="dot" w:pos="8869"/>
        </w:tabs>
        <w:snapToGrid w:val="0"/>
        <w:spacing w:line="500" w:lineRule="atLeast"/>
        <w:rPr>
          <w:rFonts w:ascii="宋体"/>
          <w:b/>
          <w:color w:val="auto"/>
          <w:sz w:val="24"/>
          <w:highlight w:val="none"/>
        </w:rPr>
      </w:pPr>
      <w:r>
        <w:rPr>
          <w:rFonts w:ascii="宋体" w:hAnsi="宋体"/>
          <w:b/>
          <w:color w:val="auto"/>
          <w:sz w:val="24"/>
          <w:highlight w:val="none"/>
        </w:rPr>
        <w:fldChar w:fldCharType="begin"/>
      </w:r>
      <w:r>
        <w:rPr>
          <w:rFonts w:ascii="宋体" w:hAnsi="宋体"/>
          <w:b/>
          <w:color w:val="auto"/>
          <w:sz w:val="24"/>
          <w:highlight w:val="none"/>
        </w:rPr>
        <w:instrText xml:space="preserve"> TOC \o "1-3" \h \z \u </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"_Toc74322008" </w:instrText>
      </w:r>
      <w:r>
        <w:rPr>
          <w:color w:val="auto"/>
          <w:highlight w:val="none"/>
        </w:rPr>
        <w:fldChar w:fldCharType="separate"/>
      </w:r>
      <w:r>
        <w:rPr>
          <w:rStyle w:val="31"/>
          <w:rFonts w:hint="eastAsia" w:ascii="宋体" w:hAnsi="宋体"/>
          <w:b/>
          <w:color w:val="auto"/>
          <w:sz w:val="24"/>
          <w:highlight w:val="none"/>
        </w:rPr>
        <w:t>第一章 竞争性谈判公告</w:t>
      </w:r>
      <w:r>
        <w:rPr>
          <w:rFonts w:asci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_Toc74322008 \h </w:instrText>
      </w:r>
      <w:r>
        <w:rPr>
          <w:rFonts w:ascii="宋体" w:hAnsi="宋体"/>
          <w:b/>
          <w:color w:val="auto"/>
          <w:sz w:val="24"/>
          <w:highlight w:val="none"/>
        </w:rPr>
        <w:fldChar w:fldCharType="separate"/>
      </w:r>
      <w:r>
        <w:rPr>
          <w:rFonts w:ascii="宋体" w:hAnsi="宋体"/>
          <w:b/>
          <w:color w:val="auto"/>
          <w:sz w:val="24"/>
          <w:highlight w:val="none"/>
        </w:rPr>
        <w:t>2</w:t>
      </w:r>
      <w:r>
        <w:rPr>
          <w:rFonts w:ascii="宋体" w:hAnsi="宋体"/>
          <w:b/>
          <w:color w:val="auto"/>
          <w:sz w:val="24"/>
          <w:highlight w:val="none"/>
        </w:rPr>
        <w:fldChar w:fldCharType="end"/>
      </w:r>
      <w:r>
        <w:rPr>
          <w:rFonts w:ascii="宋体" w:hAnsi="宋体"/>
          <w:b/>
          <w:color w:val="auto"/>
          <w:sz w:val="24"/>
          <w:highlight w:val="none"/>
        </w:rPr>
        <w:fldChar w:fldCharType="end"/>
      </w:r>
    </w:p>
    <w:p w14:paraId="5389A0CB">
      <w:pPr>
        <w:pStyle w:val="20"/>
        <w:tabs>
          <w:tab w:val="right" w:leader="dot" w:pos="8869"/>
        </w:tabs>
        <w:snapToGrid w:val="0"/>
        <w:spacing w:line="500" w:lineRule="atLeast"/>
        <w:rPr>
          <w:rStyle w:val="31"/>
          <w:color w:val="auto"/>
          <w:highlight w:val="none"/>
          <w:u w:val="none"/>
        </w:rPr>
      </w:pPr>
      <w:r>
        <w:rPr>
          <w:rStyle w:val="31"/>
          <w:rFonts w:hint="eastAsia" w:ascii="宋体" w:hAnsi="宋体"/>
          <w:b/>
          <w:color w:val="auto"/>
          <w:sz w:val="24"/>
          <w:highlight w:val="none"/>
          <w:u w:val="none"/>
        </w:rPr>
        <w:t xml:space="preserve">第二章 </w:t>
      </w:r>
      <w:r>
        <w:rPr>
          <w:rStyle w:val="31"/>
          <w:rFonts w:hint="eastAsia"/>
          <w:b/>
          <w:color w:val="auto"/>
          <w:sz w:val="24"/>
          <w:highlight w:val="none"/>
          <w:u w:val="none"/>
        </w:rPr>
        <w:t>供应商须知</w:t>
      </w:r>
      <w:r>
        <w:rPr>
          <w:rStyle w:val="31"/>
          <w:rFonts w:ascii="宋体"/>
          <w:b/>
          <w:color w:val="auto"/>
          <w:sz w:val="24"/>
          <w:highlight w:val="none"/>
          <w:u w:val="none"/>
        </w:rPr>
        <w:tab/>
      </w:r>
      <w:r>
        <w:rPr>
          <w:rStyle w:val="31"/>
          <w:rFonts w:hint="eastAsia" w:ascii="宋体" w:hAnsi="宋体"/>
          <w:b/>
          <w:color w:val="auto"/>
          <w:sz w:val="24"/>
          <w:highlight w:val="none"/>
          <w:u w:val="none"/>
        </w:rPr>
        <w:t>5</w:t>
      </w:r>
    </w:p>
    <w:p w14:paraId="61EA7ADD">
      <w:pPr>
        <w:pStyle w:val="20"/>
        <w:tabs>
          <w:tab w:val="right" w:leader="dot" w:pos="8869"/>
        </w:tabs>
        <w:snapToGrid w:val="0"/>
        <w:spacing w:line="500" w:lineRule="atLeast"/>
        <w:rPr>
          <w:rFonts w:ascii="宋体"/>
          <w:b/>
          <w:color w:val="auto"/>
          <w:sz w:val="24"/>
          <w:highlight w:val="none"/>
        </w:rPr>
      </w:pPr>
      <w:r>
        <w:rPr>
          <w:color w:val="auto"/>
          <w:highlight w:val="none"/>
        </w:rPr>
        <w:fldChar w:fldCharType="begin"/>
      </w:r>
      <w:r>
        <w:rPr>
          <w:color w:val="auto"/>
          <w:highlight w:val="none"/>
        </w:rPr>
        <w:instrText xml:space="preserve"> HYPERLINK \l "_Toc74322010" </w:instrText>
      </w:r>
      <w:r>
        <w:rPr>
          <w:color w:val="auto"/>
          <w:highlight w:val="none"/>
        </w:rPr>
        <w:fldChar w:fldCharType="separate"/>
      </w:r>
      <w:r>
        <w:rPr>
          <w:rStyle w:val="31"/>
          <w:rFonts w:hint="eastAsia" w:ascii="宋体" w:hAnsi="宋体"/>
          <w:b/>
          <w:color w:val="auto"/>
          <w:sz w:val="24"/>
          <w:highlight w:val="none"/>
        </w:rPr>
        <w:t>第三章 采购</w:t>
      </w:r>
      <w:bookmarkStart w:id="0" w:name="_Hlt100220159"/>
      <w:r>
        <w:rPr>
          <w:rStyle w:val="31"/>
          <w:rFonts w:hint="eastAsia" w:ascii="宋体" w:hAnsi="宋体"/>
          <w:b/>
          <w:color w:val="auto"/>
          <w:sz w:val="24"/>
          <w:highlight w:val="none"/>
        </w:rPr>
        <w:t>需</w:t>
      </w:r>
      <w:bookmarkEnd w:id="0"/>
      <w:r>
        <w:rPr>
          <w:rStyle w:val="31"/>
          <w:rFonts w:hint="eastAsia" w:ascii="宋体" w:hAnsi="宋体"/>
          <w:b/>
          <w:color w:val="auto"/>
          <w:sz w:val="24"/>
          <w:highlight w:val="none"/>
        </w:rPr>
        <w:t>求</w:t>
      </w:r>
      <w:bookmarkStart w:id="1" w:name="_Hlt82166985"/>
      <w:r>
        <w:rPr>
          <w:rFonts w:ascii="宋体"/>
          <w:b/>
          <w:color w:val="auto"/>
          <w:sz w:val="24"/>
          <w:highlight w:val="none"/>
        </w:rPr>
        <w:tab/>
      </w:r>
      <w:bookmarkEnd w:id="1"/>
      <w:r>
        <w:rPr>
          <w:rFonts w:hint="eastAsia" w:ascii="宋体" w:hAnsi="宋体"/>
          <w:b/>
          <w:color w:val="auto"/>
          <w:sz w:val="24"/>
          <w:highlight w:val="none"/>
        </w:rPr>
        <w:t>24</w:t>
      </w:r>
      <w:r>
        <w:rPr>
          <w:rFonts w:hint="eastAsia" w:ascii="宋体" w:hAnsi="宋体"/>
          <w:b/>
          <w:color w:val="auto"/>
          <w:sz w:val="24"/>
          <w:highlight w:val="none"/>
        </w:rPr>
        <w:fldChar w:fldCharType="end"/>
      </w:r>
    </w:p>
    <w:p w14:paraId="7B78586F">
      <w:pPr>
        <w:pStyle w:val="20"/>
        <w:tabs>
          <w:tab w:val="right" w:leader="dot" w:pos="8869"/>
        </w:tabs>
        <w:snapToGrid w:val="0"/>
        <w:spacing w:line="500" w:lineRule="atLeast"/>
        <w:rPr>
          <w:rFonts w:ascii="宋体"/>
          <w:b/>
          <w:color w:val="auto"/>
          <w:sz w:val="24"/>
          <w:highlight w:val="none"/>
        </w:rPr>
      </w:pPr>
      <w:r>
        <w:rPr>
          <w:color w:val="auto"/>
          <w:highlight w:val="none"/>
        </w:rPr>
        <w:fldChar w:fldCharType="begin"/>
      </w:r>
      <w:r>
        <w:rPr>
          <w:color w:val="auto"/>
          <w:highlight w:val="none"/>
        </w:rPr>
        <w:instrText xml:space="preserve"> HYPERLINK \l "_Toc74322011" </w:instrText>
      </w:r>
      <w:r>
        <w:rPr>
          <w:color w:val="auto"/>
          <w:highlight w:val="none"/>
        </w:rPr>
        <w:fldChar w:fldCharType="separate"/>
      </w:r>
      <w:r>
        <w:rPr>
          <w:rStyle w:val="31"/>
          <w:rFonts w:hint="eastAsia" w:ascii="宋体" w:hAnsi="宋体"/>
          <w:b/>
          <w:color w:val="auto"/>
          <w:sz w:val="24"/>
          <w:highlight w:val="none"/>
        </w:rPr>
        <w:t>第四章 评审程序和评定成交的标准</w:t>
      </w:r>
      <w:r>
        <w:rPr>
          <w:rFonts w:ascii="宋体"/>
          <w:b/>
          <w:color w:val="auto"/>
          <w:sz w:val="24"/>
          <w:highlight w:val="none"/>
        </w:rPr>
        <w:tab/>
      </w:r>
      <w:r>
        <w:rPr>
          <w:rFonts w:ascii="宋体"/>
          <w:b/>
          <w:color w:val="auto"/>
          <w:sz w:val="24"/>
          <w:highlight w:val="none"/>
        </w:rPr>
        <w:fldChar w:fldCharType="end"/>
      </w:r>
      <w:r>
        <w:rPr>
          <w:rFonts w:hint="eastAsia" w:ascii="宋体" w:hAnsi="宋体"/>
          <w:b/>
          <w:color w:val="auto"/>
          <w:sz w:val="24"/>
          <w:highlight w:val="none"/>
        </w:rPr>
        <w:t>83</w:t>
      </w:r>
    </w:p>
    <w:p w14:paraId="52E58698">
      <w:pPr>
        <w:pStyle w:val="20"/>
        <w:tabs>
          <w:tab w:val="right" w:leader="dot" w:pos="8869"/>
        </w:tabs>
        <w:snapToGrid w:val="0"/>
        <w:spacing w:line="500" w:lineRule="atLeast"/>
        <w:rPr>
          <w:rFonts w:ascii="宋体"/>
          <w:b/>
          <w:color w:val="auto"/>
          <w:sz w:val="24"/>
          <w:highlight w:val="none"/>
        </w:rPr>
      </w:pPr>
      <w:r>
        <w:rPr>
          <w:color w:val="auto"/>
          <w:highlight w:val="none"/>
        </w:rPr>
        <w:fldChar w:fldCharType="begin"/>
      </w:r>
      <w:r>
        <w:rPr>
          <w:color w:val="auto"/>
          <w:highlight w:val="none"/>
        </w:rPr>
        <w:instrText xml:space="preserve"> HYPERLINK \l "_Toc74322012" </w:instrText>
      </w:r>
      <w:r>
        <w:rPr>
          <w:color w:val="auto"/>
          <w:highlight w:val="none"/>
        </w:rPr>
        <w:fldChar w:fldCharType="separate"/>
      </w:r>
      <w:r>
        <w:rPr>
          <w:rStyle w:val="31"/>
          <w:rFonts w:hint="eastAsia" w:ascii="宋体" w:hAnsi="宋体"/>
          <w:b/>
          <w:color w:val="auto"/>
          <w:sz w:val="24"/>
          <w:highlight w:val="none"/>
        </w:rPr>
        <w:t>第五章 响应文件格式</w:t>
      </w:r>
      <w:r>
        <w:rPr>
          <w:rFonts w:ascii="宋体"/>
          <w:b/>
          <w:color w:val="auto"/>
          <w:sz w:val="24"/>
          <w:highlight w:val="none"/>
        </w:rPr>
        <w:tab/>
      </w:r>
      <w:r>
        <w:rPr>
          <w:rFonts w:ascii="宋体"/>
          <w:b/>
          <w:color w:val="auto"/>
          <w:sz w:val="24"/>
          <w:highlight w:val="none"/>
        </w:rPr>
        <w:fldChar w:fldCharType="end"/>
      </w:r>
      <w:r>
        <w:rPr>
          <w:rFonts w:hint="eastAsia" w:ascii="宋体" w:hAnsi="宋体"/>
          <w:b/>
          <w:color w:val="auto"/>
          <w:sz w:val="24"/>
          <w:highlight w:val="none"/>
        </w:rPr>
        <w:t>88</w:t>
      </w:r>
    </w:p>
    <w:p w14:paraId="4A696131">
      <w:pPr>
        <w:pStyle w:val="20"/>
        <w:tabs>
          <w:tab w:val="right" w:leader="dot" w:pos="8869"/>
        </w:tabs>
        <w:snapToGrid w:val="0"/>
        <w:spacing w:line="500" w:lineRule="atLeast"/>
        <w:rPr>
          <w:rFonts w:ascii="宋体"/>
          <w:b/>
          <w:color w:val="auto"/>
          <w:sz w:val="24"/>
          <w:highlight w:val="none"/>
        </w:rPr>
      </w:pPr>
      <w:r>
        <w:rPr>
          <w:color w:val="auto"/>
          <w:highlight w:val="none"/>
        </w:rPr>
        <w:fldChar w:fldCharType="begin"/>
      </w:r>
      <w:r>
        <w:rPr>
          <w:color w:val="auto"/>
          <w:highlight w:val="none"/>
        </w:rPr>
        <w:instrText xml:space="preserve"> HYPERLINK \l "_Toc74322013" </w:instrText>
      </w:r>
      <w:r>
        <w:rPr>
          <w:color w:val="auto"/>
          <w:highlight w:val="none"/>
        </w:rPr>
        <w:fldChar w:fldCharType="separate"/>
      </w:r>
      <w:r>
        <w:rPr>
          <w:rStyle w:val="31"/>
          <w:rFonts w:hint="eastAsia" w:ascii="宋体" w:hAnsi="宋体"/>
          <w:b/>
          <w:color w:val="auto"/>
          <w:sz w:val="24"/>
          <w:highlight w:val="none"/>
        </w:rPr>
        <w:t>第六章 合同文</w:t>
      </w:r>
      <w:bookmarkStart w:id="2" w:name="_Hlt100220162"/>
      <w:r>
        <w:rPr>
          <w:rStyle w:val="31"/>
          <w:rFonts w:hint="eastAsia" w:ascii="宋体" w:hAnsi="宋体"/>
          <w:b/>
          <w:color w:val="auto"/>
          <w:sz w:val="24"/>
          <w:highlight w:val="none"/>
        </w:rPr>
        <w:t>本</w:t>
      </w:r>
      <w:bookmarkEnd w:id="2"/>
      <w:r>
        <w:rPr>
          <w:rFonts w:ascii="宋体"/>
          <w:b/>
          <w:color w:val="auto"/>
          <w:sz w:val="24"/>
          <w:highlight w:val="none"/>
        </w:rPr>
        <w:tab/>
      </w:r>
      <w:r>
        <w:rPr>
          <w:rFonts w:ascii="宋体"/>
          <w:b/>
          <w:color w:val="auto"/>
          <w:sz w:val="24"/>
          <w:highlight w:val="none"/>
        </w:rPr>
        <w:fldChar w:fldCharType="end"/>
      </w:r>
      <w:r>
        <w:rPr>
          <w:rFonts w:hint="eastAsia" w:ascii="宋体"/>
          <w:b/>
          <w:color w:val="auto"/>
          <w:sz w:val="24"/>
          <w:highlight w:val="none"/>
        </w:rPr>
        <w:t>115</w:t>
      </w:r>
    </w:p>
    <w:p w14:paraId="47C264D3">
      <w:pPr>
        <w:pStyle w:val="22"/>
        <w:tabs>
          <w:tab w:val="right" w:leader="dot" w:pos="8931"/>
          <w:tab w:val="clear" w:pos="8296"/>
        </w:tabs>
        <w:snapToGrid w:val="0"/>
        <w:spacing w:line="500" w:lineRule="atLeast"/>
        <w:ind w:left="0" w:leftChars="0"/>
        <w:rPr>
          <w:rFonts w:ascii="宋体"/>
          <w:b/>
          <w:color w:val="auto"/>
          <w:sz w:val="24"/>
          <w:highlight w:val="none"/>
        </w:rPr>
      </w:pPr>
      <w:r>
        <w:rPr>
          <w:rFonts w:ascii="宋体" w:hAnsi="宋体"/>
          <w:b/>
          <w:color w:val="auto"/>
          <w:sz w:val="24"/>
          <w:highlight w:val="none"/>
        </w:rPr>
        <w:fldChar w:fldCharType="end"/>
      </w:r>
    </w:p>
    <w:p w14:paraId="07A2CC32">
      <w:pPr>
        <w:spacing w:line="400" w:lineRule="exact"/>
        <w:jc w:val="left"/>
        <w:rPr>
          <w:rFonts w:ascii="宋体"/>
          <w:b/>
          <w:color w:val="auto"/>
          <w:sz w:val="32"/>
          <w:szCs w:val="32"/>
          <w:highlight w:val="none"/>
        </w:rPr>
      </w:pPr>
    </w:p>
    <w:p w14:paraId="0B804FF7">
      <w:pPr>
        <w:spacing w:line="400" w:lineRule="exact"/>
        <w:jc w:val="center"/>
        <w:rPr>
          <w:rFonts w:ascii="宋体"/>
          <w:b/>
          <w:color w:val="auto"/>
          <w:sz w:val="32"/>
          <w:szCs w:val="32"/>
          <w:highlight w:val="none"/>
        </w:rPr>
      </w:pPr>
    </w:p>
    <w:p w14:paraId="54887A3D">
      <w:pPr>
        <w:spacing w:line="400" w:lineRule="exact"/>
        <w:jc w:val="center"/>
        <w:rPr>
          <w:rFonts w:ascii="宋体"/>
          <w:b/>
          <w:color w:val="auto"/>
          <w:sz w:val="32"/>
          <w:szCs w:val="32"/>
          <w:highlight w:val="none"/>
        </w:rPr>
      </w:pPr>
    </w:p>
    <w:p w14:paraId="12C66941">
      <w:pPr>
        <w:spacing w:line="400" w:lineRule="exact"/>
        <w:jc w:val="center"/>
        <w:rPr>
          <w:rFonts w:ascii="宋体"/>
          <w:b/>
          <w:color w:val="auto"/>
          <w:sz w:val="32"/>
          <w:szCs w:val="32"/>
          <w:highlight w:val="none"/>
        </w:rPr>
      </w:pPr>
    </w:p>
    <w:p w14:paraId="60C09616">
      <w:pPr>
        <w:spacing w:line="400" w:lineRule="exact"/>
        <w:jc w:val="center"/>
        <w:rPr>
          <w:rFonts w:ascii="宋体"/>
          <w:b/>
          <w:color w:val="auto"/>
          <w:sz w:val="32"/>
          <w:szCs w:val="32"/>
          <w:highlight w:val="none"/>
        </w:rPr>
      </w:pPr>
    </w:p>
    <w:p w14:paraId="704D1904">
      <w:pPr>
        <w:spacing w:line="400" w:lineRule="exact"/>
        <w:rPr>
          <w:rFonts w:ascii="宋体"/>
          <w:b/>
          <w:color w:val="auto"/>
          <w:sz w:val="32"/>
          <w:szCs w:val="32"/>
          <w:highlight w:val="none"/>
        </w:rPr>
        <w:sectPr>
          <w:headerReference r:id="rId5" w:type="first"/>
          <w:headerReference r:id="rId3" w:type="default"/>
          <w:footerReference r:id="rId6" w:type="default"/>
          <w:headerReference r:id="rId4" w:type="even"/>
          <w:pgSz w:w="11906" w:h="16838"/>
          <w:pgMar w:top="1440" w:right="1440" w:bottom="1440" w:left="1587" w:header="851" w:footer="992" w:gutter="0"/>
          <w:pgNumType w:start="0"/>
          <w:cols w:space="720" w:num="1"/>
          <w:titlePg/>
          <w:docGrid w:type="lines" w:linePitch="312" w:charSpace="0"/>
        </w:sectPr>
      </w:pPr>
    </w:p>
    <w:p w14:paraId="58C5A42A">
      <w:pPr>
        <w:pStyle w:val="2"/>
        <w:spacing w:after="100" w:line="480" w:lineRule="auto"/>
        <w:jc w:val="center"/>
        <w:rPr>
          <w:color w:val="auto"/>
          <w:highlight w:val="none"/>
        </w:rPr>
      </w:pPr>
      <w:bookmarkStart w:id="3" w:name="_Toc74322008"/>
      <w:r>
        <w:rPr>
          <w:rFonts w:hint="eastAsia"/>
          <w:color w:val="auto"/>
          <w:highlight w:val="none"/>
        </w:rPr>
        <w:t>第一章 竞争性谈判公告</w:t>
      </w:r>
      <w:bookmarkEnd w:id="3"/>
    </w:p>
    <w:p w14:paraId="3137C6E3">
      <w:pPr>
        <w:spacing w:line="400" w:lineRule="exact"/>
        <w:jc w:val="center"/>
        <w:rPr>
          <w:rFonts w:ascii="宋体"/>
          <w:b/>
          <w:bCs/>
          <w:color w:val="auto"/>
          <w:sz w:val="32"/>
          <w:szCs w:val="32"/>
          <w:highlight w:val="none"/>
        </w:rPr>
      </w:pPr>
      <w:r>
        <w:rPr>
          <w:rFonts w:hint="eastAsia" w:ascii="宋体" w:hAnsi="宋体"/>
          <w:b/>
          <w:bCs/>
          <w:color w:val="auto"/>
          <w:sz w:val="32"/>
          <w:szCs w:val="32"/>
          <w:highlight w:val="none"/>
        </w:rPr>
        <w:t>竞争性谈判公告</w:t>
      </w:r>
    </w:p>
    <w:p w14:paraId="43D5ADF5">
      <w:pPr>
        <w:spacing w:line="360" w:lineRule="auto"/>
        <w:rPr>
          <w:rFonts w:ascii="宋体"/>
          <w:color w:val="auto"/>
          <w:szCs w:val="21"/>
          <w:highlight w:val="none"/>
        </w:rPr>
      </w:pPr>
    </w:p>
    <w:p w14:paraId="777F7262">
      <w:pPr>
        <w:pBdr>
          <w:top w:val="single" w:color="auto" w:sz="4" w:space="1"/>
          <w:left w:val="single" w:color="auto" w:sz="4" w:space="4"/>
          <w:bottom w:val="single" w:color="auto" w:sz="4" w:space="1"/>
          <w:right w:val="single" w:color="auto" w:sz="4" w:space="4"/>
        </w:pBdr>
        <w:tabs>
          <w:tab w:val="left" w:pos="3068"/>
        </w:tabs>
        <w:spacing w:line="360" w:lineRule="auto"/>
        <w:ind w:firstLine="420" w:firstLineChars="200"/>
        <w:rPr>
          <w:rFonts w:ascii="宋体"/>
          <w:color w:val="auto"/>
          <w:szCs w:val="21"/>
          <w:highlight w:val="none"/>
        </w:rPr>
      </w:pPr>
      <w:bookmarkStart w:id="4" w:name="_Hlk37430271"/>
      <w:r>
        <w:rPr>
          <w:rFonts w:hint="eastAsia" w:ascii="宋体" w:hAnsi="宋体"/>
          <w:color w:val="auto"/>
          <w:szCs w:val="21"/>
          <w:highlight w:val="none"/>
        </w:rPr>
        <w:t>项目概况</w:t>
      </w:r>
      <w:r>
        <w:rPr>
          <w:rFonts w:ascii="宋体" w:hAnsi="宋体"/>
          <w:color w:val="auto"/>
          <w:szCs w:val="21"/>
          <w:highlight w:val="none"/>
        </w:rPr>
        <w:tab/>
      </w:r>
    </w:p>
    <w:p w14:paraId="6F54066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color w:val="auto"/>
          <w:szCs w:val="21"/>
          <w:highlight w:val="none"/>
        </w:rPr>
      </w:pPr>
      <w:r>
        <w:rPr>
          <w:rFonts w:hint="eastAsia" w:ascii="宋体" w:hAnsi="宋体"/>
          <w:color w:val="auto"/>
          <w:szCs w:val="21"/>
          <w:highlight w:val="none"/>
        </w:rPr>
        <w:t>桂林医科大学临床教学培训中心智慧实训室设备采购项目的潜在供应商应在广西政府采购云平台（</w:t>
      </w:r>
      <w:r>
        <w:rPr>
          <w:rFonts w:hint="eastAsia" w:ascii="宋体" w:hAnsi="宋体"/>
          <w:bCs/>
          <w:color w:val="auto"/>
          <w:szCs w:val="21"/>
          <w:highlight w:val="none"/>
        </w:rPr>
        <w:t>https://www.gcy.zfcg.gxzf.gov.cn/</w:t>
      </w:r>
      <w:r>
        <w:rPr>
          <w:rFonts w:hint="eastAsia" w:ascii="宋体" w:hAnsi="宋体"/>
          <w:color w:val="auto"/>
          <w:szCs w:val="21"/>
          <w:highlight w:val="none"/>
        </w:rPr>
        <w:t>）获取（下载）竞争性谈判文件，并于2025年</w:t>
      </w:r>
      <w:r>
        <w:rPr>
          <w:rFonts w:hint="eastAsia" w:ascii="宋体" w:hAnsi="宋体"/>
          <w:color w:val="auto"/>
          <w:szCs w:val="21"/>
          <w:highlight w:val="none"/>
          <w:lang w:val="en-US" w:eastAsia="zh-CN"/>
        </w:rPr>
        <w:t>10</w:t>
      </w:r>
      <w:r>
        <w:rPr>
          <w:rFonts w:hint="eastAsia" w:ascii="宋体" w:hAnsi="宋体"/>
          <w:color w:val="auto"/>
          <w:szCs w:val="21"/>
          <w:highlight w:val="none"/>
        </w:rPr>
        <w:t>月</w:t>
      </w:r>
      <w:r>
        <w:rPr>
          <w:rFonts w:hint="eastAsia" w:ascii="宋体" w:hAnsi="宋体"/>
          <w:color w:val="auto"/>
          <w:szCs w:val="21"/>
          <w:highlight w:val="none"/>
          <w:lang w:val="en-US" w:eastAsia="zh-CN"/>
        </w:rPr>
        <w:t>10</w:t>
      </w:r>
      <w:r>
        <w:rPr>
          <w:rFonts w:hint="eastAsia" w:ascii="宋体" w:hAnsi="宋体"/>
          <w:color w:val="auto"/>
          <w:szCs w:val="21"/>
          <w:highlight w:val="none"/>
        </w:rPr>
        <w:t>日</w:t>
      </w:r>
      <w:r>
        <w:rPr>
          <w:rFonts w:hint="eastAsia" w:ascii="宋体" w:hAnsi="宋体"/>
          <w:bCs/>
          <w:color w:val="auto"/>
          <w:szCs w:val="21"/>
          <w:highlight w:val="none"/>
        </w:rPr>
        <w:t>上午9时</w:t>
      </w:r>
      <w:r>
        <w:rPr>
          <w:rFonts w:hint="eastAsia" w:ascii="宋体"/>
          <w:bCs/>
          <w:color w:val="auto"/>
          <w:szCs w:val="21"/>
          <w:highlight w:val="none"/>
        </w:rPr>
        <w:t>00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5864702">
      <w:pPr>
        <w:spacing w:line="380" w:lineRule="exact"/>
        <w:ind w:firstLine="360" w:firstLineChars="150"/>
        <w:rPr>
          <w:rFonts w:hint="eastAsia" w:ascii="宋体" w:hAnsi="宋体" w:cs="宋体"/>
          <w:color w:val="auto"/>
          <w:sz w:val="24"/>
          <w:highlight w:val="none"/>
        </w:rPr>
      </w:pPr>
      <w:bookmarkStart w:id="5" w:name="_Toc28359089"/>
      <w:bookmarkStart w:id="6" w:name="_Toc71366040"/>
      <w:bookmarkStart w:id="7" w:name="_Toc35393629"/>
      <w:bookmarkStart w:id="8" w:name="_Toc71365362"/>
      <w:bookmarkStart w:id="9" w:name="_Toc35393798"/>
      <w:bookmarkStart w:id="10" w:name="_Toc28359012"/>
      <w:r>
        <w:rPr>
          <w:rFonts w:hint="eastAsia" w:ascii="宋体" w:hAnsi="宋体" w:cs="宋体"/>
          <w:color w:val="auto"/>
          <w:sz w:val="24"/>
          <w:highlight w:val="none"/>
        </w:rPr>
        <w:t>一、项目基本情况</w:t>
      </w:r>
      <w:bookmarkEnd w:id="5"/>
      <w:bookmarkEnd w:id="6"/>
      <w:bookmarkEnd w:id="7"/>
      <w:bookmarkEnd w:id="8"/>
      <w:bookmarkEnd w:id="9"/>
      <w:bookmarkEnd w:id="10"/>
    </w:p>
    <w:p w14:paraId="0B5EC403">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项目编号：GXZC2025-J1-002937-YZLZ（代理编号：YZLGL2025-J1-031-GXZC）</w:t>
      </w:r>
    </w:p>
    <w:p w14:paraId="4D9267F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项目名称：桂林医科大学临床教学培训中心智慧实训室设备采购</w:t>
      </w:r>
    </w:p>
    <w:p w14:paraId="04ABC73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采购方式：竞争性谈判</w:t>
      </w:r>
    </w:p>
    <w:p w14:paraId="4D05C026">
      <w:pPr>
        <w:tabs>
          <w:tab w:val="left" w:pos="5880"/>
        </w:tabs>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预算金额：</w:t>
      </w:r>
      <w:r>
        <w:rPr>
          <w:rFonts w:hint="eastAsia" w:ascii="宋体" w:hAnsi="宋体" w:cs="宋体"/>
          <w:color w:val="auto"/>
          <w:szCs w:val="21"/>
          <w:highlight w:val="none"/>
        </w:rPr>
        <w:t>人民币贰佰贰拾玖万元整（¥2290000.00）</w:t>
      </w:r>
    </w:p>
    <w:p w14:paraId="70A95CB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最高限价：人民币贰佰贰拾玖万元整（¥2290000.00）</w:t>
      </w:r>
    </w:p>
    <w:p w14:paraId="2C572D21">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采购需求：</w:t>
      </w:r>
    </w:p>
    <w:p w14:paraId="276B11A6">
      <w:pPr>
        <w:spacing w:line="380" w:lineRule="exact"/>
        <w:ind w:firstLine="420" w:firstLineChars="200"/>
        <w:rPr>
          <w:rFonts w:hint="eastAsia" w:asciiTheme="majorEastAsia" w:hAnsiTheme="majorEastAsia" w:eastAsiaTheme="majorEastAsia" w:cstheme="majorEastAsia"/>
          <w:b/>
          <w:bCs/>
          <w:color w:val="auto"/>
          <w:szCs w:val="21"/>
          <w:highlight w:val="none"/>
        </w:rPr>
      </w:pPr>
      <w:bookmarkStart w:id="82" w:name="_GoBack"/>
      <w:bookmarkEnd w:id="82"/>
      <w:r>
        <w:rPr>
          <w:rFonts w:hint="eastAsia" w:ascii="宋体" w:hAnsi="宋体" w:cs="宋体"/>
          <w:color w:val="auto"/>
          <w:szCs w:val="21"/>
          <w:highlight w:val="none"/>
        </w:rPr>
        <w:t>（1）标的的名称、数量：实验室全息交互移动教学舱2套，综合情境训练系统1套，老年患者多阶段急救处理训练系统1套，多场景救援情境训练系统1套，检伤分类训练情境系统1套，心脏骤停教学情境训练系统1套，实</w:t>
      </w:r>
      <w:r>
        <w:rPr>
          <w:rFonts w:hint="eastAsia" w:ascii="宋体" w:hAnsi="宋体"/>
          <w:color w:val="auto"/>
          <w:szCs w:val="21"/>
          <w:highlight w:val="none"/>
        </w:rPr>
        <w:t>验室超高清科研可视化显示平台14平方米，数据智能处理中枢1台，实验室智能发布控制终端1台，AI声学采集阵列1套，定向扩声单元4只，数字音频处理中枢1台，千兆交换机1台，POE交换机1台，实验室4K过程记录终端4台，实验室多源分析终端1台，实验室智能多源管理系统1套，实验室AI智能声像跟踪系统1套，实验室多源触控面板1套，实验室导播控制终端1台，实验室全栈资源管理与分析平台1套，实验室物联中枢系统1台，实验室环境物联网关1台，实验室环境智控终端1台，实验室环境调控帘幕智能驱动单元7个，智能控制电源管理器1台，实验室智能控制台1套，机柜恒温系统1台，实验室声学分析终端1对，实验室数字声学控制器1套，实验室定向声学采集器1台，实验室机柜1台，实验室系统集成实施1项，超声诊断系统1套，基于AI临床病史采集技能实践教学系统（学生PC版）2套，辅助移动式手术照明灯6台，呼吸内镜模拟训练模型套装1套，上消化道内镜手术训练套装1套，下消化道内镜手术训练模型1套，显微训练套装4套，中心静脉置管术训练平台1套，导尿仿真模型2套，动脉穿刺平台1套，瘘管造口术护理模型1套，术前无菌操作训练仿真标准化病人2套，高级皮肤切开缝合模块100套，新型多功能护理人模型4套，高级透明洗胃模型2套，静脉穿刺输液手臂模型2套，动脉穿刺术手臂模型2套，背部胸腔穿刺电子标准化病人3套，腹部移动性浊音叩诊与腹腔穿刺仿真标准化病人2套，腰椎穿刺仿真标准化病人3套，骨髓穿刺仿真标准化病人3套。（2）简要技术需求或者服务要求：</w:t>
      </w:r>
      <w:r>
        <w:rPr>
          <w:rFonts w:hint="eastAsia" w:asciiTheme="majorEastAsia" w:hAnsiTheme="majorEastAsia" w:eastAsiaTheme="majorEastAsia" w:cstheme="majorEastAsia"/>
          <w:color w:val="auto"/>
          <w:szCs w:val="21"/>
          <w:highlight w:val="none"/>
        </w:rPr>
        <w:t>按国家有关产品“三包”规定执行“三包”，</w:t>
      </w:r>
      <w:r>
        <w:rPr>
          <w:rFonts w:hint="eastAsia" w:asciiTheme="majorEastAsia" w:hAnsiTheme="majorEastAsia" w:eastAsiaTheme="majorEastAsia" w:cstheme="majorEastAsia"/>
          <w:b/>
          <w:bCs/>
          <w:color w:val="auto"/>
          <w:szCs w:val="21"/>
          <w:highlight w:val="none"/>
        </w:rPr>
        <w:t>保修期自验收合格之日起不</w:t>
      </w:r>
      <w:r>
        <w:rPr>
          <w:rFonts w:hint="eastAsia" w:asciiTheme="majorEastAsia" w:hAnsiTheme="majorEastAsia" w:eastAsiaTheme="majorEastAsia" w:cstheme="majorEastAsia"/>
          <w:b/>
          <w:bCs/>
          <w:color w:val="auto"/>
          <w:kern w:val="0"/>
          <w:szCs w:val="21"/>
          <w:highlight w:val="none"/>
          <w:lang w:bidi="ar"/>
        </w:rPr>
        <w:t>少于</w:t>
      </w:r>
      <w:r>
        <w:rPr>
          <w:rFonts w:hint="eastAsia" w:asciiTheme="majorEastAsia" w:hAnsiTheme="majorEastAsia" w:eastAsiaTheme="majorEastAsia" w:cstheme="majorEastAsia"/>
          <w:b/>
          <w:bCs/>
          <w:color w:val="auto"/>
          <w:kern w:val="0"/>
          <w:szCs w:val="21"/>
          <w:highlight w:val="none"/>
          <w:u w:val="single"/>
          <w:lang w:bidi="ar"/>
        </w:rPr>
        <w:t xml:space="preserve"> 3 </w:t>
      </w:r>
      <w:r>
        <w:rPr>
          <w:rFonts w:hint="eastAsia" w:asciiTheme="majorEastAsia" w:hAnsiTheme="majorEastAsia" w:eastAsiaTheme="majorEastAsia" w:cstheme="majorEastAsia"/>
          <w:b/>
          <w:bCs/>
          <w:color w:val="auto"/>
          <w:kern w:val="0"/>
          <w:szCs w:val="21"/>
          <w:highlight w:val="none"/>
          <w:lang w:bidi="ar"/>
        </w:rPr>
        <w:t>年</w:t>
      </w:r>
      <w:r>
        <w:rPr>
          <w:rFonts w:hint="eastAsia" w:asciiTheme="majorEastAsia" w:hAnsiTheme="majorEastAsia" w:eastAsiaTheme="majorEastAsia" w:cstheme="majorEastAsia"/>
          <w:b/>
          <w:bCs/>
          <w:color w:val="auto"/>
          <w:szCs w:val="21"/>
          <w:highlight w:val="none"/>
        </w:rPr>
        <w:t>。</w:t>
      </w:r>
    </w:p>
    <w:p w14:paraId="5190CBCB">
      <w:pPr>
        <w:spacing w:line="38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合同履行期限：自签订合同之日起</w:t>
      </w:r>
      <w:r>
        <w:rPr>
          <w:rFonts w:hint="eastAsia" w:ascii="宋体" w:hAnsi="宋体"/>
          <w:b/>
          <w:bCs/>
          <w:color w:val="auto"/>
          <w:szCs w:val="21"/>
          <w:highlight w:val="none"/>
          <w:u w:val="single"/>
        </w:rPr>
        <w:t xml:space="preserve"> 20 </w:t>
      </w:r>
      <w:r>
        <w:rPr>
          <w:rFonts w:hint="eastAsia" w:ascii="宋体" w:hAnsi="宋体"/>
          <w:b/>
          <w:bCs/>
          <w:color w:val="auto"/>
          <w:szCs w:val="21"/>
          <w:highlight w:val="none"/>
        </w:rPr>
        <w:t>个工作日内到货并全部安装调试合格完毕。</w:t>
      </w:r>
    </w:p>
    <w:p w14:paraId="3AE71751">
      <w:pPr>
        <w:spacing w:line="380" w:lineRule="exact"/>
        <w:ind w:firstLine="426" w:firstLineChars="202"/>
        <w:rPr>
          <w:rFonts w:hint="eastAsia" w:ascii="宋体" w:hAnsi="宋体"/>
          <w:b/>
          <w:bCs/>
          <w:color w:val="auto"/>
          <w:szCs w:val="21"/>
          <w:highlight w:val="none"/>
        </w:rPr>
      </w:pPr>
      <w:r>
        <w:rPr>
          <w:rFonts w:hint="eastAsia" w:ascii="宋体" w:hAnsi="宋体"/>
          <w:b/>
          <w:bCs/>
          <w:color w:val="auto"/>
          <w:szCs w:val="21"/>
          <w:highlight w:val="none"/>
        </w:rPr>
        <w:t>本项目不接受联合体。</w:t>
      </w:r>
    </w:p>
    <w:p w14:paraId="4E765FD5">
      <w:pPr>
        <w:spacing w:line="380" w:lineRule="exact"/>
        <w:ind w:firstLine="420"/>
        <w:rPr>
          <w:rFonts w:hint="eastAsia" w:ascii="宋体" w:hAnsi="宋体" w:cs="宋体"/>
          <w:color w:val="auto"/>
          <w:sz w:val="24"/>
          <w:highlight w:val="none"/>
        </w:rPr>
      </w:pPr>
      <w:bookmarkStart w:id="11" w:name="_Toc71366041"/>
      <w:bookmarkStart w:id="12" w:name="_Toc28359013"/>
      <w:bookmarkStart w:id="13" w:name="_Toc35393630"/>
      <w:bookmarkStart w:id="14" w:name="_Toc35393799"/>
      <w:bookmarkStart w:id="15" w:name="_Toc71365363"/>
      <w:bookmarkStart w:id="16" w:name="_Toc28359090"/>
      <w:r>
        <w:rPr>
          <w:rFonts w:hint="eastAsia" w:ascii="宋体" w:hAnsi="宋体" w:cs="宋体"/>
          <w:color w:val="auto"/>
          <w:sz w:val="24"/>
          <w:highlight w:val="none"/>
        </w:rPr>
        <w:t>二、供应商的资格条件：</w:t>
      </w:r>
      <w:bookmarkEnd w:id="11"/>
      <w:bookmarkEnd w:id="12"/>
      <w:bookmarkEnd w:id="13"/>
      <w:bookmarkEnd w:id="14"/>
      <w:bookmarkEnd w:id="15"/>
      <w:bookmarkEnd w:id="16"/>
    </w:p>
    <w:p w14:paraId="2E474D51">
      <w:pPr>
        <w:spacing w:line="380" w:lineRule="exact"/>
        <w:ind w:firstLine="420" w:firstLineChars="200"/>
        <w:rPr>
          <w:rFonts w:hint="eastAsia" w:ascii="宋体" w:hAnsi="宋体" w:cs="宋体"/>
          <w:color w:val="auto"/>
          <w:szCs w:val="21"/>
          <w:highlight w:val="none"/>
        </w:rPr>
      </w:pPr>
      <w:bookmarkStart w:id="17" w:name="_Toc28359091"/>
      <w:bookmarkStart w:id="18" w:name="_Toc28359014"/>
      <w:r>
        <w:rPr>
          <w:rFonts w:hint="eastAsia" w:ascii="宋体" w:hAnsi="宋体" w:cs="宋体"/>
          <w:color w:val="auto"/>
          <w:szCs w:val="21"/>
          <w:highlight w:val="none"/>
        </w:rPr>
        <w:t>1.满足《中华人民共和国政府采购法》第二十二条规定；</w:t>
      </w:r>
    </w:p>
    <w:p w14:paraId="006DD53A">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2.落实政府采购政策需满足的资格要求：无；</w:t>
      </w:r>
    </w:p>
    <w:p w14:paraId="1099B969">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3.本项目的特定资格要求：无。</w:t>
      </w:r>
    </w:p>
    <w:p w14:paraId="746AB27B">
      <w:pPr>
        <w:spacing w:line="380" w:lineRule="exact"/>
        <w:ind w:firstLine="480" w:firstLineChars="200"/>
        <w:rPr>
          <w:rFonts w:hint="eastAsia" w:ascii="宋体" w:hAnsi="宋体" w:cs="宋体"/>
          <w:color w:val="auto"/>
          <w:sz w:val="24"/>
          <w:highlight w:val="none"/>
        </w:rPr>
      </w:pPr>
      <w:bookmarkStart w:id="19" w:name="_Toc35393631"/>
      <w:bookmarkStart w:id="20" w:name="_Toc71365364"/>
      <w:bookmarkStart w:id="21" w:name="_Toc35393800"/>
      <w:bookmarkStart w:id="22" w:name="_Toc71366042"/>
      <w:r>
        <w:rPr>
          <w:rFonts w:hint="eastAsia" w:ascii="宋体" w:hAnsi="宋体" w:cs="宋体"/>
          <w:color w:val="auto"/>
          <w:sz w:val="24"/>
          <w:highlight w:val="none"/>
        </w:rPr>
        <w:t>三、获取竞争性谈判文件</w:t>
      </w:r>
      <w:bookmarkEnd w:id="17"/>
      <w:bookmarkEnd w:id="18"/>
      <w:bookmarkEnd w:id="19"/>
      <w:bookmarkEnd w:id="20"/>
      <w:bookmarkEnd w:id="21"/>
      <w:bookmarkEnd w:id="22"/>
    </w:p>
    <w:p w14:paraId="3C4E0D03">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时间：2025年</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28</w:t>
      </w:r>
      <w:r>
        <w:rPr>
          <w:rFonts w:hint="eastAsia" w:ascii="宋体" w:hAnsi="宋体" w:cs="宋体"/>
          <w:bCs/>
          <w:color w:val="auto"/>
          <w:kern w:val="0"/>
          <w:szCs w:val="21"/>
          <w:highlight w:val="none"/>
        </w:rPr>
        <w:t>日至2025年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9</w:t>
      </w:r>
      <w:r>
        <w:rPr>
          <w:rFonts w:hint="eastAsia" w:ascii="宋体" w:hAnsi="宋体" w:cs="宋体"/>
          <w:bCs/>
          <w:color w:val="auto"/>
          <w:kern w:val="0"/>
          <w:szCs w:val="21"/>
          <w:highlight w:val="none"/>
        </w:rPr>
        <w:t>日，每天上午00:00至11:59，下午12:00至23:59（北京时间，法定节假日除外）</w:t>
      </w:r>
    </w:p>
    <w:p w14:paraId="1955F2C0">
      <w:pPr>
        <w:spacing w:line="380" w:lineRule="exact"/>
        <w:ind w:firstLine="424" w:firstLineChars="202"/>
        <w:rPr>
          <w:rFonts w:hint="eastAsia" w:ascii="宋体" w:hAnsi="宋体" w:cs="宋体"/>
          <w:color w:val="auto"/>
          <w:szCs w:val="21"/>
          <w:highlight w:val="none"/>
        </w:rPr>
      </w:pPr>
      <w:r>
        <w:rPr>
          <w:rFonts w:hint="eastAsia" w:ascii="宋体" w:hAnsi="宋体" w:cs="宋体"/>
          <w:bCs/>
          <w:color w:val="auto"/>
          <w:kern w:val="0"/>
          <w:szCs w:val="21"/>
          <w:highlight w:val="none"/>
        </w:rPr>
        <w:t>地点：</w:t>
      </w:r>
      <w:r>
        <w:rPr>
          <w:rFonts w:hint="eastAsia" w:ascii="宋体" w:hAnsi="宋体" w:cs="宋体"/>
          <w:color w:val="auto"/>
          <w:szCs w:val="21"/>
          <w:highlight w:val="none"/>
        </w:rPr>
        <w:t>广西政府采购云平台（</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Style w:val="31"/>
          <w:rFonts w:hint="eastAsia" w:ascii="宋体" w:hAnsi="宋体" w:cs="宋体"/>
          <w:bCs/>
          <w:color w:val="auto"/>
          <w:szCs w:val="21"/>
          <w:highlight w:val="none"/>
          <w:u w:val="none"/>
        </w:rPr>
        <w:t>https://www.gcy.zfcg.gxzf.gov.cn/</w:t>
      </w:r>
      <w:r>
        <w:rPr>
          <w:rStyle w:val="31"/>
          <w:rFonts w:hint="eastAsia" w:ascii="宋体" w:hAnsi="宋体" w:cs="宋体"/>
          <w:bCs/>
          <w:color w:val="auto"/>
          <w:szCs w:val="21"/>
          <w:highlight w:val="none"/>
          <w:u w:val="none"/>
        </w:rPr>
        <w:fldChar w:fldCharType="end"/>
      </w:r>
      <w:r>
        <w:rPr>
          <w:rFonts w:hint="eastAsia" w:ascii="宋体" w:hAnsi="宋体" w:cs="宋体"/>
          <w:color w:val="auto"/>
          <w:szCs w:val="21"/>
          <w:highlight w:val="none"/>
        </w:rPr>
        <w:t>）</w:t>
      </w:r>
    </w:p>
    <w:p w14:paraId="114E6E3E">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-进入“项目采购”应用，在获取采购文件菜单中选择项目，获取竞争性谈判文件。</w:t>
      </w:r>
      <w:r>
        <w:rPr>
          <w:rFonts w:hint="eastAsia" w:ascii="宋体" w:hAnsi="宋体" w:cs="宋体"/>
          <w:color w:val="auto"/>
          <w:szCs w:val="21"/>
          <w:highlight w:val="none"/>
        </w:rPr>
        <w:t>电子</w:t>
      </w:r>
      <w:r>
        <w:rPr>
          <w:rFonts w:hint="eastAsia" w:ascii="宋体" w:hAnsi="宋体" w:cs="宋体"/>
          <w:color w:val="auto"/>
          <w:highlight w:val="none"/>
        </w:rPr>
        <w:t>响应文件</w:t>
      </w:r>
      <w:r>
        <w:rPr>
          <w:rFonts w:hint="eastAsia" w:ascii="宋体" w:hAnsi="宋体" w:cs="宋体"/>
          <w:color w:val="auto"/>
          <w:szCs w:val="21"/>
          <w:highlight w:val="none"/>
        </w:rPr>
        <w:t>制作需要基于广西政府采购云平台获取的谈判文件编制，</w:t>
      </w:r>
      <w:r>
        <w:rPr>
          <w:rFonts w:hint="eastAsia" w:ascii="宋体" w:hAnsi="宋体" w:cs="宋体"/>
          <w:bCs/>
          <w:color w:val="auto"/>
          <w:kern w:val="0"/>
          <w:szCs w:val="21"/>
          <w:highlight w:val="none"/>
        </w:rPr>
        <w:t>通过其他方式获取谈判文件的，将有可能导致供应商无法在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编制及上传响应文件。</w:t>
      </w:r>
    </w:p>
    <w:p w14:paraId="08E806BC">
      <w:pPr>
        <w:spacing w:line="380" w:lineRule="exact"/>
        <w:ind w:firstLine="424" w:firstLineChars="202"/>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48571557">
      <w:pPr>
        <w:spacing w:line="380" w:lineRule="exact"/>
        <w:ind w:firstLine="360" w:firstLineChars="150"/>
        <w:rPr>
          <w:rFonts w:hint="eastAsia" w:ascii="宋体" w:hAnsi="宋体" w:cs="宋体"/>
          <w:color w:val="auto"/>
          <w:sz w:val="24"/>
          <w:highlight w:val="none"/>
        </w:rPr>
      </w:pPr>
      <w:bookmarkStart w:id="23" w:name="_Toc71365365"/>
      <w:bookmarkStart w:id="24" w:name="_Toc28359015"/>
      <w:bookmarkStart w:id="25" w:name="_Toc71366043"/>
      <w:bookmarkStart w:id="26" w:name="_Toc35393801"/>
      <w:bookmarkStart w:id="27" w:name="_Toc35393632"/>
      <w:bookmarkStart w:id="28" w:name="_Toc28359092"/>
      <w:r>
        <w:rPr>
          <w:rFonts w:hint="eastAsia" w:ascii="宋体" w:hAnsi="宋体" w:cs="宋体"/>
          <w:color w:val="auto"/>
          <w:sz w:val="24"/>
          <w:highlight w:val="none"/>
        </w:rPr>
        <w:t>四、响应文件提交</w:t>
      </w:r>
      <w:bookmarkEnd w:id="23"/>
      <w:bookmarkEnd w:id="24"/>
      <w:bookmarkEnd w:id="25"/>
      <w:bookmarkEnd w:id="26"/>
      <w:bookmarkEnd w:id="27"/>
      <w:bookmarkEnd w:id="28"/>
    </w:p>
    <w:p w14:paraId="4FDA898A">
      <w:pPr>
        <w:spacing w:line="380" w:lineRule="exact"/>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bCs/>
          <w:color w:val="auto"/>
          <w:kern w:val="0"/>
          <w:szCs w:val="21"/>
          <w:highlight w:val="none"/>
        </w:rPr>
        <w:t>2025年</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w:t>
      </w:r>
      <w:r>
        <w:rPr>
          <w:rFonts w:hint="eastAsia" w:ascii="宋体" w:hAnsi="宋体" w:cs="宋体"/>
          <w:color w:val="auto"/>
          <w:szCs w:val="21"/>
          <w:highlight w:val="none"/>
        </w:rPr>
        <w:t>上午9时00分（北京时间</w:t>
      </w:r>
      <w:r>
        <w:rPr>
          <w:rFonts w:hint="eastAsia" w:ascii="宋体" w:hAnsi="宋体" w:cs="宋体"/>
          <w:bCs/>
          <w:color w:val="auto"/>
          <w:szCs w:val="21"/>
          <w:highlight w:val="none"/>
        </w:rPr>
        <w:t>）</w:t>
      </w:r>
    </w:p>
    <w:p w14:paraId="0DDB524C">
      <w:pPr>
        <w:spacing w:line="380" w:lineRule="exact"/>
        <w:ind w:left="422"/>
        <w:rPr>
          <w:rFonts w:hint="eastAsia" w:ascii="宋体" w:hAnsi="宋体" w:cs="宋体"/>
          <w:bCs/>
          <w:color w:val="auto"/>
          <w:szCs w:val="21"/>
          <w:highlight w:val="none"/>
          <w:u w:val="singl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31F0D4F3">
      <w:pPr>
        <w:spacing w:line="380" w:lineRule="exact"/>
        <w:ind w:firstLine="360" w:firstLineChars="150"/>
        <w:rPr>
          <w:rFonts w:hint="eastAsia" w:ascii="宋体" w:hAnsi="宋体" w:cs="宋体"/>
          <w:color w:val="auto"/>
          <w:sz w:val="24"/>
          <w:highlight w:val="none"/>
        </w:rPr>
      </w:pPr>
      <w:bookmarkStart w:id="29" w:name="_Toc71366044"/>
      <w:bookmarkStart w:id="30" w:name="_Toc28359016"/>
      <w:bookmarkStart w:id="31" w:name="_Toc35393633"/>
      <w:bookmarkStart w:id="32" w:name="_Toc71365366"/>
      <w:bookmarkStart w:id="33" w:name="_Toc28359093"/>
      <w:bookmarkStart w:id="34" w:name="_Toc35393802"/>
      <w:r>
        <w:rPr>
          <w:rFonts w:hint="eastAsia" w:ascii="宋体" w:hAnsi="宋体" w:cs="宋体"/>
          <w:color w:val="auto"/>
          <w:sz w:val="24"/>
          <w:highlight w:val="none"/>
        </w:rPr>
        <w:t>五、开启</w:t>
      </w:r>
      <w:bookmarkEnd w:id="29"/>
      <w:bookmarkEnd w:id="30"/>
      <w:bookmarkEnd w:id="31"/>
      <w:bookmarkEnd w:id="32"/>
      <w:bookmarkEnd w:id="33"/>
      <w:bookmarkEnd w:id="34"/>
    </w:p>
    <w:p w14:paraId="7F262F9C">
      <w:pPr>
        <w:spacing w:line="380" w:lineRule="exact"/>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时间：</w:t>
      </w:r>
      <w:r>
        <w:rPr>
          <w:rFonts w:hint="eastAsia" w:ascii="宋体" w:hAnsi="宋体" w:cs="宋体"/>
          <w:bCs/>
          <w:color w:val="auto"/>
          <w:kern w:val="0"/>
          <w:szCs w:val="21"/>
          <w:highlight w:val="none"/>
        </w:rPr>
        <w:t>2025年10月10日</w:t>
      </w:r>
      <w:r>
        <w:rPr>
          <w:rFonts w:hint="eastAsia" w:ascii="宋体" w:hAnsi="宋体" w:cs="宋体"/>
          <w:color w:val="auto"/>
          <w:szCs w:val="21"/>
          <w:highlight w:val="none"/>
        </w:rPr>
        <w:t>上午9时00分（北京时间）</w:t>
      </w:r>
    </w:p>
    <w:p w14:paraId="76FD82DB">
      <w:pPr>
        <w:spacing w:line="380" w:lineRule="exact"/>
        <w:ind w:firstLine="420" w:firstLineChars="200"/>
        <w:rPr>
          <w:rFonts w:hint="eastAsia" w:ascii="宋体" w:hAnsi="宋体" w:cs="宋体"/>
          <w:bCs/>
          <w:color w:val="auto"/>
          <w:szCs w:val="21"/>
          <w:highlight w:val="none"/>
          <w:u w:val="single"/>
        </w:rPr>
      </w:pPr>
      <w:r>
        <w:rPr>
          <w:rFonts w:hint="eastAsia" w:ascii="宋体" w:hAnsi="宋体" w:cs="宋体"/>
          <w:color w:val="auto"/>
          <w:szCs w:val="21"/>
          <w:highlight w:val="none"/>
        </w:rPr>
        <w:t>地点：广西政府采购云平台（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76921041">
      <w:pPr>
        <w:spacing w:line="380" w:lineRule="exact"/>
        <w:ind w:firstLine="360" w:firstLineChars="150"/>
        <w:rPr>
          <w:rFonts w:hint="eastAsia" w:ascii="宋体" w:hAnsi="宋体" w:cs="宋体"/>
          <w:color w:val="auto"/>
          <w:sz w:val="24"/>
          <w:highlight w:val="none"/>
        </w:rPr>
      </w:pPr>
      <w:bookmarkStart w:id="35" w:name="_Toc35393634"/>
      <w:bookmarkStart w:id="36" w:name="_Toc71366045"/>
      <w:bookmarkStart w:id="37" w:name="_Toc35393803"/>
      <w:bookmarkStart w:id="38" w:name="_Toc71365367"/>
      <w:bookmarkStart w:id="39" w:name="_Toc28359017"/>
      <w:bookmarkStart w:id="40" w:name="_Toc28359094"/>
      <w:r>
        <w:rPr>
          <w:rFonts w:hint="eastAsia" w:ascii="宋体" w:hAnsi="宋体" w:cs="宋体"/>
          <w:color w:val="auto"/>
          <w:sz w:val="24"/>
          <w:highlight w:val="none"/>
        </w:rPr>
        <w:t>六、公告期限</w:t>
      </w:r>
      <w:bookmarkEnd w:id="35"/>
      <w:bookmarkEnd w:id="36"/>
      <w:bookmarkEnd w:id="37"/>
      <w:bookmarkEnd w:id="38"/>
      <w:bookmarkEnd w:id="39"/>
      <w:bookmarkEnd w:id="40"/>
    </w:p>
    <w:p w14:paraId="5C8681D3">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2F2F715E">
      <w:pPr>
        <w:spacing w:line="380" w:lineRule="exact"/>
        <w:ind w:firstLine="360" w:firstLineChars="150"/>
        <w:rPr>
          <w:rFonts w:hint="eastAsia" w:ascii="宋体" w:hAnsi="宋体" w:cs="宋体"/>
          <w:color w:val="auto"/>
          <w:sz w:val="24"/>
          <w:highlight w:val="none"/>
        </w:rPr>
      </w:pPr>
      <w:bookmarkStart w:id="41" w:name="_Toc71365368"/>
      <w:bookmarkStart w:id="42" w:name="_Toc35393804"/>
      <w:bookmarkStart w:id="43" w:name="_Toc35393635"/>
      <w:bookmarkStart w:id="44" w:name="_Toc71366046"/>
      <w:r>
        <w:rPr>
          <w:rFonts w:hint="eastAsia" w:ascii="宋体" w:hAnsi="宋体" w:cs="宋体"/>
          <w:color w:val="auto"/>
          <w:sz w:val="24"/>
          <w:highlight w:val="none"/>
        </w:rPr>
        <w:t>七、其他补充事宜</w:t>
      </w:r>
      <w:bookmarkEnd w:id="41"/>
      <w:bookmarkEnd w:id="42"/>
      <w:bookmarkEnd w:id="43"/>
      <w:bookmarkEnd w:id="44"/>
    </w:p>
    <w:p w14:paraId="4A1CE456">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1.网上查询地址</w:t>
      </w:r>
    </w:p>
    <w:p w14:paraId="51709221">
      <w:pPr>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中国政府采购网（www.ccgp.gov.cn）、广西壮族自治区政府采购网（zfcg.gxzf.gov.cn）。</w:t>
      </w:r>
    </w:p>
    <w:p w14:paraId="66A2E27D">
      <w:pPr>
        <w:spacing w:line="380" w:lineRule="exact"/>
        <w:ind w:firstLine="424" w:firstLineChars="202"/>
        <w:rPr>
          <w:rFonts w:hint="eastAsia" w:ascii="宋体" w:hAnsi="宋体" w:cs="宋体"/>
          <w:color w:val="auto"/>
          <w:kern w:val="0"/>
          <w:szCs w:val="21"/>
          <w:highlight w:val="none"/>
        </w:rPr>
      </w:pPr>
      <w:bookmarkStart w:id="45" w:name="_Hlk37429674"/>
      <w:bookmarkStart w:id="46" w:name="_Toc71366047"/>
      <w:bookmarkStart w:id="47" w:name="_Toc35393805"/>
      <w:bookmarkStart w:id="48" w:name="_Toc35393636"/>
      <w:bookmarkStart w:id="49" w:name="_Toc71365369"/>
      <w:bookmarkStart w:id="50" w:name="_Toc28359095"/>
      <w:bookmarkStart w:id="51" w:name="_Toc28359018"/>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11D7C1D6">
      <w:pPr>
        <w:spacing w:line="38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r>
        <w:rPr>
          <w:rFonts w:hint="eastAsia" w:ascii="宋体" w:hAnsi="宋体" w:cs="宋体"/>
          <w:bCs/>
          <w:color w:val="auto"/>
          <w:szCs w:val="21"/>
          <w:highlight w:val="none"/>
        </w:rPr>
        <w:t>（</w:t>
      </w:r>
      <w:r>
        <w:rPr>
          <w:rFonts w:hint="eastAsia" w:ascii="宋体" w:hAnsi="宋体" w:cs="宋体"/>
          <w:color w:val="auto"/>
          <w:szCs w:val="21"/>
          <w:highlight w:val="none"/>
        </w:rPr>
        <w:t>本项目非专门面向中小企业采购）</w:t>
      </w:r>
      <w:r>
        <w:rPr>
          <w:rFonts w:hint="eastAsia" w:ascii="宋体" w:hAnsi="宋体" w:cs="宋体"/>
          <w:iCs/>
          <w:color w:val="auto"/>
          <w:kern w:val="0"/>
          <w:szCs w:val="21"/>
          <w:highlight w:val="none"/>
        </w:rPr>
        <w:t>。</w:t>
      </w:r>
    </w:p>
    <w:p w14:paraId="1D33DBDA">
      <w:pPr>
        <w:spacing w:line="38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6985FB02">
      <w:pPr>
        <w:spacing w:line="38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53FB5A23">
      <w:pPr>
        <w:spacing w:line="38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6CBDC575">
      <w:pPr>
        <w:spacing w:line="380" w:lineRule="exact"/>
        <w:ind w:firstLine="420" w:firstLineChars="200"/>
        <w:rPr>
          <w:rFonts w:hint="eastAsia"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474D040D">
      <w:pPr>
        <w:widowControl/>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70A14BF3">
      <w:pPr>
        <w:widowControl/>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）实行在线电子竞标，并按照本项目竞争性谈判文件和广西政府采购云平台的要求编制、加密后在提交响应文件截止时间前通过网络上传至广西政府采购云平台（加密的电子响应文件是指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供应商在广西政府采购云平台提交电子响应文件时，请填写参加远程采购活动经办人联系方式。</w:t>
      </w:r>
      <w:r>
        <w:rPr>
          <w:rFonts w:hint="eastAsia" w:ascii="宋体" w:hAnsi="宋体" w:cs="宋体"/>
          <w:color w:val="auto"/>
          <w:szCs w:val="21"/>
          <w:highlight w:val="none"/>
        </w:rPr>
        <w:t>供应商登录广西政府采购云平台，依次进入“服务中心-项目采购-操作流程-电子招投标-</w:t>
      </w:r>
      <w:r>
        <w:rPr>
          <w:rFonts w:hint="eastAsia" w:ascii="宋体" w:hAnsi="宋体" w:cs="宋体"/>
          <w:color w:val="auto"/>
          <w:highlight w:val="none"/>
        </w:rPr>
        <w:t>政府采购项目电子交易管理操作指南-供应商</w:t>
      </w:r>
      <w:r>
        <w:rPr>
          <w:rFonts w:hint="eastAsia" w:ascii="宋体" w:hAnsi="宋体" w:cs="宋体"/>
          <w:color w:val="auto"/>
          <w:szCs w:val="21"/>
          <w:highlight w:val="none"/>
        </w:rPr>
        <w:t>”查看电子竞标具体操作流程。</w:t>
      </w:r>
    </w:p>
    <w:p w14:paraId="76EB9253">
      <w:pPr>
        <w:widowControl/>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0771-3381253）。</w:t>
      </w:r>
    </w:p>
    <w:p w14:paraId="46596D78">
      <w:pPr>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电子开标大厅现场按规定时间对加密的响应文件进行解密，否则后果自负。</w:t>
      </w:r>
    </w:p>
    <w:p w14:paraId="6FC95D0C">
      <w:pPr>
        <w:widowControl/>
        <w:spacing w:line="380" w:lineRule="exact"/>
        <w:ind w:firstLine="420" w:firstLineChars="200"/>
        <w:jc w:val="left"/>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1B038801">
      <w:pPr>
        <w:snapToGrid w:val="0"/>
        <w:spacing w:line="38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（4）供应商需要在具备摄像头及语音功能且互联网网络状况良好的电脑登录</w:t>
      </w:r>
      <w:r>
        <w:rPr>
          <w:rFonts w:hint="eastAsia" w:ascii="宋体" w:hAnsi="宋体" w:cs="宋体"/>
          <w:bCs/>
          <w:color w:val="auto"/>
          <w:szCs w:val="21"/>
          <w:highlight w:val="none"/>
        </w:rPr>
        <w:t>广西政府采购云平台</w:t>
      </w:r>
      <w:r>
        <w:rPr>
          <w:rFonts w:hint="eastAsia" w:ascii="宋体" w:hAnsi="宋体" w:cs="宋体"/>
          <w:color w:val="auto"/>
          <w:kern w:val="0"/>
          <w:szCs w:val="21"/>
          <w:highlight w:val="none"/>
        </w:rPr>
        <w:t>远程开标大厅参与本次谈判，否则后果自负。</w:t>
      </w:r>
    </w:p>
    <w:p w14:paraId="71853E8A">
      <w:pPr>
        <w:widowControl/>
        <w:spacing w:line="380" w:lineRule="exact"/>
        <w:ind w:firstLine="420" w:firstLineChars="200"/>
        <w:jc w:val="left"/>
        <w:rPr>
          <w:rFonts w:hint="eastAsia" w:ascii="宋体" w:hAnsi="宋体" w:cs="宋体"/>
          <w:bCs/>
          <w:color w:val="auto"/>
          <w:szCs w:val="21"/>
          <w:highlight w:val="none"/>
        </w:rPr>
      </w:pPr>
      <w:r>
        <w:rPr>
          <w:rFonts w:hint="eastAsia" w:ascii="宋体" w:hAnsi="宋体" w:cs="宋体"/>
          <w:bCs/>
          <w:color w:val="auto"/>
          <w:szCs w:val="21"/>
          <w:highlight w:val="none"/>
        </w:rPr>
        <w:t>4.供应商认为竞争性谈判文件使自己的合法权益受到损害的，应当在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否则，采购代理机构有权拒收。</w:t>
      </w:r>
    </w:p>
    <w:bookmarkEnd w:id="45"/>
    <w:p w14:paraId="1FBD2C78">
      <w:pPr>
        <w:spacing w:line="380" w:lineRule="exact"/>
        <w:ind w:firstLine="360" w:firstLineChars="150"/>
        <w:rPr>
          <w:rFonts w:hint="eastAsia" w:ascii="宋体" w:hAnsi="宋体" w:cs="宋体"/>
          <w:color w:val="auto"/>
          <w:sz w:val="24"/>
          <w:highlight w:val="none"/>
        </w:rPr>
      </w:pPr>
      <w:r>
        <w:rPr>
          <w:rFonts w:hint="eastAsia" w:ascii="宋体" w:hAnsi="宋体" w:cs="宋体"/>
          <w:color w:val="auto"/>
          <w:sz w:val="24"/>
          <w:highlight w:val="none"/>
        </w:rPr>
        <w:t>八、凡对本次采购提出询问，请按以下方式联系。</w:t>
      </w:r>
      <w:bookmarkEnd w:id="46"/>
      <w:bookmarkEnd w:id="47"/>
      <w:bookmarkEnd w:id="48"/>
      <w:bookmarkEnd w:id="49"/>
      <w:bookmarkEnd w:id="50"/>
      <w:bookmarkEnd w:id="51"/>
    </w:p>
    <w:p w14:paraId="375FC6A5">
      <w:pPr>
        <w:spacing w:line="380" w:lineRule="exact"/>
        <w:ind w:firstLine="420" w:firstLineChars="200"/>
        <w:rPr>
          <w:rFonts w:hint="eastAsia" w:ascii="宋体" w:hAnsi="宋体" w:cs="宋体"/>
          <w:color w:val="auto"/>
          <w:kern w:val="0"/>
          <w:szCs w:val="21"/>
          <w:highlight w:val="none"/>
        </w:rPr>
      </w:pPr>
      <w:bookmarkStart w:id="52" w:name="_Toc35393637"/>
      <w:bookmarkStart w:id="53" w:name="_Toc35393806"/>
      <w:bookmarkStart w:id="54" w:name="_Toc28359096"/>
      <w:bookmarkStart w:id="55" w:name="_Toc28359019"/>
      <w:r>
        <w:rPr>
          <w:rFonts w:hint="eastAsia" w:ascii="宋体" w:hAnsi="宋体" w:cs="宋体"/>
          <w:color w:val="auto"/>
          <w:kern w:val="0"/>
          <w:szCs w:val="21"/>
          <w:highlight w:val="none"/>
        </w:rPr>
        <w:t>1.采购人信息</w:t>
      </w:r>
      <w:bookmarkEnd w:id="52"/>
      <w:bookmarkEnd w:id="53"/>
      <w:bookmarkEnd w:id="54"/>
      <w:bookmarkEnd w:id="55"/>
    </w:p>
    <w:p w14:paraId="7054739E">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名称：桂林医科大学</w:t>
      </w:r>
    </w:p>
    <w:p w14:paraId="72E45FC5">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地址：广西桂林市临桂区致远路1号</w:t>
      </w:r>
    </w:p>
    <w:p w14:paraId="3E3AEDA5">
      <w:pPr>
        <w:spacing w:line="38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联系方式：莫修宇 0773-3662950 </w:t>
      </w:r>
    </w:p>
    <w:p w14:paraId="75BBAE20">
      <w:pPr>
        <w:spacing w:line="380" w:lineRule="exact"/>
        <w:ind w:firstLine="420" w:firstLineChars="200"/>
        <w:jc w:val="left"/>
        <w:rPr>
          <w:rFonts w:hint="eastAsia" w:ascii="宋体" w:hAnsi="宋体" w:cs="宋体"/>
          <w:color w:val="auto"/>
          <w:szCs w:val="21"/>
          <w:highlight w:val="none"/>
        </w:rPr>
      </w:pPr>
      <w:bookmarkStart w:id="56" w:name="_Toc35393807"/>
      <w:bookmarkStart w:id="57" w:name="_Toc28359020"/>
      <w:bookmarkStart w:id="58" w:name="_Toc35393638"/>
      <w:bookmarkStart w:id="59" w:name="_Toc28359097"/>
      <w:r>
        <w:rPr>
          <w:rFonts w:hint="eastAsia" w:ascii="宋体" w:hAnsi="宋体" w:cs="宋体"/>
          <w:color w:val="auto"/>
          <w:szCs w:val="21"/>
          <w:highlight w:val="none"/>
        </w:rPr>
        <w:t>2.采购代理机构信息</w:t>
      </w:r>
      <w:bookmarkEnd w:id="56"/>
      <w:bookmarkEnd w:id="57"/>
      <w:bookmarkEnd w:id="58"/>
      <w:bookmarkEnd w:id="59"/>
    </w:p>
    <w:p w14:paraId="02F3D82D">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名称：云之龙咨询集团有限公司</w:t>
      </w:r>
    </w:p>
    <w:p w14:paraId="08D4104C">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地址：广西桂林市临桂区西城北路2号耀辉•美好家园2幢12层1号房</w:t>
      </w:r>
    </w:p>
    <w:p w14:paraId="389864DA">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联系方式：0773-2887388、2887399</w:t>
      </w:r>
    </w:p>
    <w:p w14:paraId="3C083C65">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3.项目联系方式</w:t>
      </w:r>
    </w:p>
    <w:p w14:paraId="541070A4">
      <w:pPr>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rPr>
        <w:t>项目联系人：吕雯</w:t>
      </w:r>
    </w:p>
    <w:p w14:paraId="46097F28">
      <w:pPr>
        <w:spacing w:line="380" w:lineRule="exact"/>
        <w:ind w:firstLine="420" w:firstLineChars="200"/>
        <w:rPr>
          <w:rFonts w:ascii="宋体"/>
          <w:color w:val="auto"/>
          <w:szCs w:val="21"/>
          <w:highlight w:val="none"/>
        </w:rPr>
      </w:pPr>
      <w:r>
        <w:rPr>
          <w:rFonts w:hint="eastAsia" w:ascii="宋体" w:hAnsi="宋体"/>
          <w:color w:val="auto"/>
          <w:szCs w:val="21"/>
          <w:highlight w:val="none"/>
        </w:rPr>
        <w:t>电话：0773-2887388、2887399</w:t>
      </w:r>
    </w:p>
    <w:bookmarkEnd w:id="4"/>
    <w:p w14:paraId="755FFA9E">
      <w:pPr>
        <w:widowControl/>
        <w:jc w:val="left"/>
        <w:rPr>
          <w:color w:val="auto"/>
          <w:spacing w:val="-3"/>
          <w:kern w:val="0"/>
          <w:sz w:val="24"/>
          <w:szCs w:val="20"/>
          <w:highlight w:val="none"/>
        </w:rPr>
      </w:pPr>
      <w:bookmarkStart w:id="60" w:name="_Toc74322009"/>
      <w:r>
        <w:rPr>
          <w:color w:val="auto"/>
          <w:spacing w:val="-3"/>
          <w:kern w:val="0"/>
          <w:sz w:val="24"/>
          <w:szCs w:val="20"/>
          <w:highlight w:val="none"/>
        </w:rPr>
        <w:br w:type="page"/>
      </w:r>
    </w:p>
    <w:p w14:paraId="7E1E7E79">
      <w:pPr>
        <w:spacing w:line="400" w:lineRule="exact"/>
        <w:jc w:val="center"/>
        <w:rPr>
          <w:rFonts w:ascii="宋体"/>
          <w:b/>
          <w:color w:val="auto"/>
          <w:sz w:val="32"/>
          <w:szCs w:val="32"/>
          <w:highlight w:val="none"/>
        </w:rPr>
      </w:pPr>
      <w:r>
        <w:rPr>
          <w:rFonts w:hint="eastAsia" w:ascii="宋体" w:hAnsi="宋体"/>
          <w:b/>
          <w:color w:val="auto"/>
          <w:sz w:val="32"/>
          <w:szCs w:val="32"/>
          <w:highlight w:val="none"/>
        </w:rPr>
        <w:t>第二章 供应商须知</w:t>
      </w:r>
      <w:bookmarkEnd w:id="60"/>
    </w:p>
    <w:p w14:paraId="72E6EA8E">
      <w:pPr>
        <w:spacing w:line="400" w:lineRule="exact"/>
        <w:jc w:val="center"/>
        <w:rPr>
          <w:rFonts w:ascii="宋体"/>
          <w:b/>
          <w:color w:val="auto"/>
          <w:sz w:val="32"/>
          <w:szCs w:val="32"/>
          <w:highlight w:val="none"/>
        </w:rPr>
      </w:pPr>
      <w:r>
        <w:rPr>
          <w:rFonts w:hint="eastAsia" w:ascii="宋体" w:hAnsi="宋体"/>
          <w:b/>
          <w:color w:val="auto"/>
          <w:sz w:val="32"/>
          <w:szCs w:val="32"/>
          <w:highlight w:val="none"/>
        </w:rPr>
        <w:t>供应商须知前附表</w:t>
      </w:r>
    </w:p>
    <w:p w14:paraId="1FC13A81">
      <w:pPr>
        <w:spacing w:line="400" w:lineRule="exact"/>
        <w:jc w:val="center"/>
        <w:rPr>
          <w:rFonts w:ascii="宋体"/>
          <w:b/>
          <w:color w:val="auto"/>
          <w:sz w:val="32"/>
          <w:szCs w:val="32"/>
          <w:highlight w:val="none"/>
        </w:rPr>
      </w:pPr>
    </w:p>
    <w:tbl>
      <w:tblPr>
        <w:tblStyle w:val="25"/>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D8D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2" w:type="dxa"/>
          </w:tcPr>
          <w:p w14:paraId="52EE3683">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条款号</w:t>
            </w:r>
          </w:p>
        </w:tc>
        <w:tc>
          <w:tcPr>
            <w:tcW w:w="7912" w:type="dxa"/>
          </w:tcPr>
          <w:p w14:paraId="17AE1CA7">
            <w:pPr>
              <w:spacing w:line="400" w:lineRule="exact"/>
              <w:jc w:val="center"/>
              <w:rPr>
                <w:rFonts w:ascii="宋体" w:cs="宋体"/>
                <w:b/>
                <w:bCs/>
                <w:color w:val="auto"/>
                <w:szCs w:val="21"/>
                <w:highlight w:val="none"/>
              </w:rPr>
            </w:pPr>
            <w:r>
              <w:rPr>
                <w:rFonts w:hint="eastAsia" w:ascii="宋体" w:hAnsi="宋体" w:cs="宋体"/>
                <w:b/>
                <w:bCs/>
                <w:color w:val="auto"/>
                <w:szCs w:val="21"/>
                <w:highlight w:val="none"/>
              </w:rPr>
              <w:t>内容</w:t>
            </w:r>
          </w:p>
        </w:tc>
      </w:tr>
      <w:tr w14:paraId="5240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B32838B">
            <w:pPr>
              <w:spacing w:line="400" w:lineRule="exact"/>
              <w:jc w:val="center"/>
              <w:rPr>
                <w:rFonts w:ascii="宋体" w:cs="宋体"/>
                <w:color w:val="auto"/>
                <w:szCs w:val="21"/>
                <w:highlight w:val="none"/>
              </w:rPr>
            </w:pPr>
            <w:r>
              <w:rPr>
                <w:rFonts w:ascii="宋体" w:hAnsi="宋体" w:cs="宋体"/>
                <w:color w:val="auto"/>
                <w:szCs w:val="21"/>
                <w:highlight w:val="none"/>
              </w:rPr>
              <w:t>3</w:t>
            </w:r>
          </w:p>
        </w:tc>
        <w:tc>
          <w:tcPr>
            <w:tcW w:w="7912" w:type="dxa"/>
            <w:vAlign w:val="center"/>
          </w:tcPr>
          <w:p w14:paraId="7BED2377">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供应商的资格条件：详见竞争性谈判公告</w:t>
            </w:r>
          </w:p>
          <w:p w14:paraId="5376805E">
            <w:pPr>
              <w:spacing w:line="40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042784F9">
            <w:pPr>
              <w:spacing w:line="400" w:lineRule="exact"/>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单位负责人为同一人或者存在直接控股、管理关系的不同供应商，不得参加同一合同项下的政府采购活动。</w:t>
            </w:r>
            <w:r>
              <w:rPr>
                <w:rFonts w:ascii="Arial" w:hAnsi="Arial" w:cs="Arial"/>
                <w:color w:val="auto"/>
                <w:highlight w:val="none"/>
              </w:rPr>
              <w:t>为采购项目提供整体设计、规范编制或者项目管理、监理、检测等服务的供应商，不得再参加该采购项目的其他采购活动</w:t>
            </w:r>
            <w:r>
              <w:rPr>
                <w:rFonts w:hint="eastAsia" w:ascii="宋体" w:hAnsi="宋体" w:cs="宋体"/>
                <w:color w:val="auto"/>
                <w:szCs w:val="21"/>
                <w:highlight w:val="none"/>
              </w:rPr>
              <w:t>。</w:t>
            </w:r>
          </w:p>
          <w:p w14:paraId="7B24EA5E">
            <w:pPr>
              <w:spacing w:line="400" w:lineRule="exact"/>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对在“信用中国”网站（</w:t>
            </w:r>
            <w:r>
              <w:rPr>
                <w:rFonts w:ascii="宋体" w:hAnsi="宋体" w:cs="宋体"/>
                <w:color w:val="auto"/>
                <w:szCs w:val="21"/>
                <w:highlight w:val="none"/>
              </w:rPr>
              <w:t>http://www.creditchina.gov.cn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http://www.ccgp.gov.cn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tc>
      </w:tr>
      <w:tr w14:paraId="25320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2" w:type="dxa"/>
            <w:vAlign w:val="center"/>
          </w:tcPr>
          <w:p w14:paraId="7F6ECC63">
            <w:pPr>
              <w:spacing w:line="400" w:lineRule="exact"/>
              <w:jc w:val="center"/>
              <w:rPr>
                <w:rFonts w:ascii="宋体" w:cs="宋体"/>
                <w:color w:val="auto"/>
                <w:szCs w:val="21"/>
                <w:highlight w:val="none"/>
              </w:rPr>
            </w:pPr>
            <w:r>
              <w:rPr>
                <w:rFonts w:ascii="宋体" w:hAnsi="宋体" w:cs="宋体"/>
                <w:color w:val="auto"/>
                <w:szCs w:val="21"/>
                <w:highlight w:val="none"/>
              </w:rPr>
              <w:t>5.1</w:t>
            </w:r>
          </w:p>
        </w:tc>
        <w:tc>
          <w:tcPr>
            <w:tcW w:w="7912" w:type="dxa"/>
            <w:vAlign w:val="center"/>
          </w:tcPr>
          <w:p w14:paraId="58A3F670">
            <w:pPr>
              <w:spacing w:line="400" w:lineRule="exact"/>
              <w:jc w:val="left"/>
              <w:rPr>
                <w:rFonts w:ascii="宋体" w:cs="宋体"/>
                <w:color w:val="auto"/>
                <w:szCs w:val="21"/>
                <w:highlight w:val="none"/>
              </w:rPr>
            </w:pPr>
            <w:r>
              <w:rPr>
                <w:rFonts w:hint="eastAsia" w:ascii="宋体" w:hAnsi="宋体" w:cs="宋体"/>
                <w:color w:val="auto"/>
                <w:szCs w:val="21"/>
                <w:highlight w:val="none"/>
              </w:rPr>
              <w:t>是否接受联合体竞标</w:t>
            </w:r>
            <w:r>
              <w:rPr>
                <w:rFonts w:ascii="宋体" w:hAnsi="宋体" w:cs="宋体"/>
                <w:color w:val="auto"/>
                <w:szCs w:val="21"/>
                <w:highlight w:val="none"/>
              </w:rPr>
              <w:t xml:space="preserve">: </w:t>
            </w:r>
            <w:r>
              <w:rPr>
                <w:rFonts w:hint="eastAsia" w:ascii="宋体" w:hAnsi="宋体" w:cs="宋体"/>
                <w:color w:val="auto"/>
                <w:szCs w:val="21"/>
                <w:highlight w:val="none"/>
              </w:rPr>
              <w:t>详见竞争性谈判公告</w:t>
            </w:r>
          </w:p>
        </w:tc>
      </w:tr>
      <w:tr w14:paraId="764A7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B1A0368">
            <w:pPr>
              <w:spacing w:line="400" w:lineRule="exact"/>
              <w:jc w:val="center"/>
              <w:rPr>
                <w:rFonts w:ascii="宋体" w:cs="宋体"/>
                <w:color w:val="auto"/>
                <w:szCs w:val="21"/>
                <w:highlight w:val="none"/>
              </w:rPr>
            </w:pPr>
            <w:r>
              <w:rPr>
                <w:rFonts w:ascii="宋体" w:hAnsi="宋体" w:cs="宋体"/>
                <w:color w:val="auto"/>
                <w:szCs w:val="21"/>
                <w:highlight w:val="none"/>
              </w:rPr>
              <w:t>5.2</w:t>
            </w:r>
          </w:p>
        </w:tc>
        <w:tc>
          <w:tcPr>
            <w:tcW w:w="7912" w:type="dxa"/>
            <w:vAlign w:val="center"/>
          </w:tcPr>
          <w:p w14:paraId="00016A00">
            <w:pPr>
              <w:spacing w:line="400" w:lineRule="exact"/>
              <w:rPr>
                <w:rFonts w:ascii="宋体" w:cs="宋体"/>
                <w:color w:val="auto"/>
                <w:szCs w:val="21"/>
                <w:highlight w:val="none"/>
              </w:rPr>
            </w:pPr>
            <w:r>
              <w:rPr>
                <w:rFonts w:hint="eastAsia" w:ascii="宋体" w:hAnsi="宋体"/>
                <w:color w:val="auto"/>
                <w:szCs w:val="21"/>
                <w:highlight w:val="none"/>
              </w:rPr>
              <w:t>如接受联合体竞标，联合体竞标要求如下（如不接受联合体竞标的，此条忽略）：</w:t>
            </w:r>
          </w:p>
          <w:p w14:paraId="514C44D6">
            <w:pPr>
              <w:spacing w:line="400" w:lineRule="exact"/>
              <w:rPr>
                <w:rFonts w:ascii="宋体" w:cs="宋体"/>
                <w:color w:val="auto"/>
                <w:szCs w:val="21"/>
                <w:highlight w:val="none"/>
              </w:rPr>
            </w:pPr>
            <w:r>
              <w:rPr>
                <w:rFonts w:ascii="宋体" w:hAnsi="宋体" w:cs="宋体"/>
                <w:color w:val="auto"/>
                <w:szCs w:val="21"/>
                <w:highlight w:val="none"/>
              </w:rPr>
              <w:t>1</w:t>
            </w:r>
            <w:r>
              <w:rPr>
                <w:rFonts w:ascii="宋体" w:cs="宋体"/>
                <w:color w:val="auto"/>
                <w:szCs w:val="21"/>
                <w:highlight w:val="none"/>
              </w:rPr>
              <w:t>.</w:t>
            </w:r>
            <w:r>
              <w:rPr>
                <w:rFonts w:hint="eastAsia" w:ascii="宋体" w:hAnsi="宋体" w:cs="宋体"/>
                <w:color w:val="auto"/>
                <w:szCs w:val="21"/>
                <w:highlight w:val="none"/>
              </w:rPr>
              <w:t>两个以上供应商可以组成一个竞标联合体，以一个供应商的身份共同参加竞标。联合体竞标的，须提供《联合体竞标协议书》（格式后附）。</w:t>
            </w:r>
          </w:p>
          <w:p w14:paraId="75F9A07B">
            <w:pPr>
              <w:spacing w:line="400" w:lineRule="exact"/>
              <w:rPr>
                <w:rFonts w:ascii="宋体" w:cs="宋体"/>
                <w:color w:val="auto"/>
                <w:szCs w:val="21"/>
                <w:highlight w:val="none"/>
              </w:rPr>
            </w:pPr>
            <w:r>
              <w:rPr>
                <w:rFonts w:ascii="宋体" w:hAnsi="宋体" w:cs="宋体"/>
                <w:color w:val="auto"/>
                <w:szCs w:val="21"/>
                <w:highlight w:val="none"/>
              </w:rPr>
              <w:t>2</w:t>
            </w:r>
            <w:r>
              <w:rPr>
                <w:rFonts w:ascii="宋体" w:cs="宋体"/>
                <w:color w:val="auto"/>
                <w:szCs w:val="21"/>
                <w:highlight w:val="none"/>
              </w:rPr>
              <w:t>.</w:t>
            </w:r>
            <w:r>
              <w:rPr>
                <w:rFonts w:hint="eastAsia" w:ascii="宋体" w:hAnsi="宋体" w:cs="宋体"/>
                <w:color w:val="auto"/>
                <w:szCs w:val="21"/>
                <w:highlight w:val="none"/>
              </w:rPr>
              <w:t>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048E751D">
            <w:pPr>
              <w:spacing w:line="400" w:lineRule="exact"/>
              <w:rPr>
                <w:rFonts w:ascii="宋体" w:cs="宋体"/>
                <w:color w:val="auto"/>
                <w:szCs w:val="21"/>
                <w:highlight w:val="none"/>
              </w:rPr>
            </w:pPr>
            <w:r>
              <w:rPr>
                <w:rFonts w:ascii="宋体" w:hAnsi="宋体" w:cs="宋体"/>
                <w:color w:val="auto"/>
                <w:szCs w:val="21"/>
                <w:highlight w:val="none"/>
              </w:rPr>
              <w:t>3</w:t>
            </w:r>
            <w:r>
              <w:rPr>
                <w:rFonts w:ascii="宋体" w:cs="宋体"/>
                <w:color w:val="auto"/>
                <w:szCs w:val="21"/>
                <w:highlight w:val="none"/>
              </w:rPr>
              <w:t>.</w:t>
            </w:r>
            <w:r>
              <w:rPr>
                <w:rFonts w:hint="eastAsia" w:ascii="宋体" w:hAnsi="宋体" w:cs="宋体"/>
                <w:color w:val="auto"/>
                <w:szCs w:val="21"/>
                <w:highlight w:val="none"/>
              </w:rPr>
              <w:t>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682F98B3">
            <w:pPr>
              <w:spacing w:line="400" w:lineRule="exact"/>
              <w:rPr>
                <w:rFonts w:ascii="宋体" w:cs="宋体"/>
                <w:color w:val="auto"/>
                <w:szCs w:val="21"/>
                <w:highlight w:val="none"/>
              </w:rPr>
            </w:pPr>
            <w:r>
              <w:rPr>
                <w:rFonts w:ascii="宋体" w:hAnsi="宋体" w:cs="宋体"/>
                <w:color w:val="auto"/>
                <w:szCs w:val="21"/>
                <w:highlight w:val="none"/>
              </w:rPr>
              <w:t>4</w:t>
            </w:r>
            <w:r>
              <w:rPr>
                <w:rFonts w:ascii="宋体" w:cs="宋体"/>
                <w:color w:val="auto"/>
                <w:szCs w:val="21"/>
                <w:highlight w:val="none"/>
              </w:rPr>
              <w:t>.</w:t>
            </w:r>
            <w:r>
              <w:rPr>
                <w:rFonts w:hint="eastAsia" w:ascii="宋体" w:hAnsi="宋体" w:cs="宋体"/>
                <w:color w:val="auto"/>
                <w:szCs w:val="21"/>
                <w:highlight w:val="none"/>
              </w:rPr>
              <w:t>以联合体形式参加政府采购活动的，联合体各方不得再单独参加或者与其他供应商另外组成联合体参加同一合同项下的政府采购活动。</w:t>
            </w:r>
          </w:p>
          <w:p w14:paraId="0501E997">
            <w:pPr>
              <w:spacing w:line="400" w:lineRule="exact"/>
              <w:rPr>
                <w:rFonts w:ascii="宋体" w:cs="宋体"/>
                <w:color w:val="auto"/>
                <w:szCs w:val="21"/>
                <w:highlight w:val="none"/>
              </w:rPr>
            </w:pPr>
            <w:r>
              <w:rPr>
                <w:rFonts w:ascii="宋体" w:hAnsi="宋体" w:cs="宋体"/>
                <w:color w:val="auto"/>
                <w:szCs w:val="21"/>
                <w:highlight w:val="none"/>
              </w:rPr>
              <w:t>5</w:t>
            </w:r>
            <w:r>
              <w:rPr>
                <w:rFonts w:ascii="宋体" w:cs="宋体"/>
                <w:color w:val="auto"/>
                <w:szCs w:val="21"/>
                <w:highlight w:val="none"/>
              </w:rPr>
              <w:t>.</w:t>
            </w:r>
            <w:r>
              <w:rPr>
                <w:rFonts w:hint="eastAsia" w:ascii="宋体" w:hAnsi="宋体" w:cs="宋体"/>
                <w:color w:val="auto"/>
                <w:szCs w:val="21"/>
                <w:highlight w:val="none"/>
              </w:rPr>
              <w:t>联合体中有同类资质的供应商按照联合体分工承担相同工作的，应当按照资质等级较低的供应商确定资质等级。</w:t>
            </w:r>
          </w:p>
          <w:p w14:paraId="356B022C">
            <w:pPr>
              <w:spacing w:line="400" w:lineRule="exact"/>
              <w:rPr>
                <w:rFonts w:ascii="宋体" w:cs="宋体"/>
                <w:color w:val="auto"/>
                <w:szCs w:val="21"/>
                <w:highlight w:val="none"/>
              </w:rPr>
            </w:pPr>
            <w:r>
              <w:rPr>
                <w:rFonts w:ascii="宋体" w:hAnsi="宋体" w:cs="宋体"/>
                <w:color w:val="auto"/>
                <w:szCs w:val="21"/>
                <w:highlight w:val="none"/>
              </w:rPr>
              <w:t>6</w:t>
            </w:r>
            <w:r>
              <w:rPr>
                <w:rFonts w:ascii="宋体" w:cs="宋体"/>
                <w:color w:val="auto"/>
                <w:szCs w:val="21"/>
                <w:highlight w:val="none"/>
              </w:rPr>
              <w:t>.</w:t>
            </w:r>
            <w:r>
              <w:rPr>
                <w:rFonts w:hint="eastAsia" w:ascii="宋体" w:hAnsi="宋体" w:cs="宋体"/>
                <w:color w:val="auto"/>
                <w:szCs w:val="21"/>
                <w:highlight w:val="none"/>
              </w:rPr>
              <w:t>联合体竞标业绩、履约能力按照联合体各方中较高的一方认定并计算。</w:t>
            </w:r>
          </w:p>
          <w:p w14:paraId="653F344A">
            <w:pPr>
              <w:spacing w:line="400" w:lineRule="exact"/>
              <w:rPr>
                <w:rFonts w:ascii="宋体" w:cs="宋体"/>
                <w:color w:val="auto"/>
                <w:szCs w:val="21"/>
                <w:highlight w:val="none"/>
              </w:rPr>
            </w:pPr>
            <w:r>
              <w:rPr>
                <w:rFonts w:ascii="宋体" w:hAnsi="宋体" w:cs="宋体"/>
                <w:color w:val="auto"/>
                <w:szCs w:val="21"/>
                <w:highlight w:val="none"/>
              </w:rPr>
              <w:t>7</w:t>
            </w:r>
            <w:r>
              <w:rPr>
                <w:rFonts w:ascii="宋体" w:cs="宋体"/>
                <w:color w:val="auto"/>
                <w:szCs w:val="21"/>
                <w:highlight w:val="none"/>
              </w:rPr>
              <w:t>.</w:t>
            </w:r>
            <w:r>
              <w:rPr>
                <w:rFonts w:hint="eastAsia" w:ascii="宋体" w:hAnsi="宋体" w:cs="宋体"/>
                <w:color w:val="auto"/>
                <w:szCs w:val="21"/>
                <w:highlight w:val="none"/>
              </w:rPr>
              <w:t>供应商为联合体的，可以由联合体中的一方或者多方共同交纳保证金，其交纳的保证金对联合体各方均具有约束力。</w:t>
            </w:r>
          </w:p>
          <w:p w14:paraId="44C5E0B6">
            <w:pPr>
              <w:spacing w:line="400" w:lineRule="exact"/>
              <w:rPr>
                <w:rFonts w:ascii="宋体" w:cs="宋体"/>
                <w:color w:val="auto"/>
                <w:szCs w:val="21"/>
                <w:highlight w:val="none"/>
              </w:rPr>
            </w:pPr>
            <w:r>
              <w:rPr>
                <w:rFonts w:ascii="宋体" w:hAnsi="宋体" w:cs="宋体"/>
                <w:color w:val="auto"/>
                <w:szCs w:val="21"/>
                <w:highlight w:val="none"/>
              </w:rPr>
              <w:t>8</w:t>
            </w:r>
            <w:r>
              <w:rPr>
                <w:rFonts w:ascii="宋体" w:cs="宋体"/>
                <w:color w:val="auto"/>
                <w:szCs w:val="21"/>
                <w:highlight w:val="none"/>
              </w:rPr>
              <w:t>.</w:t>
            </w:r>
            <w:r>
              <w:rPr>
                <w:rFonts w:hint="eastAsia" w:ascii="宋体" w:hAnsi="宋体" w:cs="宋体"/>
                <w:color w:val="auto"/>
                <w:szCs w:val="21"/>
                <w:highlight w:val="none"/>
              </w:rPr>
              <w:t>联合体各方均应按照谈判文件的规定分别提交资格证明文件。</w:t>
            </w:r>
          </w:p>
        </w:tc>
      </w:tr>
      <w:tr w14:paraId="77B88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23E55A3">
            <w:pPr>
              <w:spacing w:line="400" w:lineRule="exact"/>
              <w:jc w:val="center"/>
              <w:rPr>
                <w:rFonts w:ascii="宋体" w:cs="宋体"/>
                <w:color w:val="auto"/>
                <w:szCs w:val="21"/>
                <w:highlight w:val="none"/>
              </w:rPr>
            </w:pPr>
            <w:r>
              <w:rPr>
                <w:rFonts w:ascii="宋体" w:hAnsi="宋体" w:cs="宋体"/>
                <w:color w:val="auto"/>
                <w:szCs w:val="21"/>
                <w:highlight w:val="none"/>
              </w:rPr>
              <w:t>6.2</w:t>
            </w:r>
          </w:p>
        </w:tc>
        <w:tc>
          <w:tcPr>
            <w:tcW w:w="7912" w:type="dxa"/>
            <w:vAlign w:val="center"/>
          </w:tcPr>
          <w:p w14:paraId="4C680BBB">
            <w:pPr>
              <w:pStyle w:val="9"/>
              <w:spacing w:line="400" w:lineRule="exact"/>
              <w:rPr>
                <w:color w:val="auto"/>
                <w:highlight w:val="none"/>
              </w:rPr>
            </w:pPr>
            <w:r>
              <w:rPr>
                <w:color w:val="auto"/>
                <w:highlight w:val="none"/>
              </w:rPr>
              <w:fldChar w:fldCharType="begin"/>
            </w:r>
            <w:r>
              <w:rPr>
                <w:color w:val="auto"/>
                <w:highlight w:val="none"/>
              </w:rPr>
              <w:instrText xml:space="preserve"> eq \o\ac(</w:instrText>
            </w:r>
            <w:r>
              <w:rPr>
                <w:rFonts w:hint="eastAsia"/>
                <w:color w:val="auto"/>
                <w:highlight w:val="none"/>
              </w:rPr>
              <w:instrText xml:space="preserve">□,</w:instrText>
            </w:r>
            <w:r>
              <w:rPr>
                <w:rFonts w:hint="eastAsia"/>
                <w:color w:val="auto"/>
                <w:position w:val="2"/>
                <w:sz w:val="13"/>
                <w:highlight w:val="none"/>
              </w:rPr>
              <w:instrText xml:space="preserve">√</w:instrText>
            </w:r>
            <w:r>
              <w:rPr>
                <w:color w:val="auto"/>
                <w:highlight w:val="none"/>
              </w:rPr>
              <w:instrText xml:space="preserve">)</w:instrText>
            </w:r>
            <w:r>
              <w:rPr>
                <w:color w:val="auto"/>
                <w:highlight w:val="none"/>
              </w:rPr>
              <w:fldChar w:fldCharType="end"/>
            </w:r>
            <w:r>
              <w:rPr>
                <w:rFonts w:hint="eastAsia"/>
                <w:color w:val="auto"/>
                <w:highlight w:val="none"/>
              </w:rPr>
              <w:t>不允许分包</w:t>
            </w:r>
          </w:p>
          <w:p w14:paraId="4E96E3A4">
            <w:pPr>
              <w:pStyle w:val="9"/>
              <w:spacing w:line="400" w:lineRule="exact"/>
              <w:rPr>
                <w:color w:val="auto"/>
                <w:highlight w:val="none"/>
              </w:rPr>
            </w:pPr>
            <w:r>
              <w:rPr>
                <w:rFonts w:hint="eastAsia"/>
                <w:color w:val="auto"/>
                <w:highlight w:val="none"/>
              </w:rPr>
              <w:t>□允许分包</w:t>
            </w:r>
          </w:p>
          <w:p w14:paraId="0DA7FB33">
            <w:pPr>
              <w:pStyle w:val="9"/>
              <w:spacing w:line="400" w:lineRule="exact"/>
              <w:rPr>
                <w:color w:val="auto"/>
                <w:highlight w:val="none"/>
                <w:u w:val="single"/>
              </w:rPr>
            </w:pPr>
            <w:r>
              <w:rPr>
                <w:rFonts w:hint="eastAsia"/>
                <w:color w:val="auto"/>
                <w:highlight w:val="none"/>
              </w:rPr>
              <w:t>分包内容：</w:t>
            </w:r>
            <w:r>
              <w:rPr>
                <w:rFonts w:hint="eastAsia"/>
                <w:color w:val="auto"/>
                <w:highlight w:val="none"/>
                <w:u w:val="single"/>
              </w:rPr>
              <w:t xml:space="preserve">/ </w:t>
            </w:r>
          </w:p>
          <w:p w14:paraId="005C873B">
            <w:pPr>
              <w:pStyle w:val="9"/>
              <w:spacing w:line="400" w:lineRule="exact"/>
              <w:rPr>
                <w:color w:val="auto"/>
                <w:highlight w:val="none"/>
                <w:u w:val="single"/>
              </w:rPr>
            </w:pPr>
            <w:r>
              <w:rPr>
                <w:rFonts w:hint="eastAsia"/>
                <w:color w:val="auto"/>
                <w:highlight w:val="none"/>
              </w:rPr>
              <w:t>分包金额或者比例：</w:t>
            </w:r>
            <w:r>
              <w:rPr>
                <w:rFonts w:hint="eastAsia"/>
                <w:color w:val="auto"/>
                <w:highlight w:val="none"/>
                <w:u w:val="single"/>
              </w:rPr>
              <w:t>/</w:t>
            </w:r>
          </w:p>
          <w:p w14:paraId="78BCA2A5">
            <w:pPr>
              <w:pStyle w:val="9"/>
              <w:spacing w:line="400" w:lineRule="exact"/>
              <w:rPr>
                <w:color w:val="auto"/>
                <w:highlight w:val="none"/>
                <w:u w:val="single"/>
              </w:rPr>
            </w:pPr>
            <w:r>
              <w:rPr>
                <w:rFonts w:hint="eastAsia" w:ascii="宋体" w:hAnsi="宋体"/>
                <w:color w:val="auto"/>
                <w:highlight w:val="none"/>
              </w:rPr>
              <w:t>分包供应商必须具备的资质：</w:t>
            </w:r>
            <w:r>
              <w:rPr>
                <w:rFonts w:hint="eastAsia"/>
                <w:color w:val="auto"/>
                <w:highlight w:val="none"/>
                <w:u w:val="single"/>
              </w:rPr>
              <w:t>/</w:t>
            </w:r>
          </w:p>
        </w:tc>
      </w:tr>
      <w:tr w14:paraId="6413D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D2CA59C">
            <w:pPr>
              <w:spacing w:line="400" w:lineRule="exact"/>
              <w:jc w:val="center"/>
              <w:rPr>
                <w:rFonts w:ascii="宋体" w:cs="宋体"/>
                <w:color w:val="auto"/>
                <w:szCs w:val="21"/>
                <w:highlight w:val="none"/>
              </w:rPr>
            </w:pPr>
            <w:r>
              <w:rPr>
                <w:rFonts w:ascii="宋体" w:hAnsi="宋体" w:cs="宋体"/>
                <w:color w:val="auto"/>
                <w:szCs w:val="21"/>
                <w:highlight w:val="none"/>
              </w:rPr>
              <w:t>7.1</w:t>
            </w:r>
          </w:p>
        </w:tc>
        <w:tc>
          <w:tcPr>
            <w:tcW w:w="7912" w:type="dxa"/>
            <w:vAlign w:val="center"/>
          </w:tcPr>
          <w:p w14:paraId="34DA5ADE">
            <w:pPr>
              <w:snapToGrid w:val="0"/>
              <w:spacing w:line="400" w:lineRule="exact"/>
              <w:rPr>
                <w:rFonts w:ascii="宋体"/>
                <w:color w:val="auto"/>
                <w:szCs w:val="21"/>
                <w:highlight w:val="none"/>
              </w:rPr>
            </w:pPr>
            <w:r>
              <w:rPr>
                <w:rFonts w:hint="eastAsia" w:ascii="宋体" w:hAnsi="宋体"/>
                <w:color w:val="auto"/>
                <w:szCs w:val="21"/>
                <w:highlight w:val="none"/>
              </w:rPr>
              <w:t>提供相同品牌产品（非单一产品采购项目的，指核心产品）的不同供应商最后报价相同时，按照下列方式确定一个供应商获得成交供应商推荐资格：</w:t>
            </w:r>
          </w:p>
          <w:p w14:paraId="37DCC09A">
            <w:pPr>
              <w:snapToGrid w:val="0"/>
              <w:spacing w:line="400" w:lineRule="exact"/>
              <w:rPr>
                <w:rFonts w:ascii="宋体"/>
                <w:color w:val="auto"/>
                <w:szCs w:val="21"/>
                <w:highlight w:val="none"/>
              </w:rPr>
            </w:pPr>
            <w:r>
              <w:rPr>
                <w:color w:val="auto"/>
                <w:highlight w:val="none"/>
              </w:rPr>
              <w:fldChar w:fldCharType="begin"/>
            </w:r>
            <w:r>
              <w:rPr>
                <w:color w:val="auto"/>
                <w:highlight w:val="none"/>
              </w:rPr>
              <w:instrText xml:space="preserve"> eq \o\ac(</w:instrText>
            </w:r>
            <w:r>
              <w:rPr>
                <w:rFonts w:hint="eastAsia"/>
                <w:color w:val="auto"/>
                <w:highlight w:val="none"/>
              </w:rPr>
              <w:instrText xml:space="preserve">□</w:instrText>
            </w:r>
            <w:r>
              <w:rPr>
                <w:color w:val="auto"/>
                <w:highlight w:val="none"/>
              </w:rPr>
              <w:instrText xml:space="preserve">)</w:instrText>
            </w:r>
            <w:r>
              <w:rPr>
                <w:color w:val="auto"/>
                <w:highlight w:val="none"/>
              </w:rPr>
              <w:fldChar w:fldCharType="end"/>
            </w:r>
            <w:r>
              <w:rPr>
                <w:rFonts w:hint="eastAsia" w:ascii="宋体" w:hAnsi="宋体"/>
                <w:color w:val="auto"/>
                <w:szCs w:val="21"/>
                <w:highlight w:val="none"/>
              </w:rPr>
              <w:t>随机抽取；</w:t>
            </w:r>
          </w:p>
          <w:p w14:paraId="2AD5B880">
            <w:pPr>
              <w:pStyle w:val="9"/>
              <w:spacing w:line="400" w:lineRule="exact"/>
              <w:rPr>
                <w:rFonts w:ascii="宋体"/>
                <w:color w:val="auto"/>
                <w:highlight w:val="none"/>
              </w:rPr>
            </w:pPr>
            <w:r>
              <w:rPr>
                <w:rFonts w:hint="eastAsia" w:ascii="宋体" w:hAnsi="宋体"/>
                <w:color w:val="auto"/>
                <w:highlight w:val="none"/>
              </w:rPr>
              <w:sym w:font="Wingdings 2" w:char="0052"/>
            </w:r>
            <w:r>
              <w:rPr>
                <w:rFonts w:hint="eastAsia"/>
                <w:color w:val="auto"/>
                <w:highlight w:val="none"/>
              </w:rPr>
              <w:t>依次按最后报价低的优先、保修期长优先、交付时间短优先、正偏离项数多的优先、节能、环保产品累计金额高的优先、故障响应时间短优先的顺序推荐</w:t>
            </w:r>
            <w:r>
              <w:rPr>
                <w:color w:val="auto"/>
                <w:highlight w:val="none"/>
              </w:rPr>
              <w:t>。</w:t>
            </w:r>
          </w:p>
        </w:tc>
      </w:tr>
      <w:tr w14:paraId="688E1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8338B0E">
            <w:pPr>
              <w:spacing w:line="400" w:lineRule="exact"/>
              <w:jc w:val="center"/>
              <w:rPr>
                <w:rFonts w:ascii="宋体" w:cs="宋体"/>
                <w:color w:val="auto"/>
                <w:szCs w:val="21"/>
                <w:highlight w:val="none"/>
              </w:rPr>
            </w:pPr>
            <w:r>
              <w:rPr>
                <w:rFonts w:ascii="宋体" w:hAnsi="宋体" w:cs="宋体"/>
                <w:color w:val="auto"/>
                <w:szCs w:val="21"/>
                <w:highlight w:val="none"/>
              </w:rPr>
              <w:t>12.1.1</w:t>
            </w:r>
          </w:p>
        </w:tc>
        <w:tc>
          <w:tcPr>
            <w:tcW w:w="7912" w:type="dxa"/>
            <w:vAlign w:val="center"/>
          </w:tcPr>
          <w:p w14:paraId="1C6A7586">
            <w:pPr>
              <w:snapToGrid w:val="0"/>
              <w:spacing w:line="400" w:lineRule="exact"/>
              <w:jc w:val="left"/>
              <w:rPr>
                <w:rFonts w:ascii="宋体" w:cs="宋体"/>
                <w:b/>
                <w:color w:val="auto"/>
                <w:szCs w:val="21"/>
                <w:highlight w:val="none"/>
              </w:rPr>
            </w:pPr>
            <w:r>
              <w:rPr>
                <w:rFonts w:hint="eastAsia" w:ascii="宋体" w:hAnsi="宋体" w:cs="宋体"/>
                <w:b/>
                <w:color w:val="auto"/>
                <w:szCs w:val="21"/>
                <w:highlight w:val="none"/>
              </w:rPr>
              <w:t>资格证明文件</w:t>
            </w:r>
          </w:p>
          <w:p w14:paraId="3B2B5C90">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bCs/>
                <w:color w:val="auto"/>
                <w:szCs w:val="21"/>
                <w:highlight w:val="none"/>
              </w:rPr>
              <w:t>（必须提供，否则响应文件按无效响应处理）</w:t>
            </w:r>
          </w:p>
          <w:p w14:paraId="098AD3B6">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2.供应商依法缴纳税收的相关材料（2025年1月以来任意1个月的依法缴纳税收的证明材料复印件；依法免税的供应商，必须提供符合免税条件的证明材料。从成立之日起到响应文件提交截止时间止不足要求月数的，则无需提供）；</w:t>
            </w:r>
            <w:r>
              <w:rPr>
                <w:rFonts w:hint="eastAsia" w:ascii="宋体" w:hAnsi="宋体" w:cs="宋体"/>
                <w:b/>
                <w:bCs/>
                <w:color w:val="auto"/>
                <w:szCs w:val="21"/>
                <w:highlight w:val="none"/>
              </w:rPr>
              <w:t>（必须提供，否则响应文件按无效处理）</w:t>
            </w:r>
          </w:p>
          <w:p w14:paraId="2DE8A6F7">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3.供应商依法缴纳社会保障资金的相关材料[2025年1月以来任意1个月的依法缴纳社会保障资金的缴费证明材料（专用收据、社会保险缴纳清单或社保部门的证明）复印件；依法不需要缴纳社会保障资金的供应商，必须提供相应文件证明不需要缴纳社会保障资金。从成立之日起到响应文件提交截止时间止不足要求月数的，则无需提供]；</w:t>
            </w:r>
            <w:r>
              <w:rPr>
                <w:rFonts w:hint="eastAsia" w:ascii="宋体" w:hAnsi="宋体" w:cs="宋体"/>
                <w:b/>
                <w:bCs/>
                <w:color w:val="auto"/>
                <w:szCs w:val="21"/>
                <w:highlight w:val="none"/>
              </w:rPr>
              <w:t>（必须提供，否则响应文件按无效处理）</w:t>
            </w:r>
          </w:p>
          <w:p w14:paraId="515A0DE6">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4.供应商财务状况报告【2024年度的财务报表复印件，或者2025年以来银行出具的资信证明，或者中国人民银行征信中心出具的信用报告（企业竞标的提供企业信用报告，自然人竞标的提供个人信用报告）；供应商属于成立时间在规定年度之后的法人或其他组织，需提供成立之日起至响应文件提交截止时间前的月报表或银行出具的资信证明或者中国人民银行征信中心出具的企业信用报告】；</w:t>
            </w:r>
            <w:r>
              <w:rPr>
                <w:rFonts w:hint="eastAsia" w:ascii="宋体" w:hAnsi="宋体" w:cs="宋体"/>
                <w:b/>
                <w:bCs/>
                <w:color w:val="auto"/>
                <w:szCs w:val="21"/>
                <w:highlight w:val="none"/>
              </w:rPr>
              <w:t>（必须提供，否则响应文件按无效处理）</w:t>
            </w:r>
          </w:p>
          <w:p w14:paraId="06D404EE">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ECDBFCF">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6441529">
            <w:pPr>
              <w:snapToGrid w:val="0"/>
              <w:spacing w:line="400" w:lineRule="exact"/>
              <w:jc w:val="left"/>
              <w:rPr>
                <w:rFonts w:hint="eastAsia" w:ascii="宋体" w:hAnsi="宋体" w:cs="宋体"/>
                <w:b/>
                <w:bCs/>
                <w:color w:val="auto"/>
                <w:szCs w:val="21"/>
                <w:highlight w:val="none"/>
              </w:rPr>
            </w:pPr>
            <w:r>
              <w:rPr>
                <w:rFonts w:hint="eastAsia" w:ascii="宋体" w:hAnsi="宋体" w:cs="宋体"/>
                <w:color w:val="auto"/>
                <w:szCs w:val="21"/>
                <w:highlight w:val="none"/>
              </w:rPr>
              <w:t>7.竞标声明（格式后附）；</w:t>
            </w:r>
            <w:r>
              <w:rPr>
                <w:rFonts w:hint="eastAsia" w:ascii="宋体" w:hAnsi="宋体" w:cs="宋体"/>
                <w:b/>
                <w:bCs/>
                <w:color w:val="auto"/>
                <w:szCs w:val="21"/>
                <w:highlight w:val="none"/>
              </w:rPr>
              <w:t>（必须提供，否则响应文件按无效处理）</w:t>
            </w:r>
          </w:p>
          <w:p w14:paraId="7CEC78C4">
            <w:pPr>
              <w:snapToGrid w:val="0"/>
              <w:spacing w:line="400" w:lineRule="exact"/>
              <w:jc w:val="left"/>
              <w:rPr>
                <w:rFonts w:ascii="宋体"/>
                <w:i/>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s="宋体"/>
                <w:color w:val="auto"/>
                <w:szCs w:val="21"/>
                <w:highlight w:val="none"/>
              </w:rPr>
              <w:t>除谈判文件规定必须提供以外，供应商认为需要提供的其他证明材料。</w:t>
            </w:r>
          </w:p>
          <w:p w14:paraId="16E20439">
            <w:pPr>
              <w:snapToGrid w:val="0"/>
              <w:spacing w:line="400" w:lineRule="exact"/>
              <w:jc w:val="left"/>
              <w:rPr>
                <w:rFonts w:ascii="宋体" w:cs="宋体"/>
                <w:b/>
                <w:color w:val="auto"/>
                <w:szCs w:val="21"/>
                <w:highlight w:val="none"/>
              </w:rPr>
            </w:pPr>
            <w:r>
              <w:rPr>
                <w:rFonts w:hint="eastAsia" w:ascii="宋体" w:hAnsi="宋体" w:cs="宋体"/>
                <w:b/>
                <w:color w:val="auto"/>
                <w:szCs w:val="21"/>
                <w:highlight w:val="none"/>
              </w:rPr>
              <w:t>注：</w:t>
            </w:r>
          </w:p>
          <w:p w14:paraId="77C8AC7C">
            <w:pPr>
              <w:snapToGrid w:val="0"/>
              <w:spacing w:line="400" w:lineRule="exact"/>
              <w:jc w:val="left"/>
              <w:rPr>
                <w:rFonts w:ascii="宋体" w:cs="宋体"/>
                <w:b/>
                <w:color w:val="auto"/>
                <w:szCs w:val="21"/>
                <w:highlight w:val="none"/>
              </w:rPr>
            </w:pPr>
            <w:r>
              <w:rPr>
                <w:rFonts w:hint="eastAsia" w:ascii="宋体" w:hAnsi="宋体" w:cs="宋体"/>
                <w:b/>
                <w:color w:val="auto"/>
                <w:szCs w:val="21"/>
                <w:highlight w:val="none"/>
              </w:rPr>
              <w:t>注：（1）以上标明“必须提供”的材料，必须加盖供应商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必须提供的材料在第五章“响应文件格式”中有要求法定代表人或委托代理人签字的，必须由法定代表人或委托代理人签字</w:t>
            </w:r>
            <w:r>
              <w:rPr>
                <w:rFonts w:hint="eastAsia" w:ascii="宋体" w:hAnsi="宋体"/>
                <w:b/>
                <w:bCs/>
                <w:color w:val="auto"/>
                <w:szCs w:val="21"/>
                <w:highlight w:val="none"/>
              </w:rPr>
              <w:t>（或者电子签名）；其中，竞标声明必须由法定代表人在规定签章处签字或者电子签名；</w:t>
            </w:r>
            <w:r>
              <w:rPr>
                <w:rFonts w:hint="eastAsia" w:ascii="宋体" w:hAnsi="宋体" w:cs="宋体"/>
                <w:b/>
                <w:color w:val="auto"/>
                <w:szCs w:val="21"/>
                <w:highlight w:val="none"/>
              </w:rPr>
              <w:t>否则响应文件按无效处理。（</w:t>
            </w:r>
            <w:r>
              <w:rPr>
                <w:rFonts w:hint="eastAsia" w:ascii="宋体" w:hAnsi="宋体"/>
                <w:b/>
                <w:bCs/>
                <w:color w:val="auto"/>
                <w:szCs w:val="21"/>
                <w:highlight w:val="none"/>
              </w:rPr>
              <w:t>2）分公司参加竞标的，应当取得总公司授权。</w:t>
            </w:r>
          </w:p>
        </w:tc>
      </w:tr>
      <w:tr w14:paraId="03087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D1EB73D">
            <w:pPr>
              <w:spacing w:line="400" w:lineRule="exact"/>
              <w:jc w:val="center"/>
              <w:rPr>
                <w:rFonts w:ascii="宋体" w:cs="宋体"/>
                <w:color w:val="auto"/>
                <w:szCs w:val="21"/>
                <w:highlight w:val="none"/>
              </w:rPr>
            </w:pPr>
            <w:r>
              <w:rPr>
                <w:rFonts w:ascii="宋体" w:hAnsi="宋体" w:cs="宋体"/>
                <w:color w:val="auto"/>
                <w:szCs w:val="21"/>
                <w:highlight w:val="none"/>
              </w:rPr>
              <w:t>12.1.2</w:t>
            </w:r>
          </w:p>
        </w:tc>
        <w:tc>
          <w:tcPr>
            <w:tcW w:w="7912" w:type="dxa"/>
            <w:vAlign w:val="center"/>
          </w:tcPr>
          <w:p w14:paraId="0E685EDA">
            <w:pPr>
              <w:spacing w:line="400" w:lineRule="exact"/>
              <w:rPr>
                <w:rFonts w:ascii="宋体" w:cs="宋体"/>
                <w:b/>
                <w:bCs/>
                <w:color w:val="auto"/>
                <w:szCs w:val="21"/>
                <w:highlight w:val="none"/>
              </w:rPr>
            </w:pPr>
            <w:r>
              <w:rPr>
                <w:rFonts w:hint="eastAsia" w:ascii="宋体" w:hAnsi="宋体" w:cs="宋体"/>
                <w:b/>
                <w:bCs/>
                <w:color w:val="auto"/>
                <w:szCs w:val="21"/>
                <w:highlight w:val="none"/>
              </w:rPr>
              <w:t>报价文件</w:t>
            </w:r>
          </w:p>
          <w:p w14:paraId="550B93CE">
            <w:pPr>
              <w:spacing w:line="400" w:lineRule="exact"/>
              <w:rPr>
                <w:rFonts w:ascii="宋体" w:cs="宋体"/>
                <w:b/>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竞标报价表（格式后附）；</w:t>
            </w:r>
            <w:r>
              <w:rPr>
                <w:rFonts w:hint="eastAsia" w:ascii="宋体" w:hAnsi="宋体" w:cs="宋体"/>
                <w:b/>
                <w:color w:val="auto"/>
                <w:szCs w:val="21"/>
                <w:highlight w:val="none"/>
              </w:rPr>
              <w:t>（必须提供，否则响应文件按无效处理）</w:t>
            </w:r>
          </w:p>
          <w:p w14:paraId="38323208">
            <w:pPr>
              <w:spacing w:line="400" w:lineRule="exact"/>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供应商认为需要提供的其他有关资料。</w:t>
            </w:r>
          </w:p>
          <w:p w14:paraId="78B641D5">
            <w:pPr>
              <w:spacing w:line="400" w:lineRule="exact"/>
              <w:rPr>
                <w:rFonts w:ascii="宋体" w:cs="宋体"/>
                <w:color w:val="auto"/>
                <w:szCs w:val="21"/>
                <w:highlight w:val="none"/>
              </w:rPr>
            </w:pPr>
            <w:r>
              <w:rPr>
                <w:rFonts w:hint="eastAsia" w:ascii="宋体" w:hAnsi="宋体" w:cs="宋体"/>
                <w:b/>
                <w:color w:val="auto"/>
                <w:szCs w:val="21"/>
                <w:highlight w:val="none"/>
              </w:rPr>
              <w:t>注：以上标明“必须提供”的材料，必须加盖供应商</w:t>
            </w:r>
            <w:r>
              <w:rPr>
                <w:rFonts w:hint="eastAsia"/>
                <w:b/>
                <w:color w:val="auto"/>
                <w:highlight w:val="none"/>
              </w:rPr>
              <w:t>电子签章</w:t>
            </w:r>
            <w:r>
              <w:rPr>
                <w:rFonts w:hint="eastAsia" w:ascii="宋体" w:hAnsi="宋体" w:cs="宋体"/>
                <w:b/>
                <w:color w:val="auto"/>
                <w:szCs w:val="21"/>
                <w:highlight w:val="none"/>
              </w:rPr>
              <w:t>，</w:t>
            </w:r>
            <w:r>
              <w:rPr>
                <w:rFonts w:hint="eastAsia" w:ascii="宋体" w:hAnsi="宋体" w:cs="Courier New"/>
                <w:b/>
                <w:color w:val="auto"/>
                <w:szCs w:val="21"/>
                <w:highlight w:val="none"/>
              </w:rPr>
              <w:t>必须提供的材料在第五章“响应文件格式”中有要求法定代表人或委托代理人签字的，必须由法定代表人或委托代理人签字</w:t>
            </w:r>
            <w:r>
              <w:rPr>
                <w:rFonts w:hint="eastAsia" w:ascii="宋体" w:hAnsi="宋体"/>
                <w:b/>
                <w:bCs/>
                <w:color w:val="auto"/>
                <w:szCs w:val="21"/>
                <w:highlight w:val="none"/>
              </w:rPr>
              <w:t>（或者电子签名），</w:t>
            </w:r>
            <w:r>
              <w:rPr>
                <w:rFonts w:hint="eastAsia" w:ascii="宋体" w:hAnsi="宋体" w:cs="宋体"/>
                <w:b/>
                <w:color w:val="auto"/>
                <w:szCs w:val="21"/>
                <w:highlight w:val="none"/>
              </w:rPr>
              <w:t>否则响应文件按无效处理。</w:t>
            </w:r>
          </w:p>
        </w:tc>
      </w:tr>
      <w:tr w14:paraId="13BD1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786C3CE">
            <w:pPr>
              <w:spacing w:line="400" w:lineRule="exact"/>
              <w:jc w:val="center"/>
              <w:rPr>
                <w:rFonts w:ascii="宋体" w:cs="宋体"/>
                <w:color w:val="auto"/>
                <w:szCs w:val="21"/>
                <w:highlight w:val="none"/>
              </w:rPr>
            </w:pPr>
            <w:r>
              <w:rPr>
                <w:rFonts w:ascii="宋体" w:hAnsi="宋体" w:cs="宋体"/>
                <w:color w:val="auto"/>
                <w:szCs w:val="21"/>
                <w:highlight w:val="none"/>
              </w:rPr>
              <w:t>12.1.3</w:t>
            </w:r>
          </w:p>
        </w:tc>
        <w:tc>
          <w:tcPr>
            <w:tcW w:w="7912" w:type="dxa"/>
            <w:vAlign w:val="center"/>
          </w:tcPr>
          <w:p w14:paraId="0812A316">
            <w:pPr>
              <w:spacing w:line="400" w:lineRule="exact"/>
              <w:rPr>
                <w:rFonts w:ascii="宋体" w:cs="宋体"/>
                <w:b/>
                <w:bCs/>
                <w:color w:val="auto"/>
                <w:szCs w:val="21"/>
                <w:highlight w:val="none"/>
              </w:rPr>
            </w:pPr>
            <w:r>
              <w:rPr>
                <w:rFonts w:hint="eastAsia" w:ascii="宋体" w:hAnsi="宋体" w:cs="宋体"/>
                <w:b/>
                <w:bCs/>
                <w:color w:val="auto"/>
                <w:szCs w:val="21"/>
                <w:highlight w:val="none"/>
              </w:rPr>
              <w:t>商务技术文件</w:t>
            </w:r>
          </w:p>
          <w:p w14:paraId="4E07471A">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无串通竞标行为的承诺函（格式后附）；</w:t>
            </w:r>
            <w:r>
              <w:rPr>
                <w:rFonts w:hint="eastAsia" w:ascii="宋体" w:hAnsi="宋体" w:cs="宋体"/>
                <w:b/>
                <w:color w:val="auto"/>
                <w:szCs w:val="21"/>
                <w:highlight w:val="none"/>
              </w:rPr>
              <w:t>（必须提供，否则响应文件按无效处理）</w:t>
            </w:r>
          </w:p>
          <w:p w14:paraId="083F8E8F">
            <w:pPr>
              <w:snapToGrid w:val="0"/>
              <w:spacing w:line="400" w:lineRule="exact"/>
              <w:jc w:val="left"/>
              <w:rPr>
                <w:rFonts w:ascii="宋体" w:cs="宋体"/>
                <w:b/>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法定代表人身份证明书及法定代表人有效身份证正反面复印件（格式后附）；</w:t>
            </w:r>
            <w:r>
              <w:rPr>
                <w:rFonts w:hint="eastAsia" w:ascii="宋体" w:hAnsi="宋体" w:cs="宋体"/>
                <w:b/>
                <w:color w:val="auto"/>
                <w:szCs w:val="21"/>
                <w:highlight w:val="none"/>
              </w:rPr>
              <w:t>（必须提供，否则响应文件按无效处理）</w:t>
            </w:r>
          </w:p>
          <w:p w14:paraId="094CBCD3">
            <w:pPr>
              <w:spacing w:line="400" w:lineRule="exact"/>
              <w:rPr>
                <w:rFonts w:asci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授权委托书及委托代理人有效身份证正反面复印件（格式后附）；</w:t>
            </w:r>
            <w:r>
              <w:rPr>
                <w:rFonts w:hint="eastAsia" w:ascii="宋体" w:hAnsi="宋体" w:cs="宋体"/>
                <w:b/>
                <w:color w:val="auto"/>
                <w:szCs w:val="21"/>
                <w:highlight w:val="none"/>
              </w:rPr>
              <w:t>（委托时必须提供，否则响应文件按无效处理）</w:t>
            </w:r>
          </w:p>
          <w:p w14:paraId="5FF498F5">
            <w:pPr>
              <w:spacing w:line="400" w:lineRule="exact"/>
              <w:rPr>
                <w:rFonts w:ascii="宋体" w:cs="宋体"/>
                <w:b/>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竞标保证金提交凭证；</w:t>
            </w:r>
            <w:r>
              <w:rPr>
                <w:rFonts w:hint="eastAsia" w:ascii="宋体" w:hAnsi="宋体" w:cs="宋体"/>
                <w:b/>
                <w:color w:val="auto"/>
                <w:szCs w:val="21"/>
                <w:highlight w:val="none"/>
              </w:rPr>
              <w:t>（</w:t>
            </w:r>
            <w:r>
              <w:rPr>
                <w:rFonts w:hint="eastAsia"/>
                <w:b/>
                <w:bCs/>
                <w:color w:val="auto"/>
                <w:highlight w:val="none"/>
              </w:rPr>
              <w:t>必须提供</w:t>
            </w:r>
            <w:r>
              <w:rPr>
                <w:rFonts w:hint="eastAsia" w:ascii="宋体" w:hAnsi="宋体" w:cs="宋体"/>
                <w:b/>
                <w:color w:val="auto"/>
                <w:szCs w:val="21"/>
                <w:highlight w:val="none"/>
              </w:rPr>
              <w:t>，否则响应文件按无效处理）</w:t>
            </w:r>
          </w:p>
          <w:p w14:paraId="459CD295">
            <w:pPr>
              <w:spacing w:line="400" w:lineRule="exact"/>
              <w:rPr>
                <w:rFonts w:ascii="宋体" w:cs="宋体"/>
                <w:b/>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商务要求响应承诺表（格式后附）；</w:t>
            </w:r>
            <w:r>
              <w:rPr>
                <w:rFonts w:hint="eastAsia" w:ascii="宋体" w:hAnsi="宋体" w:cs="宋体"/>
                <w:b/>
                <w:color w:val="auto"/>
                <w:szCs w:val="21"/>
                <w:highlight w:val="none"/>
              </w:rPr>
              <w:t>（必须提供，否则响应文件按无效处理）</w:t>
            </w:r>
          </w:p>
          <w:p w14:paraId="2C478754">
            <w:pPr>
              <w:spacing w:line="400" w:lineRule="exact"/>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售后服务承诺书（格式后附）；</w:t>
            </w:r>
            <w:r>
              <w:rPr>
                <w:rFonts w:hint="eastAsia" w:ascii="宋体" w:hAnsi="宋体" w:cs="宋体"/>
                <w:b/>
                <w:color w:val="auto"/>
                <w:szCs w:val="21"/>
                <w:highlight w:val="none"/>
              </w:rPr>
              <w:t>（必须提供，否则响应文件按无效处理）</w:t>
            </w:r>
          </w:p>
          <w:p w14:paraId="4F1F7C41">
            <w:pPr>
              <w:spacing w:line="400" w:lineRule="exact"/>
              <w:rPr>
                <w:rFonts w:hint="eastAsia" w:ascii="宋体" w:hAnsi="宋体" w:cs="宋体"/>
                <w:b/>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技术要求响应承诺表（格式后附）；</w:t>
            </w:r>
            <w:r>
              <w:rPr>
                <w:rFonts w:hint="eastAsia" w:ascii="宋体" w:hAnsi="宋体" w:cs="宋体"/>
                <w:b/>
                <w:color w:val="auto"/>
                <w:szCs w:val="21"/>
                <w:highlight w:val="none"/>
              </w:rPr>
              <w:t>（必须提供，否则响应文件按无效处理）</w:t>
            </w:r>
          </w:p>
          <w:p w14:paraId="05EEA22F">
            <w:pPr>
              <w:spacing w:line="400" w:lineRule="exact"/>
              <w:rPr>
                <w:rFonts w:ascii="宋体" w:cs="宋体"/>
                <w:color w:val="auto"/>
                <w:szCs w:val="21"/>
                <w:highlight w:val="none"/>
              </w:rPr>
            </w:pPr>
            <w:r>
              <w:rPr>
                <w:rFonts w:hint="eastAsia" w:ascii="宋体" w:cs="宋体"/>
                <w:color w:val="auto"/>
                <w:szCs w:val="21"/>
                <w:highlight w:val="none"/>
              </w:rPr>
              <w:t>8.</w:t>
            </w:r>
            <w:r>
              <w:rPr>
                <w:rFonts w:hint="eastAsia" w:ascii="宋体" w:hAnsi="宋体" w:cs="宋体"/>
                <w:color w:val="auto"/>
                <w:szCs w:val="21"/>
                <w:highlight w:val="none"/>
              </w:rPr>
              <w:t>货物配置清单（均不含报价）（格式后附）；</w:t>
            </w:r>
          </w:p>
          <w:p w14:paraId="2ED08D03">
            <w:pPr>
              <w:spacing w:line="400" w:lineRule="exact"/>
              <w:rPr>
                <w:rFonts w:ascii="宋体" w:cs="宋体"/>
                <w:color w:val="auto"/>
                <w:szCs w:val="21"/>
                <w:highlight w:val="none"/>
              </w:rPr>
            </w:pPr>
            <w:r>
              <w:rPr>
                <w:rFonts w:hint="eastAsia" w:ascii="宋体" w:hAnsi="宋体" w:cs="宋体"/>
                <w:color w:val="auto"/>
                <w:szCs w:val="21"/>
                <w:highlight w:val="none"/>
              </w:rPr>
              <w:t>9</w:t>
            </w:r>
            <w:r>
              <w:rPr>
                <w:rFonts w:ascii="宋体" w:hAnsi="宋体" w:cs="宋体"/>
                <w:color w:val="auto"/>
                <w:szCs w:val="21"/>
                <w:highlight w:val="none"/>
              </w:rPr>
              <w:t>.</w:t>
            </w:r>
            <w:r>
              <w:rPr>
                <w:rFonts w:hint="eastAsia" w:ascii="宋体" w:hAnsi="宋体" w:cs="宋体"/>
                <w:color w:val="auto"/>
                <w:szCs w:val="21"/>
                <w:highlight w:val="none"/>
              </w:rPr>
              <w:t>对应采购需求的技术要求、商务要求提供的其他文件资料（格式自拟）；</w:t>
            </w:r>
          </w:p>
          <w:p w14:paraId="11BE7ED0">
            <w:pPr>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0</w:t>
            </w:r>
            <w:r>
              <w:rPr>
                <w:rFonts w:ascii="宋体" w:hAnsi="宋体" w:cs="宋体"/>
                <w:color w:val="auto"/>
                <w:szCs w:val="21"/>
                <w:highlight w:val="none"/>
              </w:rPr>
              <w:t>.</w:t>
            </w:r>
            <w:r>
              <w:rPr>
                <w:rFonts w:hint="eastAsia" w:ascii="宋体" w:hAnsi="宋体" w:cs="宋体"/>
                <w:color w:val="auto"/>
                <w:szCs w:val="21"/>
                <w:highlight w:val="none"/>
              </w:rPr>
              <w:t>供应商认为需要提供的其他有关资料。</w:t>
            </w:r>
          </w:p>
          <w:p w14:paraId="5413B96B">
            <w:pPr>
              <w:snapToGrid w:val="0"/>
              <w:spacing w:line="400" w:lineRule="exact"/>
              <w:jc w:val="left"/>
              <w:rPr>
                <w:rFonts w:ascii="宋体" w:cs="宋体"/>
                <w:b/>
                <w:color w:val="auto"/>
                <w:szCs w:val="21"/>
                <w:highlight w:val="none"/>
              </w:rPr>
            </w:pPr>
            <w:r>
              <w:rPr>
                <w:rFonts w:hint="eastAsia" w:ascii="宋体" w:hAnsi="宋体" w:cs="宋体"/>
                <w:b/>
                <w:color w:val="auto"/>
                <w:szCs w:val="21"/>
                <w:highlight w:val="none"/>
              </w:rPr>
              <w:t>注：以上标明“必须提供”的材料，必须加盖供应商电子签章，必须提供的材料在第五章“响应文件格式”中有要求法定代表人或委托代理人签字的，必须由法定代表人或委托代理人签字（或者电子签名）；其中，授权委托书必须由法定代表人签字（或盖章或电子签名）及由授权委托人签字（或电子签名）；否则响应文件按无效处理。</w:t>
            </w:r>
          </w:p>
        </w:tc>
      </w:tr>
      <w:tr w14:paraId="4CE9E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96005FC">
            <w:pPr>
              <w:spacing w:line="400" w:lineRule="exact"/>
              <w:jc w:val="center"/>
              <w:rPr>
                <w:rFonts w:ascii="宋体" w:cs="宋体"/>
                <w:color w:val="auto"/>
                <w:szCs w:val="21"/>
                <w:highlight w:val="none"/>
              </w:rPr>
            </w:pPr>
            <w:r>
              <w:rPr>
                <w:rFonts w:ascii="宋体" w:hAnsi="宋体" w:cs="宋体"/>
                <w:color w:val="auto"/>
                <w:szCs w:val="21"/>
                <w:highlight w:val="none"/>
              </w:rPr>
              <w:t>15.2</w:t>
            </w:r>
          </w:p>
        </w:tc>
        <w:tc>
          <w:tcPr>
            <w:tcW w:w="7912" w:type="dxa"/>
            <w:vAlign w:val="center"/>
          </w:tcPr>
          <w:p w14:paraId="53D27BF2">
            <w:pPr>
              <w:snapToGrid w:val="0"/>
              <w:spacing w:line="400" w:lineRule="exact"/>
              <w:jc w:val="left"/>
              <w:rPr>
                <w:rFonts w:ascii="宋体" w:cs="宋体"/>
                <w:color w:val="auto"/>
                <w:szCs w:val="21"/>
                <w:highlight w:val="none"/>
              </w:rPr>
            </w:pPr>
            <w:r>
              <w:rPr>
                <w:rFonts w:hint="eastAsia" w:ascii="宋体" w:hAnsi="宋体" w:cs="宋体"/>
                <w:color w:val="auto"/>
                <w:szCs w:val="21"/>
                <w:highlight w:val="none"/>
              </w:rPr>
              <w:t>竞标报价包括</w:t>
            </w:r>
            <w:r>
              <w:rPr>
                <w:rFonts w:hint="eastAsia" w:ascii="宋体" w:hAnsi="宋体"/>
                <w:color w:val="auto"/>
                <w:highlight w:val="none"/>
              </w:rPr>
              <w:t>本次采购范围内标的的价款、备品备件、运输、安装、调试、现场改造、检验测试、验收、培训、售后服务、人工、垃圾清运、保险、税金、利润、参加竞标等全部费用的总和，乙方已综合考虑在合同合计金额中。在合同实施时，采购人将不予支付成交供应商没有列入的项目费用，并认为此项目的费用已包括在其中。</w:t>
            </w:r>
          </w:p>
        </w:tc>
      </w:tr>
      <w:tr w14:paraId="2F2288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92" w:type="dxa"/>
            <w:vAlign w:val="center"/>
          </w:tcPr>
          <w:p w14:paraId="44322DD0">
            <w:pPr>
              <w:spacing w:line="400" w:lineRule="exact"/>
              <w:jc w:val="center"/>
              <w:rPr>
                <w:rFonts w:ascii="宋体" w:cs="宋体"/>
                <w:color w:val="auto"/>
                <w:szCs w:val="21"/>
                <w:highlight w:val="none"/>
              </w:rPr>
            </w:pPr>
            <w:r>
              <w:rPr>
                <w:rFonts w:ascii="宋体" w:hAnsi="宋体" w:cs="宋体"/>
                <w:color w:val="auto"/>
                <w:szCs w:val="21"/>
                <w:highlight w:val="none"/>
              </w:rPr>
              <w:t>16.2</w:t>
            </w:r>
          </w:p>
        </w:tc>
        <w:tc>
          <w:tcPr>
            <w:tcW w:w="7912" w:type="dxa"/>
            <w:vAlign w:val="center"/>
          </w:tcPr>
          <w:p w14:paraId="5414703C">
            <w:pPr>
              <w:spacing w:line="400" w:lineRule="exact"/>
              <w:jc w:val="left"/>
              <w:rPr>
                <w:rFonts w:ascii="宋体" w:cs="宋体"/>
                <w:color w:val="auto"/>
                <w:szCs w:val="21"/>
                <w:highlight w:val="none"/>
              </w:rPr>
            </w:pPr>
            <w:r>
              <w:rPr>
                <w:rFonts w:hint="eastAsia" w:ascii="宋体" w:hAnsi="宋体" w:cs="宋体"/>
                <w:color w:val="auto"/>
                <w:szCs w:val="21"/>
                <w:highlight w:val="none"/>
              </w:rPr>
              <w:t>竞标有效期：自首次响应文件提交截止之日起</w:t>
            </w:r>
            <w:r>
              <w:rPr>
                <w:rFonts w:ascii="宋体" w:hAnsi="宋体" w:cs="宋体"/>
                <w:color w:val="auto"/>
                <w:szCs w:val="21"/>
                <w:highlight w:val="none"/>
              </w:rPr>
              <w:t>90</w:t>
            </w:r>
            <w:r>
              <w:rPr>
                <w:rFonts w:hint="eastAsia" w:ascii="宋体" w:hAnsi="宋体" w:cs="宋体"/>
                <w:color w:val="auto"/>
                <w:szCs w:val="21"/>
                <w:highlight w:val="none"/>
              </w:rPr>
              <w:t>日。</w:t>
            </w:r>
          </w:p>
        </w:tc>
      </w:tr>
      <w:tr w14:paraId="3C73A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AD428B9">
            <w:pPr>
              <w:spacing w:line="400" w:lineRule="exact"/>
              <w:jc w:val="center"/>
              <w:rPr>
                <w:rFonts w:ascii="宋体" w:cs="宋体"/>
                <w:color w:val="auto"/>
                <w:szCs w:val="21"/>
                <w:highlight w:val="none"/>
              </w:rPr>
            </w:pPr>
            <w:r>
              <w:rPr>
                <w:rFonts w:ascii="宋体" w:hAnsi="宋体" w:cs="宋体"/>
                <w:color w:val="auto"/>
                <w:szCs w:val="21"/>
                <w:highlight w:val="none"/>
              </w:rPr>
              <w:t>17.1</w:t>
            </w:r>
          </w:p>
        </w:tc>
        <w:tc>
          <w:tcPr>
            <w:tcW w:w="7912" w:type="dxa"/>
            <w:vAlign w:val="center"/>
          </w:tcPr>
          <w:p w14:paraId="182B1BDF">
            <w:pPr>
              <w:snapToGrid w:val="0"/>
              <w:spacing w:line="400" w:lineRule="exact"/>
              <w:rPr>
                <w:rFonts w:ascii="宋体"/>
                <w:color w:val="auto"/>
                <w:szCs w:val="21"/>
                <w:highlight w:val="none"/>
              </w:rPr>
            </w:pPr>
            <w:r>
              <w:rPr>
                <w:rFonts w:hint="eastAsia" w:ascii="宋体" w:hAnsi="宋体"/>
                <w:color w:val="auto"/>
                <w:szCs w:val="21"/>
                <w:highlight w:val="none"/>
              </w:rPr>
              <w:t>□本项目不收取竞标保证金。</w:t>
            </w:r>
          </w:p>
          <w:p w14:paraId="48D90B9C">
            <w:pPr>
              <w:snapToGrid w:val="0"/>
              <w:spacing w:line="400" w:lineRule="exact"/>
              <w:rPr>
                <w:rFonts w:ascii="宋体"/>
                <w:color w:val="auto"/>
                <w:szCs w:val="21"/>
                <w:highlight w:val="none"/>
              </w:rPr>
            </w:pPr>
            <w:r>
              <w:rPr>
                <w:b/>
                <w:color w:val="auto"/>
                <w:highlight w:val="none"/>
              </w:rPr>
              <w:fldChar w:fldCharType="begin"/>
            </w:r>
            <w:r>
              <w:rPr>
                <w:b/>
                <w:color w:val="auto"/>
                <w:highlight w:val="none"/>
              </w:rPr>
              <w:instrText xml:space="preserve"> eq \o\ac(</w:instrText>
            </w:r>
            <w:r>
              <w:rPr>
                <w:rFonts w:hint="eastAsia"/>
                <w:b/>
                <w:color w:val="auto"/>
                <w:highlight w:val="none"/>
              </w:rPr>
              <w:instrText xml:space="preserve">□</w:instrText>
            </w:r>
            <w:r>
              <w:rPr>
                <w:b/>
                <w:color w:val="auto"/>
                <w:highlight w:val="none"/>
              </w:rPr>
              <w:instrText xml:space="preserve">,</w:instrText>
            </w:r>
            <w:r>
              <w:rPr>
                <w:rFonts w:hint="eastAsia" w:ascii="宋体"/>
                <w:b/>
                <w:color w:val="auto"/>
                <w:position w:val="1"/>
                <w:sz w:val="14"/>
                <w:highlight w:val="none"/>
              </w:rPr>
              <w:instrText xml:space="preserve">√</w:instrText>
            </w:r>
            <w:r>
              <w:rPr>
                <w:b/>
                <w:color w:val="auto"/>
                <w:highlight w:val="none"/>
              </w:rPr>
              <w:instrText xml:space="preserve">)</w:instrText>
            </w:r>
            <w:r>
              <w:rPr>
                <w:b/>
                <w:color w:val="auto"/>
                <w:highlight w:val="none"/>
              </w:rPr>
              <w:fldChar w:fldCharType="end"/>
            </w:r>
            <w:r>
              <w:rPr>
                <w:rFonts w:hint="eastAsia" w:ascii="宋体" w:hAnsi="宋体"/>
                <w:color w:val="auto"/>
                <w:szCs w:val="21"/>
                <w:highlight w:val="none"/>
              </w:rPr>
              <w:t>本项目收取竞标保证金，具体规定如下：</w:t>
            </w:r>
          </w:p>
          <w:p w14:paraId="499F3218">
            <w:pPr>
              <w:snapToGrid w:val="0"/>
              <w:spacing w:line="40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竞标保证金人民币</w:t>
            </w:r>
            <w:r>
              <w:rPr>
                <w:rFonts w:hint="eastAsia" w:ascii="宋体" w:hAnsi="宋体" w:cs="宋体"/>
                <w:color w:val="auto"/>
                <w:kern w:val="0"/>
                <w:szCs w:val="21"/>
                <w:highlight w:val="none"/>
              </w:rPr>
              <w:t>贰万</w:t>
            </w:r>
            <w:r>
              <w:rPr>
                <w:rFonts w:hint="eastAsia" w:ascii="宋体" w:hAnsi="宋体" w:cs="宋体"/>
                <w:color w:val="auto"/>
                <w:kern w:val="0"/>
                <w:szCs w:val="21"/>
                <w:highlight w:val="none"/>
                <w:lang w:eastAsia="zh-CN"/>
              </w:rPr>
              <w:t>贰</w:t>
            </w:r>
            <w:r>
              <w:rPr>
                <w:rFonts w:hint="eastAsia" w:ascii="宋体" w:hAnsi="宋体" w:cs="宋体"/>
                <w:color w:val="auto"/>
                <w:kern w:val="0"/>
                <w:szCs w:val="21"/>
                <w:highlight w:val="none"/>
              </w:rPr>
              <w:t>仟元整（¥2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000.00）</w:t>
            </w:r>
            <w:r>
              <w:rPr>
                <w:rFonts w:hint="eastAsia" w:ascii="宋体" w:hAnsi="宋体" w:cs="宋体"/>
                <w:color w:val="auto"/>
                <w:kern w:val="0"/>
                <w:szCs w:val="21"/>
                <w:highlight w:val="none"/>
              </w:rPr>
              <w:t>。</w:t>
            </w:r>
          </w:p>
          <w:p w14:paraId="7B519510">
            <w:pPr>
              <w:snapToGrid w:val="0"/>
              <w:spacing w:line="400" w:lineRule="exact"/>
              <w:rPr>
                <w:rFonts w:asci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竞标保证金的交纳方式：银行转账、支票、汇票、本票或者金融、担保机构出具的保函（包含电子保函），禁止采用现钞方式。采用银行转账方式的，在响应文件提交截止时间前交至指定账户并且到账</w:t>
            </w:r>
            <w:r>
              <w:rPr>
                <w:rFonts w:hint="eastAsia" w:ascii="宋体" w:hAnsi="宋体" w:cs="宋体"/>
                <w:b/>
                <w:color w:val="auto"/>
                <w:kern w:val="0"/>
                <w:szCs w:val="21"/>
                <w:highlight w:val="none"/>
              </w:rPr>
              <w:t>（开户名称：云之龙咨询集团有限公司桂林分公司；开户银行：中信银行股份有限公司南宁东葛支行；银行账号：8113001013100074449）</w:t>
            </w:r>
            <w:r>
              <w:rPr>
                <w:rFonts w:hint="eastAsia" w:ascii="宋体" w:hAnsi="宋体" w:cs="宋体"/>
                <w:b/>
                <w:bCs/>
                <w:color w:val="auto"/>
                <w:kern w:val="0"/>
                <w:szCs w:val="21"/>
                <w:highlight w:val="none"/>
              </w:rPr>
              <w:t>；</w:t>
            </w:r>
            <w:r>
              <w:rPr>
                <w:rFonts w:hint="eastAsia" w:ascii="宋体" w:hAnsi="宋体" w:cs="宋体"/>
                <w:color w:val="auto"/>
                <w:kern w:val="0"/>
                <w:szCs w:val="21"/>
                <w:highlight w:val="none"/>
              </w:rPr>
              <w:t>采用支票、汇票、本票或者保函（包含电子保函）等方式的，在响应文件提交截止时间前，供应商必须提交单独密封的支票、汇票、本票或者保函原件。否则视为无效竞标保证金。</w:t>
            </w:r>
          </w:p>
          <w:p w14:paraId="03D0788F">
            <w:pPr>
              <w:snapToGrid w:val="0"/>
              <w:spacing w:line="400" w:lineRule="exact"/>
              <w:rPr>
                <w:rFonts w:ascii="宋体" w:cs="宋体"/>
                <w:color w:val="auto"/>
                <w:szCs w:val="21"/>
                <w:highlight w:val="none"/>
              </w:rPr>
            </w:pPr>
            <w:r>
              <w:rPr>
                <w:rFonts w:hint="eastAsia" w:ascii="宋体" w:hAnsi="宋体" w:cs="宋体"/>
                <w:color w:val="auto"/>
                <w:szCs w:val="21"/>
                <w:highlight w:val="none"/>
              </w:rPr>
              <w:t>相关要求：</w:t>
            </w:r>
          </w:p>
          <w:p w14:paraId="6FADAF3B">
            <w:pPr>
              <w:snapToGrid w:val="0"/>
              <w:spacing w:line="400" w:lineRule="exac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p w14:paraId="75286DDB">
            <w:pPr>
              <w:snapToGrid w:val="0"/>
              <w:spacing w:line="400" w:lineRule="exact"/>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竞标保证金采用支票、汇票、本票或者</w:t>
            </w:r>
            <w:r>
              <w:rPr>
                <w:rFonts w:hint="eastAsia" w:ascii="宋体" w:hAnsi="宋体" w:cs="宋体"/>
                <w:color w:val="auto"/>
                <w:kern w:val="0"/>
                <w:szCs w:val="21"/>
                <w:highlight w:val="none"/>
              </w:rPr>
              <w:t>金融、担保</w:t>
            </w:r>
            <w:r>
              <w:rPr>
                <w:rFonts w:hint="eastAsia" w:ascii="宋体" w:hAnsi="宋体"/>
                <w:color w:val="auto"/>
                <w:szCs w:val="21"/>
                <w:highlight w:val="none"/>
              </w:rPr>
              <w:t>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交纳方式的，供应商应将支票、汇票、本票或者</w:t>
            </w:r>
            <w:r>
              <w:rPr>
                <w:rFonts w:hint="eastAsia" w:ascii="宋体" w:hAnsi="宋体" w:cs="宋体"/>
                <w:color w:val="auto"/>
                <w:kern w:val="0"/>
                <w:szCs w:val="21"/>
                <w:highlight w:val="none"/>
              </w:rPr>
              <w:t>金融、担保</w:t>
            </w:r>
            <w:r>
              <w:rPr>
                <w:rFonts w:hint="eastAsia" w:ascii="宋体" w:hAnsi="宋体"/>
                <w:color w:val="auto"/>
                <w:szCs w:val="21"/>
                <w:highlight w:val="none"/>
              </w:rPr>
              <w:t>机构出具的保函</w:t>
            </w:r>
            <w:r>
              <w:rPr>
                <w:rFonts w:hint="eastAsia" w:ascii="宋体" w:hAnsi="宋体" w:cs="宋体"/>
                <w:color w:val="auto"/>
                <w:kern w:val="0"/>
                <w:szCs w:val="21"/>
                <w:highlight w:val="none"/>
              </w:rPr>
              <w:t>（包含电子保函）</w:t>
            </w:r>
            <w:r>
              <w:rPr>
                <w:rFonts w:hint="eastAsia" w:ascii="宋体" w:hAnsi="宋体"/>
                <w:color w:val="auto"/>
                <w:szCs w:val="21"/>
                <w:highlight w:val="none"/>
              </w:rPr>
              <w:t>的复印件作为竞标保证金提交凭证，放置于</w:t>
            </w:r>
            <w:r>
              <w:rPr>
                <w:rFonts w:hint="eastAsia" w:ascii="宋体" w:hAnsi="宋体" w:cs="宋体"/>
                <w:color w:val="auto"/>
                <w:szCs w:val="21"/>
                <w:highlight w:val="none"/>
              </w:rPr>
              <w:t>商务技术文件</w:t>
            </w:r>
            <w:r>
              <w:rPr>
                <w:rFonts w:hint="eastAsia" w:ascii="宋体" w:hAnsi="宋体"/>
                <w:color w:val="auto"/>
                <w:szCs w:val="21"/>
                <w:highlight w:val="none"/>
              </w:rPr>
              <w:t>中，</w:t>
            </w:r>
            <w:r>
              <w:rPr>
                <w:rFonts w:hint="eastAsia" w:ascii="宋体" w:hAnsi="宋体" w:cs="宋体"/>
                <w:b/>
                <w:color w:val="auto"/>
                <w:szCs w:val="21"/>
                <w:highlight w:val="none"/>
              </w:rPr>
              <w:t>否则响应文件按无效处理</w:t>
            </w:r>
            <w:r>
              <w:rPr>
                <w:rFonts w:hint="eastAsia" w:ascii="宋体" w:hAnsi="宋体"/>
                <w:color w:val="auto"/>
                <w:szCs w:val="21"/>
                <w:highlight w:val="none"/>
              </w:rPr>
              <w:t>。供应商必须</w:t>
            </w:r>
            <w:r>
              <w:rPr>
                <w:rFonts w:hint="eastAsia"/>
                <w:color w:val="auto"/>
                <w:highlight w:val="none"/>
              </w:rPr>
              <w:t>在响应文件提交截止时间前采用现场或邮寄方式【现场提交地址：云之龙咨询集团有限公司开标大厅（广西桂林市临桂区西城北路2号耀辉•美好家园2幢12层1号房）；邮寄地址：云之龙咨询集团有限公司（广西桂林市临桂区西城北路2号耀辉•美好家园2幢12层1号房），收件人：吕雯，联系方式：0773-2887388、2887399】</w:t>
            </w:r>
            <w:r>
              <w:rPr>
                <w:rFonts w:hint="eastAsia" w:ascii="宋体" w:hAnsi="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olor w:val="auto"/>
                <w:szCs w:val="21"/>
                <w:highlight w:val="none"/>
              </w:rPr>
              <w:t>支票、汇票、本票或者</w:t>
            </w:r>
            <w:r>
              <w:rPr>
                <w:rFonts w:hint="eastAsia" w:ascii="宋体" w:hAnsi="宋体" w:cs="宋体"/>
                <w:color w:val="auto"/>
                <w:kern w:val="0"/>
                <w:szCs w:val="21"/>
                <w:highlight w:val="none"/>
              </w:rPr>
              <w:t>金融、担保机构</w:t>
            </w:r>
            <w:r>
              <w:rPr>
                <w:rFonts w:hint="eastAsia" w:ascii="宋体" w:hAnsi="宋体"/>
                <w:color w:val="auto"/>
                <w:szCs w:val="21"/>
                <w:highlight w:val="none"/>
              </w:rPr>
              <w:t>出具的保函原件提交给采购人或者采购代理机构，由采购人或者采购代理机构向供应商出具回执（邮寄方式的除外），并妥善保管。</w:t>
            </w:r>
          </w:p>
          <w:p w14:paraId="2B0B5B7A">
            <w:pPr>
              <w:snapToGrid w:val="0"/>
              <w:spacing w:line="400" w:lineRule="exact"/>
              <w:rPr>
                <w:rFonts w:ascii="宋体" w:cs="宋体"/>
                <w:b/>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供应商为联合体的，可以由联合体中的一方或者多方共同交纳谈判保证金，其交纳的保证金对联合体各方均具有约束力。</w:t>
            </w:r>
          </w:p>
          <w:p w14:paraId="6DC126F7">
            <w:pPr>
              <w:snapToGrid w:val="0"/>
              <w:spacing w:line="400" w:lineRule="exact"/>
              <w:rPr>
                <w:rFonts w:ascii="宋体" w:cs="宋体"/>
                <w:b/>
                <w:color w:val="auto"/>
                <w:szCs w:val="21"/>
                <w:highlight w:val="none"/>
              </w:rPr>
            </w:pPr>
            <w:r>
              <w:rPr>
                <w:rFonts w:hint="eastAsia" w:ascii="宋体" w:hAnsi="宋体" w:cs="宋体"/>
                <w:b/>
                <w:color w:val="auto"/>
                <w:szCs w:val="21"/>
                <w:highlight w:val="none"/>
              </w:rPr>
              <w:t>备注：</w:t>
            </w:r>
          </w:p>
          <w:p w14:paraId="2600D528">
            <w:pPr>
              <w:snapToGrid w:val="0"/>
              <w:spacing w:line="400" w:lineRule="exact"/>
              <w:rPr>
                <w:rFonts w:asci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竞标保证金在响应文件提交截止时间后提交的，或者不按规定交纳方式交纳的，或者未足额交纳的（包含保函、电子保函额度不足的），视为无效竞标保证金。</w:t>
            </w:r>
          </w:p>
          <w:p w14:paraId="08FE2A17">
            <w:pPr>
              <w:snapToGrid w:val="0"/>
              <w:spacing w:line="400" w:lineRule="exact"/>
              <w:rPr>
                <w:rFonts w:ascii="宋体" w:cs="宋体"/>
                <w:b/>
                <w:color w:val="auto"/>
                <w:szCs w:val="21"/>
                <w:highlight w:val="none"/>
              </w:rPr>
            </w:pPr>
            <w:r>
              <w:rPr>
                <w:rFonts w:ascii="宋体" w:hAnsi="宋体" w:cs="宋体"/>
                <w:b/>
                <w:color w:val="auto"/>
                <w:szCs w:val="21"/>
                <w:highlight w:val="none"/>
              </w:rPr>
              <w:t>2.</w:t>
            </w:r>
            <w:r>
              <w:rPr>
                <w:rFonts w:hint="eastAsia" w:ascii="宋体" w:hAnsi="宋体" w:cs="宋体"/>
                <w:b/>
                <w:color w:val="auto"/>
                <w:szCs w:val="21"/>
                <w:highlight w:val="none"/>
              </w:rPr>
              <w:t>供应商采用现钞方式或者从个人账户（自然人竞标除外）转出的竞标保证金，视为无效竞标保证金。</w:t>
            </w:r>
          </w:p>
          <w:p w14:paraId="19A15D92">
            <w:pPr>
              <w:snapToGrid w:val="0"/>
              <w:spacing w:line="400" w:lineRule="exact"/>
              <w:rPr>
                <w:rFonts w:ascii="宋体" w:cs="宋体"/>
                <w:b/>
                <w:color w:val="auto"/>
                <w:szCs w:val="21"/>
                <w:highlight w:val="none"/>
              </w:rPr>
            </w:pPr>
            <w:r>
              <w:rPr>
                <w:rFonts w:ascii="宋体" w:hAnsi="宋体" w:cs="宋体"/>
                <w:b/>
                <w:color w:val="auto"/>
                <w:szCs w:val="21"/>
                <w:highlight w:val="none"/>
              </w:rPr>
              <w:t>3.</w:t>
            </w:r>
            <w:r>
              <w:rPr>
                <w:rFonts w:hint="eastAsia" w:ascii="宋体" w:hAnsi="宋体" w:cs="宋体"/>
                <w:b/>
                <w:color w:val="auto"/>
                <w:szCs w:val="21"/>
                <w:highlight w:val="none"/>
              </w:rPr>
              <w:t>支票、汇票或者本票出现无效或者背书情形的，视为无效竞标保证金。</w:t>
            </w:r>
          </w:p>
          <w:p w14:paraId="5E8F59C4">
            <w:pPr>
              <w:snapToGrid w:val="0"/>
              <w:spacing w:line="400" w:lineRule="exact"/>
              <w:rPr>
                <w:rFonts w:ascii="宋体" w:cs="宋体"/>
                <w:b/>
                <w:color w:val="auto"/>
                <w:szCs w:val="21"/>
                <w:highlight w:val="none"/>
              </w:rPr>
            </w:pPr>
            <w:r>
              <w:rPr>
                <w:rFonts w:ascii="宋体" w:hAnsi="宋体" w:cs="宋体"/>
                <w:b/>
                <w:color w:val="auto"/>
                <w:szCs w:val="21"/>
                <w:highlight w:val="none"/>
              </w:rPr>
              <w:t>4.</w:t>
            </w:r>
            <w:r>
              <w:rPr>
                <w:rFonts w:hint="eastAsia" w:ascii="宋体" w:hAnsi="宋体" w:cs="宋体"/>
                <w:b/>
                <w:color w:val="auto"/>
                <w:szCs w:val="21"/>
                <w:highlight w:val="none"/>
              </w:rPr>
              <w:t>保函（包含电子保函）有效期低于竞标有效期的，视为无效竞标保证金。</w:t>
            </w:r>
          </w:p>
        </w:tc>
      </w:tr>
      <w:tr w14:paraId="0915B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992" w:type="dxa"/>
            <w:vAlign w:val="center"/>
          </w:tcPr>
          <w:p w14:paraId="3C2ABEFB">
            <w:pPr>
              <w:spacing w:line="400" w:lineRule="exact"/>
              <w:jc w:val="center"/>
              <w:rPr>
                <w:rFonts w:ascii="宋体" w:cs="宋体"/>
                <w:color w:val="auto"/>
                <w:szCs w:val="21"/>
                <w:highlight w:val="none"/>
              </w:rPr>
            </w:pPr>
            <w:r>
              <w:rPr>
                <w:rFonts w:ascii="宋体" w:hAnsi="宋体" w:cs="宋体"/>
                <w:color w:val="auto"/>
                <w:szCs w:val="21"/>
                <w:highlight w:val="none"/>
              </w:rPr>
              <w:t>19</w:t>
            </w:r>
          </w:p>
        </w:tc>
        <w:tc>
          <w:tcPr>
            <w:tcW w:w="7912" w:type="dxa"/>
            <w:vAlign w:val="center"/>
          </w:tcPr>
          <w:p w14:paraId="4EED850A">
            <w:pPr>
              <w:spacing w:line="400" w:lineRule="exact"/>
              <w:jc w:val="left"/>
              <w:rPr>
                <w:rFonts w:ascii="宋体" w:cs="宋体"/>
                <w:color w:val="auto"/>
                <w:szCs w:val="21"/>
                <w:highlight w:val="none"/>
              </w:rPr>
            </w:pPr>
            <w:r>
              <w:rPr>
                <w:rFonts w:hint="eastAsia" w:ascii="宋体" w:hAnsi="宋体" w:cs="宋体"/>
                <w:color w:val="auto"/>
                <w:szCs w:val="21"/>
                <w:highlight w:val="none"/>
              </w:rPr>
              <w:t>本项目不接受电子备份响应文件。</w:t>
            </w:r>
          </w:p>
        </w:tc>
      </w:tr>
      <w:tr w14:paraId="19DB12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08166E3">
            <w:pPr>
              <w:spacing w:line="400" w:lineRule="exact"/>
              <w:jc w:val="center"/>
              <w:rPr>
                <w:rFonts w:ascii="宋体" w:cs="宋体"/>
                <w:color w:val="auto"/>
                <w:szCs w:val="21"/>
                <w:highlight w:val="none"/>
              </w:rPr>
            </w:pPr>
            <w:r>
              <w:rPr>
                <w:rFonts w:ascii="宋体" w:hAnsi="宋体" w:cs="宋体"/>
                <w:color w:val="auto"/>
                <w:szCs w:val="21"/>
                <w:highlight w:val="none"/>
              </w:rPr>
              <w:t>20.1</w:t>
            </w:r>
          </w:p>
        </w:tc>
        <w:tc>
          <w:tcPr>
            <w:tcW w:w="7912" w:type="dxa"/>
            <w:vAlign w:val="center"/>
          </w:tcPr>
          <w:p w14:paraId="1F54E26A">
            <w:pPr>
              <w:spacing w:line="400" w:lineRule="exact"/>
              <w:jc w:val="left"/>
              <w:rPr>
                <w:rFonts w:ascii="宋体" w:cs="宋体"/>
                <w:color w:val="auto"/>
                <w:szCs w:val="21"/>
                <w:highlight w:val="none"/>
              </w:rPr>
            </w:pPr>
            <w:r>
              <w:rPr>
                <w:rFonts w:hint="eastAsia" w:ascii="宋体" w:hAnsi="宋体" w:cs="宋体"/>
                <w:color w:val="auto"/>
                <w:szCs w:val="21"/>
                <w:highlight w:val="none"/>
              </w:rPr>
              <w:t>响应文件提交截止时间：详见竞争性谈判公告。</w:t>
            </w:r>
          </w:p>
          <w:p w14:paraId="167ECF15">
            <w:pPr>
              <w:spacing w:line="400" w:lineRule="exact"/>
              <w:jc w:val="left"/>
              <w:rPr>
                <w:rFonts w:asci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52CD8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92" w:type="dxa"/>
            <w:vAlign w:val="center"/>
          </w:tcPr>
          <w:p w14:paraId="04636E5D">
            <w:pPr>
              <w:spacing w:line="400" w:lineRule="exact"/>
              <w:jc w:val="center"/>
              <w:rPr>
                <w:rFonts w:ascii="宋体" w:cs="宋体"/>
                <w:color w:val="auto"/>
                <w:szCs w:val="21"/>
                <w:highlight w:val="none"/>
              </w:rPr>
            </w:pPr>
            <w:r>
              <w:rPr>
                <w:rFonts w:ascii="宋体" w:hAnsi="宋体" w:cs="宋体"/>
                <w:color w:val="auto"/>
                <w:szCs w:val="21"/>
                <w:highlight w:val="none"/>
              </w:rPr>
              <w:t>24.1</w:t>
            </w:r>
          </w:p>
        </w:tc>
        <w:tc>
          <w:tcPr>
            <w:tcW w:w="7912" w:type="dxa"/>
            <w:vAlign w:val="center"/>
          </w:tcPr>
          <w:p w14:paraId="758D8FAB">
            <w:pPr>
              <w:spacing w:line="400" w:lineRule="exact"/>
              <w:jc w:val="left"/>
              <w:rPr>
                <w:rFonts w:ascii="宋体" w:cs="宋体"/>
                <w:color w:val="auto"/>
                <w:szCs w:val="21"/>
                <w:highlight w:val="none"/>
              </w:rPr>
            </w:pPr>
            <w:r>
              <w:rPr>
                <w:rFonts w:hint="eastAsia" w:ascii="宋体" w:hAnsi="宋体" w:cs="宋体"/>
                <w:color w:val="auto"/>
                <w:szCs w:val="21"/>
                <w:highlight w:val="none"/>
              </w:rPr>
              <w:t>谈判小组的人数：</w:t>
            </w:r>
            <w:r>
              <w:rPr>
                <w:rFonts w:ascii="宋体" w:hAnsi="宋体" w:cs="宋体"/>
                <w:color w:val="auto"/>
                <w:szCs w:val="21"/>
                <w:highlight w:val="none"/>
              </w:rPr>
              <w:t>3</w:t>
            </w:r>
            <w:r>
              <w:rPr>
                <w:rFonts w:hint="eastAsia" w:ascii="宋体" w:hAnsi="宋体" w:cs="宋体"/>
                <w:color w:val="auto"/>
                <w:szCs w:val="21"/>
                <w:highlight w:val="none"/>
              </w:rPr>
              <w:t>人。</w:t>
            </w:r>
          </w:p>
        </w:tc>
      </w:tr>
      <w:tr w14:paraId="3001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0F067A0">
            <w:pPr>
              <w:spacing w:line="400" w:lineRule="exact"/>
              <w:jc w:val="center"/>
              <w:rPr>
                <w:rFonts w:ascii="宋体" w:cs="宋体"/>
                <w:color w:val="auto"/>
                <w:szCs w:val="21"/>
                <w:highlight w:val="none"/>
              </w:rPr>
            </w:pPr>
            <w:r>
              <w:rPr>
                <w:rFonts w:ascii="宋体" w:hAnsi="宋体" w:cs="宋体"/>
                <w:color w:val="auto"/>
                <w:szCs w:val="21"/>
                <w:highlight w:val="none"/>
              </w:rPr>
              <w:t>25</w:t>
            </w:r>
          </w:p>
        </w:tc>
        <w:tc>
          <w:tcPr>
            <w:tcW w:w="7912" w:type="dxa"/>
            <w:vAlign w:val="center"/>
          </w:tcPr>
          <w:p w14:paraId="11C437B3">
            <w:pPr>
              <w:spacing w:line="400" w:lineRule="exact"/>
              <w:jc w:val="left"/>
              <w:rPr>
                <w:rFonts w:ascii="宋体" w:cs="宋体"/>
                <w:color w:val="auto"/>
                <w:szCs w:val="21"/>
                <w:highlight w:val="none"/>
              </w:rPr>
            </w:pPr>
            <w:r>
              <w:rPr>
                <w:rFonts w:hint="eastAsia" w:ascii="宋体" w:hAnsi="宋体" w:cs="宋体"/>
                <w:color w:val="auto"/>
                <w:szCs w:val="21"/>
                <w:highlight w:val="none"/>
              </w:rPr>
              <w:t>首次响应文件开启时间详见“竞争性谈判公告”</w:t>
            </w:r>
          </w:p>
          <w:p w14:paraId="2F9987F3">
            <w:pPr>
              <w:spacing w:line="400" w:lineRule="exact"/>
              <w:jc w:val="left"/>
              <w:rPr>
                <w:rFonts w:ascii="宋体" w:cs="宋体"/>
                <w:color w:val="auto"/>
                <w:szCs w:val="21"/>
                <w:highlight w:val="none"/>
              </w:rPr>
            </w:pPr>
            <w:r>
              <w:rPr>
                <w:rFonts w:hint="eastAsia" w:ascii="宋体" w:hAnsi="宋体" w:cs="宋体"/>
                <w:color w:val="auto"/>
                <w:szCs w:val="21"/>
                <w:highlight w:val="none"/>
              </w:rPr>
              <w:t>首次响应文件解密时间：</w:t>
            </w:r>
            <w:r>
              <w:rPr>
                <w:rFonts w:ascii="宋体" w:hAnsi="宋体" w:cs="宋体"/>
                <w:color w:val="auto"/>
                <w:szCs w:val="21"/>
                <w:highlight w:val="none"/>
              </w:rPr>
              <w:t>30</w:t>
            </w:r>
            <w:r>
              <w:rPr>
                <w:rFonts w:hint="eastAsia" w:ascii="宋体" w:hAnsi="宋体" w:cs="宋体"/>
                <w:color w:val="auto"/>
                <w:szCs w:val="21"/>
                <w:highlight w:val="none"/>
              </w:rPr>
              <w:t>分钟</w:t>
            </w:r>
          </w:p>
        </w:tc>
      </w:tr>
      <w:tr w14:paraId="78070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tcBorders>
              <w:bottom w:val="single" w:color="auto" w:sz="4" w:space="0"/>
            </w:tcBorders>
            <w:vAlign w:val="center"/>
          </w:tcPr>
          <w:p w14:paraId="39DE0AC2">
            <w:pPr>
              <w:spacing w:line="400" w:lineRule="exact"/>
              <w:jc w:val="center"/>
              <w:rPr>
                <w:rFonts w:ascii="宋体" w:cs="宋体"/>
                <w:color w:val="auto"/>
                <w:szCs w:val="21"/>
                <w:highlight w:val="none"/>
              </w:rPr>
            </w:pPr>
            <w:r>
              <w:rPr>
                <w:rFonts w:ascii="宋体" w:hAnsi="宋体" w:cs="宋体"/>
                <w:color w:val="auto"/>
                <w:szCs w:val="21"/>
                <w:highlight w:val="none"/>
              </w:rPr>
              <w:t>26.1</w:t>
            </w:r>
          </w:p>
        </w:tc>
        <w:tc>
          <w:tcPr>
            <w:tcW w:w="7912" w:type="dxa"/>
            <w:vAlign w:val="center"/>
          </w:tcPr>
          <w:p w14:paraId="164F7C8F">
            <w:pPr>
              <w:spacing w:line="400" w:lineRule="exact"/>
              <w:contextualSpacing/>
              <w:rPr>
                <w:rFonts w:asci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026A49C0">
            <w:pPr>
              <w:spacing w:line="400" w:lineRule="exact"/>
              <w:contextualSpacing/>
              <w:rPr>
                <w:rFonts w:ascii="宋体" w:cs="宋体"/>
                <w:color w:val="auto"/>
                <w:szCs w:val="21"/>
                <w:highlight w:val="none"/>
              </w:rPr>
            </w:pPr>
            <w:r>
              <w:rPr>
                <w:color w:val="auto"/>
                <w:highlight w:val="none"/>
              </w:rPr>
              <w:fldChar w:fldCharType="begin"/>
            </w:r>
            <w:r>
              <w:rPr>
                <w:color w:val="auto"/>
                <w:highlight w:val="none"/>
              </w:rPr>
              <w:instrText xml:space="preserve"> eq \o\ac(</w:instrText>
            </w:r>
            <w:r>
              <w:rPr>
                <w:rFonts w:hint="eastAsia"/>
                <w:color w:val="auto"/>
                <w:highlight w:val="none"/>
              </w:rPr>
              <w:instrText xml:space="preserve">□,</w:instrText>
            </w:r>
            <w:r>
              <w:rPr>
                <w:rFonts w:hint="eastAsia"/>
                <w:color w:val="auto"/>
                <w:position w:val="2"/>
                <w:sz w:val="13"/>
                <w:highlight w:val="none"/>
              </w:rPr>
              <w:instrText xml:space="preserve">√</w:instrText>
            </w:r>
            <w:r>
              <w:rPr>
                <w:color w:val="auto"/>
                <w:highlight w:val="none"/>
              </w:rPr>
              <w:instrText xml:space="preserve">)</w:instrText>
            </w:r>
            <w:r>
              <w:rPr>
                <w:color w:val="auto"/>
                <w:highlight w:val="none"/>
              </w:rPr>
              <w:fldChar w:fldCharType="end"/>
            </w:r>
            <w:r>
              <w:rPr>
                <w:rFonts w:hint="eastAsia" w:ascii="宋体" w:hAnsi="宋体" w:cs="宋体"/>
                <w:color w:val="auto"/>
                <w:szCs w:val="21"/>
                <w:highlight w:val="none"/>
              </w:rPr>
              <w:t>实质性要求正偏离项数多的优先、</w:t>
            </w:r>
            <w:r>
              <w:rPr>
                <w:rFonts w:hint="eastAsia" w:asciiTheme="majorEastAsia" w:hAnsiTheme="majorEastAsia" w:eastAsiaTheme="majorEastAsia" w:cstheme="majorEastAsia"/>
                <w:color w:val="auto"/>
                <w:szCs w:val="21"/>
                <w:highlight w:val="none"/>
              </w:rPr>
              <w:t>保修期</w:t>
            </w:r>
            <w:r>
              <w:rPr>
                <w:rFonts w:hint="eastAsia" w:ascii="宋体" w:hAnsi="宋体" w:cs="宋体"/>
                <w:color w:val="auto"/>
                <w:szCs w:val="21"/>
                <w:highlight w:val="none"/>
              </w:rPr>
              <w:t>长优先、交付时间短优先、</w:t>
            </w:r>
            <w:r>
              <w:rPr>
                <w:color w:val="auto"/>
                <w:highlight w:val="none"/>
              </w:rPr>
              <w:t>故障响应时间短</w:t>
            </w:r>
            <w:r>
              <w:rPr>
                <w:rFonts w:hint="eastAsia" w:ascii="宋体" w:hAnsi="宋体" w:cs="宋体"/>
                <w:color w:val="auto"/>
                <w:szCs w:val="21"/>
                <w:highlight w:val="none"/>
              </w:rPr>
              <w:t>优先的顺序推荐。</w:t>
            </w:r>
          </w:p>
          <w:p w14:paraId="429C0F62">
            <w:pPr>
              <w:snapToGrid w:val="0"/>
              <w:spacing w:line="400" w:lineRule="exact"/>
              <w:rPr>
                <w:rFonts w:ascii="宋体" w:cs="宋体"/>
                <w:color w:val="auto"/>
                <w:szCs w:val="21"/>
                <w:highlight w:val="none"/>
              </w:rPr>
            </w:pPr>
            <w:r>
              <w:rPr>
                <w:rFonts w:hint="eastAsia" w:ascii="宋体" w:hAnsi="宋体" w:cs="宋体"/>
                <w:color w:val="auto"/>
                <w:szCs w:val="21"/>
                <w:highlight w:val="none"/>
              </w:rPr>
              <w:t>□由谈判小组推荐代表随机抽取。</w:t>
            </w:r>
          </w:p>
        </w:tc>
      </w:tr>
      <w:tr w14:paraId="42295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Borders>
              <w:top w:val="single" w:color="auto" w:sz="4" w:space="0"/>
            </w:tcBorders>
            <w:vAlign w:val="center"/>
          </w:tcPr>
          <w:p w14:paraId="4142CA61">
            <w:pPr>
              <w:spacing w:line="400" w:lineRule="exact"/>
              <w:jc w:val="center"/>
              <w:rPr>
                <w:rFonts w:ascii="宋体" w:cs="宋体"/>
                <w:color w:val="auto"/>
                <w:szCs w:val="21"/>
                <w:highlight w:val="none"/>
              </w:rPr>
            </w:pPr>
            <w:r>
              <w:rPr>
                <w:rFonts w:ascii="宋体" w:hAnsi="宋体" w:cs="宋体"/>
                <w:color w:val="auto"/>
                <w:szCs w:val="21"/>
                <w:highlight w:val="none"/>
              </w:rPr>
              <w:t>26.2</w:t>
            </w:r>
          </w:p>
        </w:tc>
        <w:tc>
          <w:tcPr>
            <w:tcW w:w="7912" w:type="dxa"/>
            <w:vAlign w:val="center"/>
          </w:tcPr>
          <w:p w14:paraId="3A5AB98A">
            <w:pPr>
              <w:snapToGrid w:val="0"/>
              <w:spacing w:line="400" w:lineRule="exact"/>
              <w:rPr>
                <w:rFonts w:ascii="宋体" w:cs="宋体"/>
                <w:color w:val="auto"/>
                <w:szCs w:val="21"/>
                <w:highlight w:val="none"/>
              </w:rPr>
            </w:pPr>
            <w:r>
              <w:rPr>
                <w:rFonts w:hint="eastAsia" w:ascii="宋体" w:hAnsi="宋体" w:cs="宋体"/>
                <w:color w:val="auto"/>
                <w:szCs w:val="21"/>
                <w:highlight w:val="none"/>
              </w:rPr>
              <w:t>商务要求评审中允许负偏离的条款数为</w:t>
            </w:r>
            <w:r>
              <w:rPr>
                <w:rFonts w:ascii="宋体" w:cs="宋体"/>
                <w:color w:val="auto"/>
                <w:szCs w:val="21"/>
                <w:highlight w:val="none"/>
                <w:u w:val="single"/>
              </w:rPr>
              <w:t>0</w:t>
            </w:r>
            <w:r>
              <w:rPr>
                <w:rFonts w:hint="eastAsia" w:ascii="宋体" w:hAnsi="宋体" w:cs="宋体"/>
                <w:color w:val="auto"/>
                <w:szCs w:val="21"/>
                <w:highlight w:val="none"/>
              </w:rPr>
              <w:t>项。</w:t>
            </w:r>
          </w:p>
          <w:p w14:paraId="458CB5DB">
            <w:pPr>
              <w:snapToGrid w:val="0"/>
              <w:spacing w:line="400" w:lineRule="exact"/>
              <w:rPr>
                <w:rFonts w:ascii="宋体" w:cs="宋体"/>
                <w:color w:val="auto"/>
                <w:szCs w:val="21"/>
                <w:highlight w:val="none"/>
              </w:rPr>
            </w:pPr>
            <w:r>
              <w:rPr>
                <w:rFonts w:hint="eastAsia" w:ascii="宋体" w:hAnsi="宋体" w:cs="宋体"/>
                <w:color w:val="auto"/>
                <w:szCs w:val="21"/>
                <w:highlight w:val="none"/>
              </w:rPr>
              <w:t>技术要求评审中允许负偏离的条款数为</w:t>
            </w:r>
            <w:r>
              <w:rPr>
                <w:rFonts w:ascii="宋体" w:cs="宋体"/>
                <w:color w:val="auto"/>
                <w:szCs w:val="21"/>
                <w:highlight w:val="none"/>
                <w:u w:val="single"/>
              </w:rPr>
              <w:t>0</w:t>
            </w:r>
            <w:r>
              <w:rPr>
                <w:rFonts w:hint="eastAsia" w:ascii="宋体" w:hAnsi="宋体" w:cs="宋体"/>
                <w:color w:val="auto"/>
                <w:szCs w:val="21"/>
                <w:highlight w:val="none"/>
              </w:rPr>
              <w:t>项。</w:t>
            </w:r>
          </w:p>
        </w:tc>
      </w:tr>
      <w:tr w14:paraId="383BA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77E75C4">
            <w:pPr>
              <w:spacing w:line="400" w:lineRule="exact"/>
              <w:jc w:val="center"/>
              <w:rPr>
                <w:rFonts w:ascii="宋体" w:cs="宋体"/>
                <w:color w:val="auto"/>
                <w:szCs w:val="21"/>
                <w:highlight w:val="none"/>
              </w:rPr>
            </w:pPr>
            <w:r>
              <w:rPr>
                <w:rFonts w:ascii="宋体" w:hAnsi="宋体" w:cs="宋体"/>
                <w:color w:val="auto"/>
                <w:szCs w:val="21"/>
                <w:highlight w:val="none"/>
              </w:rPr>
              <w:t>28.1</w:t>
            </w:r>
          </w:p>
        </w:tc>
        <w:tc>
          <w:tcPr>
            <w:tcW w:w="7912" w:type="dxa"/>
            <w:vAlign w:val="center"/>
          </w:tcPr>
          <w:p w14:paraId="5978B133">
            <w:pPr>
              <w:snapToGrid w:val="0"/>
              <w:spacing w:line="400" w:lineRule="exact"/>
              <w:rPr>
                <w:rFonts w:ascii="宋体"/>
                <w:color w:val="auto"/>
                <w:szCs w:val="21"/>
                <w:highlight w:val="none"/>
              </w:rPr>
            </w:pPr>
            <w:r>
              <w:rPr>
                <w:rFonts w:hint="eastAsia" w:ascii="宋体" w:hAnsi="宋体"/>
                <w:color w:val="auto"/>
                <w:szCs w:val="21"/>
                <w:highlight w:val="none"/>
              </w:rPr>
              <w:t>□本项目不收取履约保证金。</w:t>
            </w:r>
          </w:p>
          <w:p w14:paraId="0632D8EF">
            <w:pPr>
              <w:snapToGrid w:val="0"/>
              <w:spacing w:line="400" w:lineRule="exact"/>
              <w:rPr>
                <w:rFonts w:hint="eastAsia" w:asciiTheme="minorEastAsia" w:hAnsiTheme="minorEastAsia" w:eastAsiaTheme="minorEastAsia"/>
                <w:color w:val="auto"/>
                <w:szCs w:val="21"/>
                <w:highlight w:val="none"/>
              </w:rPr>
            </w:pPr>
            <w:r>
              <w:rPr>
                <w:rFonts w:asciiTheme="minorEastAsia" w:hAnsiTheme="minorEastAsia" w:eastAsiaTheme="minorEastAsia"/>
                <w:b/>
                <w:color w:val="auto"/>
                <w:highlight w:val="none"/>
              </w:rPr>
              <w:fldChar w:fldCharType="begin"/>
            </w:r>
            <w:r>
              <w:rPr>
                <w:rFonts w:asciiTheme="minorEastAsia" w:hAnsiTheme="minorEastAsia" w:eastAsiaTheme="minorEastAsia"/>
                <w:b/>
                <w:color w:val="auto"/>
                <w:highlight w:val="none"/>
              </w:rPr>
              <w:instrText xml:space="preserve"> eq \o\ac(</w:instrText>
            </w:r>
            <w:r>
              <w:rPr>
                <w:rFonts w:hint="eastAsia" w:asciiTheme="minorEastAsia" w:hAnsiTheme="minorEastAsia" w:eastAsiaTheme="minorEastAsia"/>
                <w:b/>
                <w:color w:val="auto"/>
                <w:highlight w:val="none"/>
              </w:rPr>
              <w:instrText xml:space="preserve">□</w:instrText>
            </w:r>
            <w:r>
              <w:rPr>
                <w:rFonts w:asciiTheme="minorEastAsia" w:hAnsiTheme="minorEastAsia" w:eastAsiaTheme="minorEastAsia"/>
                <w:b/>
                <w:color w:val="auto"/>
                <w:highlight w:val="none"/>
              </w:rPr>
              <w:instrText xml:space="preserve">,</w:instrText>
            </w:r>
            <w:r>
              <w:rPr>
                <w:rFonts w:hint="eastAsia" w:asciiTheme="minorEastAsia" w:hAnsiTheme="minorEastAsia" w:eastAsiaTheme="minorEastAsia"/>
                <w:b/>
                <w:color w:val="auto"/>
                <w:position w:val="1"/>
                <w:sz w:val="14"/>
                <w:highlight w:val="none"/>
              </w:rPr>
              <w:instrText xml:space="preserve">√</w:instrText>
            </w:r>
            <w:r>
              <w:rPr>
                <w:rFonts w:asciiTheme="minorEastAsia" w:hAnsiTheme="minorEastAsia" w:eastAsiaTheme="minorEastAsia"/>
                <w:b/>
                <w:color w:val="auto"/>
                <w:highlight w:val="none"/>
              </w:rPr>
              <w:instrText xml:space="preserve">)</w:instrText>
            </w:r>
            <w:r>
              <w:rPr>
                <w:rFonts w:asciiTheme="minorEastAsia" w:hAnsiTheme="minorEastAsia" w:eastAsiaTheme="minorEastAsia"/>
                <w:b/>
                <w:color w:val="auto"/>
                <w:highlight w:val="none"/>
              </w:rPr>
              <w:fldChar w:fldCharType="end"/>
            </w:r>
            <w:r>
              <w:rPr>
                <w:rFonts w:hint="eastAsia" w:asciiTheme="minorEastAsia" w:hAnsiTheme="minorEastAsia" w:eastAsiaTheme="minorEastAsia"/>
                <w:color w:val="auto"/>
                <w:szCs w:val="21"/>
                <w:highlight w:val="none"/>
              </w:rPr>
              <w:t>本项目收取履约保证金，具体规定如下：</w:t>
            </w:r>
          </w:p>
          <w:p w14:paraId="67B8EF69">
            <w:pPr>
              <w:snapToGrid w:val="0"/>
              <w:spacing w:line="400" w:lineRule="exact"/>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履约保证金金额：履约保证金按成交金额的</w:t>
            </w:r>
            <w:r>
              <w:rPr>
                <w:rFonts w:asciiTheme="minorEastAsia" w:hAnsiTheme="minorEastAsia" w:eastAsiaTheme="minorEastAsia"/>
                <w:color w:val="auto"/>
                <w:szCs w:val="21"/>
                <w:highlight w:val="none"/>
                <w:u w:val="single"/>
              </w:rPr>
              <w:t>5</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，如成交供应商为中小企业的，履约保证金按成交金额的</w:t>
            </w:r>
            <w:r>
              <w:rPr>
                <w:rFonts w:asciiTheme="minorEastAsia" w:hAnsiTheme="minorEastAsia" w:eastAsiaTheme="minorEastAsia"/>
                <w:color w:val="auto"/>
                <w:szCs w:val="21"/>
                <w:highlight w:val="none"/>
                <w:u w:val="single"/>
              </w:rPr>
              <w:t>2</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w:t>
            </w:r>
          </w:p>
          <w:p w14:paraId="3CC57DE4">
            <w:pPr>
              <w:snapToGrid w:val="0"/>
              <w:spacing w:line="400" w:lineRule="exact"/>
              <w:rPr>
                <w:color w:val="auto"/>
                <w:szCs w:val="21"/>
                <w:highlight w:val="none"/>
              </w:rPr>
            </w:pPr>
            <w:r>
              <w:rPr>
                <w:rFonts w:hint="eastAsia" w:asciiTheme="minorEastAsia" w:hAnsiTheme="minorEastAsia" w:eastAsiaTheme="minorEastAsia"/>
                <w:color w:val="auto"/>
                <w:szCs w:val="21"/>
                <w:highlight w:val="none"/>
              </w:rPr>
              <w:t>履约保证金递交方式及时限：供应商必须在成交通知书发出之日起25日内且必须在签订合同前以银行转账、支票、汇票、本票或者金融、担保机构出具的保函（包含电子保函）等非现金方式向采购人交纳履约保证金，否则，不予签订合同。</w:t>
            </w:r>
          </w:p>
          <w:p w14:paraId="7F7B5922">
            <w:pPr>
              <w:snapToGrid w:val="0"/>
              <w:spacing w:line="400" w:lineRule="exact"/>
              <w:rPr>
                <w:color w:val="auto"/>
                <w:szCs w:val="21"/>
                <w:highlight w:val="none"/>
              </w:rPr>
            </w:pPr>
            <w:r>
              <w:rPr>
                <w:rFonts w:hint="eastAsia" w:hAnsi="宋体"/>
                <w:color w:val="auto"/>
                <w:szCs w:val="21"/>
                <w:highlight w:val="none"/>
              </w:rPr>
              <w:t>履约保证金退付方式、时间及条件：</w:t>
            </w:r>
          </w:p>
          <w:p w14:paraId="3A176E3B">
            <w:pPr>
              <w:snapToGrid w:val="0"/>
              <w:spacing w:line="400" w:lineRule="exact"/>
              <w:rPr>
                <w:rFonts w:hint="eastAsia" w:asciiTheme="minorEastAsia" w:hAnsiTheme="minorEastAsia" w:eastAsiaTheme="minorEastAsia"/>
                <w:color w:val="auto"/>
                <w:szCs w:val="21"/>
                <w:highlight w:val="none"/>
              </w:rPr>
            </w:pPr>
            <w:r>
              <w:rPr>
                <w:rFonts w:hint="eastAsia" w:hAnsi="宋体"/>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）履约保证金</w:t>
            </w:r>
            <w:r>
              <w:rPr>
                <w:rFonts w:hint="eastAsia" w:asciiTheme="minorEastAsia" w:hAnsiTheme="minorEastAsia" w:eastAsiaTheme="minorEastAsia"/>
                <w:b/>
                <w:bCs/>
                <w:color w:val="auto"/>
                <w:szCs w:val="21"/>
                <w:highlight w:val="none"/>
              </w:rPr>
              <w:t>在成交供应商按合同约定履行合同后</w:t>
            </w:r>
            <w:r>
              <w:rPr>
                <w:rFonts w:hint="eastAsia" w:asciiTheme="minorEastAsia" w:hAnsiTheme="minorEastAsia" w:eastAsiaTheme="minorEastAsia"/>
                <w:color w:val="auto"/>
                <w:szCs w:val="21"/>
                <w:highlight w:val="none"/>
              </w:rPr>
              <w:t>，由成交供应商凭《广西壮族自治区政府采购项目合同验收书》（详见附表1）向采购人申请办理履约保证金退还手续，采购人在收到合格材料后5个工作日内以银行转账方式如数退还（不计利息）。</w:t>
            </w:r>
          </w:p>
          <w:p w14:paraId="2FEC9118">
            <w:pPr>
              <w:snapToGrid w:val="0"/>
              <w:spacing w:line="400" w:lineRule="exact"/>
              <w:rPr>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）在履约保证金</w:t>
            </w:r>
            <w:r>
              <w:rPr>
                <w:rFonts w:hint="eastAsia" w:hAnsi="宋体"/>
                <w:color w:val="auto"/>
                <w:szCs w:val="21"/>
                <w:highlight w:val="none"/>
              </w:rPr>
              <w:t>退还日期前，若成交供应商的开户名称、开户银行、账号有变动的，请以书面形式通知履约保证金收取单位，否则由此产生的后果由成交供应商自负。</w:t>
            </w:r>
          </w:p>
          <w:p w14:paraId="21872062">
            <w:pPr>
              <w:snapToGrid w:val="0"/>
              <w:spacing w:line="400" w:lineRule="exact"/>
              <w:rPr>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）成</w:t>
            </w:r>
            <w:r>
              <w:rPr>
                <w:rFonts w:hint="eastAsia" w:hAnsi="宋体"/>
                <w:color w:val="auto"/>
                <w:szCs w:val="21"/>
                <w:highlight w:val="none"/>
              </w:rPr>
              <w:t>交供应商在签订合同后存在违约情形的，履约保证金不予退还。履约保证金不足以赔偿损失的，按实际损失赔偿。</w:t>
            </w:r>
          </w:p>
          <w:p w14:paraId="57F22133">
            <w:pPr>
              <w:snapToGrid w:val="0"/>
              <w:spacing w:line="400" w:lineRule="exact"/>
              <w:rPr>
                <w:color w:val="auto"/>
                <w:szCs w:val="21"/>
                <w:highlight w:val="none"/>
              </w:rPr>
            </w:pPr>
            <w:r>
              <w:rPr>
                <w:rFonts w:hint="eastAsia" w:hAnsi="宋体"/>
                <w:color w:val="auto"/>
                <w:szCs w:val="21"/>
                <w:highlight w:val="none"/>
              </w:rPr>
              <w:t>履约保证金指定账户：</w:t>
            </w:r>
          </w:p>
          <w:p w14:paraId="7EF073F2">
            <w:pPr>
              <w:snapToGri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开户名称：桂林医科大学</w:t>
            </w:r>
          </w:p>
          <w:p w14:paraId="699D039F">
            <w:pPr>
              <w:snapToGri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开户银行：中国建设银行股份有限公司桂林致和路支行</w:t>
            </w:r>
          </w:p>
          <w:p w14:paraId="47A0DC94">
            <w:pPr>
              <w:snapToGrid w:val="0"/>
              <w:spacing w:line="400" w:lineRule="exact"/>
              <w:rPr>
                <w:rFonts w:hint="eastAsia" w:asciiTheme="majorEastAsia" w:hAnsiTheme="majorEastAsia" w:eastAsiaTheme="majorEastAsia"/>
                <w:color w:val="auto"/>
                <w:szCs w:val="21"/>
                <w:highlight w:val="none"/>
              </w:rPr>
            </w:pPr>
            <w:r>
              <w:rPr>
                <w:rFonts w:hint="eastAsia" w:asciiTheme="majorEastAsia" w:hAnsiTheme="majorEastAsia" w:eastAsiaTheme="majorEastAsia"/>
                <w:color w:val="auto"/>
                <w:szCs w:val="21"/>
                <w:highlight w:val="none"/>
              </w:rPr>
              <w:t>账号：4500 1635 4130 5050 0589</w:t>
            </w:r>
          </w:p>
          <w:p w14:paraId="013AF03D">
            <w:pPr>
              <w:spacing w:line="400" w:lineRule="exact"/>
              <w:jc w:val="left"/>
              <w:rPr>
                <w:rFonts w:hint="eastAsia" w:hAnsi="宋体"/>
                <w:color w:val="auto"/>
                <w:szCs w:val="21"/>
                <w:highlight w:val="none"/>
              </w:rPr>
            </w:pPr>
            <w:r>
              <w:rPr>
                <w:rFonts w:hint="eastAsia" w:hAnsi="宋体"/>
                <w:b/>
                <w:bCs/>
                <w:color w:val="auto"/>
                <w:szCs w:val="21"/>
                <w:highlight w:val="none"/>
              </w:rPr>
              <w:t>备注</w:t>
            </w:r>
            <w:r>
              <w:rPr>
                <w:rFonts w:hint="eastAsia" w:hAnsi="宋体"/>
                <w:color w:val="auto"/>
                <w:szCs w:val="21"/>
                <w:highlight w:val="none"/>
              </w:rPr>
              <w:t>：</w:t>
            </w:r>
          </w:p>
          <w:p w14:paraId="4D1EF8CD">
            <w:pPr>
              <w:snapToGrid w:val="0"/>
              <w:spacing w:line="400" w:lineRule="exact"/>
              <w:rPr>
                <w:rFonts w:ascii="宋体" w:cs="宋体"/>
                <w:color w:val="auto"/>
                <w:szCs w:val="21"/>
                <w:highlight w:val="none"/>
              </w:rPr>
            </w:pPr>
            <w:r>
              <w:rPr>
                <w:rFonts w:hint="eastAsia" w:hAnsi="宋体"/>
                <w:b/>
                <w:color w:val="auto"/>
                <w:szCs w:val="21"/>
                <w:highlight w:val="none"/>
              </w:rPr>
              <w:t>履约保证金不足额缴纳的（包含保函、电子保函额度不足的），或者不按规定提交方式提交的，或者保函（包含电子保函）有效期低于合同履行期限（即合同中规定的当事人履行自己的义务，如交付标的物、价款或者报酬，履行劳务、完成工作的时间界限）的，不予签订合同。</w:t>
            </w:r>
          </w:p>
        </w:tc>
      </w:tr>
      <w:tr w14:paraId="09D8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2FC07F7">
            <w:pPr>
              <w:spacing w:line="400" w:lineRule="exact"/>
              <w:jc w:val="center"/>
              <w:rPr>
                <w:rFonts w:ascii="宋体" w:cs="宋体"/>
                <w:color w:val="auto"/>
                <w:szCs w:val="21"/>
                <w:highlight w:val="none"/>
              </w:rPr>
            </w:pPr>
            <w:r>
              <w:rPr>
                <w:rFonts w:ascii="宋体" w:hAnsi="宋体" w:cs="宋体"/>
                <w:color w:val="auto"/>
                <w:szCs w:val="21"/>
                <w:highlight w:val="none"/>
              </w:rPr>
              <w:t>29.1</w:t>
            </w:r>
          </w:p>
        </w:tc>
        <w:tc>
          <w:tcPr>
            <w:tcW w:w="7912" w:type="dxa"/>
            <w:vAlign w:val="center"/>
          </w:tcPr>
          <w:p w14:paraId="79CA7DD9">
            <w:pPr>
              <w:snapToGrid w:val="0"/>
              <w:spacing w:line="400" w:lineRule="exact"/>
              <w:rPr>
                <w:rFonts w:ascii="宋体"/>
                <w:color w:val="auto"/>
                <w:szCs w:val="21"/>
                <w:highlight w:val="none"/>
              </w:rPr>
            </w:pPr>
            <w:r>
              <w:rPr>
                <w:rFonts w:hint="eastAsia" w:ascii="宋体" w:hAnsi="宋体"/>
                <w:color w:val="auto"/>
                <w:szCs w:val="21"/>
                <w:highlight w:val="none"/>
              </w:rPr>
              <w:t>签订合同携带的证明材料：</w:t>
            </w:r>
          </w:p>
          <w:p w14:paraId="684AD5FB">
            <w:pPr>
              <w:snapToGrid w:val="0"/>
              <w:spacing w:line="400" w:lineRule="exact"/>
              <w:rPr>
                <w:rFonts w:asci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19FFEA9C">
            <w:pPr>
              <w:snapToGrid w:val="0"/>
              <w:spacing w:line="400" w:lineRule="exact"/>
              <w:rPr>
                <w:rFonts w:ascii="宋体" w:cs="宋体"/>
                <w:color w:val="auto"/>
                <w:szCs w:val="21"/>
                <w:highlight w:val="none"/>
              </w:rPr>
            </w:pPr>
            <w:r>
              <w:rPr>
                <w:rFonts w:hint="eastAsia" w:ascii="宋体" w:hAnsi="宋体"/>
                <w:color w:val="auto"/>
                <w:szCs w:val="21"/>
                <w:highlight w:val="none"/>
              </w:rPr>
              <w:t>法定代表人负责签订合同的，须携带法定代表人身份证明原件及身份证原件等其他证明材料。</w:t>
            </w:r>
          </w:p>
        </w:tc>
      </w:tr>
      <w:tr w14:paraId="548C2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E22C78">
            <w:pPr>
              <w:spacing w:line="400" w:lineRule="exact"/>
              <w:jc w:val="center"/>
              <w:rPr>
                <w:rFonts w:ascii="宋体" w:cs="宋体"/>
                <w:color w:val="auto"/>
                <w:szCs w:val="21"/>
                <w:highlight w:val="none"/>
              </w:rPr>
            </w:pPr>
            <w:r>
              <w:rPr>
                <w:rFonts w:ascii="宋体" w:hAnsi="宋体" w:cs="宋体"/>
                <w:color w:val="auto"/>
                <w:szCs w:val="21"/>
                <w:highlight w:val="none"/>
              </w:rPr>
              <w:t>31.2</w:t>
            </w:r>
          </w:p>
        </w:tc>
        <w:tc>
          <w:tcPr>
            <w:tcW w:w="7912" w:type="dxa"/>
            <w:vAlign w:val="center"/>
          </w:tcPr>
          <w:p w14:paraId="3FD0D601">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6E0E9948">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质疑联系部门及联系方式：云之龙咨询集团有限公司桂林分公司，联系电话：吕雯，通讯地址：云之龙咨询集团有限公司（广西桂林市临桂区西城北路2号耀辉•美好家园2幢12层1号房）</w:t>
            </w:r>
          </w:p>
          <w:p w14:paraId="4F002B5B">
            <w:pPr>
              <w:snapToGrid w:val="0"/>
              <w:spacing w:line="400" w:lineRule="exact"/>
              <w:rPr>
                <w:rFonts w:hint="eastAsia" w:hAnsi="宋体" w:cs="宋体"/>
                <w:color w:val="auto"/>
                <w:highlight w:val="none"/>
              </w:rPr>
            </w:pPr>
            <w:r>
              <w:rPr>
                <w:rFonts w:hint="eastAsia" w:ascii="宋体" w:hAnsi="宋体"/>
                <w:color w:val="auto"/>
                <w:szCs w:val="21"/>
                <w:highlight w:val="none"/>
              </w:rPr>
              <w:t>业务时间：上午</w:t>
            </w:r>
            <w:r>
              <w:rPr>
                <w:rFonts w:hint="eastAsia" w:ascii="宋体" w:hAnsi="宋体"/>
                <w:color w:val="auto"/>
                <w:szCs w:val="21"/>
                <w:highlight w:val="none"/>
                <w:lang w:val="en-US" w:eastAsia="zh-CN"/>
              </w:rPr>
              <w:t>8</w:t>
            </w:r>
            <w:r>
              <w:rPr>
                <w:rFonts w:hint="eastAsia" w:ascii="宋体" w:hAnsi="宋体"/>
                <w:color w:val="auto"/>
                <w:szCs w:val="21"/>
                <w:highlight w:val="none"/>
              </w:rPr>
              <w:t>时00分到12时00分，下午</w:t>
            </w:r>
            <w:r>
              <w:rPr>
                <w:rFonts w:hint="eastAsia" w:ascii="宋体" w:hAnsi="宋体"/>
                <w:color w:val="auto"/>
                <w:szCs w:val="21"/>
                <w:highlight w:val="none"/>
                <w:lang w:val="en-US" w:eastAsia="zh-CN"/>
              </w:rPr>
              <w:t>3</w:t>
            </w:r>
            <w:r>
              <w:rPr>
                <w:rFonts w:hint="eastAsia" w:ascii="宋体" w:hAnsi="宋体"/>
                <w:color w:val="auto"/>
                <w:szCs w:val="21"/>
                <w:highlight w:val="none"/>
              </w:rPr>
              <w:t>时00分到5时00分，双休日和法定节假日不办理业务。</w:t>
            </w:r>
          </w:p>
        </w:tc>
      </w:tr>
      <w:tr w14:paraId="2D6B9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C644D4">
            <w:pPr>
              <w:spacing w:line="400" w:lineRule="exact"/>
              <w:jc w:val="center"/>
              <w:rPr>
                <w:rFonts w:ascii="宋体" w:cs="宋体"/>
                <w:color w:val="auto"/>
                <w:szCs w:val="21"/>
                <w:highlight w:val="none"/>
              </w:rPr>
            </w:pPr>
            <w:r>
              <w:rPr>
                <w:rFonts w:ascii="宋体" w:hAnsi="宋体" w:cs="宋体"/>
                <w:color w:val="auto"/>
                <w:szCs w:val="21"/>
                <w:highlight w:val="none"/>
              </w:rPr>
              <w:t>32.1</w:t>
            </w:r>
          </w:p>
        </w:tc>
        <w:tc>
          <w:tcPr>
            <w:tcW w:w="7912" w:type="dxa"/>
            <w:vAlign w:val="center"/>
          </w:tcPr>
          <w:p w14:paraId="144B4E10">
            <w:pPr>
              <w:pStyle w:val="15"/>
              <w:snapToGrid w:val="0"/>
              <w:spacing w:line="400" w:lineRule="exact"/>
              <w:rPr>
                <w:rFonts w:hint="eastAsia" w:hAnsi="宋体"/>
                <w:color w:val="auto"/>
                <w:sz w:val="21"/>
                <w:highlight w:val="none"/>
              </w:rPr>
            </w:pPr>
            <w:r>
              <w:rPr>
                <w:rFonts w:hAnsi="宋体"/>
                <w:color w:val="auto"/>
                <w:sz w:val="21"/>
                <w:highlight w:val="none"/>
              </w:rPr>
              <w:t>1.</w:t>
            </w:r>
            <w:r>
              <w:rPr>
                <w:rFonts w:hint="eastAsia" w:hAnsi="宋体"/>
                <w:color w:val="auto"/>
                <w:sz w:val="21"/>
                <w:highlight w:val="none"/>
              </w:rPr>
              <w:t>采购代理服务费支付方式：</w:t>
            </w:r>
          </w:p>
          <w:p w14:paraId="27FE7582">
            <w:pPr>
              <w:pStyle w:val="15"/>
              <w:snapToGrid w:val="0"/>
              <w:spacing w:line="400" w:lineRule="exact"/>
              <w:rPr>
                <w:rFonts w:hint="eastAsia" w:hAnsi="宋体"/>
                <w:color w:val="auto"/>
                <w:sz w:val="21"/>
                <w:highlight w:val="none"/>
              </w:rPr>
            </w:pPr>
            <w:r>
              <w:rPr>
                <w:color w:val="auto"/>
                <w:highlight w:val="none"/>
              </w:rPr>
              <w:fldChar w:fldCharType="begin"/>
            </w:r>
            <w:r>
              <w:rPr>
                <w:color w:val="auto"/>
                <w:highlight w:val="none"/>
              </w:rPr>
              <w:instrText xml:space="preserve"> eq \o\ac(</w:instrText>
            </w:r>
            <w:r>
              <w:rPr>
                <w:rFonts w:hint="eastAsia"/>
                <w:color w:val="auto"/>
                <w:highlight w:val="none"/>
              </w:rPr>
              <w:instrText xml:space="preserve">□</w:instrText>
            </w:r>
            <w:r>
              <w:rPr>
                <w:color w:val="auto"/>
                <w:highlight w:val="none"/>
              </w:rPr>
              <w:instrText xml:space="preserve">,</w:instrText>
            </w:r>
            <w:r>
              <w:rPr>
                <w:rFonts w:hint="eastAsia"/>
                <w:color w:val="auto"/>
                <w:position w:val="1"/>
                <w:sz w:val="14"/>
                <w:highlight w:val="none"/>
              </w:rPr>
              <w:instrText xml:space="preserve">√</w:instrText>
            </w:r>
            <w:r>
              <w:rPr>
                <w:color w:val="auto"/>
                <w:highlight w:val="none"/>
              </w:rPr>
              <w:instrText xml:space="preserve">)</w:instrText>
            </w:r>
            <w:r>
              <w:rPr>
                <w:color w:val="auto"/>
                <w:highlight w:val="none"/>
              </w:rPr>
              <w:fldChar w:fldCharType="end"/>
            </w:r>
            <w:r>
              <w:rPr>
                <w:rFonts w:hint="eastAsia" w:hAnsi="宋体"/>
                <w:color w:val="auto"/>
                <w:sz w:val="21"/>
                <w:highlight w:val="none"/>
              </w:rPr>
              <w:t>本项目采购代理服务费由成交供应商</w:t>
            </w:r>
            <w:r>
              <w:rPr>
                <w:rFonts w:hint="eastAsia" w:hAnsi="宋体" w:cs="宋体"/>
                <w:color w:val="auto"/>
                <w:sz w:val="21"/>
                <w:highlight w:val="none"/>
              </w:rPr>
              <w:t>在获取成交通知书前</w:t>
            </w:r>
            <w:r>
              <w:rPr>
                <w:rFonts w:hint="eastAsia" w:hAnsi="宋体"/>
                <w:color w:val="auto"/>
                <w:sz w:val="21"/>
                <w:highlight w:val="none"/>
              </w:rPr>
              <w:t>，向采购代理机构一次性支付。</w:t>
            </w:r>
          </w:p>
          <w:p w14:paraId="67EED0D2">
            <w:pPr>
              <w:pStyle w:val="15"/>
              <w:snapToGrid w:val="0"/>
              <w:spacing w:line="400" w:lineRule="exact"/>
              <w:rPr>
                <w:rFonts w:hint="eastAsia" w:hAnsi="宋体"/>
                <w:color w:val="auto"/>
                <w:sz w:val="21"/>
                <w:highlight w:val="none"/>
              </w:rPr>
            </w:pPr>
            <w:r>
              <w:rPr>
                <w:rFonts w:hint="eastAsia" w:hAnsi="宋体"/>
                <w:color w:val="auto"/>
                <w:sz w:val="21"/>
                <w:highlight w:val="none"/>
              </w:rPr>
              <w:t>□采购人支付。</w:t>
            </w:r>
          </w:p>
          <w:p w14:paraId="4FCDE4E6">
            <w:pPr>
              <w:pStyle w:val="15"/>
              <w:snapToGrid w:val="0"/>
              <w:spacing w:line="400" w:lineRule="exact"/>
              <w:rPr>
                <w:rFonts w:hint="eastAsia" w:hAnsi="宋体"/>
                <w:color w:val="auto"/>
                <w:sz w:val="21"/>
                <w:highlight w:val="none"/>
              </w:rPr>
            </w:pPr>
            <w:r>
              <w:rPr>
                <w:rFonts w:hAnsi="宋体"/>
                <w:color w:val="auto"/>
                <w:sz w:val="21"/>
                <w:highlight w:val="none"/>
              </w:rPr>
              <w:t>2.</w:t>
            </w:r>
            <w:r>
              <w:rPr>
                <w:rFonts w:hint="eastAsia" w:hAnsi="宋体"/>
                <w:color w:val="auto"/>
                <w:sz w:val="21"/>
                <w:highlight w:val="none"/>
              </w:rPr>
              <w:t>采购代理服务费收取标准：</w:t>
            </w:r>
          </w:p>
          <w:p w14:paraId="28D338E0">
            <w:pPr>
              <w:pStyle w:val="15"/>
              <w:snapToGrid w:val="0"/>
              <w:spacing w:line="400" w:lineRule="exact"/>
              <w:rPr>
                <w:rFonts w:hint="eastAsia" w:hAnsi="宋体"/>
                <w:color w:val="auto"/>
                <w:sz w:val="21"/>
                <w:highlight w:val="none"/>
              </w:rPr>
            </w:pPr>
            <w:r>
              <w:rPr>
                <w:color w:val="auto"/>
                <w:highlight w:val="none"/>
              </w:rPr>
              <w:fldChar w:fldCharType="begin"/>
            </w:r>
            <w:r>
              <w:rPr>
                <w:color w:val="auto"/>
                <w:highlight w:val="none"/>
              </w:rPr>
              <w:instrText xml:space="preserve"> eq \o\ac(</w:instrText>
            </w:r>
            <w:r>
              <w:rPr>
                <w:rFonts w:hint="eastAsia"/>
                <w:color w:val="auto"/>
                <w:highlight w:val="none"/>
              </w:rPr>
              <w:instrText xml:space="preserve">□</w:instrText>
            </w:r>
            <w:r>
              <w:rPr>
                <w:color w:val="auto"/>
                <w:highlight w:val="none"/>
              </w:rPr>
              <w:instrText xml:space="preserve">,</w:instrText>
            </w:r>
            <w:r>
              <w:rPr>
                <w:rFonts w:hint="eastAsia"/>
                <w:color w:val="auto"/>
                <w:position w:val="1"/>
                <w:sz w:val="14"/>
                <w:highlight w:val="none"/>
              </w:rPr>
              <w:instrText xml:space="preserve">√</w:instrText>
            </w:r>
            <w:r>
              <w:rPr>
                <w:color w:val="auto"/>
                <w:highlight w:val="none"/>
              </w:rPr>
              <w:instrText xml:space="preserve">)</w:instrText>
            </w:r>
            <w:r>
              <w:rPr>
                <w:color w:val="auto"/>
                <w:highlight w:val="none"/>
              </w:rPr>
              <w:fldChar w:fldCharType="end"/>
            </w:r>
            <w:r>
              <w:rPr>
                <w:rFonts w:hint="eastAsia" w:hAnsi="宋体"/>
                <w:color w:val="auto"/>
                <w:sz w:val="21"/>
                <w:highlight w:val="none"/>
              </w:rPr>
              <w:t>本项目采购代理服务费以成交金额为计费额，按照供应商须知正文第32.2条规定的货物类标准采用差额定率累进法计算出收费基准价格，采购代理服务费以收费基准价格下浮40%收取</w:t>
            </w:r>
            <w:r>
              <w:rPr>
                <w:rFonts w:hint="eastAsia" w:asciiTheme="majorEastAsia" w:hAnsiTheme="majorEastAsia" w:eastAsiaTheme="majorEastAsia"/>
                <w:color w:val="auto"/>
                <w:sz w:val="21"/>
                <w:highlight w:val="none"/>
              </w:rPr>
              <w:t>(不足人民币5000元的，按5000元计)</w:t>
            </w:r>
            <w:r>
              <w:rPr>
                <w:rFonts w:hint="eastAsia" w:hAnsi="宋体"/>
                <w:color w:val="auto"/>
                <w:sz w:val="21"/>
                <w:highlight w:val="none"/>
              </w:rPr>
              <w:t>。</w:t>
            </w:r>
          </w:p>
          <w:p w14:paraId="7F44534A">
            <w:pPr>
              <w:pStyle w:val="15"/>
              <w:snapToGrid w:val="0"/>
              <w:spacing w:line="400" w:lineRule="exact"/>
              <w:rPr>
                <w:rFonts w:hint="eastAsia" w:hAnsi="宋体"/>
                <w:color w:val="auto"/>
                <w:sz w:val="21"/>
                <w:highlight w:val="none"/>
                <w:u w:val="single"/>
              </w:rPr>
            </w:pPr>
            <w:r>
              <w:rPr>
                <w:rFonts w:hint="eastAsia" w:hAnsi="宋体"/>
                <w:color w:val="auto"/>
                <w:sz w:val="21"/>
                <w:highlight w:val="none"/>
              </w:rPr>
              <w:t>□固定采购代理收费。</w:t>
            </w:r>
          </w:p>
          <w:p w14:paraId="7B3C3517">
            <w:pPr>
              <w:pStyle w:val="15"/>
              <w:snapToGrid w:val="0"/>
              <w:spacing w:line="400" w:lineRule="exact"/>
              <w:rPr>
                <w:rFonts w:hint="eastAsia" w:hAnsi="宋体"/>
                <w:color w:val="auto"/>
                <w:sz w:val="21"/>
                <w:highlight w:val="none"/>
              </w:rPr>
            </w:pPr>
            <w:r>
              <w:rPr>
                <w:rFonts w:hAnsi="宋体"/>
                <w:color w:val="auto"/>
                <w:sz w:val="21"/>
                <w:highlight w:val="none"/>
              </w:rPr>
              <w:t>3.</w:t>
            </w:r>
            <w:r>
              <w:rPr>
                <w:rFonts w:hint="eastAsia" w:hAnsi="宋体"/>
                <w:color w:val="auto"/>
                <w:sz w:val="21"/>
                <w:highlight w:val="none"/>
              </w:rPr>
              <w:t>采购代理服务费收取银行账户</w:t>
            </w:r>
          </w:p>
          <w:p w14:paraId="48D3D40D">
            <w:pPr>
              <w:pStyle w:val="15"/>
              <w:snapToGrid w:val="0"/>
              <w:spacing w:line="400" w:lineRule="exact"/>
              <w:rPr>
                <w:rFonts w:hint="eastAsia" w:hAnsi="宋体"/>
                <w:b/>
                <w:bCs/>
                <w:color w:val="auto"/>
                <w:highlight w:val="none"/>
              </w:rPr>
            </w:pPr>
            <w:r>
              <w:rPr>
                <w:rFonts w:hint="eastAsia" w:hAnsi="宋体"/>
                <w:b/>
                <w:bCs/>
                <w:color w:val="auto"/>
                <w:highlight w:val="none"/>
              </w:rPr>
              <w:t>开户名称：云之龙咨询集团有限公司桂林分公司</w:t>
            </w:r>
          </w:p>
          <w:p w14:paraId="401DA934">
            <w:pPr>
              <w:pStyle w:val="15"/>
              <w:snapToGrid w:val="0"/>
              <w:spacing w:line="400" w:lineRule="exact"/>
              <w:rPr>
                <w:rFonts w:hint="eastAsia" w:hAnsi="宋体"/>
                <w:b/>
                <w:bCs/>
                <w:color w:val="auto"/>
                <w:highlight w:val="none"/>
              </w:rPr>
            </w:pPr>
            <w:r>
              <w:rPr>
                <w:rFonts w:hint="eastAsia" w:hAnsi="宋体"/>
                <w:b/>
                <w:bCs/>
                <w:color w:val="auto"/>
                <w:highlight w:val="none"/>
              </w:rPr>
              <w:t>开户银行：中信银行股份有限公司南宁东葛支行</w:t>
            </w:r>
          </w:p>
          <w:p w14:paraId="65815375">
            <w:pPr>
              <w:pStyle w:val="15"/>
              <w:snapToGrid w:val="0"/>
              <w:spacing w:line="400" w:lineRule="exact"/>
              <w:rPr>
                <w:rFonts w:hint="eastAsia" w:hAnsi="宋体"/>
                <w:color w:val="auto"/>
                <w:sz w:val="21"/>
                <w:highlight w:val="none"/>
                <w:u w:val="single"/>
              </w:rPr>
            </w:pPr>
            <w:r>
              <w:rPr>
                <w:rFonts w:hint="eastAsia" w:hAnsi="宋体"/>
                <w:b/>
                <w:bCs/>
                <w:color w:val="auto"/>
                <w:highlight w:val="none"/>
              </w:rPr>
              <w:t>银行账号：8113001014300158041</w:t>
            </w:r>
          </w:p>
        </w:tc>
      </w:tr>
      <w:tr w14:paraId="322C0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4AB622C">
            <w:pPr>
              <w:spacing w:line="400" w:lineRule="exact"/>
              <w:jc w:val="center"/>
              <w:rPr>
                <w:rFonts w:ascii="宋体" w:cs="宋体"/>
                <w:color w:val="auto"/>
                <w:szCs w:val="21"/>
                <w:highlight w:val="none"/>
              </w:rPr>
            </w:pPr>
            <w:r>
              <w:rPr>
                <w:rFonts w:ascii="宋体" w:hAnsi="宋体" w:cs="宋体"/>
                <w:color w:val="auto"/>
                <w:szCs w:val="21"/>
                <w:highlight w:val="none"/>
              </w:rPr>
              <w:t>33.1</w:t>
            </w:r>
          </w:p>
        </w:tc>
        <w:tc>
          <w:tcPr>
            <w:tcW w:w="7912" w:type="dxa"/>
            <w:vAlign w:val="center"/>
          </w:tcPr>
          <w:p w14:paraId="0DE20023">
            <w:pPr>
              <w:pStyle w:val="15"/>
              <w:snapToGrid w:val="0"/>
              <w:spacing w:line="400" w:lineRule="exact"/>
              <w:rPr>
                <w:rFonts w:hint="eastAsia" w:hAnsi="宋体"/>
                <w:color w:val="auto"/>
                <w:sz w:val="21"/>
                <w:highlight w:val="none"/>
              </w:rPr>
            </w:pPr>
            <w:r>
              <w:rPr>
                <w:rFonts w:hint="eastAsia" w:hAnsi="宋体"/>
                <w:color w:val="auto"/>
                <w:sz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33ED3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5D8F1599">
            <w:pPr>
              <w:spacing w:line="400" w:lineRule="exact"/>
              <w:jc w:val="center"/>
              <w:rPr>
                <w:rFonts w:ascii="宋体" w:cs="宋体"/>
                <w:color w:val="auto"/>
                <w:szCs w:val="21"/>
                <w:highlight w:val="none"/>
              </w:rPr>
            </w:pPr>
            <w:r>
              <w:rPr>
                <w:rFonts w:ascii="宋体" w:hAnsi="宋体" w:cs="宋体"/>
                <w:color w:val="auto"/>
                <w:szCs w:val="21"/>
                <w:highlight w:val="none"/>
              </w:rPr>
              <w:t>33.2</w:t>
            </w:r>
          </w:p>
        </w:tc>
        <w:tc>
          <w:tcPr>
            <w:tcW w:w="7912" w:type="dxa"/>
            <w:vAlign w:val="center"/>
          </w:tcPr>
          <w:p w14:paraId="553C6F17">
            <w:pPr>
              <w:pStyle w:val="15"/>
              <w:snapToGrid w:val="0"/>
              <w:spacing w:line="400" w:lineRule="exact"/>
              <w:rPr>
                <w:rFonts w:hint="eastAsia" w:hAnsi="宋体"/>
                <w:color w:val="auto"/>
                <w:sz w:val="21"/>
                <w:highlight w:val="none"/>
              </w:rPr>
            </w:pPr>
            <w:r>
              <w:rPr>
                <w:rFonts w:hAnsi="宋体"/>
                <w:color w:val="auto"/>
                <w:sz w:val="21"/>
                <w:highlight w:val="none"/>
              </w:rPr>
              <w:t>1.</w:t>
            </w:r>
            <w:r>
              <w:rPr>
                <w:rFonts w:hint="eastAsia" w:hAnsi="宋体"/>
                <w:color w:val="auto"/>
                <w:sz w:val="21"/>
                <w:highlight w:val="none"/>
              </w:rPr>
              <w:t>本谈判文件中描述供应商的“公章”是指根据我国对公章的管理规定，用供应商法定主体行为名称制作的印章，除本谈判文件有特殊规定外，供应商的其他形式印章均不能代替公章。</w:t>
            </w:r>
          </w:p>
          <w:p w14:paraId="0A7E9D66">
            <w:pPr>
              <w:pStyle w:val="15"/>
              <w:snapToGrid w:val="0"/>
              <w:spacing w:line="400" w:lineRule="exact"/>
              <w:rPr>
                <w:rFonts w:hint="eastAsia" w:hAnsi="宋体"/>
                <w:color w:val="auto"/>
                <w:sz w:val="21"/>
                <w:highlight w:val="none"/>
              </w:rPr>
            </w:pPr>
            <w:r>
              <w:rPr>
                <w:rFonts w:hint="eastAsia" w:hAnsi="宋体"/>
                <w:color w:val="auto"/>
                <w:sz w:val="21"/>
                <w:highlight w:val="none"/>
              </w:rPr>
              <w:t>2.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366915F1">
            <w:pPr>
              <w:pStyle w:val="15"/>
              <w:snapToGrid w:val="0"/>
              <w:spacing w:line="400" w:lineRule="exact"/>
              <w:rPr>
                <w:rFonts w:hint="eastAsia" w:hAnsi="宋体"/>
                <w:color w:val="auto"/>
                <w:sz w:val="21"/>
                <w:highlight w:val="none"/>
              </w:rPr>
            </w:pPr>
            <w:r>
              <w:rPr>
                <w:rFonts w:hint="eastAsia" w:hAnsi="宋体"/>
                <w:color w:val="auto"/>
                <w:sz w:val="21"/>
                <w:highlight w:val="none"/>
              </w:rPr>
              <w:t>3.本谈判文件所称的“电子签章”、“电子签名”，是指经广西政府采购云平台认可的CA认证的电子签名数据为表现形式的印章，可用于签署电子响应文件，电子印章与实物印章、手写签名具有同等法律效力，不因其采用电子化表现形式而否定其法律效力。</w:t>
            </w:r>
          </w:p>
          <w:p w14:paraId="787B87C1">
            <w:pPr>
              <w:pStyle w:val="15"/>
              <w:snapToGrid w:val="0"/>
              <w:spacing w:line="400" w:lineRule="exact"/>
              <w:rPr>
                <w:rFonts w:hint="eastAsia" w:hAnsi="宋体"/>
                <w:color w:val="auto"/>
                <w:sz w:val="21"/>
                <w:highlight w:val="none"/>
              </w:rPr>
            </w:pPr>
            <w:r>
              <w:rPr>
                <w:rFonts w:hint="eastAsia" w:hAnsi="宋体"/>
                <w:color w:val="auto"/>
                <w:sz w:val="21"/>
                <w:highlight w:val="none"/>
              </w:rPr>
              <w:t>4.本谈判文件中描述供应商的“签字”是指供应商的法定代表人或者委托代理人亲自在文件规定签署处亲笔写上个人的名字的行为。</w:t>
            </w:r>
          </w:p>
          <w:p w14:paraId="3613E2B6">
            <w:pPr>
              <w:pStyle w:val="15"/>
              <w:snapToGrid w:val="0"/>
              <w:spacing w:line="400" w:lineRule="exact"/>
              <w:rPr>
                <w:rFonts w:hint="eastAsia" w:hAnsi="宋体"/>
                <w:color w:val="auto"/>
                <w:sz w:val="21"/>
                <w:highlight w:val="none"/>
              </w:rPr>
            </w:pPr>
            <w:r>
              <w:rPr>
                <w:rFonts w:hint="eastAsia" w:hAnsi="宋体"/>
                <w:color w:val="auto"/>
                <w:sz w:val="21"/>
                <w:highlight w:val="none"/>
              </w:rPr>
              <w:t>5.本谈判文件所称的“以上”“以下”“以内”“届满”，包括本数；所称的“不满”“超过”“以外”，不包括本数。</w:t>
            </w:r>
          </w:p>
        </w:tc>
      </w:tr>
    </w:tbl>
    <w:p w14:paraId="2DE3C88A">
      <w:pPr>
        <w:spacing w:line="400" w:lineRule="exact"/>
        <w:jc w:val="center"/>
        <w:rPr>
          <w:rFonts w:ascii="宋体"/>
          <w:b/>
          <w:color w:val="auto"/>
          <w:sz w:val="32"/>
          <w:szCs w:val="32"/>
          <w:highlight w:val="none"/>
        </w:rPr>
      </w:pPr>
      <w:r>
        <w:rPr>
          <w:rFonts w:ascii="宋体"/>
          <w:b/>
          <w:color w:val="auto"/>
          <w:sz w:val="32"/>
          <w:szCs w:val="32"/>
          <w:highlight w:val="none"/>
        </w:rPr>
        <w:br w:type="page"/>
      </w:r>
      <w:r>
        <w:rPr>
          <w:rFonts w:hint="eastAsia" w:ascii="宋体" w:hAnsi="宋体"/>
          <w:b/>
          <w:color w:val="auto"/>
          <w:sz w:val="32"/>
          <w:szCs w:val="32"/>
          <w:highlight w:val="none"/>
        </w:rPr>
        <w:t>供应商须知正文</w:t>
      </w:r>
    </w:p>
    <w:p w14:paraId="1691306D">
      <w:pPr>
        <w:spacing w:line="400" w:lineRule="exact"/>
        <w:jc w:val="center"/>
        <w:rPr>
          <w:rFonts w:ascii="宋体"/>
          <w:b/>
          <w:color w:val="auto"/>
          <w:sz w:val="32"/>
          <w:szCs w:val="32"/>
          <w:highlight w:val="none"/>
        </w:rPr>
      </w:pPr>
    </w:p>
    <w:p w14:paraId="5AFB745A">
      <w:pPr>
        <w:spacing w:line="400" w:lineRule="exact"/>
        <w:jc w:val="center"/>
        <w:rPr>
          <w:rFonts w:ascii="宋体"/>
          <w:b/>
          <w:color w:val="auto"/>
          <w:sz w:val="32"/>
          <w:szCs w:val="32"/>
          <w:highlight w:val="none"/>
        </w:rPr>
      </w:pPr>
      <w:r>
        <w:rPr>
          <w:rFonts w:hint="eastAsia" w:ascii="宋体" w:hAnsi="宋体"/>
          <w:b/>
          <w:color w:val="auto"/>
          <w:sz w:val="32"/>
          <w:szCs w:val="32"/>
          <w:highlight w:val="none"/>
        </w:rPr>
        <w:t>一、总则</w:t>
      </w:r>
    </w:p>
    <w:p w14:paraId="7BAB87B8">
      <w:pPr>
        <w:spacing w:line="400" w:lineRule="exact"/>
        <w:rPr>
          <w:rFonts w:ascii="宋体"/>
          <w:color w:val="auto"/>
          <w:szCs w:val="21"/>
          <w:highlight w:val="none"/>
        </w:rPr>
      </w:pPr>
    </w:p>
    <w:p w14:paraId="7E8294A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 适用范围</w:t>
      </w:r>
    </w:p>
    <w:p w14:paraId="728EB45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67A98BC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6E643C3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 定义</w:t>
      </w:r>
    </w:p>
    <w:p w14:paraId="1666EB8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0566D3CB">
      <w:pPr>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Cs/>
          <w:color w:val="auto"/>
          <w:szCs w:val="21"/>
          <w:highlight w:val="none"/>
        </w:rPr>
        <w:t>是指政府采购集中采购机构和集中采购机构以外的采购代理机构。</w:t>
      </w:r>
    </w:p>
    <w:p w14:paraId="54D7D13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7682D7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148D12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030DB0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2.6“售后服务”是指包含但不限于供应商须承担的备品备件、包装、运输、装卸、保险、货到就位以及安装、调试、培训、保修和其他类似的义务。</w:t>
      </w:r>
    </w:p>
    <w:p w14:paraId="3F39BD7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2526BF0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5A7B2185">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 xml:space="preserve">2.9 </w:t>
      </w:r>
      <w:r>
        <w:rPr>
          <w:rFonts w:hint="eastAsia" w:ascii="宋体" w:hAnsi="宋体" w:cs="宋体"/>
          <w:b/>
          <w:bCs/>
          <w:color w:val="auto"/>
          <w:szCs w:val="21"/>
          <w:highlight w:val="none"/>
        </w:rPr>
        <w:t>“实质性要求”是指采购需求中所有条款或者不能负偏离的条款或者已经指明不满足按响应文件无效处理的条款。</w:t>
      </w:r>
    </w:p>
    <w:p w14:paraId="40C1CB1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659876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5198E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6082156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797BD280">
      <w:pPr>
        <w:spacing w:line="360" w:lineRule="auto"/>
        <w:ind w:firstLine="482" w:firstLineChars="200"/>
        <w:contextualSpacing/>
        <w:rPr>
          <w:rFonts w:hint="eastAsia" w:ascii="宋体" w:hAnsi="宋体" w:cs="宋体"/>
          <w:b/>
          <w:bCs/>
          <w:color w:val="auto"/>
          <w:sz w:val="24"/>
          <w:highlight w:val="none"/>
        </w:rPr>
      </w:pPr>
      <w:r>
        <w:rPr>
          <w:rFonts w:hint="eastAsia" w:ascii="宋体" w:hAnsi="宋体" w:cs="宋体"/>
          <w:b/>
          <w:bCs/>
          <w:color w:val="auto"/>
          <w:sz w:val="24"/>
          <w:highlight w:val="none"/>
        </w:rPr>
        <w:t>3. 供应商的资格条件</w:t>
      </w:r>
    </w:p>
    <w:p w14:paraId="1E4780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3.1供应商的资格条件详见“供应商须知前附表”。</w:t>
      </w:r>
    </w:p>
    <w:p w14:paraId="381F15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3.2供应商出现下列情形之一的，不得参加政府采购活动：</w:t>
      </w:r>
    </w:p>
    <w:p w14:paraId="1B85EE7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（1）单位负责人为同一人或者存在直接控股、管理关系的不同供应商，不得参加同一合同项下的政府采购活动。</w:t>
      </w:r>
      <w:r>
        <w:rPr>
          <w:rFonts w:hint="eastAsia" w:ascii="宋体" w:hAnsi="宋体" w:cs="宋体"/>
          <w:color w:val="auto"/>
          <w:highlight w:val="none"/>
        </w:rPr>
        <w:t>为采购项目提供整体设计、规范编制或者项目管理、监理、检测等服务的供应商，不得再参加该采购项目的其他采购活动</w:t>
      </w:r>
      <w:r>
        <w:rPr>
          <w:rFonts w:hint="eastAsia" w:ascii="宋体" w:hAnsi="宋体" w:cs="宋体"/>
          <w:color w:val="auto"/>
          <w:szCs w:val="21"/>
          <w:highlight w:val="none"/>
        </w:rPr>
        <w:t>。</w:t>
      </w:r>
    </w:p>
    <w:p w14:paraId="7C1AD6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在“信用中国”网站（http://www.creditchina.gov.cn）、中国政府采购网（http://www.ccgp.gov.cn）被列入失信被执行人、重大税收违法失信主体、政府采购严重违法失信行为记录名单及其他不符合《中华人民共和国政府采购法》第二十二条规定条件的供应商，不得参与政府采购活动。</w:t>
      </w:r>
    </w:p>
    <w:p w14:paraId="2CA3C2F8">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4.竞标费用</w:t>
      </w:r>
    </w:p>
    <w:p w14:paraId="217B6F4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1767A4D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5.联合体竞标</w:t>
      </w:r>
    </w:p>
    <w:p w14:paraId="7E2BCDF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18901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300C637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w:t>
      </w:r>
      <w:bookmarkStart w:id="61" w:name="_Hlk65857072"/>
      <w:r>
        <w:rPr>
          <w:rFonts w:hint="eastAsia" w:ascii="宋体" w:hAnsi="宋体" w:cs="宋体"/>
          <w:bCs/>
          <w:color w:val="auto"/>
          <w:szCs w:val="21"/>
          <w:highlight w:val="none"/>
        </w:rPr>
        <w:t>根据《政府采购促进中小企业发展管理办法》（财库〔2020〕46号）第九条第二款及</w:t>
      </w:r>
      <w:r>
        <w:rPr>
          <w:rFonts w:hint="eastAsia" w:ascii="宋体" w:hAnsi="宋体" w:cs="宋体"/>
          <w:color w:val="auto"/>
          <w:kern w:val="0"/>
          <w:szCs w:val="21"/>
          <w:highlight w:val="none"/>
        </w:rPr>
        <w:t>《广西壮族自治区财政厅关于持续优化政府采购营商环境推动高质量发展的通知》（桂财采〔2024〕55号）</w:t>
      </w:r>
      <w:r>
        <w:rPr>
          <w:rFonts w:hint="eastAsia" w:ascii="宋体" w:hAnsi="宋体" w:cs="宋体"/>
          <w:bCs/>
          <w:color w:val="auto"/>
          <w:szCs w:val="21"/>
          <w:highlight w:val="none"/>
        </w:rPr>
        <w:t>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61"/>
    </w:p>
    <w:p w14:paraId="6651D5A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6.转包与分包</w:t>
      </w:r>
    </w:p>
    <w:p w14:paraId="6C7F462E">
      <w:pPr>
        <w:pStyle w:val="5"/>
        <w:keepNext w:val="0"/>
        <w:keepLines w:val="0"/>
        <w:spacing w:before="0" w:after="0" w:line="360" w:lineRule="auto"/>
        <w:ind w:left="420" w:leftChars="200"/>
        <w:rPr>
          <w:rFonts w:hint="eastAsia" w:ascii="宋体" w:hAnsi="宋体" w:cs="宋体"/>
          <w:b w:val="0"/>
          <w:color w:val="auto"/>
          <w:sz w:val="21"/>
          <w:szCs w:val="21"/>
          <w:highlight w:val="none"/>
        </w:rPr>
      </w:pPr>
      <w:bookmarkStart w:id="62" w:name="_Toc254970532"/>
      <w:bookmarkStart w:id="63" w:name="_Toc254970673"/>
      <w:r>
        <w:rPr>
          <w:rFonts w:hint="eastAsia" w:ascii="宋体" w:hAnsi="宋体" w:cs="宋体"/>
          <w:b w:val="0"/>
          <w:color w:val="auto"/>
          <w:sz w:val="21"/>
          <w:szCs w:val="21"/>
          <w:highlight w:val="none"/>
        </w:rPr>
        <w:t>6.1本项目不允许转包。</w:t>
      </w:r>
    </w:p>
    <w:p w14:paraId="69B447F9">
      <w:pPr>
        <w:pStyle w:val="5"/>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4439FFA3">
      <w:pPr>
        <w:pStyle w:val="5"/>
        <w:keepNext w:val="0"/>
        <w:keepLines w:val="0"/>
        <w:spacing w:before="0" w:after="0" w:line="360" w:lineRule="auto"/>
        <w:ind w:firstLine="315" w:firstLineChars="150"/>
        <w:rPr>
          <w:rFonts w:hint="eastAsia" w:ascii="宋体" w:hAnsi="宋体" w:cs="宋体"/>
          <w:b w:val="0"/>
          <w:color w:val="auto"/>
          <w:sz w:val="21"/>
          <w:szCs w:val="21"/>
          <w:highlight w:val="none"/>
        </w:rPr>
      </w:pPr>
      <w:r>
        <w:rPr>
          <w:rFonts w:hint="eastAsia" w:ascii="宋体" w:hAnsi="宋体" w:cs="宋体"/>
          <w:b w:val="0"/>
          <w:color w:val="auto"/>
          <w:sz w:val="21"/>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0010E47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7.特别说明</w:t>
      </w:r>
      <w:bookmarkEnd w:id="62"/>
      <w:bookmarkEnd w:id="63"/>
    </w:p>
    <w:p w14:paraId="23185676">
      <w:pPr>
        <w:spacing w:line="360" w:lineRule="auto"/>
        <w:ind w:firstLine="420" w:firstLineChars="200"/>
        <w:rPr>
          <w:rFonts w:hint="eastAsia" w:ascii="宋体" w:hAnsi="宋体" w:cs="宋体"/>
          <w:color w:val="auto"/>
          <w:szCs w:val="21"/>
          <w:highlight w:val="none"/>
        </w:rPr>
      </w:pPr>
      <w:bookmarkStart w:id="64" w:name="_8.1提供相同品牌产品且通过资格审查、符合性审查的不同投标人参加同一合"/>
      <w:bookmarkEnd w:id="64"/>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供应商推荐资格，其他响应文件按无效处理。</w:t>
      </w:r>
    </w:p>
    <w:p w14:paraId="77B9A21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278B4C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25FB15F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2C8779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645E66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149B76A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B24DC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4034E4E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83D314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6E984AB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6376DA6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1A52A0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184A70D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AD7AC3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3EF698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153589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41EC3A8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1E8E0A4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4A2C6F2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65" w:name="_Hlk54682620"/>
      <w:r>
        <w:rPr>
          <w:rFonts w:hint="eastAsia" w:ascii="宋体" w:hAnsi="宋体" w:cs="宋体"/>
          <w:color w:val="auto"/>
          <w:szCs w:val="21"/>
          <w:highlight w:val="none"/>
        </w:rPr>
        <w:t>，将报同级监督管理部门</w:t>
      </w:r>
      <w:bookmarkEnd w:id="65"/>
      <w:r>
        <w:rPr>
          <w:rFonts w:hint="eastAsia" w:ascii="宋体" w:hAnsi="宋体" w:cs="宋体"/>
          <w:color w:val="auto"/>
          <w:szCs w:val="21"/>
          <w:highlight w:val="none"/>
        </w:rPr>
        <w:t>：</w:t>
      </w:r>
    </w:p>
    <w:p w14:paraId="25B1EC1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35BAE08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D459C3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28815F8">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（4）</w:t>
      </w:r>
      <w:r>
        <w:rPr>
          <w:rFonts w:hint="eastAsia" w:ascii="宋体" w:hAnsi="宋体" w:cs="宋体"/>
          <w:color w:val="auto"/>
          <w:spacing w:val="-4"/>
          <w:szCs w:val="21"/>
          <w:highlight w:val="none"/>
        </w:rPr>
        <w:t>属于同一集团、协会、商会等组织成员的供应商按照该组织要求协同参加政府采购活动；</w:t>
      </w:r>
    </w:p>
    <w:p w14:paraId="49BFB95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B35135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1E3301C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25D8636C">
      <w:pPr>
        <w:spacing w:line="360" w:lineRule="auto"/>
        <w:ind w:left="1" w:firstLine="417" w:firstLineChars="199"/>
        <w:jc w:val="center"/>
        <w:rPr>
          <w:rFonts w:hint="eastAsia" w:ascii="宋体" w:hAnsi="宋体" w:cs="宋体"/>
          <w:color w:val="auto"/>
          <w:highlight w:val="none"/>
        </w:rPr>
      </w:pPr>
      <w:bookmarkStart w:id="66" w:name="_Toc254970675"/>
      <w:bookmarkStart w:id="67" w:name="_Toc254970534"/>
    </w:p>
    <w:p w14:paraId="796AF32F">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66"/>
      <w:bookmarkEnd w:id="67"/>
    </w:p>
    <w:p w14:paraId="170040D2">
      <w:pPr>
        <w:spacing w:line="360" w:lineRule="auto"/>
        <w:jc w:val="center"/>
        <w:rPr>
          <w:rFonts w:hint="eastAsia" w:ascii="宋体" w:hAnsi="宋体" w:cs="宋体"/>
          <w:color w:val="auto"/>
          <w:szCs w:val="21"/>
          <w:highlight w:val="none"/>
        </w:rPr>
      </w:pPr>
    </w:p>
    <w:p w14:paraId="7FC37DB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8.谈判文件的构成</w:t>
      </w:r>
    </w:p>
    <w:p w14:paraId="09BBF0D7">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（1）竞争性谈判公告；</w:t>
      </w:r>
    </w:p>
    <w:p w14:paraId="0A1323AD">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（2）供应商须知；</w:t>
      </w:r>
    </w:p>
    <w:p w14:paraId="1B4C66D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（3）采购需求；</w:t>
      </w:r>
    </w:p>
    <w:p w14:paraId="5D11E20D">
      <w:pPr>
        <w:pStyle w:val="11"/>
        <w:ind w:firstLine="420" w:firstLineChars="200"/>
        <w:rPr>
          <w:rFonts w:hint="eastAsia" w:ascii="宋体" w:hAnsi="宋体" w:cs="宋体"/>
          <w:color w:val="auto"/>
          <w:highlight w:val="none"/>
        </w:rPr>
      </w:pPr>
      <w:r>
        <w:rPr>
          <w:rFonts w:hint="eastAsia" w:ascii="宋体" w:hAnsi="宋体" w:cs="宋体"/>
          <w:color w:val="auto"/>
          <w:szCs w:val="21"/>
          <w:highlight w:val="none"/>
        </w:rPr>
        <w:t>（4）评审程序和评定成交的标准；</w:t>
      </w:r>
    </w:p>
    <w:p w14:paraId="121A036A">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（5）响应文件格式</w:t>
      </w:r>
    </w:p>
    <w:p w14:paraId="0B01A233">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（6）合同文本。</w:t>
      </w:r>
    </w:p>
    <w:p w14:paraId="58B823D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9.供应商的询问</w:t>
      </w:r>
    </w:p>
    <w:p w14:paraId="2B43DA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5215F52">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4C52C74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1EB487C7">
      <w:pPr>
        <w:spacing w:line="360" w:lineRule="auto"/>
        <w:rPr>
          <w:rFonts w:hint="eastAsia" w:ascii="宋体" w:hAnsi="宋体" w:cs="宋体"/>
          <w:color w:val="auto"/>
          <w:szCs w:val="21"/>
          <w:highlight w:val="none"/>
        </w:rPr>
      </w:pPr>
    </w:p>
    <w:p w14:paraId="0EC9969E">
      <w:pPr>
        <w:spacing w:line="360" w:lineRule="auto"/>
        <w:jc w:val="center"/>
        <w:rPr>
          <w:rFonts w:hint="eastAsia"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66A3DD26">
      <w:pPr>
        <w:spacing w:line="360" w:lineRule="auto"/>
        <w:rPr>
          <w:rFonts w:hint="eastAsia" w:ascii="宋体" w:hAnsi="宋体" w:cs="宋体"/>
          <w:color w:val="auto"/>
          <w:szCs w:val="21"/>
          <w:highlight w:val="none"/>
        </w:rPr>
      </w:pPr>
    </w:p>
    <w:p w14:paraId="3767EC0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8D667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444615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12.响应文件的组成</w:t>
      </w:r>
    </w:p>
    <w:p w14:paraId="0E560A1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5CDC789">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126C8892">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68C00C8C">
      <w:pPr>
        <w:spacing w:line="360" w:lineRule="auto"/>
        <w:ind w:left="840" w:leftChars="200" w:hanging="420" w:hangingChars="20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2AAE49F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13.计量单位</w:t>
      </w:r>
    </w:p>
    <w:p w14:paraId="7B57C91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71CB5591">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14.竞标的风险</w:t>
      </w:r>
    </w:p>
    <w:p w14:paraId="209E9B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7FC3590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15.竞标报价</w:t>
      </w:r>
    </w:p>
    <w:p w14:paraId="043A45D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4A963839">
      <w:pPr>
        <w:tabs>
          <w:tab w:val="left" w:pos="249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7FF7CADB">
      <w:pPr>
        <w:spacing w:line="360" w:lineRule="auto"/>
        <w:ind w:left="426" w:leftChars="203"/>
        <w:rPr>
          <w:rFonts w:hint="eastAsia" w:ascii="宋体" w:hAnsi="宋体" w:cs="宋体"/>
          <w:color w:val="auto"/>
          <w:szCs w:val="21"/>
          <w:highlight w:val="none"/>
        </w:rPr>
      </w:pPr>
      <w:r>
        <w:rPr>
          <w:rFonts w:hint="eastAsia" w:ascii="宋体" w:hAnsi="宋体" w:cs="宋体"/>
          <w:color w:val="auto"/>
          <w:szCs w:val="21"/>
          <w:highlight w:val="none"/>
        </w:rPr>
        <w:t>15.3竞标报价要求</w:t>
      </w:r>
    </w:p>
    <w:p w14:paraId="602E1FD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6487F3F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（1）供应商必须就“采购需求”中全部内容作完整唯一总价报价，</w:t>
      </w:r>
    </w:p>
    <w:p w14:paraId="4EA800E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1E38AA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（2）供应商必须就本项目单项内容作唯一报价。</w:t>
      </w:r>
    </w:p>
    <w:p w14:paraId="7EEC8D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15.3.2竞标报价（包含首次报价、最后报价）超过本项目规定的采购预算金额或者最高限价的，其响应文件将按无效处理。</w:t>
      </w:r>
    </w:p>
    <w:p w14:paraId="540E66C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478A202F">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16.竞标有效期</w:t>
      </w:r>
    </w:p>
    <w:p w14:paraId="19018BE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6B602AA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351226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AA2C72E">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17.竞标保证金</w:t>
      </w:r>
    </w:p>
    <w:p w14:paraId="11BFF4C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0C1EFBB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17.2竞标保证金的退还</w:t>
      </w:r>
    </w:p>
    <w:p w14:paraId="1BAB91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w:t>
      </w:r>
      <w:r>
        <w:rPr>
          <w:rFonts w:hint="eastAsia" w:ascii="宋体" w:hAnsi="宋体" w:cs="宋体"/>
          <w:color w:val="auto"/>
          <w:spacing w:val="-6"/>
          <w:szCs w:val="21"/>
          <w:highlight w:val="none"/>
        </w:rPr>
        <w:t>成交供应商的竞标保证金自成交通知书发出之日起5个工作日内退还</w:t>
      </w:r>
      <w:r>
        <w:rPr>
          <w:rFonts w:hint="eastAsia" w:ascii="宋体" w:hAnsi="宋体" w:cs="宋体"/>
          <w:color w:val="auto"/>
          <w:szCs w:val="21"/>
          <w:highlight w:val="none"/>
        </w:rPr>
        <w:t>；成交供应商的竞标保证金自签订合同之日起5个工作日内退还。</w:t>
      </w:r>
    </w:p>
    <w:p w14:paraId="2007CB31">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17.3竞标保证金不计息。</w:t>
      </w:r>
    </w:p>
    <w:p w14:paraId="660ACC99">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17.4供应商有下列情形之一的，竞标保证金将不予退还：</w:t>
      </w:r>
    </w:p>
    <w:p w14:paraId="4757F375">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4239C3C">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52D5D46">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2860181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098976D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79A0BDF7">
      <w:pPr>
        <w:spacing w:line="360" w:lineRule="auto"/>
        <w:ind w:left="420" w:leftChars="20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26A49ED9">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46EB6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供应商应按照本项目竞争性谈判文件规定的格式和顺序和广西政府采购云平台的要求编制并加密。响应文件内容不完整、编排混乱导致响应文件被误读、漏读或者查找不到相关内容的，由此引发的后果由供应商承担。</w:t>
      </w:r>
    </w:p>
    <w:p w14:paraId="766AE3F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7DB7D80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10E7CDB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并与广西政府采购云平台中获取竞争性谈判文件的供应商名称一致，供应商为自然人的，标注的供应商名称应与身份证姓名及签名一致，否则其响应文件按无效响应处理。</w:t>
      </w:r>
    </w:p>
    <w:p w14:paraId="27CC272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E078B37">
      <w:pPr>
        <w:spacing w:line="360" w:lineRule="auto"/>
        <w:ind w:firstLine="482" w:firstLineChars="200"/>
        <w:rPr>
          <w:rFonts w:hint="eastAsia"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62749AB7">
      <w:pPr>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t>电子备份响应文件是指通过在线编制生成且后缀名为“bfbs”的文件，是否接受电子备份响应文件</w:t>
      </w:r>
      <w:r>
        <w:rPr>
          <w:rFonts w:hint="eastAsia" w:ascii="宋体" w:hAnsi="宋体" w:cs="宋体"/>
          <w:bCs/>
          <w:color w:val="auto"/>
          <w:szCs w:val="21"/>
          <w:highlight w:val="none"/>
        </w:rPr>
        <w:t>详见“供应商须知前附表”。</w:t>
      </w:r>
    </w:p>
    <w:p w14:paraId="2E60413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20.响应文件的提交</w:t>
      </w:r>
    </w:p>
    <w:p w14:paraId="3DB38412">
      <w:pPr>
        <w:spacing w:line="360" w:lineRule="auto"/>
        <w:ind w:firstLine="420" w:firstLineChars="200"/>
        <w:rPr>
          <w:rFonts w:hint="eastAsia"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地点提交响应文件。电子响应文件应在制作完成后，在提交响应文件截止时间前通过有效数字证书（CA认证锁）进行电子签章、加密，然后通过网络将加密的电子响应文件提交至广西政府采购云平台。</w:t>
      </w:r>
    </w:p>
    <w:p w14:paraId="2ADE883F">
      <w:pPr>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20.2未在规定时间内提交或者未按照谈判文件要求加密的电子响应文件，广西政府采购云平台将拒收。</w:t>
      </w:r>
    </w:p>
    <w:p w14:paraId="361DAD55">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B8F648E">
      <w:pPr>
        <w:snapToGrid w:val="0"/>
        <w:spacing w:line="360" w:lineRule="auto"/>
        <w:ind w:firstLine="420"/>
        <w:jc w:val="left"/>
        <w:rPr>
          <w:rFonts w:hint="eastAsia" w:ascii="宋体" w:hAnsi="宋体" w:cs="宋体"/>
          <w:color w:val="auto"/>
          <w:szCs w:val="21"/>
          <w:highlight w:val="none"/>
        </w:rPr>
      </w:pPr>
      <w:bookmarkStart w:id="68" w:name="_Toc254970684"/>
      <w:bookmarkStart w:id="69" w:name="_Toc254970543"/>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止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bCs/>
          <w:color w:val="auto"/>
          <w:szCs w:val="21"/>
          <w:highlight w:val="none"/>
        </w:rPr>
        <w:t>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进入“服务中心”中查看“电子响应文件制作与投送教程”）</w:t>
      </w:r>
    </w:p>
    <w:bookmarkEnd w:id="68"/>
    <w:bookmarkEnd w:id="69"/>
    <w:p w14:paraId="37116AC9">
      <w:pPr>
        <w:pStyle w:val="52"/>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323A7AA3">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22.响应文件的退回</w:t>
      </w:r>
    </w:p>
    <w:p w14:paraId="087F7B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1DC431F0">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23.截止时间后的撤回</w:t>
      </w:r>
    </w:p>
    <w:p w14:paraId="0ABC914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7F1E9A32">
      <w:pPr>
        <w:spacing w:line="360" w:lineRule="auto"/>
        <w:jc w:val="center"/>
        <w:rPr>
          <w:rFonts w:hint="eastAsia" w:ascii="宋体" w:hAnsi="宋体" w:cs="宋体"/>
          <w:b/>
          <w:color w:val="auto"/>
          <w:sz w:val="32"/>
          <w:szCs w:val="32"/>
          <w:highlight w:val="none"/>
        </w:rPr>
      </w:pPr>
    </w:p>
    <w:p w14:paraId="540E79F5">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4A69875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24.谈判小组成立</w:t>
      </w:r>
    </w:p>
    <w:p w14:paraId="4D79FE8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5C2761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6DCBDCD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40E54F6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25.首次响应文件的开启和解密</w:t>
      </w:r>
    </w:p>
    <w:p w14:paraId="3824B82E">
      <w:pPr>
        <w:spacing w:line="360" w:lineRule="auto"/>
        <w:ind w:firstLine="420"/>
        <w:rPr>
          <w:rFonts w:hint="eastAsia"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w:t>
      </w:r>
      <w:r>
        <w:rPr>
          <w:rFonts w:hint="eastAsia" w:ascii="宋体" w:hAnsi="宋体" w:cs="宋体"/>
          <w:bCs/>
          <w:color w:val="auto"/>
          <w:szCs w:val="21"/>
          <w:highlight w:val="none"/>
        </w:rPr>
        <w:t>广西政府采购云平台</w:t>
      </w:r>
      <w:r>
        <w:rPr>
          <w:rFonts w:hint="eastAsia" w:ascii="宋体" w:hAnsi="宋体" w:cs="宋体"/>
          <w:color w:val="auto"/>
          <w:highlight w:val="none"/>
        </w:rPr>
        <w:t>电子开标大厅签到，采购代理机构依托</w:t>
      </w:r>
      <w:r>
        <w:rPr>
          <w:rFonts w:hint="eastAsia" w:ascii="宋体" w:hAnsi="宋体" w:cs="宋体"/>
          <w:bCs/>
          <w:color w:val="auto"/>
          <w:szCs w:val="21"/>
          <w:highlight w:val="none"/>
        </w:rPr>
        <w:t>广西政府采购云平台</w:t>
      </w:r>
      <w:r>
        <w:rPr>
          <w:rFonts w:hint="eastAsia" w:ascii="宋体" w:hAnsi="宋体" w:cs="宋体"/>
          <w:color w:val="auto"/>
          <w:highlight w:val="none"/>
        </w:rPr>
        <w:t>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73BA7D4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26.评审程序和评定成交的标准</w:t>
      </w:r>
    </w:p>
    <w:p w14:paraId="5465BC7A">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26.1</w:t>
      </w:r>
      <w:r>
        <w:rPr>
          <w:rFonts w:hint="eastAsia" w:ascii="宋体" w:hAnsi="宋体" w:cs="宋体"/>
          <w:color w:val="auto"/>
          <w:highlight w:val="none"/>
        </w:rPr>
        <w:t>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5DFC758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39349FE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32E6D95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5D2D1E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（1）电子交易平台发生故障而无法登录访问的；</w:t>
      </w:r>
    </w:p>
    <w:p w14:paraId="26EF2F5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0F7A9C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7839A96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（4）病毒发作导致不能进行正常操作的；</w:t>
      </w:r>
    </w:p>
    <w:p w14:paraId="5724103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（5）其他无法保证电子交易的公平、公正和安全的情况。</w:t>
      </w:r>
    </w:p>
    <w:p w14:paraId="1D8F9C8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9757D0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B4A4B0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0C2D7BC7">
      <w:pPr>
        <w:pStyle w:val="9"/>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47F23D29">
      <w:pPr>
        <w:pStyle w:val="9"/>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33212CC1">
      <w:pPr>
        <w:pStyle w:val="9"/>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1ABEC04E">
      <w:pPr>
        <w:pStyle w:val="9"/>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22E44229">
      <w:pPr>
        <w:pStyle w:val="9"/>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（3）在采购过程中符合竞争要求的供应商或者报价未超过采购预算的供应商不足3家的，但“第四章评审程序和评定成交的标准”第3.7条规定的情形除外。</w:t>
      </w:r>
    </w:p>
    <w:p w14:paraId="29CADFDC">
      <w:pPr>
        <w:pStyle w:val="9"/>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66FAC0E7">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28.履约保证金</w:t>
      </w:r>
    </w:p>
    <w:p w14:paraId="3CC750C9">
      <w:pPr>
        <w:pStyle w:val="9"/>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4572F3F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28.2在履约保证金退还日期前，若成交供应商的开户名称、开户银行、账号有变动的，请以书面形式通知履约保证金收取单位，否则由此产生的后果由成交供应商自负。</w:t>
      </w:r>
    </w:p>
    <w:p w14:paraId="6605B5AC">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29.签订合同</w:t>
      </w:r>
    </w:p>
    <w:p w14:paraId="0417861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29.1签订电子采购合同：成交供应商获取电子成交通知书后，在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580DF54">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线下签订纸质合同：成交供应商获取成交通知书后，按“供应商须知前附表”规定向采购人出示相关证明材料，经采购人核验合格后方可签订合同。</w:t>
      </w:r>
    </w:p>
    <w:p w14:paraId="0C04565C">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D71CDC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1F03AA3">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680655E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561A853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52746F75">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57E4C05B">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30.政府采购合同公告</w:t>
      </w:r>
    </w:p>
    <w:p w14:paraId="7DB44F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95FB4E6">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31.询问、质疑和投诉</w:t>
      </w:r>
    </w:p>
    <w:p w14:paraId="37AB9420">
      <w:pPr>
        <w:pStyle w:val="6"/>
        <w:spacing w:after="120" w:line="360" w:lineRule="auto"/>
        <w:rPr>
          <w:rFonts w:hint="eastAsia"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4C5E6EC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DCCE2B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1822948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01A9815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5ED3050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60758A8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18505B4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DCB4EE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（2）质疑项目的名称、编号；</w:t>
      </w:r>
    </w:p>
    <w:p w14:paraId="5B9F852E">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1C5209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527EE88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（5）必要的法律依据；</w:t>
      </w:r>
    </w:p>
    <w:p w14:paraId="69ABC0C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（6）提出质疑的日期。</w:t>
      </w:r>
    </w:p>
    <w:p w14:paraId="7D0ECF6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C36B49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19BA3A7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8613FD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DA204C">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7C15E89C">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89A32D">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32.其他内容</w:t>
      </w:r>
    </w:p>
    <w:p w14:paraId="0E45F4F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32.1采购代理费支付方式、采购代理服务费收取标准及采购代理费收取银行账户：见“供应商须知前附表”。</w:t>
      </w:r>
    </w:p>
    <w:p w14:paraId="2CD2F501">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32.2采购代理服务费收取标准如下：</w:t>
      </w:r>
    </w:p>
    <w:tbl>
      <w:tblPr>
        <w:tblStyle w:val="25"/>
        <w:tblW w:w="87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13"/>
        <w:gridCol w:w="1774"/>
        <w:gridCol w:w="1638"/>
        <w:gridCol w:w="1653"/>
      </w:tblGrid>
      <w:tr w14:paraId="1A8E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tcPr>
          <w:p w14:paraId="340E0254">
            <w:pPr>
              <w:rPr>
                <w:rFonts w:hint="eastAsia" w:ascii="宋体" w:hAnsi="宋体" w:cs="宋体"/>
                <w:color w:val="auto"/>
                <w:szCs w:val="21"/>
                <w:highlight w:val="none"/>
              </w:rPr>
            </w:pPr>
            <w:r>
              <w:rPr>
                <w:rFonts w:hint="eastAsia" w:ascii="宋体" w:hAnsi="宋体" w:cs="宋体"/>
                <w:color w:val="auto"/>
                <w:szCs w:val="21"/>
                <w:highlight w:val="none"/>
              </w:rPr>
              <w:t xml:space="preserve">                         费率</w:t>
            </w:r>
          </w:p>
          <w:p w14:paraId="187C17A0">
            <w:pPr>
              <w:rPr>
                <w:rFonts w:hint="eastAsia" w:ascii="宋体" w:hAnsi="宋体" w:cs="宋体"/>
                <w:color w:val="auto"/>
                <w:szCs w:val="21"/>
                <w:highlight w:val="none"/>
              </w:rPr>
            </w:pPr>
            <w:r>
              <w:rPr>
                <w:rFonts w:hint="eastAsia" w:ascii="宋体" w:hAnsi="宋体" w:cs="宋体"/>
                <w:color w:val="auto"/>
                <w:szCs w:val="21"/>
                <w:highlight w:val="none"/>
              </w:rPr>
              <w:t>成交金额</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6BA3170F">
            <w:pPr>
              <w:jc w:val="center"/>
              <w:rPr>
                <w:rFonts w:hint="eastAsia" w:ascii="宋体" w:hAnsi="宋体" w:cs="宋体"/>
                <w:color w:val="auto"/>
                <w:highlight w:val="none"/>
              </w:rPr>
            </w:pPr>
            <w:r>
              <w:rPr>
                <w:rFonts w:hint="eastAsia" w:ascii="宋体" w:hAnsi="宋体" w:cs="宋体"/>
                <w:color w:val="auto"/>
                <w:highlight w:val="none"/>
              </w:rPr>
              <w:t>货物类</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6AB894A8">
            <w:pPr>
              <w:jc w:val="center"/>
              <w:rPr>
                <w:rFonts w:hint="eastAsia" w:ascii="宋体" w:hAnsi="宋体" w:cs="宋体"/>
                <w:color w:val="auto"/>
                <w:highlight w:val="none"/>
              </w:rPr>
            </w:pPr>
            <w:r>
              <w:rPr>
                <w:rFonts w:hint="eastAsia" w:ascii="宋体" w:hAnsi="宋体" w:cs="宋体"/>
                <w:color w:val="auto"/>
                <w:highlight w:val="none"/>
              </w:rPr>
              <w:t>服务类</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462BD4C3">
            <w:pPr>
              <w:jc w:val="center"/>
              <w:rPr>
                <w:rFonts w:hint="eastAsia" w:ascii="宋体" w:hAnsi="宋体" w:cs="宋体"/>
                <w:color w:val="auto"/>
                <w:highlight w:val="none"/>
              </w:rPr>
            </w:pPr>
            <w:r>
              <w:rPr>
                <w:rFonts w:hint="eastAsia" w:ascii="宋体" w:hAnsi="宋体" w:cs="宋体"/>
                <w:color w:val="auto"/>
                <w:highlight w:val="none"/>
              </w:rPr>
              <w:t>工程类</w:t>
            </w:r>
          </w:p>
        </w:tc>
      </w:tr>
      <w:tr w14:paraId="2B7D1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56AD1288">
            <w:pPr>
              <w:jc w:val="center"/>
              <w:rPr>
                <w:rFonts w:hint="eastAsia" w:ascii="宋体" w:hAnsi="宋体" w:cs="宋体"/>
                <w:color w:val="auto"/>
                <w:highlight w:val="none"/>
              </w:rPr>
            </w:pPr>
            <w:r>
              <w:rPr>
                <w:rFonts w:hint="eastAsia" w:ascii="宋体" w:hAnsi="宋体" w:cs="宋体"/>
                <w:color w:val="auto"/>
                <w:highlight w:val="none"/>
              </w:rPr>
              <w:t>100万元以下</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48ACC4B8">
            <w:pPr>
              <w:jc w:val="center"/>
              <w:rPr>
                <w:rFonts w:hint="eastAsia" w:ascii="宋体" w:hAnsi="宋体" w:cs="宋体"/>
                <w:color w:val="auto"/>
                <w:highlight w:val="none"/>
              </w:rPr>
            </w:pPr>
            <w:r>
              <w:rPr>
                <w:rFonts w:hint="eastAsia" w:ascii="宋体" w:hAnsi="宋体" w:cs="宋体"/>
                <w:color w:val="auto"/>
                <w:highlight w:val="none"/>
              </w:rPr>
              <w:t>1.5%</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2703B477">
            <w:pPr>
              <w:jc w:val="center"/>
              <w:rPr>
                <w:rFonts w:hint="eastAsia" w:ascii="宋体" w:hAnsi="宋体" w:cs="宋体"/>
                <w:color w:val="auto"/>
                <w:highlight w:val="none"/>
              </w:rPr>
            </w:pPr>
            <w:r>
              <w:rPr>
                <w:rFonts w:hint="eastAsia" w:ascii="宋体" w:hAnsi="宋体" w:cs="宋体"/>
                <w:color w:val="auto"/>
                <w:highlight w:val="none"/>
              </w:rPr>
              <w:t>1.5%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542F091A">
            <w:pPr>
              <w:jc w:val="center"/>
              <w:rPr>
                <w:rFonts w:hint="eastAsia" w:ascii="宋体" w:hAnsi="宋体" w:cs="宋体"/>
                <w:color w:val="auto"/>
                <w:highlight w:val="none"/>
              </w:rPr>
            </w:pPr>
            <w:r>
              <w:rPr>
                <w:rFonts w:hint="eastAsia" w:ascii="宋体" w:hAnsi="宋体" w:cs="宋体"/>
                <w:color w:val="auto"/>
                <w:highlight w:val="none"/>
              </w:rPr>
              <w:t>1.0%</w:t>
            </w:r>
          </w:p>
        </w:tc>
      </w:tr>
      <w:tr w14:paraId="60C31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79B7CC8C">
            <w:pPr>
              <w:jc w:val="center"/>
              <w:rPr>
                <w:rFonts w:hint="eastAsia" w:ascii="宋体" w:hAnsi="宋体" w:cs="宋体"/>
                <w:color w:val="auto"/>
                <w:highlight w:val="none"/>
              </w:rPr>
            </w:pPr>
            <w:r>
              <w:rPr>
                <w:rFonts w:hint="eastAsia" w:ascii="宋体" w:hAnsi="宋体" w:cs="宋体"/>
                <w:color w:val="auto"/>
                <w:highlight w:val="none"/>
              </w:rPr>
              <w:t>100万元～500万元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1B2EFFFD">
            <w:pPr>
              <w:jc w:val="center"/>
              <w:rPr>
                <w:rFonts w:hint="eastAsia" w:ascii="宋体" w:hAnsi="宋体" w:cs="宋体"/>
                <w:color w:val="auto"/>
                <w:highlight w:val="none"/>
              </w:rPr>
            </w:pPr>
            <w:r>
              <w:rPr>
                <w:rFonts w:hint="eastAsia" w:ascii="宋体" w:hAnsi="宋体" w:cs="宋体"/>
                <w:color w:val="auto"/>
                <w:highlight w:val="none"/>
              </w:rPr>
              <w:t>1.1%</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751F3A64">
            <w:pPr>
              <w:jc w:val="center"/>
              <w:rPr>
                <w:rFonts w:hint="eastAsia" w:ascii="宋体" w:hAnsi="宋体" w:cs="宋体"/>
                <w:color w:val="auto"/>
                <w:highlight w:val="none"/>
              </w:rPr>
            </w:pPr>
            <w:r>
              <w:rPr>
                <w:rFonts w:hint="eastAsia" w:ascii="宋体" w:hAnsi="宋体" w:cs="宋体"/>
                <w:color w:val="auto"/>
                <w:highlight w:val="none"/>
              </w:rPr>
              <w:t>0.8%</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4A0FF1FC">
            <w:pPr>
              <w:jc w:val="center"/>
              <w:rPr>
                <w:rFonts w:hint="eastAsia" w:ascii="宋体" w:hAnsi="宋体" w:cs="宋体"/>
                <w:color w:val="auto"/>
                <w:highlight w:val="none"/>
              </w:rPr>
            </w:pPr>
            <w:r>
              <w:rPr>
                <w:rFonts w:hint="eastAsia" w:ascii="宋体" w:hAnsi="宋体" w:cs="宋体"/>
                <w:color w:val="auto"/>
                <w:highlight w:val="none"/>
              </w:rPr>
              <w:t>0.7%</w:t>
            </w:r>
          </w:p>
        </w:tc>
      </w:tr>
      <w:tr w14:paraId="42C5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37DC850E">
            <w:pPr>
              <w:jc w:val="center"/>
              <w:rPr>
                <w:rFonts w:hint="eastAsia" w:ascii="宋体" w:hAnsi="宋体" w:cs="宋体"/>
                <w:color w:val="auto"/>
                <w:highlight w:val="none"/>
              </w:rPr>
            </w:pPr>
            <w:r>
              <w:rPr>
                <w:rFonts w:hint="eastAsia" w:ascii="宋体" w:hAnsi="宋体" w:cs="宋体"/>
                <w:color w:val="auto"/>
                <w:highlight w:val="none"/>
              </w:rPr>
              <w:t>500万元～1000万元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21E93AC9">
            <w:pPr>
              <w:jc w:val="center"/>
              <w:rPr>
                <w:rFonts w:hint="eastAsia" w:ascii="宋体" w:hAnsi="宋体" w:cs="宋体"/>
                <w:color w:val="auto"/>
                <w:highlight w:val="none"/>
              </w:rPr>
            </w:pPr>
            <w:r>
              <w:rPr>
                <w:rFonts w:hint="eastAsia" w:ascii="宋体" w:hAnsi="宋体" w:cs="宋体"/>
                <w:color w:val="auto"/>
                <w:highlight w:val="none"/>
              </w:rPr>
              <w:t>0.8%</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0B80FC8D">
            <w:pPr>
              <w:jc w:val="center"/>
              <w:rPr>
                <w:rFonts w:hint="eastAsia" w:ascii="宋体" w:hAnsi="宋体" w:cs="宋体"/>
                <w:color w:val="auto"/>
                <w:highlight w:val="none"/>
              </w:rPr>
            </w:pPr>
            <w:r>
              <w:rPr>
                <w:rFonts w:hint="eastAsia" w:ascii="宋体" w:hAnsi="宋体" w:cs="宋体"/>
                <w:color w:val="auto"/>
                <w:highlight w:val="none"/>
              </w:rPr>
              <w:t>0.45%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6E65644B">
            <w:pPr>
              <w:jc w:val="center"/>
              <w:rPr>
                <w:rFonts w:hint="eastAsia" w:ascii="宋体" w:hAnsi="宋体" w:cs="宋体"/>
                <w:color w:val="auto"/>
                <w:highlight w:val="none"/>
              </w:rPr>
            </w:pPr>
            <w:r>
              <w:rPr>
                <w:rFonts w:hint="eastAsia" w:ascii="宋体" w:hAnsi="宋体" w:cs="宋体"/>
                <w:color w:val="auto"/>
                <w:highlight w:val="none"/>
              </w:rPr>
              <w:t>0.55%</w:t>
            </w:r>
          </w:p>
        </w:tc>
      </w:tr>
      <w:tr w14:paraId="546F9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2D927B52">
            <w:pPr>
              <w:jc w:val="center"/>
              <w:rPr>
                <w:rFonts w:hint="eastAsia" w:ascii="宋体" w:hAnsi="宋体" w:cs="宋体"/>
                <w:color w:val="auto"/>
                <w:highlight w:val="none"/>
              </w:rPr>
            </w:pPr>
            <w:r>
              <w:rPr>
                <w:rFonts w:hint="eastAsia" w:ascii="宋体" w:hAnsi="宋体" w:cs="宋体"/>
                <w:color w:val="auto"/>
                <w:highlight w:val="none"/>
              </w:rPr>
              <w:t>1000万元～5000万元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6791C091">
            <w:pPr>
              <w:jc w:val="center"/>
              <w:rPr>
                <w:rFonts w:hint="eastAsia" w:ascii="宋体" w:hAnsi="宋体" w:cs="宋体"/>
                <w:color w:val="auto"/>
                <w:highlight w:val="none"/>
              </w:rPr>
            </w:pPr>
            <w:r>
              <w:rPr>
                <w:rFonts w:hint="eastAsia" w:ascii="宋体" w:hAnsi="宋体" w:cs="宋体"/>
                <w:color w:val="auto"/>
                <w:highlight w:val="none"/>
              </w:rPr>
              <w:t>0.5%</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5D957B54">
            <w:pPr>
              <w:jc w:val="center"/>
              <w:rPr>
                <w:rFonts w:hint="eastAsia" w:ascii="宋体" w:hAnsi="宋体" w:cs="宋体"/>
                <w:color w:val="auto"/>
                <w:highlight w:val="none"/>
              </w:rPr>
            </w:pPr>
            <w:r>
              <w:rPr>
                <w:rFonts w:hint="eastAsia" w:ascii="宋体" w:hAnsi="宋体" w:cs="宋体"/>
                <w:color w:val="auto"/>
                <w:highlight w:val="none"/>
              </w:rPr>
              <w:t>0.25%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4AA91AA2">
            <w:pPr>
              <w:jc w:val="center"/>
              <w:rPr>
                <w:rFonts w:hint="eastAsia" w:ascii="宋体" w:hAnsi="宋体" w:cs="宋体"/>
                <w:color w:val="auto"/>
                <w:highlight w:val="none"/>
              </w:rPr>
            </w:pPr>
            <w:r>
              <w:rPr>
                <w:rFonts w:hint="eastAsia" w:ascii="宋体" w:hAnsi="宋体" w:cs="宋体"/>
                <w:color w:val="auto"/>
                <w:highlight w:val="none"/>
              </w:rPr>
              <w:t>0.35%</w:t>
            </w:r>
          </w:p>
        </w:tc>
      </w:tr>
      <w:tr w14:paraId="63FCB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59554B36">
            <w:pPr>
              <w:jc w:val="center"/>
              <w:rPr>
                <w:rFonts w:hint="eastAsia" w:ascii="宋体" w:hAnsi="宋体" w:cs="宋体"/>
                <w:color w:val="auto"/>
                <w:highlight w:val="none"/>
              </w:rPr>
            </w:pPr>
            <w:r>
              <w:rPr>
                <w:rFonts w:hint="eastAsia" w:ascii="宋体" w:hAnsi="宋体" w:cs="宋体"/>
                <w:color w:val="auto"/>
                <w:highlight w:val="none"/>
              </w:rPr>
              <w:t>5000万元～1亿元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3833339B">
            <w:pPr>
              <w:jc w:val="center"/>
              <w:rPr>
                <w:rFonts w:hint="eastAsia" w:ascii="宋体" w:hAnsi="宋体" w:cs="宋体"/>
                <w:color w:val="auto"/>
                <w:highlight w:val="none"/>
              </w:rPr>
            </w:pPr>
            <w:r>
              <w:rPr>
                <w:rFonts w:hint="eastAsia" w:ascii="宋体" w:hAnsi="宋体" w:cs="宋体"/>
                <w:color w:val="auto"/>
                <w:highlight w:val="none"/>
              </w:rPr>
              <w:t>0.25%</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1F4F84BF">
            <w:pPr>
              <w:jc w:val="center"/>
              <w:rPr>
                <w:rFonts w:hint="eastAsia" w:ascii="宋体" w:hAnsi="宋体" w:cs="宋体"/>
                <w:color w:val="auto"/>
                <w:highlight w:val="none"/>
              </w:rPr>
            </w:pPr>
            <w:r>
              <w:rPr>
                <w:rFonts w:hint="eastAsia" w:ascii="宋体" w:hAnsi="宋体" w:cs="宋体"/>
                <w:color w:val="auto"/>
                <w:highlight w:val="none"/>
              </w:rPr>
              <w:t>0.1%</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48A45925">
            <w:pPr>
              <w:jc w:val="center"/>
              <w:rPr>
                <w:rFonts w:hint="eastAsia" w:ascii="宋体" w:hAnsi="宋体" w:cs="宋体"/>
                <w:color w:val="auto"/>
                <w:highlight w:val="none"/>
              </w:rPr>
            </w:pPr>
            <w:r>
              <w:rPr>
                <w:rFonts w:hint="eastAsia" w:ascii="宋体" w:hAnsi="宋体" w:cs="宋体"/>
                <w:color w:val="auto"/>
                <w:highlight w:val="none"/>
              </w:rPr>
              <w:t>0.2%</w:t>
            </w:r>
          </w:p>
        </w:tc>
      </w:tr>
      <w:tr w14:paraId="7A09B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722146B6">
            <w:pPr>
              <w:jc w:val="center"/>
              <w:rPr>
                <w:rFonts w:hint="eastAsia" w:ascii="宋体" w:hAnsi="宋体" w:cs="宋体"/>
                <w:color w:val="auto"/>
                <w:highlight w:val="none"/>
              </w:rPr>
            </w:pPr>
            <w:r>
              <w:rPr>
                <w:rFonts w:hint="eastAsia" w:ascii="宋体" w:hAnsi="宋体" w:cs="宋体"/>
                <w:color w:val="auto"/>
                <w:highlight w:val="none"/>
              </w:rPr>
              <w:t>1亿元～5亿元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01A2B765">
            <w:pPr>
              <w:jc w:val="center"/>
              <w:rPr>
                <w:rFonts w:hint="eastAsia" w:ascii="宋体" w:hAnsi="宋体" w:cs="宋体"/>
                <w:color w:val="auto"/>
                <w:highlight w:val="none"/>
              </w:rPr>
            </w:pPr>
            <w:r>
              <w:rPr>
                <w:rFonts w:hint="eastAsia" w:ascii="宋体" w:hAnsi="宋体" w:cs="宋体"/>
                <w:color w:val="auto"/>
                <w:highlight w:val="none"/>
              </w:rPr>
              <w:t>0.05%</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5A625A28">
            <w:pPr>
              <w:jc w:val="center"/>
              <w:rPr>
                <w:rFonts w:hint="eastAsia" w:ascii="宋体" w:hAnsi="宋体" w:cs="宋体"/>
                <w:color w:val="auto"/>
                <w:highlight w:val="none"/>
              </w:rPr>
            </w:pPr>
            <w:r>
              <w:rPr>
                <w:rFonts w:hint="eastAsia" w:ascii="宋体" w:hAnsi="宋体" w:cs="宋体"/>
                <w:color w:val="auto"/>
                <w:highlight w:val="none"/>
              </w:rPr>
              <w:t>0.05%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0A29A0C7">
            <w:pPr>
              <w:jc w:val="center"/>
              <w:rPr>
                <w:rFonts w:hint="eastAsia" w:ascii="宋体" w:hAnsi="宋体" w:cs="宋体"/>
                <w:color w:val="auto"/>
                <w:highlight w:val="none"/>
              </w:rPr>
            </w:pPr>
            <w:r>
              <w:rPr>
                <w:rFonts w:hint="eastAsia" w:ascii="宋体" w:hAnsi="宋体" w:cs="宋体"/>
                <w:color w:val="auto"/>
                <w:highlight w:val="none"/>
              </w:rPr>
              <w:t>0.05%</w:t>
            </w:r>
          </w:p>
        </w:tc>
      </w:tr>
      <w:tr w14:paraId="0B507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6170CDFC">
            <w:pPr>
              <w:jc w:val="center"/>
              <w:rPr>
                <w:rFonts w:hint="eastAsia" w:ascii="宋体" w:hAnsi="宋体" w:cs="宋体"/>
                <w:color w:val="auto"/>
                <w:highlight w:val="none"/>
              </w:rPr>
            </w:pPr>
            <w:r>
              <w:rPr>
                <w:rFonts w:hint="eastAsia" w:ascii="宋体" w:hAnsi="宋体" w:cs="宋体"/>
                <w:color w:val="auto"/>
                <w:highlight w:val="none"/>
              </w:rPr>
              <w:t>5亿元～10亿元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3F9B1D6E">
            <w:pPr>
              <w:jc w:val="center"/>
              <w:rPr>
                <w:rFonts w:hint="eastAsia" w:ascii="宋体" w:hAnsi="宋体" w:cs="宋体"/>
                <w:color w:val="auto"/>
                <w:highlight w:val="none"/>
              </w:rPr>
            </w:pPr>
            <w:r>
              <w:rPr>
                <w:rFonts w:hint="eastAsia" w:ascii="宋体" w:hAnsi="宋体" w:cs="宋体"/>
                <w:color w:val="auto"/>
                <w:highlight w:val="none"/>
              </w:rPr>
              <w:t>0.035%</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3CC4D97B">
            <w:pPr>
              <w:jc w:val="center"/>
              <w:rPr>
                <w:rFonts w:hint="eastAsia" w:ascii="宋体" w:hAnsi="宋体" w:cs="宋体"/>
                <w:color w:val="auto"/>
                <w:highlight w:val="none"/>
              </w:rPr>
            </w:pPr>
            <w:r>
              <w:rPr>
                <w:rFonts w:hint="eastAsia" w:ascii="宋体" w:hAnsi="宋体" w:cs="宋体"/>
                <w:color w:val="auto"/>
                <w:highlight w:val="none"/>
              </w:rPr>
              <w:t>0.035%</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66D81953">
            <w:pPr>
              <w:jc w:val="center"/>
              <w:rPr>
                <w:rFonts w:hint="eastAsia" w:ascii="宋体" w:hAnsi="宋体" w:cs="宋体"/>
                <w:color w:val="auto"/>
                <w:highlight w:val="none"/>
              </w:rPr>
            </w:pPr>
            <w:r>
              <w:rPr>
                <w:rFonts w:hint="eastAsia" w:ascii="宋体" w:hAnsi="宋体" w:cs="宋体"/>
                <w:color w:val="auto"/>
                <w:highlight w:val="none"/>
              </w:rPr>
              <w:t>0.035%</w:t>
            </w:r>
          </w:p>
        </w:tc>
      </w:tr>
      <w:tr w14:paraId="00FE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28E27F36">
            <w:pPr>
              <w:jc w:val="center"/>
              <w:rPr>
                <w:rFonts w:hint="eastAsia" w:ascii="宋体" w:hAnsi="宋体" w:cs="宋体"/>
                <w:color w:val="auto"/>
                <w:highlight w:val="none"/>
              </w:rPr>
            </w:pPr>
            <w:r>
              <w:rPr>
                <w:rFonts w:hint="eastAsia" w:ascii="宋体" w:hAnsi="宋体" w:cs="宋体"/>
                <w:color w:val="auto"/>
                <w:highlight w:val="none"/>
              </w:rPr>
              <w:t>10亿元～50亿元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1436F3DE">
            <w:pPr>
              <w:jc w:val="center"/>
              <w:rPr>
                <w:rFonts w:hint="eastAsia" w:ascii="宋体" w:hAnsi="宋体" w:cs="宋体"/>
                <w:color w:val="auto"/>
                <w:highlight w:val="none"/>
              </w:rPr>
            </w:pPr>
            <w:r>
              <w:rPr>
                <w:rFonts w:hint="eastAsia" w:ascii="宋体" w:hAnsi="宋体" w:cs="宋体"/>
                <w:color w:val="auto"/>
                <w:highlight w:val="none"/>
              </w:rPr>
              <w:t>0.008%</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1B36366F">
            <w:pPr>
              <w:jc w:val="center"/>
              <w:rPr>
                <w:rFonts w:hint="eastAsia" w:ascii="宋体" w:hAnsi="宋体" w:cs="宋体"/>
                <w:color w:val="auto"/>
                <w:highlight w:val="none"/>
              </w:rPr>
            </w:pPr>
            <w:r>
              <w:rPr>
                <w:rFonts w:hint="eastAsia" w:ascii="宋体" w:hAnsi="宋体" w:cs="宋体"/>
                <w:color w:val="auto"/>
                <w:highlight w:val="none"/>
              </w:rPr>
              <w:t>0.008%</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09D30F4D">
            <w:pPr>
              <w:jc w:val="center"/>
              <w:rPr>
                <w:rFonts w:hint="eastAsia" w:ascii="宋体" w:hAnsi="宋体" w:cs="宋体"/>
                <w:color w:val="auto"/>
                <w:highlight w:val="none"/>
              </w:rPr>
            </w:pPr>
            <w:r>
              <w:rPr>
                <w:rFonts w:hint="eastAsia" w:ascii="宋体" w:hAnsi="宋体" w:cs="宋体"/>
                <w:color w:val="auto"/>
                <w:highlight w:val="none"/>
              </w:rPr>
              <w:t>0.008%</w:t>
            </w:r>
          </w:p>
        </w:tc>
      </w:tr>
      <w:tr w14:paraId="67D92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48591FB4">
            <w:pPr>
              <w:jc w:val="center"/>
              <w:rPr>
                <w:rFonts w:hint="eastAsia" w:ascii="宋体" w:hAnsi="宋体" w:cs="宋体"/>
                <w:color w:val="auto"/>
                <w:highlight w:val="none"/>
              </w:rPr>
            </w:pPr>
            <w:r>
              <w:rPr>
                <w:rFonts w:hint="eastAsia" w:ascii="宋体" w:hAnsi="宋体" w:cs="宋体"/>
                <w:color w:val="auto"/>
                <w:highlight w:val="none"/>
              </w:rPr>
              <w:t>50亿元～100亿元</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1E222106">
            <w:pPr>
              <w:jc w:val="center"/>
              <w:rPr>
                <w:rFonts w:hint="eastAsia" w:ascii="宋体" w:hAnsi="宋体" w:cs="宋体"/>
                <w:color w:val="auto"/>
                <w:highlight w:val="none"/>
              </w:rPr>
            </w:pPr>
            <w:r>
              <w:rPr>
                <w:rFonts w:hint="eastAsia" w:ascii="宋体" w:hAnsi="宋体" w:cs="宋体"/>
                <w:color w:val="auto"/>
                <w:highlight w:val="none"/>
              </w:rPr>
              <w:t>0.006%</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1E599FF3">
            <w:pPr>
              <w:jc w:val="center"/>
              <w:rPr>
                <w:rFonts w:hint="eastAsia" w:ascii="宋体" w:hAnsi="宋体" w:cs="宋体"/>
                <w:color w:val="auto"/>
                <w:highlight w:val="none"/>
              </w:rPr>
            </w:pPr>
            <w:r>
              <w:rPr>
                <w:rFonts w:hint="eastAsia" w:ascii="宋体" w:hAnsi="宋体" w:cs="宋体"/>
                <w:color w:val="auto"/>
                <w:highlight w:val="none"/>
              </w:rPr>
              <w:t>0.006%</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6F59ECAA">
            <w:pPr>
              <w:jc w:val="center"/>
              <w:rPr>
                <w:rFonts w:hint="eastAsia" w:ascii="宋体" w:hAnsi="宋体" w:cs="宋体"/>
                <w:color w:val="auto"/>
                <w:highlight w:val="none"/>
              </w:rPr>
            </w:pPr>
            <w:r>
              <w:rPr>
                <w:rFonts w:hint="eastAsia" w:ascii="宋体" w:hAnsi="宋体" w:cs="宋体"/>
                <w:color w:val="auto"/>
                <w:highlight w:val="none"/>
              </w:rPr>
              <w:t>0.006%</w:t>
            </w:r>
          </w:p>
        </w:tc>
      </w:tr>
      <w:tr w14:paraId="1AFF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713" w:type="dxa"/>
            <w:tcBorders>
              <w:top w:val="single" w:color="auto" w:sz="4" w:space="0"/>
              <w:left w:val="single" w:color="auto" w:sz="4" w:space="0"/>
              <w:bottom w:val="single" w:color="auto" w:sz="4" w:space="0"/>
              <w:right w:val="single" w:color="auto" w:sz="4" w:space="0"/>
              <w:tl2br w:val="nil"/>
              <w:tr2bl w:val="nil"/>
            </w:tcBorders>
            <w:vAlign w:val="center"/>
          </w:tcPr>
          <w:p w14:paraId="110F461A">
            <w:pPr>
              <w:jc w:val="center"/>
              <w:rPr>
                <w:rFonts w:hint="eastAsia" w:ascii="宋体" w:hAnsi="宋体" w:cs="宋体"/>
                <w:color w:val="auto"/>
                <w:highlight w:val="none"/>
              </w:rPr>
            </w:pPr>
            <w:r>
              <w:rPr>
                <w:rFonts w:hint="eastAsia" w:ascii="宋体" w:hAnsi="宋体" w:cs="宋体"/>
                <w:color w:val="auto"/>
                <w:highlight w:val="none"/>
              </w:rPr>
              <w:t>100亿以上</w:t>
            </w:r>
          </w:p>
        </w:tc>
        <w:tc>
          <w:tcPr>
            <w:tcW w:w="1774" w:type="dxa"/>
            <w:tcBorders>
              <w:top w:val="single" w:color="auto" w:sz="4" w:space="0"/>
              <w:left w:val="single" w:color="auto" w:sz="4" w:space="0"/>
              <w:bottom w:val="single" w:color="auto" w:sz="4" w:space="0"/>
              <w:right w:val="single" w:color="auto" w:sz="4" w:space="0"/>
              <w:tl2br w:val="nil"/>
              <w:tr2bl w:val="nil"/>
            </w:tcBorders>
            <w:vAlign w:val="center"/>
          </w:tcPr>
          <w:p w14:paraId="1201177C">
            <w:pPr>
              <w:jc w:val="center"/>
              <w:rPr>
                <w:rFonts w:hint="eastAsia" w:ascii="宋体" w:hAnsi="宋体" w:cs="宋体"/>
                <w:color w:val="auto"/>
                <w:highlight w:val="none"/>
              </w:rPr>
            </w:pPr>
            <w:r>
              <w:rPr>
                <w:rFonts w:hint="eastAsia" w:ascii="宋体" w:hAnsi="宋体" w:cs="宋体"/>
                <w:color w:val="auto"/>
                <w:highlight w:val="none"/>
              </w:rPr>
              <w:t>0.004%</w:t>
            </w:r>
          </w:p>
        </w:tc>
        <w:tc>
          <w:tcPr>
            <w:tcW w:w="1638" w:type="dxa"/>
            <w:tcBorders>
              <w:top w:val="single" w:color="auto" w:sz="4" w:space="0"/>
              <w:left w:val="single" w:color="auto" w:sz="4" w:space="0"/>
              <w:bottom w:val="single" w:color="auto" w:sz="4" w:space="0"/>
              <w:right w:val="single" w:color="auto" w:sz="4" w:space="0"/>
              <w:tl2br w:val="nil"/>
              <w:tr2bl w:val="nil"/>
            </w:tcBorders>
            <w:vAlign w:val="center"/>
          </w:tcPr>
          <w:p w14:paraId="4EEEA0D3">
            <w:pPr>
              <w:jc w:val="center"/>
              <w:rPr>
                <w:rFonts w:hint="eastAsia" w:ascii="宋体" w:hAnsi="宋体" w:cs="宋体"/>
                <w:color w:val="auto"/>
                <w:highlight w:val="none"/>
              </w:rPr>
            </w:pPr>
            <w:r>
              <w:rPr>
                <w:rFonts w:hint="eastAsia" w:ascii="宋体" w:hAnsi="宋体" w:cs="宋体"/>
                <w:color w:val="auto"/>
                <w:highlight w:val="none"/>
              </w:rPr>
              <w:t>0.004%</w:t>
            </w:r>
          </w:p>
        </w:tc>
        <w:tc>
          <w:tcPr>
            <w:tcW w:w="1653" w:type="dxa"/>
            <w:tcBorders>
              <w:top w:val="single" w:color="auto" w:sz="4" w:space="0"/>
              <w:left w:val="single" w:color="auto" w:sz="4" w:space="0"/>
              <w:bottom w:val="single" w:color="auto" w:sz="4" w:space="0"/>
              <w:right w:val="single" w:color="auto" w:sz="4" w:space="0"/>
              <w:tl2br w:val="nil"/>
              <w:tr2bl w:val="nil"/>
            </w:tcBorders>
            <w:vAlign w:val="center"/>
          </w:tcPr>
          <w:p w14:paraId="339CA202">
            <w:pPr>
              <w:jc w:val="center"/>
              <w:rPr>
                <w:rFonts w:hint="eastAsia" w:ascii="宋体" w:hAnsi="宋体" w:cs="宋体"/>
                <w:color w:val="auto"/>
                <w:highlight w:val="none"/>
              </w:rPr>
            </w:pPr>
            <w:r>
              <w:rPr>
                <w:rFonts w:hint="eastAsia" w:ascii="宋体" w:hAnsi="宋体" w:cs="宋体"/>
                <w:color w:val="auto"/>
                <w:highlight w:val="none"/>
              </w:rPr>
              <w:t>0.004%</w:t>
            </w:r>
          </w:p>
        </w:tc>
      </w:tr>
    </w:tbl>
    <w:p w14:paraId="694DD5EA">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 xml:space="preserve">注： </w:t>
      </w:r>
    </w:p>
    <w:p w14:paraId="6A146FCF">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2D12576E">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（2）采购代理收费按差额定率累进法计算。</w:t>
      </w:r>
    </w:p>
    <w:p w14:paraId="33B0DAC6">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22C5A02B">
      <w:pPr>
        <w:tabs>
          <w:tab w:val="left" w:pos="2835"/>
        </w:tabs>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100 万元 ×l.5 %＝ 1.5 （万元）</w:t>
      </w:r>
    </w:p>
    <w:p w14:paraId="129E5AFB">
      <w:pPr>
        <w:tabs>
          <w:tab w:val="left" w:pos="2835"/>
        </w:tabs>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（150 －100）万元 ×1.1%＝ 0.55 （万元）</w:t>
      </w:r>
    </w:p>
    <w:p w14:paraId="6014FBFD">
      <w:pPr>
        <w:tabs>
          <w:tab w:val="left" w:pos="2835"/>
        </w:tabs>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合计收费基准价格＝ 1.5 ＋ 0.55＝ 2.05 （万元）</w:t>
      </w:r>
    </w:p>
    <w:p w14:paraId="20140A94">
      <w:pPr>
        <w:tabs>
          <w:tab w:val="left" w:pos="2835"/>
        </w:tabs>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以收费基准价格下浮40%=2.05×（1-40%）=1.23（万元）</w:t>
      </w:r>
    </w:p>
    <w:p w14:paraId="3BE6984C">
      <w:pPr>
        <w:spacing w:line="360" w:lineRule="exact"/>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33.需要补充的其他内容</w:t>
      </w:r>
    </w:p>
    <w:p w14:paraId="186D6EDC">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33.1本谈判文件解释规则详见“供应商须知前附表”。</w:t>
      </w:r>
    </w:p>
    <w:p w14:paraId="394299D5">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33.2 其他事项详见“供应商须知前附表”。</w:t>
      </w:r>
    </w:p>
    <w:p w14:paraId="4B1444CA">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33.3</w:t>
      </w:r>
      <w:bookmarkStart w:id="70" w:name="_Hlk65857140"/>
      <w:r>
        <w:rPr>
          <w:rFonts w:hint="eastAsia" w:ascii="宋体" w:hAnsi="宋体" w:cs="宋体"/>
          <w:color w:val="auto"/>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639FCD00">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4886E1E">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（2）在工程采购项目中，工程由中小企业承建，即工程施工单位为中小企业，不对其中涉及的货物的制造商和服务的承接商作出要求；</w:t>
      </w:r>
    </w:p>
    <w:p w14:paraId="00F524B5">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578DE2E2">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7945DB9B">
      <w:pPr>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70"/>
    </w:p>
    <w:p w14:paraId="0806B702">
      <w:pPr>
        <w:widowControl/>
        <w:jc w:val="left"/>
        <w:rPr>
          <w:rFonts w:hint="eastAsia" w:ascii="宋体" w:hAnsi="宋体" w:cs="宋体"/>
          <w:b/>
          <w:bCs/>
          <w:color w:val="auto"/>
          <w:sz w:val="24"/>
          <w:highlight w:val="none"/>
        </w:rPr>
      </w:pPr>
      <w:r>
        <w:rPr>
          <w:rFonts w:hint="eastAsia" w:ascii="宋体" w:hAnsi="宋体" w:cs="宋体"/>
          <w:b/>
          <w:bCs/>
          <w:color w:val="auto"/>
          <w:sz w:val="24"/>
          <w:highlight w:val="none"/>
        </w:rPr>
        <w:br w:type="page"/>
      </w:r>
    </w:p>
    <w:p w14:paraId="04A77836">
      <w:pPr>
        <w:spacing w:line="360" w:lineRule="auto"/>
        <w:ind w:firstLine="482" w:firstLineChars="200"/>
        <w:rPr>
          <w:rFonts w:hint="eastAsia" w:ascii="宋体" w:hAnsi="宋体" w:cs="宋体"/>
          <w:color w:val="auto"/>
          <w:highlight w:val="none"/>
        </w:rPr>
      </w:pPr>
      <w:r>
        <w:rPr>
          <w:rFonts w:hint="eastAsia"/>
          <w:b/>
          <w:color w:val="auto"/>
          <w:sz w:val="24"/>
          <w:highlight w:val="none"/>
        </w:rPr>
        <w:t>附</w:t>
      </w:r>
      <w:r>
        <w:rPr>
          <w:rFonts w:hint="eastAsia" w:asciiTheme="minorEastAsia" w:hAnsiTheme="minorEastAsia" w:eastAsiaTheme="minorEastAsia"/>
          <w:b/>
          <w:color w:val="auto"/>
          <w:sz w:val="24"/>
          <w:highlight w:val="none"/>
        </w:rPr>
        <w:t>表1</w:t>
      </w:r>
      <w:r>
        <w:rPr>
          <w:rFonts w:hint="eastAsia"/>
          <w:b/>
          <w:color w:val="auto"/>
          <w:sz w:val="24"/>
          <w:highlight w:val="none"/>
        </w:rPr>
        <w:t>：</w:t>
      </w:r>
    </w:p>
    <w:p w14:paraId="27BB50BD">
      <w:pPr>
        <w:spacing w:line="360" w:lineRule="auto"/>
        <w:ind w:left="25" w:leftChars="12" w:firstLine="472" w:firstLineChars="147"/>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58152113">
      <w:pPr>
        <w:pStyle w:val="11"/>
        <w:rPr>
          <w:color w:val="auto"/>
          <w:highlight w:val="none"/>
        </w:rPr>
      </w:pPr>
    </w:p>
    <w:p w14:paraId="3DA2BB81">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 xml:space="preserve">采购合同编号：      </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25"/>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B0E4A25">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27002965">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4C40BFE3">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w:t>
            </w:r>
            <w:r>
              <w:rPr>
                <w:rFonts w:hint="eastAsia" w:ascii="Verdana" w:hAnsi="Verdana" w:cs="宋体"/>
                <w:color w:val="auto"/>
                <w:kern w:val="0"/>
                <w:szCs w:val="21"/>
                <w:highlight w:val="none"/>
              </w:rPr>
              <w:t>自行验收</w:t>
            </w:r>
            <w:r>
              <w:rPr>
                <w:rFonts w:ascii="Verdana" w:hAnsi="Verdana" w:cs="宋体"/>
                <w:color w:val="auto"/>
                <w:kern w:val="0"/>
                <w:szCs w:val="21"/>
                <w:highlight w:val="none"/>
              </w:rPr>
              <w:t xml:space="preserve"> □</w:t>
            </w:r>
            <w:r>
              <w:rPr>
                <w:rFonts w:hint="eastAsia" w:ascii="Verdana" w:hAnsi="Verdana" w:cs="宋体"/>
                <w:color w:val="auto"/>
                <w:kern w:val="0"/>
                <w:szCs w:val="21"/>
                <w:highlight w:val="none"/>
              </w:rPr>
              <w:t>委托验收</w:t>
            </w:r>
          </w:p>
        </w:tc>
      </w:tr>
      <w:tr w14:paraId="62EA2F05">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1E3F4FC0">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DE33836">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10F06A0E">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72214711">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01B048E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金额</w:t>
            </w:r>
          </w:p>
        </w:tc>
      </w:tr>
      <w:tr w14:paraId="7418AFCB">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D1AAFE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3DA2C26">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3DC6660">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950500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91B36F9">
            <w:pPr>
              <w:widowControl/>
              <w:spacing w:before="100" w:beforeAutospacing="1" w:after="100" w:afterAutospacing="1" w:line="240" w:lineRule="atLeast"/>
              <w:jc w:val="center"/>
              <w:rPr>
                <w:rFonts w:ascii="Verdana" w:hAnsi="Verdana" w:cs="宋体"/>
                <w:color w:val="auto"/>
                <w:kern w:val="0"/>
                <w:szCs w:val="21"/>
                <w:highlight w:val="none"/>
              </w:rPr>
            </w:pPr>
          </w:p>
        </w:tc>
      </w:tr>
      <w:tr w14:paraId="16E40CB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721CE791">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9ECAA5F">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6750F2B9">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77C98D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200770C">
            <w:pPr>
              <w:widowControl/>
              <w:spacing w:before="100" w:beforeAutospacing="1" w:after="100" w:afterAutospacing="1" w:line="240" w:lineRule="atLeast"/>
              <w:jc w:val="center"/>
              <w:rPr>
                <w:rFonts w:ascii="Verdana" w:hAnsi="Verdana" w:cs="宋体"/>
                <w:color w:val="auto"/>
                <w:kern w:val="0"/>
                <w:szCs w:val="21"/>
                <w:highlight w:val="none"/>
              </w:rPr>
            </w:pPr>
          </w:p>
        </w:tc>
      </w:tr>
      <w:tr w14:paraId="08A48FF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45C94810">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55DE5764">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4DCB7F67">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2E377B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B74BDDD">
            <w:pPr>
              <w:widowControl/>
              <w:spacing w:before="100" w:beforeAutospacing="1" w:after="100" w:afterAutospacing="1" w:line="240" w:lineRule="atLeast"/>
              <w:jc w:val="center"/>
              <w:rPr>
                <w:rFonts w:ascii="Verdana" w:hAnsi="Verdana" w:cs="宋体"/>
                <w:color w:val="auto"/>
                <w:kern w:val="0"/>
                <w:szCs w:val="21"/>
                <w:highlight w:val="none"/>
              </w:rPr>
            </w:pPr>
          </w:p>
        </w:tc>
      </w:tr>
      <w:tr w14:paraId="31AF1253">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C33D7EA">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hint="eastAsia" w:ascii="Verdana" w:hAnsi="Verdana" w:cs="宋体"/>
                <w:color w:val="auto"/>
                <w:kern w:val="0"/>
                <w:szCs w:val="21"/>
                <w:highlight w:val="none"/>
              </w:rPr>
              <w:t>合计</w:t>
            </w:r>
          </w:p>
        </w:tc>
        <w:tc>
          <w:tcPr>
            <w:tcW w:w="863" w:type="dxa"/>
            <w:gridSpan w:val="2"/>
            <w:tcBorders>
              <w:top w:val="nil"/>
              <w:left w:val="nil"/>
              <w:bottom w:val="single" w:color="auto" w:sz="8" w:space="0"/>
              <w:right w:val="single" w:color="auto" w:sz="8" w:space="0"/>
            </w:tcBorders>
            <w:vAlign w:val="center"/>
          </w:tcPr>
          <w:p w14:paraId="5BEEF60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961A2CA">
            <w:pPr>
              <w:widowControl/>
              <w:spacing w:before="100" w:beforeAutospacing="1" w:after="100" w:afterAutospacing="1" w:line="240" w:lineRule="atLeast"/>
              <w:jc w:val="center"/>
              <w:rPr>
                <w:rFonts w:ascii="Verdana" w:hAnsi="Verdana" w:cs="宋体"/>
                <w:color w:val="auto"/>
                <w:kern w:val="0"/>
                <w:szCs w:val="21"/>
                <w:highlight w:val="none"/>
              </w:rPr>
            </w:pPr>
          </w:p>
        </w:tc>
      </w:tr>
      <w:tr w14:paraId="62E6A0BD">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245EC635">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合计大写金额：仟佰拾万仟佰拾元</w:t>
            </w:r>
          </w:p>
        </w:tc>
      </w:tr>
      <w:tr w14:paraId="595FFFA1">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44B1696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hint="eastAsia"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65262A40">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042FC72C">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hint="eastAsia"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7F8A85E">
            <w:pPr>
              <w:widowControl/>
              <w:spacing w:before="100" w:beforeAutospacing="1" w:after="100" w:afterAutospacing="1" w:line="240" w:lineRule="atLeast"/>
              <w:jc w:val="center"/>
              <w:rPr>
                <w:rFonts w:ascii="Verdana" w:hAnsi="Verdana" w:cs="宋体"/>
                <w:color w:val="auto"/>
                <w:kern w:val="0"/>
                <w:szCs w:val="21"/>
                <w:highlight w:val="none"/>
              </w:rPr>
            </w:pPr>
          </w:p>
        </w:tc>
      </w:tr>
      <w:tr w14:paraId="3906FEAF">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52DEA964">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14:paraId="43153C5E">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0B9B03A">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14:paraId="0EAA5EE4">
            <w:pPr>
              <w:widowControl/>
              <w:spacing w:before="100" w:beforeAutospacing="1" w:after="100" w:afterAutospacing="1" w:line="240" w:lineRule="atLeast"/>
              <w:jc w:val="center"/>
              <w:rPr>
                <w:rFonts w:ascii="Verdana" w:hAnsi="Verdana" w:cs="宋体"/>
                <w:color w:val="auto"/>
                <w:kern w:val="0"/>
                <w:szCs w:val="21"/>
                <w:highlight w:val="none"/>
              </w:rPr>
            </w:pPr>
          </w:p>
        </w:tc>
      </w:tr>
      <w:tr w14:paraId="2B9BC1EB">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C655FB5">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38157E51">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应按采购合同、谈判文件、竞标响应文件及验收方案等进行验收；并核对成交供应商在安装调试等方面是否违反合同约定或者服务规范要求、提供的质量保证证明材料是否齐全、应有的配件及附件是否达到合同约定等。见附件）</w:t>
            </w:r>
          </w:p>
        </w:tc>
      </w:tr>
      <w:tr w14:paraId="46738847">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16B1BB5">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55129F3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验收结论性意见：</w:t>
            </w:r>
          </w:p>
        </w:tc>
      </w:tr>
      <w:tr w14:paraId="3DDF055E">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593FF092">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04FCF6A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有异议的意见和说明理由：</w:t>
            </w:r>
          </w:p>
          <w:p w14:paraId="778ED71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签字：</w:t>
            </w:r>
          </w:p>
        </w:tc>
      </w:tr>
      <w:tr w14:paraId="6A9A6C1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DDC9FB">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验收小组成员签字：</w:t>
            </w:r>
          </w:p>
        </w:tc>
      </w:tr>
      <w:tr w14:paraId="5E899C87">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307F66">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监督人员或者其他相关人员签字：</w:t>
            </w:r>
          </w:p>
          <w:p w14:paraId="7C9440DF">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hint="eastAsia" w:ascii="Verdana" w:hAnsi="Verdana" w:cs="宋体"/>
                <w:color w:val="auto"/>
                <w:kern w:val="0"/>
                <w:szCs w:val="21"/>
                <w:highlight w:val="none"/>
              </w:rPr>
              <w:t>或者受邀机构的意见（盖章）：</w:t>
            </w:r>
          </w:p>
        </w:tc>
      </w:tr>
      <w:tr w14:paraId="04A58D4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6046C813">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成交供应商负责人签字或者盖章：</w:t>
            </w:r>
          </w:p>
          <w:p w14:paraId="1676635C">
            <w:pPr>
              <w:widowControl/>
              <w:spacing w:before="100" w:beforeAutospacing="1" w:after="100" w:afterAutospacing="1" w:line="320" w:lineRule="atLeast"/>
              <w:jc w:val="left"/>
              <w:rPr>
                <w:rFonts w:ascii="Verdana" w:hAnsi="Verdana" w:cs="宋体"/>
                <w:color w:val="auto"/>
                <w:kern w:val="0"/>
                <w:szCs w:val="21"/>
                <w:highlight w:val="none"/>
              </w:rPr>
            </w:pPr>
          </w:p>
          <w:p w14:paraId="56CE8DD2">
            <w:pPr>
              <w:widowControl/>
              <w:spacing w:before="100" w:beforeAutospacing="1" w:after="100" w:afterAutospacing="1" w:line="320" w:lineRule="atLeast"/>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   年  月   日</w:t>
            </w:r>
          </w:p>
        </w:tc>
        <w:tc>
          <w:tcPr>
            <w:tcW w:w="4293" w:type="dxa"/>
            <w:gridSpan w:val="4"/>
            <w:tcBorders>
              <w:top w:val="nil"/>
              <w:left w:val="nil"/>
              <w:bottom w:val="single" w:color="auto" w:sz="8" w:space="0"/>
              <w:right w:val="single" w:color="auto" w:sz="8" w:space="0"/>
            </w:tcBorders>
            <w:vAlign w:val="center"/>
          </w:tcPr>
          <w:p w14:paraId="4D23A37B">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采购人或者受托机构的意见（盖章）：</w:t>
            </w:r>
          </w:p>
          <w:p w14:paraId="6B4378A0">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16779541">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hint="eastAsia" w:ascii="Verdana" w:hAnsi="Verdana" w:cs="宋体"/>
                <w:color w:val="auto"/>
                <w:kern w:val="0"/>
                <w:szCs w:val="21"/>
                <w:highlight w:val="none"/>
              </w:rPr>
              <w:t>联系电话：   年   月   日</w:t>
            </w:r>
          </w:p>
        </w:tc>
      </w:tr>
    </w:tbl>
    <w:p w14:paraId="5E2A564D">
      <w:pPr>
        <w:spacing w:line="360" w:lineRule="auto"/>
        <w:ind w:firstLine="420" w:firstLineChars="200"/>
        <w:rPr>
          <w:rFonts w:hint="eastAsia" w:ascii="宋体" w:hAnsi="宋体" w:cs="宋体"/>
          <w:color w:val="auto"/>
          <w:highlight w:val="none"/>
        </w:rPr>
      </w:pPr>
    </w:p>
    <w:p w14:paraId="193DC2EF">
      <w:pPr>
        <w:pStyle w:val="11"/>
        <w:rPr>
          <w:color w:val="auto"/>
          <w:highlight w:val="none"/>
        </w:rPr>
      </w:pPr>
      <w:r>
        <w:rPr>
          <w:color w:val="auto"/>
          <w:highlight w:val="none"/>
        </w:rPr>
        <w:br w:type="page"/>
      </w:r>
    </w:p>
    <w:p w14:paraId="716C0112">
      <w:pPr>
        <w:pStyle w:val="11"/>
        <w:ind w:left="1" w:firstLine="3" w:firstLineChars="1"/>
        <w:jc w:val="center"/>
        <w:rPr>
          <w:color w:val="auto"/>
          <w:highlight w:val="none"/>
        </w:rPr>
      </w:pPr>
      <w:bookmarkStart w:id="71" w:name="_Toc74322010"/>
      <w:bookmarkStart w:id="72" w:name="_Hlk48036094"/>
      <w:r>
        <w:rPr>
          <w:rFonts w:hint="eastAsia" w:ascii="宋体" w:hAnsi="宋体"/>
          <w:b/>
          <w:color w:val="auto"/>
          <w:sz w:val="32"/>
          <w:szCs w:val="32"/>
          <w:highlight w:val="none"/>
        </w:rPr>
        <w:t>第三章 采购需求</w:t>
      </w:r>
      <w:bookmarkEnd w:id="71"/>
    </w:p>
    <w:p w14:paraId="5771FCDC">
      <w:pPr>
        <w:spacing w:line="440" w:lineRule="exact"/>
        <w:jc w:val="center"/>
        <w:rPr>
          <w:rFonts w:ascii="宋体"/>
          <w:b/>
          <w:color w:val="auto"/>
          <w:sz w:val="32"/>
          <w:szCs w:val="32"/>
          <w:highlight w:val="none"/>
        </w:rPr>
      </w:pPr>
      <w:r>
        <w:rPr>
          <w:rFonts w:hint="eastAsia" w:ascii="宋体" w:hAnsi="宋体"/>
          <w:b/>
          <w:color w:val="auto"/>
          <w:sz w:val="32"/>
          <w:szCs w:val="32"/>
          <w:highlight w:val="none"/>
        </w:rPr>
        <w:t>采购项目技术规格、参数及要求</w:t>
      </w:r>
    </w:p>
    <w:p w14:paraId="4AFE5E5C">
      <w:pPr>
        <w:spacing w:line="380" w:lineRule="exact"/>
        <w:jc w:val="left"/>
        <w:rPr>
          <w:b/>
          <w:bCs/>
          <w:color w:val="auto"/>
          <w:highlight w:val="none"/>
        </w:rPr>
      </w:pPr>
      <w:r>
        <w:rPr>
          <w:rFonts w:hint="eastAsia" w:ascii="宋体" w:hAnsi="宋体" w:cs="宋体"/>
          <w:b/>
          <w:bCs/>
          <w:color w:val="auto"/>
          <w:szCs w:val="21"/>
          <w:highlight w:val="none"/>
        </w:rPr>
        <w:t>一、说明：</w:t>
      </w:r>
    </w:p>
    <w:p w14:paraId="1B76D27B">
      <w:pPr>
        <w:spacing w:line="380" w:lineRule="exact"/>
        <w:ind w:firstLine="424" w:firstLineChars="202"/>
        <w:jc w:val="left"/>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为落实政府采购政策需满足的要求</w:t>
      </w:r>
    </w:p>
    <w:p w14:paraId="3875711B">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）本竞争性谈判采购文件所称中小企业必须符合《政府采购促进中小企业发展管理办法》（财库〔</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46</w:t>
      </w:r>
      <w:r>
        <w:rPr>
          <w:rFonts w:hint="eastAsia" w:ascii="宋体" w:hAnsi="宋体" w:cs="宋体"/>
          <w:color w:val="auto"/>
          <w:szCs w:val="21"/>
          <w:highlight w:val="none"/>
        </w:rPr>
        <w:t>号）及</w:t>
      </w:r>
      <w:r>
        <w:rPr>
          <w:rFonts w:hint="eastAsia" w:ascii="宋体" w:hAnsi="宋体" w:cs="宋体"/>
          <w:color w:val="auto"/>
          <w:kern w:val="0"/>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的规定。供应商提供的货物全部由符合政策要求的小型或者微型企业生产，响应文件中提供《中小企业声明函》的，其最后报价给予10</w:t>
      </w:r>
      <w:r>
        <w:rPr>
          <w:rFonts w:ascii="宋体" w:hAnsi="宋体" w:cs="宋体"/>
          <w:color w:val="auto"/>
          <w:szCs w:val="21"/>
          <w:highlight w:val="none"/>
        </w:rPr>
        <w:t>%</w:t>
      </w:r>
      <w:r>
        <w:rPr>
          <w:rFonts w:hint="eastAsia" w:ascii="宋体" w:hAnsi="宋体" w:cs="宋体"/>
          <w:color w:val="auto"/>
          <w:szCs w:val="21"/>
          <w:highlight w:val="none"/>
        </w:rPr>
        <w:t>的扣除。本项目非专门面向中小微企业采购。</w:t>
      </w:r>
    </w:p>
    <w:p w14:paraId="0C80EA09">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）根据财政部、司法部关于政府采购支持监狱企业发展有关问题的通知（财库〔2014〕68号），监狱企业视同小型、微型企业，享受预留份额等政府采购政策。</w:t>
      </w:r>
      <w:r>
        <w:rPr>
          <w:rFonts w:hint="eastAsia" w:ascii="宋体" w:hAnsi="宋体"/>
          <w:color w:val="auto"/>
          <w:szCs w:val="21"/>
          <w:highlight w:val="none"/>
        </w:rPr>
        <w:t>监狱企业</w:t>
      </w:r>
      <w:r>
        <w:rPr>
          <w:rFonts w:hint="eastAsia" w:ascii="宋体" w:hAnsi="宋体"/>
          <w:bCs/>
          <w:color w:val="auto"/>
          <w:highlight w:val="none"/>
        </w:rPr>
        <w:t>属于小型、微型企业的，不重复享受政策。</w:t>
      </w:r>
    </w:p>
    <w:p w14:paraId="489F0AD9">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）按照《关于促进残疾人就业政府采购政策的通知》（财库〔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号）的规定，残疾人福利性单位视同小型、微型企业，享受预留份额等促进中小企业发展的政府采购政策。残疾人福利性单位属于小型、微型企业的，不重复享受政策。</w:t>
      </w:r>
    </w:p>
    <w:p w14:paraId="18700DC9">
      <w:pPr>
        <w:spacing w:line="380" w:lineRule="exact"/>
        <w:ind w:firstLine="422" w:firstLineChars="200"/>
        <w:jc w:val="left"/>
        <w:rPr>
          <w:rFonts w:hint="eastAsia" w:ascii="宋体" w:hAnsi="宋体"/>
          <w:b/>
          <w:bCs/>
          <w:color w:val="auto"/>
          <w:highlight w:val="none"/>
        </w:rPr>
      </w:pP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供应商所提供货物必须使用政府强制采购的节能产品，供应商必须在响应文件中提供所竞产品的节能产品认证证书复印件（加盖供应商电子签章），</w:t>
      </w:r>
      <w:r>
        <w:rPr>
          <w:rFonts w:hint="eastAsia" w:ascii="宋体" w:hAnsi="宋体" w:cs="宋体"/>
          <w:b/>
          <w:bCs/>
          <w:color w:val="auto"/>
          <w:szCs w:val="21"/>
          <w:highlight w:val="none"/>
        </w:rPr>
        <w:t>否则响应文件按无效处理</w:t>
      </w:r>
      <w:r>
        <w:rPr>
          <w:rFonts w:hint="eastAsia" w:ascii="宋体" w:hAnsi="宋体" w:cs="宋体"/>
          <w:b/>
          <w:color w:val="auto"/>
          <w:szCs w:val="21"/>
          <w:highlight w:val="none"/>
        </w:rPr>
        <w:t>。如本项目包含的货物属于品目清单内非标注“★”的产品时，应优先采购</w:t>
      </w:r>
      <w:r>
        <w:rPr>
          <w:rFonts w:hint="eastAsia" w:ascii="宋体" w:hAnsi="宋体"/>
          <w:b/>
          <w:bCs/>
          <w:color w:val="auto"/>
          <w:highlight w:val="none"/>
        </w:rPr>
        <w:t>。</w:t>
      </w:r>
    </w:p>
    <w:p w14:paraId="1DCDA187">
      <w:pPr>
        <w:spacing w:line="380" w:lineRule="exact"/>
        <w:ind w:firstLine="424" w:firstLineChars="202"/>
        <w:jc w:val="left"/>
        <w:rPr>
          <w:rFonts w:hint="eastAsia" w:ascii="宋体" w:hAnsi="宋体" w:cs="宋体"/>
          <w:color w:val="auto"/>
          <w:szCs w:val="21"/>
          <w:highlight w:val="none"/>
        </w:rPr>
      </w:pPr>
      <w:r>
        <w:rPr>
          <w:rFonts w:hint="eastAsia" w:ascii="宋体" w:hAnsi="宋体" w:cs="宋体"/>
          <w:color w:val="auto"/>
          <w:szCs w:val="21"/>
          <w:highlight w:val="none"/>
        </w:rPr>
        <w:t>（5</w:t>
      </w:r>
      <w:r>
        <w:rPr>
          <w:rFonts w:hint="eastAsia" w:ascii="宋体" w:hAnsi="宋体" w:cs="宋体"/>
          <w:b/>
          <w:color w:val="auto"/>
          <w:szCs w:val="21"/>
          <w:highlight w:val="none"/>
        </w:rPr>
        <w:t>）</w:t>
      </w:r>
      <w:r>
        <w:rPr>
          <w:rFonts w:ascii="宋体" w:hAnsi="宋体" w:cs="宋体"/>
          <w:b/>
          <w:color w:val="auto"/>
          <w:szCs w:val="21"/>
          <w:highlight w:val="none"/>
        </w:rPr>
        <w:t>根据《关于调整网络安全专用产品安全管理有关事项的公告》（2023年</w:t>
      </w:r>
      <w:r>
        <w:rPr>
          <w:rFonts w:hint="eastAsia" w:ascii="宋体" w:hAnsi="宋体" w:cs="宋体"/>
          <w:b/>
          <w:color w:val="auto"/>
          <w:szCs w:val="21"/>
          <w:highlight w:val="none"/>
        </w:rPr>
        <w:t>第</w:t>
      </w:r>
      <w:r>
        <w:rPr>
          <w:rFonts w:ascii="宋体" w:hAnsi="宋体" w:cs="宋体"/>
          <w:b/>
          <w:color w:val="auto"/>
          <w:szCs w:val="21"/>
          <w:highlight w:val="none"/>
        </w:rPr>
        <w:t>1号）规定，本项目采购需求中的产品如果包括《网络关键设备和网络安全专用产品目录》的网络安全专用产品，供应商在</w:t>
      </w:r>
      <w:r>
        <w:rPr>
          <w:rFonts w:hint="eastAsia" w:ascii="宋体" w:hAnsi="宋体" w:cs="宋体"/>
          <w:b/>
          <w:color w:val="auto"/>
          <w:szCs w:val="21"/>
          <w:highlight w:val="none"/>
        </w:rPr>
        <w:t>响应</w:t>
      </w:r>
      <w:r>
        <w:rPr>
          <w:rFonts w:ascii="宋体" w:hAnsi="宋体" w:cs="宋体"/>
          <w:b/>
          <w:color w:val="auto"/>
          <w:szCs w:val="21"/>
          <w:highlight w:val="none"/>
        </w:rPr>
        <w:t>文件中应主动列明供货范围中属于网络安全专用产品的</w:t>
      </w:r>
      <w:r>
        <w:rPr>
          <w:rFonts w:hint="eastAsia" w:ascii="宋体" w:hAnsi="宋体" w:cs="宋体"/>
          <w:b/>
          <w:color w:val="auto"/>
          <w:szCs w:val="21"/>
          <w:highlight w:val="none"/>
        </w:rPr>
        <w:t>竞标</w:t>
      </w:r>
      <w:r>
        <w:rPr>
          <w:rFonts w:ascii="宋体" w:hAnsi="宋体" w:cs="宋体"/>
          <w:b/>
          <w:color w:val="auto"/>
          <w:szCs w:val="21"/>
          <w:highlight w:val="none"/>
        </w:rPr>
        <w:t>产品，并在</w:t>
      </w:r>
      <w:r>
        <w:rPr>
          <w:rFonts w:hint="eastAsia" w:ascii="宋体" w:hAnsi="宋体" w:cs="宋体"/>
          <w:b/>
          <w:color w:val="auto"/>
          <w:szCs w:val="21"/>
          <w:highlight w:val="none"/>
        </w:rPr>
        <w:t>响应</w:t>
      </w:r>
      <w:r>
        <w:rPr>
          <w:rFonts w:ascii="宋体" w:hAnsi="宋体" w:cs="宋体"/>
          <w:b/>
          <w:color w:val="auto"/>
          <w:szCs w:val="21"/>
          <w:highlight w:val="none"/>
        </w:rPr>
        <w:t>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w:t>
      </w:r>
      <w:r>
        <w:rPr>
          <w:rFonts w:hint="eastAsia" w:ascii="宋体" w:hAnsi="宋体" w:cs="宋体"/>
          <w:b/>
          <w:bCs/>
          <w:color w:val="auto"/>
          <w:szCs w:val="21"/>
          <w:highlight w:val="none"/>
        </w:rPr>
        <w:t>响应文件按无效处理</w:t>
      </w:r>
      <w:r>
        <w:rPr>
          <w:rFonts w:ascii="宋体" w:hAnsi="宋体" w:cs="宋体"/>
          <w:b/>
          <w:color w:val="auto"/>
          <w:szCs w:val="21"/>
          <w:highlight w:val="none"/>
        </w:rPr>
        <w:t>。如属于《网络关键设备和网络安全专用产品目录》中“二、网络安全专用产品”内“产品类别”中的所描述的产品，但不属于所列“产品描述”情形的，应提供相应的说明及证明材料。</w:t>
      </w:r>
    </w:p>
    <w:p w14:paraId="74BA72C9">
      <w:pPr>
        <w:spacing w:line="380" w:lineRule="exact"/>
        <w:ind w:firstLine="424" w:firstLineChars="202"/>
        <w:jc w:val="left"/>
        <w:rPr>
          <w:rFonts w:asci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采购需求中出现的品牌、型号或者生产供应商仅起参考作用，不属于指定品牌、型号或者生产供应商的情形。供应商可参照或者选用其他相当的品牌、型号或者生产供应商替代。</w:t>
      </w:r>
    </w:p>
    <w:p w14:paraId="2FD27272">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highlight w:val="none"/>
        </w:rPr>
        <w:t>供应商必须自行为其竞标产品侵犯他人的知识产权或者专利成果的行为承担相应法律责任。</w:t>
      </w:r>
    </w:p>
    <w:p w14:paraId="377D48C5">
      <w:pPr>
        <w:spacing w:line="380" w:lineRule="exact"/>
        <w:ind w:firstLine="426" w:firstLineChars="202"/>
        <w:jc w:val="left"/>
        <w:rPr>
          <w:rFonts w:hint="eastAsia" w:ascii="宋体" w:hAnsi="宋体" w:cs="宋体"/>
          <w:color w:val="auto"/>
          <w:highlight w:val="none"/>
        </w:rPr>
      </w:pPr>
      <w:r>
        <w:rPr>
          <w:rFonts w:hint="eastAsia" w:ascii="宋体" w:hAnsi="宋体" w:cs="宋体"/>
          <w:b/>
          <w:bCs/>
          <w:color w:val="auto"/>
          <w:highlight w:val="none"/>
        </w:rPr>
        <w:t>4.设备用途说明：本项目所采购的标的用于教学科研实验使用。</w:t>
      </w:r>
    </w:p>
    <w:p w14:paraId="5C5D80BC">
      <w:pPr>
        <w:spacing w:line="380" w:lineRule="exact"/>
        <w:ind w:firstLine="426" w:firstLineChars="202"/>
        <w:jc w:val="left"/>
        <w:rPr>
          <w:rFonts w:hint="eastAsia" w:ascii="宋体" w:hAnsi="宋体" w:cs="宋体"/>
          <w:b/>
          <w:color w:val="auto"/>
          <w:highlight w:val="none"/>
        </w:rPr>
      </w:pPr>
      <w:r>
        <w:rPr>
          <w:rFonts w:hint="eastAsia" w:ascii="宋体" w:hAnsi="宋体" w:cs="宋体"/>
          <w:b/>
          <w:color w:val="auto"/>
          <w:highlight w:val="none"/>
        </w:rPr>
        <w:t>5</w:t>
      </w:r>
      <w:r>
        <w:rPr>
          <w:rFonts w:ascii="宋体" w:hAnsi="宋体" w:cs="宋体"/>
          <w:b/>
          <w:color w:val="auto"/>
          <w:highlight w:val="none"/>
        </w:rPr>
        <w:t>.</w:t>
      </w:r>
      <w:r>
        <w:rPr>
          <w:rFonts w:hint="eastAsia" w:ascii="宋体" w:hAnsi="宋体" w:cs="宋体"/>
          <w:b/>
          <w:color w:val="auto"/>
          <w:highlight w:val="none"/>
        </w:rPr>
        <w:t>“</w:t>
      </w:r>
      <w:r>
        <w:rPr>
          <w:rFonts w:hint="eastAsia" w:ascii="宋体" w:hAnsi="宋体" w:cs="宋体"/>
          <w:b/>
          <w:bCs/>
          <w:color w:val="auto"/>
          <w:szCs w:val="21"/>
          <w:highlight w:val="none"/>
        </w:rPr>
        <w:t>实质性要求”是指采购需求中所有条款或者不能负偏离的条款或者已经指明不满足按响应文件无效处理的条款。</w:t>
      </w:r>
    </w:p>
    <w:p w14:paraId="0A209DF7">
      <w:pPr>
        <w:spacing w:line="380" w:lineRule="exact"/>
        <w:jc w:val="left"/>
        <w:rPr>
          <w:rFonts w:hint="default" w:ascii="宋体" w:hAnsi="宋体" w:eastAsia="宋体"/>
          <w:b/>
          <w:color w:val="auto"/>
          <w:szCs w:val="21"/>
          <w:highlight w:val="none"/>
          <w:lang w:val="en-US" w:eastAsia="zh-CN"/>
        </w:rPr>
      </w:pPr>
      <w:r>
        <w:rPr>
          <w:rFonts w:hint="eastAsia" w:ascii="宋体" w:hAnsi="宋体"/>
          <w:b/>
          <w:color w:val="auto"/>
          <w:szCs w:val="21"/>
          <w:highlight w:val="none"/>
        </w:rPr>
        <w:t>二、本项目采购预算</w:t>
      </w:r>
      <w:r>
        <w:rPr>
          <w:rFonts w:hint="eastAsia" w:ascii="宋体" w:hAnsi="宋体"/>
          <w:b/>
          <w:color w:val="auto"/>
          <w:szCs w:val="21"/>
          <w:highlight w:val="none"/>
          <w:lang w:eastAsia="zh-CN"/>
        </w:rPr>
        <w:t>及最高限价</w:t>
      </w:r>
      <w:r>
        <w:rPr>
          <w:rFonts w:hint="eastAsia" w:ascii="宋体" w:hAnsi="宋体"/>
          <w:b/>
          <w:color w:val="auto"/>
          <w:szCs w:val="21"/>
          <w:highlight w:val="none"/>
        </w:rPr>
        <w:t>：</w:t>
      </w:r>
      <w:r>
        <w:rPr>
          <w:rFonts w:hint="eastAsia" w:ascii="宋体" w:hAnsi="宋体"/>
          <w:b/>
          <w:color w:val="auto"/>
          <w:szCs w:val="21"/>
          <w:highlight w:val="none"/>
        </w:rPr>
        <w:t>人民币贰佰贰拾玖万元整（¥2290000.00）</w:t>
      </w:r>
      <w:r>
        <w:rPr>
          <w:rFonts w:hint="eastAsia" w:ascii="宋体" w:hAnsi="宋体"/>
          <w:b/>
          <w:color w:val="auto"/>
          <w:szCs w:val="21"/>
          <w:highlight w:val="none"/>
        </w:rPr>
        <w:t>，报价超出</w:t>
      </w:r>
      <w:r>
        <w:rPr>
          <w:rFonts w:hint="eastAsia" w:ascii="宋体" w:hAnsi="宋体"/>
          <w:b/>
          <w:color w:val="auto"/>
          <w:szCs w:val="21"/>
          <w:highlight w:val="none"/>
          <w:lang w:eastAsia="zh-CN"/>
        </w:rPr>
        <w:t>最高限价</w:t>
      </w:r>
      <w:r>
        <w:rPr>
          <w:rFonts w:hint="eastAsia" w:ascii="宋体" w:hAnsi="宋体"/>
          <w:b/>
          <w:color w:val="auto"/>
          <w:szCs w:val="21"/>
          <w:highlight w:val="none"/>
        </w:rPr>
        <w:t>金额的，响应文件作无效处理。</w:t>
      </w:r>
    </w:p>
    <w:p w14:paraId="2058D543">
      <w:pPr>
        <w:pStyle w:val="11"/>
        <w:rPr>
          <w:rFonts w:hint="eastAsia" w:ascii="宋体" w:hAnsi="宋体"/>
          <w:b/>
          <w:color w:val="auto"/>
          <w:szCs w:val="21"/>
          <w:highlight w:val="none"/>
        </w:rPr>
      </w:pPr>
      <w:r>
        <w:rPr>
          <w:rFonts w:hint="eastAsia" w:ascii="宋体" w:hAnsi="宋体"/>
          <w:b/>
          <w:color w:val="auto"/>
          <w:szCs w:val="21"/>
          <w:highlight w:val="none"/>
        </w:rPr>
        <w:t>三、核心产品：本项目的核心产品为第2项号标的“综合情境训练系统”。</w:t>
      </w:r>
    </w:p>
    <w:p w14:paraId="0AFA3E97">
      <w:pPr>
        <w:spacing w:line="380" w:lineRule="exact"/>
        <w:jc w:val="left"/>
        <w:rPr>
          <w:rFonts w:hint="eastAsia" w:ascii="宋体" w:hAnsi="宋体"/>
          <w:b/>
          <w:color w:val="auto"/>
          <w:szCs w:val="21"/>
          <w:highlight w:val="none"/>
        </w:rPr>
      </w:pPr>
      <w:r>
        <w:rPr>
          <w:rFonts w:hint="eastAsia" w:ascii="宋体" w:hAnsi="宋体"/>
          <w:b/>
          <w:color w:val="auto"/>
          <w:szCs w:val="21"/>
          <w:highlight w:val="none"/>
        </w:rPr>
        <w:t>四、采购需求一览表</w:t>
      </w:r>
    </w:p>
    <w:tbl>
      <w:tblPr>
        <w:tblStyle w:val="25"/>
        <w:tblW w:w="8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34"/>
        <w:gridCol w:w="875"/>
        <w:gridCol w:w="468"/>
        <w:gridCol w:w="368"/>
        <w:gridCol w:w="814"/>
        <w:gridCol w:w="1179"/>
        <w:gridCol w:w="4277"/>
      </w:tblGrid>
      <w:tr w14:paraId="5485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8515" w:type="dxa"/>
            <w:gridSpan w:val="7"/>
            <w:shd w:val="clear" w:color="auto" w:fill="FFFFFF" w:themeFill="background1"/>
            <w:vAlign w:val="center"/>
          </w:tcPr>
          <w:p w14:paraId="3D3FD2C4">
            <w:pP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bCs/>
                <w:color w:val="auto"/>
                <w:szCs w:val="21"/>
                <w:highlight w:val="none"/>
              </w:rPr>
              <w:t>（一）采购内容</w:t>
            </w:r>
          </w:p>
        </w:tc>
      </w:tr>
      <w:tr w14:paraId="689D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DCAF3A8">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项号</w:t>
            </w:r>
          </w:p>
        </w:tc>
        <w:tc>
          <w:tcPr>
            <w:tcW w:w="875" w:type="dxa"/>
            <w:shd w:val="clear" w:color="auto" w:fill="FFFFFF" w:themeFill="background1"/>
            <w:vAlign w:val="center"/>
          </w:tcPr>
          <w:p w14:paraId="0DF242C9">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标的的名称</w:t>
            </w:r>
          </w:p>
        </w:tc>
        <w:tc>
          <w:tcPr>
            <w:tcW w:w="836" w:type="dxa"/>
            <w:gridSpan w:val="2"/>
            <w:shd w:val="clear" w:color="auto" w:fill="FFFFFF" w:themeFill="background1"/>
            <w:vAlign w:val="center"/>
          </w:tcPr>
          <w:p w14:paraId="21F8C8D3">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数量</w:t>
            </w:r>
          </w:p>
        </w:tc>
        <w:tc>
          <w:tcPr>
            <w:tcW w:w="814" w:type="dxa"/>
            <w:shd w:val="clear" w:color="auto" w:fill="FFFFFF" w:themeFill="background1"/>
            <w:vAlign w:val="center"/>
          </w:tcPr>
          <w:p w14:paraId="603D1C25">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单位</w:t>
            </w:r>
          </w:p>
        </w:tc>
        <w:tc>
          <w:tcPr>
            <w:tcW w:w="1179" w:type="dxa"/>
            <w:shd w:val="clear" w:color="auto" w:fill="FFFFFF" w:themeFill="background1"/>
            <w:vAlign w:val="center"/>
          </w:tcPr>
          <w:p w14:paraId="236D9AF3">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所属行业</w:t>
            </w:r>
          </w:p>
        </w:tc>
        <w:tc>
          <w:tcPr>
            <w:tcW w:w="4277" w:type="dxa"/>
            <w:shd w:val="clear" w:color="auto" w:fill="FFFFFF" w:themeFill="background1"/>
            <w:vAlign w:val="center"/>
          </w:tcPr>
          <w:p w14:paraId="3EDE1825">
            <w:pPr>
              <w:snapToGrid w:val="0"/>
              <w:spacing w:line="320" w:lineRule="exact"/>
              <w:jc w:val="center"/>
              <w:rPr>
                <w:rFonts w:hint="eastAsia" w:asciiTheme="majorEastAsia" w:hAnsiTheme="majorEastAsia" w:eastAsiaTheme="majorEastAsia" w:cstheme="majorEastAsia"/>
                <w:b/>
                <w:bCs/>
                <w:color w:val="auto"/>
                <w:szCs w:val="21"/>
                <w:highlight w:val="none"/>
              </w:rPr>
            </w:pPr>
            <w:r>
              <w:rPr>
                <w:rFonts w:hint="eastAsia" w:asciiTheme="majorEastAsia" w:hAnsiTheme="majorEastAsia" w:eastAsiaTheme="majorEastAsia" w:cstheme="majorEastAsia"/>
                <w:b/>
                <w:bCs/>
                <w:color w:val="auto"/>
                <w:szCs w:val="21"/>
                <w:highlight w:val="none"/>
              </w:rPr>
              <w:t>技术要求</w:t>
            </w:r>
          </w:p>
        </w:tc>
      </w:tr>
      <w:tr w14:paraId="66BAE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648691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75" w:type="dxa"/>
            <w:shd w:val="clear" w:color="auto" w:fill="FFFFFF" w:themeFill="background1"/>
            <w:vAlign w:val="center"/>
          </w:tcPr>
          <w:p w14:paraId="22F40B9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实验室全息交互移动教学舱</w:t>
            </w:r>
          </w:p>
        </w:tc>
        <w:tc>
          <w:tcPr>
            <w:tcW w:w="836" w:type="dxa"/>
            <w:gridSpan w:val="2"/>
            <w:shd w:val="clear" w:color="auto" w:fill="FFFFFF" w:themeFill="background1"/>
            <w:vAlign w:val="center"/>
          </w:tcPr>
          <w:p w14:paraId="076D8C3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10A8736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95FAEA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6BB0E29">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1.整体采用一体化、模块化设计，方便扩充功能组件，方便安装、使用，维护。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2.箱体采用多功能接口设计，配电源开关按键，HDMI/网络/USB扩展接口。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3.整车高度1.8米（±0.2</w:t>
            </w:r>
            <w:r>
              <w:rPr>
                <w:rStyle w:val="32"/>
                <w:rFonts w:hint="eastAsia"/>
                <w:color w:val="auto"/>
                <w:highlight w:val="none"/>
                <w:lang w:eastAsia="zh-CN"/>
              </w:rPr>
              <w:t>米</w:t>
            </w:r>
            <w:r>
              <w:rPr>
                <w:rFonts w:hint="eastAsia" w:ascii="宋体" w:hAnsi="宋体" w:cs="宋体"/>
                <w:color w:val="auto"/>
                <w:kern w:val="0"/>
                <w:szCs w:val="21"/>
                <w:highlight w:val="none"/>
                <w:lang w:bidi="ar"/>
              </w:rPr>
              <w:t>），横臂展开尺寸1.2米（±0.2米）,可折叠收缩，可承重1.5-7kg。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4.箱体电源系统，采用圆柱磷酸铁锂电芯，电池容量48A。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5.设备内置无线视频传输模块，支持无线视频收发功能；双无线配置，无线信号在无阻挡、无干扰的室外场景下，传输距离不小于120米，最大数据速率可达300Mbps；支持无线自动配对、自动组网。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6.支持≥3路高清视频输出，并具备音频输出能力，其中HDMI信号输出≥2路，UVC视频输出≥1路。输出接口最大可支持4K分辨率。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7.支持≥2路HDMI输入接口并具备音频采集能力，输入接口最大可支持4K分辨率，并向下兼容1080、720等常规分辨率。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8.支持≥5个USB接口，且接口类型多样化，其中USB Type-A接口≥4个，USB Type-B接口≥1个,支持通过终端的USB Type-B接口实现图像和声音同步输出及声音输入，免驱动，即插即用。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9.终端内置HID控制，可实现在终端上直接操作所接入的终端电脑。</w:t>
            </w:r>
          </w:p>
        </w:tc>
      </w:tr>
      <w:tr w14:paraId="08B34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2AE3F0C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75" w:type="dxa"/>
            <w:shd w:val="clear" w:color="auto" w:fill="FFFFFF" w:themeFill="background1"/>
            <w:vAlign w:val="center"/>
          </w:tcPr>
          <w:p w14:paraId="0598EF0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综合情境训练系统</w:t>
            </w:r>
          </w:p>
        </w:tc>
        <w:tc>
          <w:tcPr>
            <w:tcW w:w="836" w:type="dxa"/>
            <w:gridSpan w:val="2"/>
            <w:shd w:val="clear" w:color="auto" w:fill="FFFFFF" w:themeFill="background1"/>
            <w:vAlign w:val="center"/>
          </w:tcPr>
          <w:p w14:paraId="5716356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A0CBA0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5490B5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E45B570">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1.产品用途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综合情境培训系统要求为沉浸交互式教学平台，要求采用3Dunity技术构建环绕包围式的虚拟救援环境，应用虚拟现实、人工智能、多通道CAVE融合技术、数据实时通信等技术，为学员营造多场景、多剧情的现场急救场景，创新紧急救治培训形式，快速培养学员的急救规范操作、应急处理思维能力，提升学员的岗位胜任力和团队协作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2.产品主要功能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2.1沉浸式情境构建要求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 采用沉浸式虚拟现实技术，结合实景搭建，通过沉浸式三维融合技术创建多元化现场救护的虚拟环境，模拟创伤发生前、中、后的救护场景，场景中需包括虚拟病人、周边人群、案例发生的周围建筑自然环境、急救人员角色、交通载具等，配合声光电等技术，完整模拟救护过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2.1.2 沉浸式情境化场景包括但不限于城市街道、机场高速、机场候机厅、城市公园、海滨浴场、高空作业、急救车、地震后现场≥8个救援场景，以及如地震、车祸等大型灾难创伤场景的创伤分类救治。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2.1.3通过虚拟现实交互能力，支持用户在三维虚拟环境中进行实时操作和互动。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2.2情境案例构建要求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 真实案例重建，系统要求具备多元化伤情案例，包含但不限于大型灾难现场地震和车祸现场批量伤员的分类检伤救治、不明原因晕倒、胸痛、触电、溺水等病例。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2.2.2 系统所含教学案例需满足医务人员需要掌握的救援培训模块，包含但不局限于：①突发事件批量伤员的基础生命支持；②高级生命支持；③检伤分类；④创伤救治；⑤疾病救治等，需涵盖非专业单/双人，专业双人培训</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2.2.3采用视频、图片、文字、声音或动画等媒体方式显示出相应体征，3D体征内容和动画可以通过虚拟模拟人在大场景上进行同步显示。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2.2.4系统能与急救模拟人、模拟手动除颤仪、转运毯、智能药物、模拟心电图发生器、模拟心电监护仪进行互联，当模拟人连接模拟心电监护时，可显示运行病例中当前虚拟病患生命体征的参数，如心电波形、脉搏、呼吸、血氧、血压等，同时cave墙的场景同步呈现相关虚拟监护仪画面，完成虚实环境中场景、病患及道具的虚实融合</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2.2.5采用基于物理的渲染技术，生成逼真的影像、复杂的纹理和写实的照明，遵循真实世界的物理特性的3D仿真技术，模拟光线与物体表面的交互，来构建数字孪生虚拟场景。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2.2.6要求具备展示案例操作的受众人群、训练目标、遵循标准、操作流程图、评分表等内容，便于教师开展教学工作。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2.2.7要求系统能根据不同的救援情境生成相对应病情的虚拟患者，能满足救治过程设置多条逻辑线。根据操作者的处置内容，虚拟患者的病情具备不同转归，病人生理指标亦有不同结果呈现，抢救效果也会有不同，且最终体现在评估结果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2.2.8具备模拟急性心梗患者在院前常见的病情突发状况，如可设定心梗患者在院前发生室颤以及一系列心律失常的急救处理。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2.2.9要求系统可实时监测到学员的操作，并在系统界面上同步展示操作动画，增加逼真的急救体验感，包含但不限于转移至急救车、心电监护、吸氧、测血糖、建立静脉通路、给双抗药物等</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2.2.10虚实结合，系统内置虚拟伤员和模拟人数据实时同步，学员在模拟人上操作，可实现虚拟伤员处置和生理指标的实时反馈，并通过模拟心电监护仪展示患者的各项生命体征参数的变化。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2.2.11病例开始运行后，平面界面模拟人动作同步学员动作展示。平板界面展示该病例的评分表，包含主观评分和客观评分项目，系统可实时监测用户在模拟人上的操作，操作数据反馈在客观评分项目。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2.3主观和客观双重评分体系：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2.3.1提供客观结构化的智能评估系统，提供≥23项客观评估指标。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2.3.2允许指导老师可使用平板电脑进行现场主动评分和评价，要求包含≥20项主观评分指标，包括但不限于人文关怀、操作动作标准判断、操作熟悉度、操作流程合理性、操作时效的紧迫性等指标</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2.3.3主观评分指标：场景病例评分表内点击评分左右的加减号，可根据学员操作的内容予以评分。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2.3.4评分完成后，点选界面上的【结束评分】完成病例操作，CAVE墙会根据学员操作的有效性予以反馈患者最终的复苏结果。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2.3.5病例结束后，点选界面上的【评分报告】可查看到该学员完整的操作报告，包含总得分及各项具体项目的分值及得分情况，并且包含详细的胸外按压和人工通气的数据报告。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3.配置交互式模拟人（1套）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3.1模拟人为一全身人，便于搬运。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3.2高仿真亚洲人头部解剖结构，具有逼真的口腔、呼吸道结构等。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3.3具备高级气道管理技术，包含但不限于面罩通气、LMA置入、口咽导管、鼻咽导管、气管插管等。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3.4具备仰头举颏法、推举下颌法等方法开放气道，支持气道打开角度检测。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3.5模拟人内置高精度传感器，实时检测CPR按压深度、按压位置和通气数据等。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3.6支持胸腔穿刺检测。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3.7可检测学员是否通过拍双肩查看患者意识。</w:t>
            </w:r>
          </w:p>
        </w:tc>
      </w:tr>
      <w:tr w14:paraId="3A50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1DCB28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875" w:type="dxa"/>
            <w:shd w:val="clear" w:color="auto" w:fill="FFFFFF" w:themeFill="background1"/>
            <w:vAlign w:val="center"/>
          </w:tcPr>
          <w:p w14:paraId="6ABAEEA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老年患者多阶段急救处理训练系统</w:t>
            </w:r>
          </w:p>
        </w:tc>
        <w:tc>
          <w:tcPr>
            <w:tcW w:w="836" w:type="dxa"/>
            <w:gridSpan w:val="2"/>
            <w:shd w:val="clear" w:color="auto" w:fill="FFFFFF" w:themeFill="background1"/>
            <w:vAlign w:val="center"/>
          </w:tcPr>
          <w:p w14:paraId="2061E97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6747271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FB29C0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218A51D">
            <w:pPr>
              <w:widowControl/>
              <w:spacing w:line="360" w:lineRule="exact"/>
              <w:jc w:val="left"/>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1基本要求：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1.1配备场景道具、医疗器材、物品、3D数字模型人物、虚拟建筑物、120急救指挥中心调度画面、救护车场景等。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1.2三维资源库：建立与案例相适应的三维场景，并根据案例制作伤患角色、医护人员不少于6人。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1.3具备公园场景下老年患者多阶段急救处理案例，需支持模拟公园老年患者发病，医护人员到达现场后将病患转至救护车上并开展救援的多阶段病例发展训练情景。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1.4虚拟场景需具备公园现场、救护车、120急救中心相关场景表现，现实场景模型比例1:1合理复原和排布且具备不低于3位医护等救援人员的急救站位和抢救合理布局。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1.5场景支持模拟、智能、真实医疗器材不少于11个，模型按照真实比例制作外形。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1.6要求转运毯能智能感应医护人员搬运情况，联动系统实现虚拟画面场景的切换变化。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1.7要求案例能训练学员对急性心梗发作应急处理、心脏骤停处理流程、各种心律失常的人工除颤、高级气道建立等常见急救突发事件内容。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1.7.1 要求设定心梗患者在院前发生≥5个病情阶段的进展，包含但不限于急性心梗发作、室颤、室性心动过速、室上性心动过速、呼吸支持阶段。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1.7.2  急性心梗发作时，可在模拟人上进行≥7个操作内容，包含但不限于转移至急救车、心电监护、吸氧、测血糖、建立静脉通路、给双抗药物等，要求系统可实时监测到学员的操作，并在系统界面上同步展示操作动画，增加逼真的急救体验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1.7.3 室颤发作时，可在模拟人上进行心外按压、人工通气、除颤、给药等操作，系统可实时监测学员的操作是否标准并予以客观评价和展示，并实时通过心电监护仪展示患者的病情状况，如脉搏、心律、呼吸、血氧饱和度、血压、心电波形等</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1.7.4 因心梗导致心律失常发生时，可使用模拟除颤仪对患者进行电除颤和同步电复律，需在手动除颤仪上进行除颤模式和能量的选择</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p>
          <w:p w14:paraId="36832AF1">
            <w:pPr>
              <w:widowControl/>
              <w:spacing w:line="360" w:lineRule="exact"/>
              <w:jc w:val="left"/>
              <w:textAlignment w:val="center"/>
              <w:rPr>
                <w:rFonts w:hint="eastAsia" w:ascii="宋体" w:hAnsi="宋体" w:cs="宋体"/>
                <w:b/>
                <w:bCs/>
                <w:color w:val="auto"/>
                <w:kern w:val="0"/>
                <w:szCs w:val="21"/>
                <w:highlight w:val="none"/>
                <w:lang w:bidi="ar"/>
              </w:rPr>
            </w:pPr>
            <w:r>
              <w:rPr>
                <w:rFonts w:hint="eastAsia" w:ascii="宋体" w:hAnsi="宋体" w:cs="宋体"/>
                <w:color w:val="auto"/>
                <w:kern w:val="0"/>
                <w:szCs w:val="21"/>
                <w:highlight w:val="none"/>
                <w:lang w:bidi="ar"/>
              </w:rPr>
              <w:t>1.7.4.1 要求手动模拟除颤仪和临床真实的除颤仪操作保持一致。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7.4.2 除颤功能，要求仪器上有能量选择按钮和除颤方式选择，能量选择范围0-360J。</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1.7.4.3 要求具备充电电路和放电电路。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1.7.4.4 模拟除颤仪可与软件、模拟人交互控制，有效除颤操作后，心电示波可发生变化。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1.7.5需具备模拟人连接模拟心电监护仪功能。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1.7.5.1 连接导联线可显示运行病例当前生命体征的参数，如心电波形、脉搏、呼吸、血氧、血压等，超出报警上下限范围报警提示。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1.7.5.2 支持心率跳动提示音。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1.7.5.3 ECG导联线采用临床真实的5导联ECG导联线，连接电极片后机器自动显示心电波形及各个生命体征参数。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1.7.5.4 具备手动测血压功能，可随时获取患者当前的无创动脉血压。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1.7.6 建立高级气道，支持使用临床真实喉镜引导下在模拟人上进行气管插管的操作，在插管过程中，系统界面能实时显示管尖的位置，如插管位置过深或者插管入食道，系统能予以文字语音双重报警提示</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p>
          <w:p w14:paraId="61133E7C">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1.7.7虚实结合，要求虚拟场景与真实场景中的模拟人融合操作，让操作者在逼真的环境中进行操作训练，增加实训效果的逼真度。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1.7.7.1 系统需自动识别到是否将真实场景中的模拟人转运至120急救车内进行救治。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1.7.7.2 系统需自动识别操作者是否对真实场景中的模拟人进行心电监护、吸氧、建立静脉通路、给药物等操作，并实时显示操作动画。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1.7.7.3 虚实结合，系统内置虚拟伤员和模拟人数据实时同步，学员在模拟人上操作，可实现虚拟伤员处置和生理指标的实时反馈，并通过模拟心电监护仪展示患者的各项生命体征参数的变化。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1.7.7.4 虚实结合，要求系统能进行的客观评分指标≥23项，包含但不限于转运、心电监护、吸氧、测血糖、建立静脉通路、给双抗药物、心外按压的位置、深度、频率、回弹、按压是否中断、是否开放气道、单次通气量、通气时间、按压通气比、非同步电除颤、除颤能量、肾上腺素静推、测血压、同步电复律、插管深度、拍肩、气道打开角度等</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2.硬件设备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2.1交互式模拟人（1套）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2.1.1模拟人为全身模型，皮肤触感细腻，设计轻便，便于搬运。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2.1.2高仿真亚洲人头部解剖结构，具有逼真的口腔、呼吸道结构等。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2.1.3具备自主呼吸，胸廓起伏。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2.1.4具备颈动脉搏动，可实时触摸。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2.1.5瞳孔大小可设置，并具备瞳孔对光反射。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2.1.6具备高级气道管理技术，包含但不限于面罩通气、LMA置入、口咽导管、鼻咽导管、气管插管等。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2.1.7气管插管位置、深度可监测。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2.1.8具备仰头举颏法、推举下颌法等方法开放气道，支持气道打开角度检测。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2.1.9支持胸腔穿刺操作，可多次反复穿刺。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2.1.10模拟人内置高精度传感器，实时检测CPR按压深度、按压位置和通气数据等。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2.1.11可检测学员是否通过拍双肩查看患者意识。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2.2模拟自动体外除颤仪（1套）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自动体外除颤仪除颤的数据可以自动上传到病例系统。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2.3高级工程终端显示设备（1套）。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2.4专用操作平台（1套）。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2.5手持控制终端（1台）。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2.6模拟手动除颤仪（1台） 。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要求模拟手动除颤仪的操作数据可自动上传到病例系统。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2.7模拟心电监护仪（1台） 。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2.8配件包（1个）。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2.9穿戴式监护除颤一体背心（1件）。                                   </w:t>
            </w:r>
          </w:p>
        </w:tc>
      </w:tr>
      <w:tr w14:paraId="398C5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F9B90F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875" w:type="dxa"/>
            <w:shd w:val="clear" w:color="auto" w:fill="FFFFFF" w:themeFill="background1"/>
            <w:vAlign w:val="center"/>
          </w:tcPr>
          <w:p w14:paraId="1E14C85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多场景救援情境训练系统</w:t>
            </w:r>
          </w:p>
        </w:tc>
        <w:tc>
          <w:tcPr>
            <w:tcW w:w="836" w:type="dxa"/>
            <w:gridSpan w:val="2"/>
            <w:shd w:val="clear" w:color="auto" w:fill="FFFFFF" w:themeFill="background1"/>
            <w:vAlign w:val="center"/>
          </w:tcPr>
          <w:p w14:paraId="1E569A6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B6F4C3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77CBED8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563AD74">
            <w:pPr>
              <w:widowControl/>
              <w:numPr>
                <w:ilvl w:val="0"/>
                <w:numId w:val="1"/>
              </w:numPr>
              <w:spacing w:line="36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沉浸式情境化场景重建，包括城市街道、机场候机厅、海滨浴场、高空作业≥4个救援场景，场景中要求包括虚拟病人、周围人群、案例发生的周围建筑自然环境、急救人员角色、交通工具、120急救车等。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2.要求具备多种生命支持案例，病例数≥4个，包含不明原因晕倒、触电、溺水等案例。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3.要求具备社会人员和专业医务人员的教学案例，包括基础生命支持和高级生命支持，训练内容包含但不限于胸外按压、球囊通气、AED除颤等</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4.要求能进行现场环境评估，包含虚拟场景中应用三脚架进行现场交通管制。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5.要求能进行患者意识评估，通过拍打实体模拟人双肩实现，虚拟场景中同步实时显示该操作，并可被系统自动监测到并记录该操作</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6.要求可进行脉搏、呼吸检查，触摸模拟人的颈动脉时，虚拟场景同步实时显示触摸颈动脉、听呼吸的标准动作。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7.要求可进行心肺复苏过程，遵循国际最新版心肺复苏指南标准设定。</w:t>
            </w:r>
          </w:p>
          <w:p w14:paraId="3C022683">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8.系统检测功能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8.1系统可检测到按压位置是否正确，并进行可视化标记。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8.2系统可检测按压深度，并根据操作实时反馈，包括按压深度正常、按压深度过深、按压过浅、回弹不足。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8.3系统可检测按压频率，根据操作实时反馈，并在按压过快或过慢时提示频率过快、频率过慢。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8.4系统可检测通气次数，实时监测每次通气量，并提示通气正常、通气过大、通气过小。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8.5系统可检测到通气是否有效，如模拟人气道未开放或未开放到位，胸廓不起伏。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8.6系统可提供实时脑血流充裕度3D图像显示</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8.7 完成心肺复苏的各项操作后，可提供学员操作时系统监测到的各项数据。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9.要求可模拟AED除颤，可在模拟人进行粘贴电极片操作，并在虚拟场景中同步实时显示该操作。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10.系统提供主观和客观双重评分体系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10.1提供客观结构化的智能评估系统，提供≥12项客观评估指标。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10.2允许老师可使用平板电脑进行现场主动评分和评价，要求包含≥16项主观评分指标，包括但不限于环境评估、操作动作标准判断、操作流程合理性等指标。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11.硬件配置要求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11.1交互式模拟人（1套）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11.1.1模拟人为一全身人，要求设计轻便，便于搬运。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11.1.2高仿真亚洲人头部解剖结构，具有逼真的口腔、呼吸道结构等。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11.1.3具备高级气道管理技术，包含但不限于面罩通气、LMA置入、口咽导管、鼻咽导管、气管插管等。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11.1.4具备仰头举颏法、推举下颌法等方法开放气道，支持气道打开角度检测。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11.1.5模拟人内置高精度传感器，实时检测CPR按压深度、按压位置和通气数据等。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11.1.6支持胸腔穿刺检测。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11.1.7可检测学员是否通过拍双肩查看患者意识。</w:t>
            </w:r>
          </w:p>
        </w:tc>
      </w:tr>
      <w:tr w14:paraId="623AC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7961F5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w:t>
            </w:r>
          </w:p>
        </w:tc>
        <w:tc>
          <w:tcPr>
            <w:tcW w:w="875" w:type="dxa"/>
            <w:shd w:val="clear" w:color="auto" w:fill="FFFFFF" w:themeFill="background1"/>
            <w:vAlign w:val="center"/>
          </w:tcPr>
          <w:p w14:paraId="353E0BF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检伤分类训练情境系统</w:t>
            </w:r>
          </w:p>
        </w:tc>
        <w:tc>
          <w:tcPr>
            <w:tcW w:w="836" w:type="dxa"/>
            <w:gridSpan w:val="2"/>
            <w:shd w:val="clear" w:color="auto" w:fill="FFFFFF" w:themeFill="background1"/>
            <w:vAlign w:val="center"/>
          </w:tcPr>
          <w:p w14:paraId="285D48F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1DC4DD7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471A8E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7696B01">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1.模块要求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1.1检伤分类训练情境案例，要求能够帮助救援人员紧急情况下的应变能力及提高专业急救思维。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1.2需结合医生和救援专家的知识与经验；经过实战化测试，确保能有效地帮助用户学习和练习必要的救援技能。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1.3具备高度仿真的场景与伤员、救援人员等模型。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1.4要求具备≥2个不同的分类检伤技能的教学案例，包含但不限于高速车祸、地震伤等多个灾难场景案例，其中高速车祸案例伤员设置不得低于6个，地震且伤员设置不得少于12个</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2.案例内容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2.1高速车祸场景案例：高速路上的多辆卡车撞击，然后显示周围被拉起警戒线，所有伤员均被移至车外安全地方等候救援。具体要求如下：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2.1.1遵循SALT检伤分类，可用红色、黄色、绿色、黑色对不同伤情患者进行颜色分类。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2.1.2具备设置【全局】按钮，用于点选个体伤员，在全局视角下伤员可随机点选未进行整体评估，若先进行了个体评估，则系统提示：请先进行整体评估。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2.1.3要求限时操作，如场景时间设定为10分钟，未完成操作，提示：操作时间已到，病例操作已结束。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2.2地震场景案例：要求现场有多名消防人员及战士、成片坍塌的建筑，设置在开阔处有多名伤员，另设置有多名伤员在坍塌的建筑内，未被搜救。具体要求如下：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 需设置120人员进入灾区后，消防战士需与120医生汇报此时的灾情状况，便于120医生进行后续的救治处理。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2.2.2可按照SALT法对伤员进行整体评估，模拟搜救真实的情况，120人员在灾区附近高呼，判断是否有走动和有意识的伤员需要救治。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2.2.3 分类评估时，可根据伤员的循环、呼吸状况对伤员进行旋压式止血带止血、气管插管、置入口/鼻咽通气道、包扎固定等紧急处理</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t xml:space="preserve">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2.2.4 在进行紧急处理时，可与虚拟的旋压式止血带、气管插管、口/鼻咽通气道等救治器材进行交互操作。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2.2.5 分类评估时，操作者可根据伤员的循环、呼吸状况对虚拟伤员进行≥5种类型的检伤标记。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2.2.6 分类评估时，操作者可根据伤员的循环、呼吸状况，判断是否需要对伤员进行优先转运。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2.2.7 对伤员进行分类评估后，操作者需用随身携带的手台汇报伤员此时的伤情，缩短消防战士的搜救时间</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2.2.8 设定预分类后再分类，通过简单指令性动作将伤员进行整体分类，再对完全不能活动的伤员进行个体评估。</w:t>
            </w:r>
          </w:p>
        </w:tc>
      </w:tr>
      <w:tr w14:paraId="59CE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489827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p>
        </w:tc>
        <w:tc>
          <w:tcPr>
            <w:tcW w:w="875" w:type="dxa"/>
            <w:shd w:val="clear" w:color="auto" w:fill="FFFFFF" w:themeFill="background1"/>
            <w:vAlign w:val="center"/>
          </w:tcPr>
          <w:p w14:paraId="2A5F823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心脏骤停教学情境训练系统</w:t>
            </w:r>
          </w:p>
        </w:tc>
        <w:tc>
          <w:tcPr>
            <w:tcW w:w="836" w:type="dxa"/>
            <w:gridSpan w:val="2"/>
            <w:shd w:val="clear" w:color="auto" w:fill="FFFFFF" w:themeFill="background1"/>
            <w:vAlign w:val="center"/>
          </w:tcPr>
          <w:p w14:paraId="2D13A0D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650F4E8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1744376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2F0E6A9F">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1.模块要求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要求基于临床真实患者数据创建的虚拟患者，医学生在3D虚拟情景中，对虚拟患者进行病史采集、体格检查、辅助检查，对各项生理指标与检查结果进行判读、诊断及开展干预治疗等操作，虚拟患者具备呈现阶段化病情演变，生命体征随学员不同操作呈现变化发展，系统要求具备全程记录学员的诊疗路径，给予综合评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1.2要求满足住院医师规范化培训技能考核指导标准的考核规则，模拟临床实际考站要求，利用虚拟SP模拟急诊等临床科室急危重症情景，可对病史采集的内容和相关技巧，以及诊断和鉴别诊断的能力进行考核。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1.3具备提供多点触控交互式的学习方式，实现在虚拟临床环境下与虚拟患者实时互动，患者病情实时全程动态变化，用以强化训练临床决策能力。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1.4要求在虚拟的诊疗场景中对3D虚拟仿真患者开展病史采集、体格检查、辅助检查、诊断和干预处理，患者病情实时全程动态变化。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1.5要求模拟临床实际的病情状况，虚拟患者病情恶化出现心肌梗死导致的心源性心脏骤停，具备心脏的骤停的心肺复苏处理流程，包含但不局限于胸外按压、人工通气、除颤等内容。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1.6病情设置具备完整的诊疗操作逻辑，根据用户的不同的诊疗及干预手段，展示患者不同的病情发展结果，如：未迅速识别心脏骤停，患者病情会继续恶化，出现不可逆的脑损伤。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1.7要求提供≥20种操作类型供选择，包含但不限于呼吸管理、除颤仪、呼吸机、吸痰、CPR、导管室、重症超声、血流动力学监测、四大穿刺等</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1.8诊疗成绩展示：具备自动评分的功能，对学员的诊疗操作进行自动评估，诊疗总成绩以百分制形式体现，包含诊疗思维得分和诊疗行为得分，每部分得分体现该部分的权重比例。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1.9知识点学习卡：具备≥6个知识点学习卡功能，包含但不局限于危险因素、常见症状、体征、诊断、鉴别诊断、治疗方式等，采用卡片翻页阅读形式体现以上内容</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1.10诊疗依据：教师点评需具备疾病的诊疗共识或诊疗指南，要求采用电子书阅览形式进行教学展示，包含但不限于以下内容：疾病概念、病理生理变化、临床表现、治疗原则等。</w:t>
            </w:r>
          </w:p>
        </w:tc>
      </w:tr>
      <w:tr w14:paraId="62A4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35F538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p>
        </w:tc>
        <w:tc>
          <w:tcPr>
            <w:tcW w:w="875" w:type="dxa"/>
            <w:shd w:val="clear" w:color="auto" w:fill="FFFFFF" w:themeFill="background1"/>
            <w:vAlign w:val="center"/>
          </w:tcPr>
          <w:p w14:paraId="5B136E3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实验室超高清科研可视化显示平台</w:t>
            </w:r>
          </w:p>
        </w:tc>
        <w:tc>
          <w:tcPr>
            <w:tcW w:w="836" w:type="dxa"/>
            <w:gridSpan w:val="2"/>
            <w:shd w:val="clear" w:color="auto" w:fill="FFFFFF" w:themeFill="background1"/>
            <w:vAlign w:val="center"/>
          </w:tcPr>
          <w:p w14:paraId="1377A1C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w:t>
            </w:r>
          </w:p>
        </w:tc>
        <w:tc>
          <w:tcPr>
            <w:tcW w:w="814" w:type="dxa"/>
            <w:shd w:val="clear" w:color="auto" w:fill="FFFFFF" w:themeFill="background1"/>
            <w:vAlign w:val="center"/>
          </w:tcPr>
          <w:p w14:paraId="6F85FD7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平方米</w:t>
            </w:r>
          </w:p>
        </w:tc>
        <w:tc>
          <w:tcPr>
            <w:tcW w:w="1179" w:type="dxa"/>
            <w:shd w:val="clear" w:color="auto" w:fill="FFFFFF" w:themeFill="background1"/>
            <w:vAlign w:val="center"/>
          </w:tcPr>
          <w:p w14:paraId="0258FA6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2A8BCC64">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1.LED显示屏灯珠采用表贴三合一铜线封装；LED封装形式：SMD1212黑灯。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2.LED显示屏采用≤1.53mm点间距。</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3.LED显示屏模组尺寸320mm×160mm。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4.LED显示屏采用前/后维护方式，可正面拆卸模组、接收卡、电源等低压器件，具备热插拔能力。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5.LED显示屏符合等同或优于IP5X防护等级。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6.LED显示屏亮度可达到450cd/m²，可通过配套软件0-100%调节，设置亮度定时调节。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7.LED显示屏对比度≥10000：1；LED显示屏杂点率≤1/100000且无连续失控点。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8.LED显示屏亮度均匀性≥99%；LED显示色度均匀性±0.001Cx,Cy之内。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9.LED显示屏观看水平≥160°/垂直视角≥140°。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10.LED显示屏刷新频率≥3840Hz。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11.LED显示屏峰值功耗为≤450W/㎡；LED显示屏平均功耗为≤150W/㎡。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12.LED显示屏具备低蓝光模式，可在控制软件中选择至少三档调节显示屏蓝光输出，有效减少蓝光辐射对眼睛的伤害</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13.具备LED显示屏开关机次数、使用时长记录，可形成数据保存周期≥100天，并支持对现场温湿度的监测，可在控制软件端实时显示数据，方便用户了解现场屏体、环境温湿度数据情况</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14.配备高分断空气漏电开关，具有双重过载和短路保护功能，每路输出均配备了过载、短路以及漏电保护机制。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15.支持多通讯协议，支持国际DMX512信号协议和ART-NET网络协议。支持≥6路×6kW额定功率输出，每个回路输出功率可达≥6kW。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16.支持三相平衡监测，可实时检测三相电的输入状态，出现缺相、错相、电压不平衡异常情况自动告警并及时切断电源</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17.系统采用B/S架构，具备多端登录控制和管理模式，包括但不限于web端、手机移动端、平板电脑移动端</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支持数据分析功能，支持对管理权限内的电力电箱内部温度、触点温湿度以及电压电流进行监测；支持查看设备的告警状态，并以图形化方式显示告警级别百分比占比数据；支持按月、日的格式显示告警数据与情况；支持环境数据检测与显示；支持设备统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19.支持天气预报信息功能，自动获取本地气象状态，并可以直接在平台显示本地天气、温度状态。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20.支持语言功能，支持中文和英文，≥2种语言显示界面模式切换。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21.支持换肤功能，根据用户的喜好可以切换图片作为平台显示背景。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22.支持场景设计功能，使用者可根据现场需求设置定时触发、手动触发和条件触发场景秀，场景设计支持串行依次触发设备功能，也可以实现并行同步触发设备功能，可触发包括设备功能调用或者延时操作</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23.支持定时任务功能，到达预设时间后自动切换场景，以预设程序按顺序自动控制设备开关，包括音视频、电力控制、舞台机械控制；也可以直接设置为手动触发模式。</w:t>
            </w:r>
          </w:p>
        </w:tc>
      </w:tr>
      <w:tr w14:paraId="6925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FBD6B8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8</w:t>
            </w:r>
          </w:p>
        </w:tc>
        <w:tc>
          <w:tcPr>
            <w:tcW w:w="875" w:type="dxa"/>
            <w:shd w:val="clear" w:color="auto" w:fill="FFFFFF" w:themeFill="background1"/>
            <w:vAlign w:val="center"/>
          </w:tcPr>
          <w:p w14:paraId="00D2E65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数据智能处理中枢</w:t>
            </w:r>
          </w:p>
        </w:tc>
        <w:tc>
          <w:tcPr>
            <w:tcW w:w="836" w:type="dxa"/>
            <w:gridSpan w:val="2"/>
            <w:shd w:val="clear" w:color="auto" w:fill="FFFFFF" w:themeFill="background1"/>
            <w:vAlign w:val="center"/>
          </w:tcPr>
          <w:p w14:paraId="35DAAE2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2159051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6F25E5C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BECDEA2">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1.整机带载≥1040万像素自定义输出，宽度≥61440点，高度≥61440点。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2.具备输入分辨率≥3840×2160@60Hz。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3.具备输入信号EDID管理（自定义宽度≥7680点，高度≥7680点）。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4.具备≥16路千兆网口输出，支持网口备份模式。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5.具备视频源任意切换。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6.具备亮度和色温调节。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7.具备≥8画面显示+≥1路OSD字幕画面。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8.具备画面位置、大小可自由调节。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9.具备检测输入信号、输出网口、接收卡通讯状态，可在软件端进行查看。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10.具备画面回显，通过上位机软件可以实时预览输入输出画面。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11.具备独立3.5mm音频输入输出。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12.具备≥4路HDMI 1.3输入接口，≥1路HDMI2.0输入接口，≥1路DP1.2输入接口。</w:t>
            </w:r>
          </w:p>
        </w:tc>
      </w:tr>
      <w:tr w14:paraId="09BA2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5F16C4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9</w:t>
            </w:r>
          </w:p>
        </w:tc>
        <w:tc>
          <w:tcPr>
            <w:tcW w:w="875" w:type="dxa"/>
            <w:shd w:val="clear" w:color="auto" w:fill="FFFFFF" w:themeFill="background1"/>
            <w:vAlign w:val="center"/>
          </w:tcPr>
          <w:p w14:paraId="79D2CB3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实验室智能发布控制终端</w:t>
            </w:r>
          </w:p>
        </w:tc>
        <w:tc>
          <w:tcPr>
            <w:tcW w:w="836" w:type="dxa"/>
            <w:gridSpan w:val="2"/>
            <w:shd w:val="clear" w:color="auto" w:fill="FFFFFF" w:themeFill="background1"/>
            <w:vAlign w:val="center"/>
          </w:tcPr>
          <w:p w14:paraId="26CAA90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47C3B6F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3A4F869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7EA11D0">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 处理单元≥20核心，主频≥2.1GHz 最大睿频5.4GHz。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2.RAM≥32GB，具备扩展插槽，可根据情况增加，最大支持64GB。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3.高性能独立显卡，显存≥8GB。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4.硬盘≥2T。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5.电源≥750W。</w:t>
            </w:r>
          </w:p>
        </w:tc>
      </w:tr>
      <w:tr w14:paraId="63CED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5915D9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w:t>
            </w:r>
          </w:p>
        </w:tc>
        <w:tc>
          <w:tcPr>
            <w:tcW w:w="875" w:type="dxa"/>
            <w:shd w:val="clear" w:color="auto" w:fill="FFFFFF" w:themeFill="background1"/>
            <w:vAlign w:val="center"/>
          </w:tcPr>
          <w:p w14:paraId="74C0046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AI声学采集阵列</w:t>
            </w:r>
          </w:p>
        </w:tc>
        <w:tc>
          <w:tcPr>
            <w:tcW w:w="836" w:type="dxa"/>
            <w:gridSpan w:val="2"/>
            <w:shd w:val="clear" w:color="auto" w:fill="FFFFFF" w:themeFill="background1"/>
            <w:vAlign w:val="center"/>
          </w:tcPr>
          <w:p w14:paraId="0574E29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026981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13A5C29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927B81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1.采用不锈钢圆柱形设计，内置单一指向性咪头，灵敏度达到≥-38dB，满足超远距离拾音。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2.超宽频响范围高度还原人声，内置48V幻电放大处理电路，可高质量长距离传输，搭配麦克风处理器使用。</w:t>
            </w:r>
          </w:p>
        </w:tc>
      </w:tr>
      <w:tr w14:paraId="3047E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036D97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11</w:t>
            </w:r>
          </w:p>
        </w:tc>
        <w:tc>
          <w:tcPr>
            <w:tcW w:w="875" w:type="dxa"/>
            <w:shd w:val="clear" w:color="auto" w:fill="FFFFFF" w:themeFill="background1"/>
            <w:vAlign w:val="center"/>
          </w:tcPr>
          <w:p w14:paraId="234223E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定向扩声单元</w:t>
            </w:r>
          </w:p>
        </w:tc>
        <w:tc>
          <w:tcPr>
            <w:tcW w:w="836" w:type="dxa"/>
            <w:gridSpan w:val="2"/>
            <w:shd w:val="clear" w:color="auto" w:fill="FFFFFF" w:themeFill="background1"/>
            <w:vAlign w:val="center"/>
          </w:tcPr>
          <w:p w14:paraId="3B67C45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814" w:type="dxa"/>
            <w:shd w:val="clear" w:color="auto" w:fill="FFFFFF" w:themeFill="background1"/>
            <w:vAlign w:val="center"/>
          </w:tcPr>
          <w:p w14:paraId="16E4D1C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只</w:t>
            </w:r>
          </w:p>
        </w:tc>
        <w:tc>
          <w:tcPr>
            <w:tcW w:w="1179" w:type="dxa"/>
            <w:shd w:val="clear" w:color="auto" w:fill="FFFFFF" w:themeFill="background1"/>
            <w:vAlign w:val="center"/>
          </w:tcPr>
          <w:p w14:paraId="6351207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A56D576">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1.功率（100V）：3.75W/7.5W/15W/30W。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2.功率（70V）：1.9W/3.75W/7.5W/15W。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3.防护等级：IP66。</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4.输入：70V/100V/8Ω。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5.灵敏度：92dB。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6.阻抗：2.6KΩ/1.3KΩ/670Ω/330Ω/165Ω。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7.频率响应：125Hz-18KHz。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8.喇叭单元：5"×1，1.5"×1。</w:t>
            </w:r>
          </w:p>
        </w:tc>
      </w:tr>
      <w:tr w14:paraId="6E3E3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1C6977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12</w:t>
            </w:r>
          </w:p>
        </w:tc>
        <w:tc>
          <w:tcPr>
            <w:tcW w:w="875" w:type="dxa"/>
            <w:shd w:val="clear" w:color="auto" w:fill="FFFFFF" w:themeFill="background1"/>
            <w:vAlign w:val="center"/>
          </w:tcPr>
          <w:p w14:paraId="4AAD5DD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数字音频处理中枢</w:t>
            </w:r>
          </w:p>
        </w:tc>
        <w:tc>
          <w:tcPr>
            <w:tcW w:w="836" w:type="dxa"/>
            <w:gridSpan w:val="2"/>
            <w:shd w:val="clear" w:color="auto" w:fill="FFFFFF" w:themeFill="background1"/>
            <w:vAlign w:val="center"/>
          </w:tcPr>
          <w:p w14:paraId="77F6B28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4E2B338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6A64266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F21C98F">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1.采用自适应声场检测算法，系统可根据声学环境自适应设置音频参数。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2.内置高性能DSP处理器，可实现自动混音、自适应反馈抑制、自动增益、自动闪避、自动均衡、混响抑制以及环境降噪功能。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3.设备具有≥4路LINE IN，≥2路MIC IN，≥1路SPK IN，≥2路LINE OUT，≥4路SPK OUT以及≥1路RS-485控制接口</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4.设备具备线路信号检测功能。当LINE IN有音频输入时，麦克风自动静音，避免前方音箱对麦克风进行二次扩声。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5.设备具备SPK信号检测功能。当SPK IN有音频输入时，麦克风自动静音，避免前方音箱对麦克风进行二次扩声。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6.内置≥4×30W高效智能数字功放，可外接≥4只8Ω定阻音箱。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7.具备调节麦克风输入灵敏度功能；MIC IN、LINE IN、LINE OUT与SPK音量都可以独立调节。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具备≥7段EQ均衡设置功能，可根据实际效果分别调节低、中、高音；≥7档手动降噪等级设置；≥4个预设场景切换设置，可进行场景保存、场景恢复、恢复出厂设置操作；≥7档啸叫抑制设置，提高麦克风传声增益；≥7档混响抑制设置；具备高低通设置功能，用户可根据实际环境进行高低通调节；具备噪声门设置功能，可自定义阈值、比率、启动时间和释放时间；具备压限器设置功能，可调阈值</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9.具有多音源闪避优先级功能，可以自动根据音源的优先级实现智能闪避，可调节阈值、闪避等级、启动时间和释放时间，实现当线路输入有声音时，麦克风进行自动闪避。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10.具有AI降噪功能，≥三档等级可调，自动检测和抑制环境噪声，消除非稳态噪声，包括拍手、翻书、风扇、敲击噪声</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p>
        </w:tc>
      </w:tr>
      <w:tr w14:paraId="3056D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3C7991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13</w:t>
            </w:r>
          </w:p>
        </w:tc>
        <w:tc>
          <w:tcPr>
            <w:tcW w:w="875" w:type="dxa"/>
            <w:shd w:val="clear" w:color="auto" w:fill="FFFFFF" w:themeFill="background1"/>
            <w:vAlign w:val="center"/>
          </w:tcPr>
          <w:p w14:paraId="7B485D9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千兆交换机</w:t>
            </w:r>
          </w:p>
        </w:tc>
        <w:tc>
          <w:tcPr>
            <w:tcW w:w="836" w:type="dxa"/>
            <w:gridSpan w:val="2"/>
            <w:shd w:val="clear" w:color="auto" w:fill="FFFFFF" w:themeFill="background1"/>
            <w:vAlign w:val="center"/>
          </w:tcPr>
          <w:p w14:paraId="223C6FE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39EEF4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034E4D4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DF6CE57">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1.交换容量≥336Gbps/3.36Tbps。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2.包转发率≥108Mpps/126Mpps。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3.支持24个10/100/1000BASE-T以太网端口，4个万兆SFP+。</w:t>
            </w:r>
          </w:p>
        </w:tc>
      </w:tr>
      <w:tr w14:paraId="1509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ECF5CB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14</w:t>
            </w:r>
          </w:p>
        </w:tc>
        <w:tc>
          <w:tcPr>
            <w:tcW w:w="875" w:type="dxa"/>
            <w:shd w:val="clear" w:color="auto" w:fill="FFFFFF" w:themeFill="background1"/>
            <w:vAlign w:val="center"/>
          </w:tcPr>
          <w:p w14:paraId="4424CD8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POE交换机</w:t>
            </w:r>
          </w:p>
        </w:tc>
        <w:tc>
          <w:tcPr>
            <w:tcW w:w="836" w:type="dxa"/>
            <w:gridSpan w:val="2"/>
            <w:shd w:val="clear" w:color="auto" w:fill="FFFFFF" w:themeFill="background1"/>
            <w:vAlign w:val="center"/>
          </w:tcPr>
          <w:p w14:paraId="52ED368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1513F9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550080C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F5A44A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1.交换容量≥336Gbps。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2.包转发率≥51Mpps。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3.固定端口≥24个10/100/1000Base-T以太网端口，4个千兆SFP。</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4.POE总功率≥380W。</w:t>
            </w:r>
          </w:p>
        </w:tc>
      </w:tr>
      <w:tr w14:paraId="7EE44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597F43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w:t>
            </w:r>
          </w:p>
        </w:tc>
        <w:tc>
          <w:tcPr>
            <w:tcW w:w="875" w:type="dxa"/>
            <w:shd w:val="clear" w:color="auto" w:fill="FFFFFF" w:themeFill="background1"/>
            <w:vAlign w:val="center"/>
          </w:tcPr>
          <w:p w14:paraId="01809F6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实验室4K过程记录终端</w:t>
            </w:r>
          </w:p>
        </w:tc>
        <w:tc>
          <w:tcPr>
            <w:tcW w:w="836" w:type="dxa"/>
            <w:gridSpan w:val="2"/>
            <w:shd w:val="clear" w:color="auto" w:fill="FFFFFF" w:themeFill="background1"/>
            <w:vAlign w:val="center"/>
          </w:tcPr>
          <w:p w14:paraId="3E70C9F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814" w:type="dxa"/>
            <w:shd w:val="clear" w:color="auto" w:fill="FFFFFF" w:themeFill="background1"/>
            <w:vAlign w:val="center"/>
          </w:tcPr>
          <w:p w14:paraId="08014A3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3488455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AD81681">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1.全景镜头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1.1.支持≥846万像素，≥1/2.8英寸CMOS传感器，支持数字变焦功能。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1.2.支持≥3840×2160@30fps分辨率网络流的输出，并向下兼容。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1.3.摄像机水平场视角≥44°，垂直≥25°。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1.4.支持四路码流同时输出，即特写镜头两路码流，全景镜头两路码流，并可支持特写和全景同时RTMP推流。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1.5.内置基于深度学习的老师跟踪或学生定位智能视频算法，单摄像机同时实现全景景别和跟踪特写景别拍摄。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1.6.应用基于骨骼关键点的行为识别算法，教师机可直接识别教师板书动作。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1.7.基于深度学习的学生跟踪算法，在误检率极低的情况下大幅提高检测率。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1.8.学生跟踪算法可适应各种站立角度和各种不规则的站立过程。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1.9.具备≥1路USB接口，支持UVC功能，兼容各种主流会议软件和平台软件。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1.10.具备≥1路RJ45网口接口，支持POE功能。</w:t>
            </w:r>
          </w:p>
        </w:tc>
      </w:tr>
      <w:tr w14:paraId="6B1B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6FD743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16</w:t>
            </w:r>
          </w:p>
        </w:tc>
        <w:tc>
          <w:tcPr>
            <w:tcW w:w="875" w:type="dxa"/>
            <w:shd w:val="clear" w:color="auto" w:fill="FFFFFF" w:themeFill="background1"/>
            <w:vAlign w:val="center"/>
          </w:tcPr>
          <w:p w14:paraId="1461194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实验室多源分析终端</w:t>
            </w:r>
          </w:p>
        </w:tc>
        <w:tc>
          <w:tcPr>
            <w:tcW w:w="836" w:type="dxa"/>
            <w:gridSpan w:val="2"/>
            <w:shd w:val="clear" w:color="auto" w:fill="FFFFFF" w:themeFill="background1"/>
            <w:vAlign w:val="center"/>
          </w:tcPr>
          <w:p w14:paraId="6C14BAA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24A438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260E8E2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77059D8">
            <w:pPr>
              <w:widowControl/>
              <w:numPr>
                <w:ilvl w:val="0"/>
                <w:numId w:val="2"/>
              </w:numPr>
              <w:spacing w:line="360" w:lineRule="exact"/>
              <w:jc w:val="left"/>
              <w:textAlignment w:val="center"/>
              <w:rPr>
                <w:color w:val="auto"/>
                <w:highlight w:val="none"/>
              </w:rPr>
            </w:pPr>
            <w:r>
              <w:rPr>
                <w:rFonts w:hint="eastAsia" w:ascii="宋体" w:hAnsi="宋体" w:cs="宋体"/>
                <w:color w:val="auto"/>
                <w:kern w:val="0"/>
                <w:szCs w:val="21"/>
                <w:highlight w:val="none"/>
                <w:lang w:bidi="ar"/>
              </w:rPr>
              <w:t>内置LCD屏，显示设备运行状态、参数信息、硬盘容量、音频状态、资源通道录制状态、文件拷贝进度。设备具备≥4个物理按键，具备一键录制、停止、直播以及一键拷贝录制文件的能力。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备≥6路HDMI信号输入接口，全HDMI接口视频≥4K分辨率画面采集，具备≥1路Type-C接口采集画面，≥1080P分辨率采集画面。具备≥4路HDMI信号输出接口，其中≥2路4K分辨率以及音频同时输出；其他≥2路HDMI输出口以及具备自定义通道画面输出。具备≥1路3.5mm音频接口以及≥2路凤凰端子采集音频；≥1路3.5mm音频接口以及≥2路凤凰端子输出音频</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p>
          <w:p w14:paraId="4C33679E">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3.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4.设备可实现≥8路4K网络摄像头同时接入解码，具备≥6路资源画面合成输出≥4K分辨率PGM画面。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备嵌入式导播控制台，可实时预览≥9路画面，≥1路PGM画面预览和≥8路资源通道预览，≥9路视频流同时录制，录制的文件格式支持MP4、AVI、MOV、FLV、TS和MKV格式。具备独立录制功能，各路录制可自由绑定音频通道，可独立录制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6.异常修复：具备供电异常导致的损坏的视频文件可进行文件修复，修复的文件格式包括但不限于MP4、AVI、MOV、FLV和MKV视频封装格式。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备软件中控，在录播管理界面填写好中控指令，即可通过界面进行中控操作，对接其他设备进行一键控制；支持录播安卓APP对接和控制；支持对接私有云平台服务器。对接成功后，云平台可对设备进行统一的管控，方便对多台录播设备进行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音视频互动模式下，可实现HDMI输出主会场和分会场的画面，当主会场开启辅流共享时，主会场和分会场的HDMI接口都输出主会场的电脑课件内容；主会场不开启辅流共享时，主会场的HDMI接口输出主会场的电脑课件内容，分会场的HDMI接口输出分会场的电脑课件内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加密录制：可实现对录制文件加密录制，≥2种加密方式；可实现对录制视频进行加密操作或通过可配置多个加密狗对录制文件进行加密；加密视频需使用解密播放器进行播放，需使用U盾或密码对加密视频进行授权播放</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具备用户模式和高级模式设置。用户设置：支持一键设置超高清、高清，标清，流畅四个等级；高级设置：可自定义分辨率、码率、帧率。码率支持256kbps~20Mbps，支持动态编码以及静态编码选择；支持自定义分辨率，不同分辨率比例设置，包括9:16、16:9、32:9设置，支持≥4K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11.音频编码支持多种格式，支持AAC、PCM、G.711A、G.711U、ADPCM格式，音频采样率支持48K、44.1K、8K。提供音频管理功能，支持音频混音管理，对≥5路音频输入混音设置以及每路通道音量大小单独控制。</w:t>
            </w:r>
          </w:p>
        </w:tc>
      </w:tr>
      <w:tr w14:paraId="2520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638C3E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17</w:t>
            </w:r>
          </w:p>
        </w:tc>
        <w:tc>
          <w:tcPr>
            <w:tcW w:w="875" w:type="dxa"/>
            <w:shd w:val="clear" w:color="auto" w:fill="FFFFFF" w:themeFill="background1"/>
            <w:vAlign w:val="center"/>
          </w:tcPr>
          <w:p w14:paraId="4AC0204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实验室智能多源管理系统</w:t>
            </w:r>
          </w:p>
        </w:tc>
        <w:tc>
          <w:tcPr>
            <w:tcW w:w="836" w:type="dxa"/>
            <w:gridSpan w:val="2"/>
            <w:shd w:val="clear" w:color="auto" w:fill="FFFFFF" w:themeFill="background1"/>
            <w:vAlign w:val="center"/>
          </w:tcPr>
          <w:p w14:paraId="47A40A5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B2D28F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0E8A17A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2BB104D">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支持预约录制功能，在预约时间自动开启视频录制。1+8窗口画面录制，可以自由选择窗口进行录制，支持录制分辨率3840×2160、1920×1080、1280×720、720×576，支持帧率60fps、50fps、30fps、25fps,支持码率12M、8M、4M、2M、1M、512K、256K,支持编码格式H265、H264，支持封装格式MP4、MOV、AVI、FLV、MKV、TS。并且30-120分钟的分片，录制过程中，用户可通过录播主机查看已录制时长。用户可手动控制开始/暂停/恢复、结束录制，在没手动结束录制情况下录满8小时自动结束录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录制文件自动归档，可按照日期、时间维度自动存储到对应文件夹；支持点击视频进行回看，支持多种倍速播放；支持文件重命名，无需外接键盘鼠标，用户可在录播主机上直接编辑文件名称；支持单个文件删除，支持文件夹删除，支持批量文件删除，支持批量文件夹删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3.支持通过预监实时画面，可同时预监PGM画面、教师全景、教师特写、电脑画面、≥16个学生实训画面。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4.支持双画面（2种风格）、三画面、四画面（2种风格）、五画面、六画面、八画面、十六画面≥9种布局模式，可以拖动窗口画面调整布局。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5.支持FTP远程自动上传录像，录制结束后支持设置定时或者实时上传录制文件。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6.支持录制时进行打点标记，在视频回放时可以查看标记点，并且可截取视频画面，可对截图进行编辑，录制的视频可直接在视频回放模块观看，同时也可对当前点播视频进行打点标记和截图保存。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7.支持一键开启直播，开启直播后显示直播时长，可以同时3路推流，可以设置定时推流，支持与各个网络直播平台进行对接，满足大规模直播需求。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8.支持连接到云平台，支持通过云平台对设备进行管理，支持通过平台查看对应的录制文件和直播画面。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9.支持Logo设置，可以自己上传Logo图片，为直播、录制画面增加水印，防止该资源被侵权利用。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10.支持自定义窗口无信号图片和PGM窗口背景图片，以及自定义系统名称，满足个性化导播需求。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11.支持主机联网后时间自动更新。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12.支持首页实时查看可用内存空间及内存总容量。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13.支持本地升级，可通过U盘实现设备升级。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14.支持手动和自动拷贝录制文件方式，接入U盘后手动将录制文件拷出，或者录制结束后自动将文件拷到U盘中。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15.支持对三路3.5mm音频输入和hdmi音频输入分别设置音量大小。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16.支持通过网络或者SDI对摄像头进行云台控制，支持云台控制速度调节。</w:t>
            </w:r>
          </w:p>
        </w:tc>
      </w:tr>
      <w:tr w14:paraId="6D7D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7D0DB4F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18</w:t>
            </w:r>
          </w:p>
        </w:tc>
        <w:tc>
          <w:tcPr>
            <w:tcW w:w="875" w:type="dxa"/>
            <w:shd w:val="clear" w:color="auto" w:fill="FFFFFF" w:themeFill="background1"/>
            <w:vAlign w:val="center"/>
          </w:tcPr>
          <w:p w14:paraId="11E571C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实验室AI智能声像跟踪系统</w:t>
            </w:r>
          </w:p>
        </w:tc>
        <w:tc>
          <w:tcPr>
            <w:tcW w:w="836" w:type="dxa"/>
            <w:gridSpan w:val="2"/>
            <w:shd w:val="clear" w:color="auto" w:fill="FFFFFF" w:themeFill="background1"/>
            <w:vAlign w:val="center"/>
          </w:tcPr>
          <w:p w14:paraId="2A4AC2B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111D0E7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2C0F49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F738337">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1.采用1/2.8英寸、≥846万有效像素的高品质UHDCMOS传感器，可实现4K高分辨率，并且向下兼容1080P、720P等多种分辨率。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2.具有≥12倍光学变焦，水平视场角可达≥72.5°。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3.支持HDMI、3G-SDI、UVC、LAN输出，支持其中三路视频可同时输出，可支持≥4K@30fps（其中3G-SDI最高支持1080P@60fps）并且支持向下兼容输出。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4.支持Visca、Pecol-d/Pecol-p、Onvif、GB/T28181等多种控制协议，可通过红外遥控器、RS-232、RS-485以及网络多种方式对摄像机进行远程控制。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5.支持H.264、H.265、MJPEG视频编码标准，双码流输出，分辨率可支持≥3840×2160输出；具有图像水平翻转和垂直翻转功能。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6.具备≥1路HDMI接口、≥1路SDI接口、≥2路USB接口、≥2路串口（1×232IN，1×232OUT/485）、≥1路音频输入、≥1路TF卡接口。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7.支持POE供电。</w:t>
            </w:r>
          </w:p>
        </w:tc>
      </w:tr>
      <w:tr w14:paraId="2FF2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EBBC58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19</w:t>
            </w:r>
          </w:p>
        </w:tc>
        <w:tc>
          <w:tcPr>
            <w:tcW w:w="875" w:type="dxa"/>
            <w:shd w:val="clear" w:color="auto" w:fill="FFFFFF" w:themeFill="background1"/>
            <w:vAlign w:val="center"/>
          </w:tcPr>
          <w:p w14:paraId="5494D07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实验室多源触控面板</w:t>
            </w:r>
          </w:p>
        </w:tc>
        <w:tc>
          <w:tcPr>
            <w:tcW w:w="836" w:type="dxa"/>
            <w:gridSpan w:val="2"/>
            <w:shd w:val="clear" w:color="auto" w:fill="FFFFFF" w:themeFill="background1"/>
            <w:vAlign w:val="center"/>
          </w:tcPr>
          <w:p w14:paraId="6C0F111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190F9CB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06FBC79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4258F2E">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1.设备采用操作系统参考或相当于Android 11，显示器≥10.1 英寸，显示画面≥1920×1200分辨率，显示屏≥10点触控，摄像头像素≥500W</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2.设备具有物理隐私拨片，滑动可遮挡摄像头，保护用户隐私。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3.内置≥4个拾音麦，拾音距离可达≥5米；搭配中控主机支持通过语音助手控制切换矩阵显示画面、设备开关等功能。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4.具有距离传感器，支持感应人体位置，实现人来亮屏功能；具有光感传感器，支持采集周边环境光线亮度值并可将数值实时显示；具有温湿度传感器，支持采集周边温湿度环境并可将数值实时显示</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5.具有语音唤醒控制功能；呼唤指令词即可唤醒AI语音助手，通过将语音转换成中控指令，实现对周边设备控制或场景调用</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6.内置≥1个背光灯条，搭配中控主机可根据会议状态切换指示灯显示状态，无需接近即可了解会议室使用情况。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对接会务管理系统；搭配中控主机，可通过手机APP或WEB端预约会议室，设置情景类型以及开始/结束时间；会议开始前，系统会自动调用场景，设备背光灯条自动亮起，同时联动开启室内空调、照明灯具；会议结束后设备联动关闭会议室空调、灯光等设备</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8.支持画面预览，可查看≥6路摄像机画面和1路PGM画面。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9.支持画面布局设置，支持≥单画面、双画面、三画面、四画面等多种布局样式，可进行自由切换。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10.支持手动、自动等多种导播方式，可“一键式”开启全自动图像跟踪拍摄录制。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11.支持课堂召集功能。互动模式下，主讲课室可以通过查看历史记录直接对参加过课堂互动的教室终端发起互动功能，无需做额外配置。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12.支持视频点播功能，用户无需下载即可对录制视频文件进行播放、暂停、拖拉进度等操作。</w:t>
            </w:r>
          </w:p>
        </w:tc>
      </w:tr>
      <w:tr w14:paraId="40A5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81473A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20</w:t>
            </w:r>
          </w:p>
        </w:tc>
        <w:tc>
          <w:tcPr>
            <w:tcW w:w="875" w:type="dxa"/>
            <w:shd w:val="clear" w:color="auto" w:fill="FFFFFF" w:themeFill="background1"/>
            <w:vAlign w:val="center"/>
          </w:tcPr>
          <w:p w14:paraId="13A4995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实验室导播控制终端</w:t>
            </w:r>
          </w:p>
        </w:tc>
        <w:tc>
          <w:tcPr>
            <w:tcW w:w="836" w:type="dxa"/>
            <w:gridSpan w:val="2"/>
            <w:shd w:val="clear" w:color="auto" w:fill="FFFFFF" w:themeFill="background1"/>
            <w:vAlign w:val="center"/>
          </w:tcPr>
          <w:p w14:paraId="2C9A8A4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3FB67A3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567B55F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49DB13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1.具有≥63个按键、≥1个三轴操纵杆、≥1个T型视频推杆、≥4路音量调节推子，具有通信接口：≥1个USB接口、≥1个RS232接口、≥1个RS422接口。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2.支持对≥4个通道音量开关及音量大小的调整，支持一键启动、暂停、停止录制，支持智能导播拍摄方式切换，可一键设置为自动或手动导播，支持一键启动直播推流和一键停止直播推流功能。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3.支持拍摄录制画面切换，支持通过≥6个快捷按键切换多种画面组合录制模式，包括画中画、三画面、四画面及自定义画面等。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4.支持通过按键将≥8个通道画面切换至预览窗口，并且可通过T型视频推杆将预览PVW窗口画面切换至输出画面PGM，T型视频推杆具有LED进度指示功能。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5.支持通过按键选中对应通道的画面，并且通过三轴操纵杆进行快、慢速拍摄调节（上下左右、变倍等），通过搭配按键实现≥8个预置位的调用和存储。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6.支持按键调用字幕OSD预设1、OSD预设2功能，并且可一键清除字幕OSD预设功能。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7.支持听讲申请加入互动教室、听讲申请退出互动教室、听讲申请发言、主讲同意听讲1发言、主讲同意听讲2发言、主讲同意听讲3发言。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8.支持特效切换功能，画面切换特效一键搞定，支持一键设置为渐变切换效果、一键设置为百叶窗切换效果、一键清除效果。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9.支持一键锁屏/取消锁屏。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10.支持中控指令控制功能，通过连接录播主机完成中控指令的一键下发，具备有≥5个按键可自定义中控指令。</w:t>
            </w:r>
          </w:p>
        </w:tc>
      </w:tr>
      <w:tr w14:paraId="3C350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75956F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21</w:t>
            </w:r>
          </w:p>
        </w:tc>
        <w:tc>
          <w:tcPr>
            <w:tcW w:w="875" w:type="dxa"/>
            <w:shd w:val="clear" w:color="auto" w:fill="FFFFFF" w:themeFill="background1"/>
            <w:vAlign w:val="center"/>
          </w:tcPr>
          <w:p w14:paraId="596A405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实验室全栈资源管理与分析平台</w:t>
            </w:r>
          </w:p>
        </w:tc>
        <w:tc>
          <w:tcPr>
            <w:tcW w:w="836" w:type="dxa"/>
            <w:gridSpan w:val="2"/>
            <w:shd w:val="clear" w:color="auto" w:fill="FFFFFF" w:themeFill="background1"/>
            <w:vAlign w:val="center"/>
          </w:tcPr>
          <w:p w14:paraId="5C33E23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4D7A14D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F7DA90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2C9A111">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1.采用机架式设计，操作系统参考或相当于Linux操作系统。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对当前校园的所有班级统一管理，搜索班级，对单个班级增删改、导入或添加班级成员、添加修改班级课表、对班级岗位进行设置。学校管理员可以直接在网页观看学校所有教室的上课情况，进行批量管理、在线巡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3.支持后台对视频管理、分类；对平台上的公开资源进行管理，查看和删除；对平台的试题资源进行审核管理，自定义题型；可对直播进行预约、审核、管理；可管理评课活动、修改评分标准。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在线直播、点播视频资源，无需安装专用播放插件；支持点播视频通过微博、微信二维码分享，可通过扫描二维码在手机端观看。支持视频边看边练，当观看者看到该时间点时，将弹出该题目，视频播放完成后即弹出做题结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对于系统中所有的视频均可进行标题、关键字搜索，搜索出来的视频可以按照最新发布、最高人气、最多播放进行排序，便于用户查找所需的视频。支持视频资源推荐置顶功能，根据点播次数、点赞的视频、管理员设置，在首页为用户提供推荐视频；可以在后台设置是否显示在首页，便于用户查看最新的视频资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视频资源的扩展，可以对视频关联文档附件（例如相关word、PDF、Excel、PPT等格式资料）；可以边看视频边做笔记，学习笔记可在个人中心进行管理；老师可以对自己的视频进行标注、添加测试、设置片头片尾、视频切片、整合多个视频，进行视频附件管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7.支持视频互动功能，可以对视频点赞、进行评价、收藏；学生可以针对视频内容进行提问，老师在个人中心收到问题进行回复。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8.支持S-T分析功能，平台根据直播课堂实况，自动分析本节课的课堂行为，教师、学生、互动行为占比并自动画出行为分布图，根据数据自动分析本节课的课堂类型，给教师提供参考。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9.点播时支持标清、高清、全高清三种清晰度设置，播放时可在播放器窗口进行切换。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10.支持对视频在线切片，采用虚拟切割技术，不损害视频源文件，不单独保存，可以缓解服务器压力。支持网络教研功能，教师可自主发起优秀课评选、定义评估标准。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支持云平台网站自定义界面设计，支持设置校园新闻、校园资讯、临时公告等。支持在线组卷功能，教师可以在个人中心创建试题，创建试卷，将生成的试卷发送给制定班级，生成考试任务，学生收到任务后可以在线答题考试，结束考试后，答卷会反馈老师，老师进行批阅，老师可以查看任务完成情况，查看任务分析报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12.服务器性能配置处理器≥4核，≥8线程，≥3.4GHz主频，内存≥8G，具有SSD硬盘容量≥128G，企业级硬盘HDD容量≥4TB，具有≥4个硬盘位，≥2个网口。</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课程管理：支持对设置课时，按学期教学周以及班级添加课表，一键导出导入课表信息，支持调课、代课以及清空课表信息；支持查看AI课程信息，查看课表报告并下载报告PDF；支持AI课程信息对比查看，并导出AI课程信息；支持对视频课程进行转码设置，可自动审核转码信息</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14.考勤管理：支持一键设置考勤信息，对迟到、早退、缺勤设置时间以便进行考勤统计；可查看考勤详情，一键申诉考勤问题</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color w:val="auto"/>
                <w:highlight w:val="none"/>
              </w:rPr>
              <w:t>。</w:t>
            </w:r>
          </w:p>
        </w:tc>
      </w:tr>
      <w:tr w14:paraId="0C342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93CE56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22</w:t>
            </w:r>
          </w:p>
        </w:tc>
        <w:tc>
          <w:tcPr>
            <w:tcW w:w="875" w:type="dxa"/>
            <w:shd w:val="clear" w:color="auto" w:fill="FFFFFF" w:themeFill="background1"/>
            <w:vAlign w:val="center"/>
          </w:tcPr>
          <w:p w14:paraId="103A078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实验室物联中枢系统</w:t>
            </w:r>
          </w:p>
        </w:tc>
        <w:tc>
          <w:tcPr>
            <w:tcW w:w="836" w:type="dxa"/>
            <w:gridSpan w:val="2"/>
            <w:shd w:val="clear" w:color="auto" w:fill="FFFFFF" w:themeFill="background1"/>
            <w:vAlign w:val="center"/>
          </w:tcPr>
          <w:p w14:paraId="1D3E73D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FEFF89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3420BD1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7037F36">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1.IEEE 802.11a/b/g/n/ac/ax/be无线协议。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2.最高无线速率≥6500Mbps。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3.处理器≥4核。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4.内存≥1GB。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5.以太网接口≥4个2.5Gbps。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6.支持本地化部署内置网关。</w:t>
            </w:r>
          </w:p>
        </w:tc>
      </w:tr>
      <w:tr w14:paraId="4E98A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720E5B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23</w:t>
            </w:r>
          </w:p>
        </w:tc>
        <w:tc>
          <w:tcPr>
            <w:tcW w:w="875" w:type="dxa"/>
            <w:shd w:val="clear" w:color="auto" w:fill="FFFFFF" w:themeFill="background1"/>
            <w:vAlign w:val="center"/>
          </w:tcPr>
          <w:p w14:paraId="541A2B1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实验室环境物联网关</w:t>
            </w:r>
          </w:p>
        </w:tc>
        <w:tc>
          <w:tcPr>
            <w:tcW w:w="836" w:type="dxa"/>
            <w:gridSpan w:val="2"/>
            <w:shd w:val="clear" w:color="auto" w:fill="FFFFFF" w:themeFill="background1"/>
            <w:vAlign w:val="center"/>
          </w:tcPr>
          <w:p w14:paraId="0AF3403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30F315F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789E36A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8A2F4DD">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1.搭载四核处理芯片，保障网关内部数据实时高效运算。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2.内置≥4GB 存储空间，网关充足 OTA 扩展能力。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3.支持参考或相当于系统Android 7.0 或 iOS 11.0。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 RJ45 有线网口直连，要求能保障远程控制与场景联。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 2.4GHz 与 5GHz双频 Wi-Fi 连接。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6.内置专业级网关，支持≥200 个蓝牙 Mesh 设备和 100个蓝牙设备。</w:t>
            </w:r>
          </w:p>
        </w:tc>
      </w:tr>
      <w:tr w14:paraId="2C4F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056C18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24</w:t>
            </w:r>
          </w:p>
        </w:tc>
        <w:tc>
          <w:tcPr>
            <w:tcW w:w="875" w:type="dxa"/>
            <w:shd w:val="clear" w:color="auto" w:fill="FFFFFF" w:themeFill="background1"/>
            <w:vAlign w:val="center"/>
          </w:tcPr>
          <w:p w14:paraId="2B4B937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实验室环境智控终端</w:t>
            </w:r>
          </w:p>
        </w:tc>
        <w:tc>
          <w:tcPr>
            <w:tcW w:w="836" w:type="dxa"/>
            <w:gridSpan w:val="2"/>
            <w:shd w:val="clear" w:color="auto" w:fill="FFFFFF" w:themeFill="background1"/>
            <w:vAlign w:val="center"/>
          </w:tcPr>
          <w:p w14:paraId="0D64146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536F1EF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6903AD0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D1150A3">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1.高清屏≥4.2英寸、86底盒安装，分辨率 1280×720pX。</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2.防火等级达UL94V-0。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3.单路负载≥1000W。</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4.交互方式触控、语音、APP。</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5.添加过零调节技术，减少磨损延长寿命开关在电流归零时操作，避免打火，保护电路，雷击浪涌超过2000V检测标准，确保用电安全用工业级标准。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6.支持按键互锁。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7.支持点动设置。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8.支持转无线设置。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9.支持本地互控。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10.支持≥8路场景控制。</w:t>
            </w:r>
          </w:p>
        </w:tc>
      </w:tr>
      <w:tr w14:paraId="607B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7CA5D06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25</w:t>
            </w:r>
          </w:p>
        </w:tc>
        <w:tc>
          <w:tcPr>
            <w:tcW w:w="875" w:type="dxa"/>
            <w:shd w:val="clear" w:color="auto" w:fill="FFFFFF" w:themeFill="background1"/>
            <w:vAlign w:val="center"/>
          </w:tcPr>
          <w:p w14:paraId="00397CD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实验室环境调控帘幕智能驱动单元</w:t>
            </w:r>
          </w:p>
        </w:tc>
        <w:tc>
          <w:tcPr>
            <w:tcW w:w="836" w:type="dxa"/>
            <w:gridSpan w:val="2"/>
            <w:shd w:val="clear" w:color="auto" w:fill="FFFFFF" w:themeFill="background1"/>
            <w:vAlign w:val="center"/>
          </w:tcPr>
          <w:p w14:paraId="3876907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7</w:t>
            </w:r>
          </w:p>
        </w:tc>
        <w:tc>
          <w:tcPr>
            <w:tcW w:w="814" w:type="dxa"/>
            <w:shd w:val="clear" w:color="auto" w:fill="FFFFFF" w:themeFill="background1"/>
            <w:vAlign w:val="center"/>
          </w:tcPr>
          <w:p w14:paraId="379192C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个</w:t>
            </w:r>
          </w:p>
        </w:tc>
        <w:tc>
          <w:tcPr>
            <w:tcW w:w="1179" w:type="dxa"/>
            <w:shd w:val="clear" w:color="auto" w:fill="FFFFFF" w:themeFill="background1"/>
            <w:vAlign w:val="center"/>
          </w:tcPr>
          <w:p w14:paraId="66B7D6B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5B449AD">
            <w:pPr>
              <w:widowControl/>
              <w:spacing w:line="360" w:lineRule="exact"/>
              <w:jc w:val="left"/>
              <w:textAlignment w:val="center"/>
              <w:rPr>
                <w:rFonts w:hint="eastAsia" w:ascii="宋体" w:hAnsi="宋体" w:cs="宋体"/>
                <w:bCs/>
                <w:color w:val="auto"/>
                <w:szCs w:val="21"/>
                <w:highlight w:val="none"/>
              </w:rPr>
            </w:pPr>
            <w:r>
              <w:rPr>
                <w:rStyle w:val="78"/>
                <w:rFonts w:hint="eastAsia" w:ascii="宋体" w:hAnsi="宋体" w:cs="宋体"/>
                <w:color w:val="auto"/>
                <w:highlight w:val="none"/>
                <w:lang w:bidi="ar"/>
              </w:rPr>
              <w:t>1.</w:t>
            </w:r>
            <w:r>
              <w:rPr>
                <w:rStyle w:val="78"/>
                <w:rFonts w:hint="eastAsia" w:ascii="宋体" w:hAnsi="宋体" w:eastAsia="宋体" w:cs="宋体"/>
                <w:color w:val="auto"/>
                <w:highlight w:val="none"/>
                <w:lang w:bidi="ar"/>
              </w:rPr>
              <w:t>开合窗帘用交流输入直流电动机</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2.</w:t>
            </w:r>
            <w:r>
              <w:rPr>
                <w:rStyle w:val="78"/>
                <w:rFonts w:hint="eastAsia" w:ascii="宋体" w:hAnsi="宋体" w:eastAsia="宋体" w:cs="宋体"/>
                <w:color w:val="auto"/>
                <w:highlight w:val="none"/>
                <w:lang w:bidi="ar"/>
              </w:rPr>
              <w:t>额定扭矩: 1.5（</w:t>
            </w:r>
            <w:r>
              <w:rPr>
                <w:rStyle w:val="79"/>
                <w:rFonts w:hint="eastAsia" w:ascii="宋体" w:hAnsi="宋体" w:eastAsia="宋体" w:cs="宋体"/>
                <w:color w:val="auto"/>
                <w:highlight w:val="none"/>
                <w:lang w:bidi="ar"/>
              </w:rPr>
              <w:t>±</w:t>
            </w:r>
            <w:r>
              <w:rPr>
                <w:rStyle w:val="78"/>
                <w:rFonts w:hint="eastAsia" w:ascii="宋体" w:hAnsi="宋体" w:eastAsia="宋体" w:cs="宋体"/>
                <w:color w:val="auto"/>
                <w:highlight w:val="none"/>
                <w:lang w:bidi="ar"/>
              </w:rPr>
              <w:t>0.5）Nm</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3.</w:t>
            </w:r>
            <w:r>
              <w:rPr>
                <w:rStyle w:val="78"/>
                <w:rFonts w:hint="eastAsia" w:ascii="宋体" w:hAnsi="宋体" w:eastAsia="宋体" w:cs="宋体"/>
                <w:color w:val="auto"/>
                <w:highlight w:val="none"/>
                <w:lang w:bidi="ar"/>
              </w:rPr>
              <w:t>移动速度:14（±0.5）cm/s</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4.</w:t>
            </w:r>
            <w:r>
              <w:rPr>
                <w:rStyle w:val="78"/>
                <w:rFonts w:hint="eastAsia" w:ascii="宋体" w:hAnsi="宋体" w:eastAsia="宋体" w:cs="宋体"/>
                <w:color w:val="auto"/>
                <w:highlight w:val="none"/>
                <w:lang w:bidi="ar"/>
              </w:rPr>
              <w:t>额定转速:100（±5）r/min</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5.</w:t>
            </w:r>
            <w:r>
              <w:rPr>
                <w:rStyle w:val="78"/>
                <w:rFonts w:hint="eastAsia" w:ascii="宋体" w:hAnsi="宋体" w:eastAsia="宋体" w:cs="宋体"/>
                <w:color w:val="auto"/>
                <w:highlight w:val="none"/>
                <w:lang w:bidi="ar"/>
              </w:rPr>
              <w:t>工作制: S2 12min</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6.</w:t>
            </w:r>
            <w:r>
              <w:rPr>
                <w:rStyle w:val="78"/>
                <w:rFonts w:hint="eastAsia" w:ascii="宋体" w:hAnsi="宋体" w:eastAsia="宋体" w:cs="宋体"/>
                <w:color w:val="auto"/>
                <w:highlight w:val="none"/>
                <w:lang w:bidi="ar"/>
              </w:rPr>
              <w:t>额定电压: 220-240V</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7.</w:t>
            </w:r>
            <w:r>
              <w:rPr>
                <w:rStyle w:val="78"/>
                <w:rFonts w:hint="eastAsia" w:ascii="宋体" w:hAnsi="宋体" w:eastAsia="宋体" w:cs="宋体"/>
                <w:color w:val="auto"/>
                <w:highlight w:val="none"/>
                <w:lang w:bidi="ar"/>
              </w:rPr>
              <w:t>额定频率: 50（±5）Hz</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8.</w:t>
            </w:r>
            <w:r>
              <w:rPr>
                <w:rStyle w:val="78"/>
                <w:rFonts w:hint="eastAsia" w:ascii="宋体" w:hAnsi="宋体" w:eastAsia="宋体" w:cs="宋体"/>
                <w:color w:val="auto"/>
                <w:highlight w:val="none"/>
                <w:lang w:bidi="ar"/>
              </w:rPr>
              <w:t>防护等级:≥IP20</w:t>
            </w:r>
            <w:r>
              <w:rPr>
                <w:rStyle w:val="78"/>
                <w:rFonts w:hint="eastAsia" w:ascii="宋体" w:hAnsi="宋体" w:cs="宋体"/>
                <w:color w:val="auto"/>
                <w:highlight w:val="none"/>
                <w:lang w:bidi="ar"/>
              </w:rPr>
              <w:t>。</w:t>
            </w:r>
            <w:r>
              <w:rPr>
                <w:rStyle w:val="78"/>
                <w:rFonts w:hint="eastAsia" w:ascii="宋体" w:hAnsi="宋体" w:eastAsia="宋体" w:cs="宋体"/>
                <w:color w:val="auto"/>
                <w:highlight w:val="none"/>
                <w:lang w:bidi="ar"/>
              </w:rPr>
              <w:br w:type="textWrapping"/>
            </w:r>
            <w:r>
              <w:rPr>
                <w:rStyle w:val="78"/>
                <w:rFonts w:hint="eastAsia" w:ascii="宋体" w:hAnsi="宋体" w:cs="宋体"/>
                <w:color w:val="auto"/>
                <w:highlight w:val="none"/>
                <w:lang w:bidi="ar"/>
              </w:rPr>
              <w:t>9.</w:t>
            </w:r>
            <w:r>
              <w:rPr>
                <w:rStyle w:val="78"/>
                <w:rFonts w:hint="eastAsia" w:ascii="宋体" w:hAnsi="宋体" w:eastAsia="宋体" w:cs="宋体"/>
                <w:color w:val="auto"/>
                <w:highlight w:val="none"/>
                <w:lang w:bidi="ar"/>
              </w:rPr>
              <w:t>热分级:A</w:t>
            </w:r>
            <w:r>
              <w:rPr>
                <w:rStyle w:val="78"/>
                <w:rFonts w:hint="eastAsia" w:ascii="宋体" w:hAnsi="宋体" w:cs="宋体"/>
                <w:color w:val="auto"/>
                <w:highlight w:val="none"/>
                <w:lang w:bidi="ar"/>
              </w:rPr>
              <w:t>。</w:t>
            </w:r>
          </w:p>
        </w:tc>
      </w:tr>
      <w:tr w14:paraId="55BA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712B1D9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26</w:t>
            </w:r>
          </w:p>
        </w:tc>
        <w:tc>
          <w:tcPr>
            <w:tcW w:w="875" w:type="dxa"/>
            <w:shd w:val="clear" w:color="auto" w:fill="FFFFFF" w:themeFill="background1"/>
            <w:vAlign w:val="center"/>
          </w:tcPr>
          <w:p w14:paraId="1E1BF81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智能控制电源管理器</w:t>
            </w:r>
          </w:p>
        </w:tc>
        <w:tc>
          <w:tcPr>
            <w:tcW w:w="836" w:type="dxa"/>
            <w:gridSpan w:val="2"/>
            <w:shd w:val="clear" w:color="auto" w:fill="FFFFFF" w:themeFill="background1"/>
            <w:vAlign w:val="center"/>
          </w:tcPr>
          <w:p w14:paraId="320A2F8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4BCF04D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5FF9BD6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AE386E3">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1.配备LCD显示屏，支持显示温度信息，实时输入电压信息、时间信息、IP信息，定时任务信息。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2.具有≥8路单通道≥10A电源输出插座，总输出电流≥30A，支持实时监控插座功率。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3.具有≥2个10M/100M网口，≥2路RS-485接口，≥1路USB接口提供照明灯供电；配备≥1个监听扬声器，支持人声报警提示</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4.支持过载、短路保护功能；支持连接PC可视化界面进行远程操控；支持网络远程固件升级，支持主从机级联，支持通过一路网口接入局域网使用软件控制所有级联设备。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5.具备对每一路电源输出进行定时编程，支持每路开关时序间隔动作延迟时间调节设置。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6.支持实时检测设备温度，支持拓展外接温湿度传感器，显示外部环境温湿度。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7.具备自定义设置电源锁开启后每个通道开启、关闭、保持关闭前状态；支持设置对应通道的上下限位值、对应的超限动作和动作延时，支持调节报警音量大小。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8.支持电压、电流或温湿度超过限定值播放相应的人声报警，恢复正常时自动停止。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9.支持通过主设备电源锁可一键开启或关闭所有从设备；支持独立控制每一路电源输出，支持一键全开或全关；支持一键紧急打开或者关闭全部电源。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10.支持PC界面控制、定时控制、手动控制、串口控制方式。</w:t>
            </w:r>
          </w:p>
        </w:tc>
      </w:tr>
      <w:tr w14:paraId="7CB0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DBFBF5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27</w:t>
            </w:r>
          </w:p>
        </w:tc>
        <w:tc>
          <w:tcPr>
            <w:tcW w:w="875" w:type="dxa"/>
            <w:shd w:val="clear" w:color="auto" w:fill="FFFFFF" w:themeFill="background1"/>
            <w:vAlign w:val="center"/>
          </w:tcPr>
          <w:p w14:paraId="701D945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实验室智能控制台</w:t>
            </w:r>
          </w:p>
        </w:tc>
        <w:tc>
          <w:tcPr>
            <w:tcW w:w="836" w:type="dxa"/>
            <w:gridSpan w:val="2"/>
            <w:shd w:val="clear" w:color="auto" w:fill="FFFFFF" w:themeFill="background1"/>
            <w:vAlign w:val="center"/>
          </w:tcPr>
          <w:p w14:paraId="39D014E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EBE0F1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C56FD1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0392E42">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1.三位，每组操作台采用直形设计，台面深度为≥900mm，台面高度为≥750mm,底柜深度≥600mm，通过减少控制台与地面的接触面积来提高操作员的伸腿空间。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2.有效存储空间：控制台柜体深度≥600mm每组可轻松容纳≥2台PC主机和≥2条电源插排的固定。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3.材质说明：台面中间部分采用≥25mm厚三胺板，台面边为冷轧钢包边，柜体采用≥1.5mm优质冷轧钢板。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4.尺寸要求：台面高度≥750mm，三胺板厚≥25mm，柜体钢板框架厚≥1.5mm，钢板门厚≥1.0mm。</w:t>
            </w:r>
          </w:p>
        </w:tc>
      </w:tr>
      <w:tr w14:paraId="278CE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5D127B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28</w:t>
            </w:r>
          </w:p>
        </w:tc>
        <w:tc>
          <w:tcPr>
            <w:tcW w:w="875" w:type="dxa"/>
            <w:shd w:val="clear" w:color="auto" w:fill="FFFFFF" w:themeFill="background1"/>
            <w:vAlign w:val="center"/>
          </w:tcPr>
          <w:p w14:paraId="13ECB7A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机柜恒温系统</w:t>
            </w:r>
          </w:p>
        </w:tc>
        <w:tc>
          <w:tcPr>
            <w:tcW w:w="836" w:type="dxa"/>
            <w:gridSpan w:val="2"/>
            <w:shd w:val="clear" w:color="auto" w:fill="FFFFFF" w:themeFill="background1"/>
            <w:vAlign w:val="center"/>
          </w:tcPr>
          <w:p w14:paraId="7B4E28E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085133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0C3E2BD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823FC25">
            <w:pPr>
              <w:widowControl/>
              <w:spacing w:line="360" w:lineRule="exact"/>
              <w:jc w:val="left"/>
              <w:textAlignment w:val="center"/>
              <w:rPr>
                <w:rFonts w:hint="eastAsia" w:ascii="宋体" w:hAnsi="宋体" w:cs="宋体"/>
                <w:bCs/>
                <w:color w:val="auto"/>
                <w:szCs w:val="21"/>
                <w:highlight w:val="none"/>
              </w:rPr>
            </w:pPr>
            <w:r>
              <w:rPr>
                <w:rStyle w:val="80"/>
                <w:rFonts w:hint="default"/>
                <w:color w:val="auto"/>
                <w:sz w:val="21"/>
                <w:szCs w:val="21"/>
                <w:highlight w:val="none"/>
                <w:lang w:bidi="ar"/>
              </w:rPr>
              <w:t>1.能效等级：1级。</w:t>
            </w:r>
            <w:r>
              <w:rPr>
                <w:rStyle w:val="80"/>
                <w:rFonts w:hint="default"/>
                <w:color w:val="auto"/>
                <w:sz w:val="21"/>
                <w:szCs w:val="21"/>
                <w:highlight w:val="none"/>
                <w:lang w:bidi="ar"/>
              </w:rPr>
              <w:br w:type="textWrapping"/>
            </w:r>
            <w:r>
              <w:rPr>
                <w:rStyle w:val="80"/>
                <w:rFonts w:hint="default"/>
                <w:color w:val="auto"/>
                <w:sz w:val="21"/>
                <w:szCs w:val="21"/>
                <w:highlight w:val="none"/>
                <w:lang w:bidi="ar"/>
              </w:rPr>
              <w:t>2.能效比APF：5.53（±0.05）。</w:t>
            </w:r>
            <w:r>
              <w:rPr>
                <w:rStyle w:val="80"/>
                <w:rFonts w:hint="default"/>
                <w:color w:val="auto"/>
                <w:sz w:val="21"/>
                <w:szCs w:val="21"/>
                <w:highlight w:val="none"/>
                <w:lang w:bidi="ar"/>
              </w:rPr>
              <w:br w:type="textWrapping"/>
            </w:r>
            <w:r>
              <w:rPr>
                <w:rStyle w:val="80"/>
                <w:rFonts w:hint="default"/>
                <w:color w:val="auto"/>
                <w:sz w:val="21"/>
                <w:szCs w:val="21"/>
                <w:highlight w:val="none"/>
                <w:lang w:bidi="ar"/>
              </w:rPr>
              <w:t>3.额定制冷量(W)≥3530。</w:t>
            </w:r>
            <w:r>
              <w:rPr>
                <w:rStyle w:val="80"/>
                <w:rFonts w:hint="default"/>
                <w:color w:val="auto"/>
                <w:sz w:val="21"/>
                <w:szCs w:val="21"/>
                <w:highlight w:val="none"/>
                <w:lang w:bidi="ar"/>
              </w:rPr>
              <w:br w:type="textWrapping"/>
            </w:r>
            <w:r>
              <w:rPr>
                <w:rStyle w:val="80"/>
                <w:rFonts w:hint="default"/>
                <w:color w:val="auto"/>
                <w:sz w:val="21"/>
                <w:szCs w:val="21"/>
                <w:highlight w:val="none"/>
                <w:lang w:bidi="ar"/>
              </w:rPr>
              <w:t>4.额定制冷功率(W)≥800。</w:t>
            </w:r>
            <w:r>
              <w:rPr>
                <w:rStyle w:val="80"/>
                <w:rFonts w:hint="default"/>
                <w:color w:val="auto"/>
                <w:sz w:val="21"/>
                <w:szCs w:val="21"/>
                <w:highlight w:val="none"/>
                <w:lang w:bidi="ar"/>
              </w:rPr>
              <w:br w:type="textWrapping"/>
            </w:r>
            <w:r>
              <w:rPr>
                <w:rStyle w:val="80"/>
                <w:rFonts w:hint="default"/>
                <w:color w:val="auto"/>
                <w:sz w:val="21"/>
                <w:szCs w:val="21"/>
                <w:highlight w:val="none"/>
                <w:lang w:bidi="ar"/>
              </w:rPr>
              <w:t>5.运行噪音（dB）室内（高风）:</w:t>
            </w:r>
            <w:r>
              <w:rPr>
                <w:rStyle w:val="80"/>
                <w:rFonts w:hint="eastAsia"/>
                <w:color w:val="auto"/>
                <w:sz w:val="21"/>
                <w:szCs w:val="21"/>
                <w:highlight w:val="none"/>
                <w:lang w:eastAsia="zh-CN" w:bidi="ar"/>
              </w:rPr>
              <w:t>≤</w:t>
            </w:r>
            <w:r>
              <w:rPr>
                <w:rStyle w:val="80"/>
                <w:rFonts w:hint="default"/>
                <w:color w:val="auto"/>
                <w:sz w:val="21"/>
                <w:szCs w:val="21"/>
                <w:highlight w:val="none"/>
                <w:lang w:bidi="ar"/>
              </w:rPr>
              <w:t>35。</w:t>
            </w:r>
            <w:r>
              <w:rPr>
                <w:rStyle w:val="80"/>
                <w:rFonts w:hint="default"/>
                <w:color w:val="auto"/>
                <w:sz w:val="21"/>
                <w:szCs w:val="21"/>
                <w:highlight w:val="none"/>
                <w:lang w:bidi="ar"/>
              </w:rPr>
              <w:br w:type="textWrapping"/>
            </w:r>
            <w:r>
              <w:rPr>
                <w:rStyle w:val="80"/>
                <w:rFonts w:hint="default"/>
                <w:color w:val="auto"/>
                <w:sz w:val="21"/>
                <w:szCs w:val="21"/>
                <w:highlight w:val="none"/>
                <w:lang w:bidi="ar"/>
              </w:rPr>
              <w:t>6.运行噪音（dB）室外（高风）:≤50。</w:t>
            </w:r>
            <w:r>
              <w:rPr>
                <w:rStyle w:val="80"/>
                <w:rFonts w:hint="default"/>
                <w:color w:val="auto"/>
                <w:sz w:val="21"/>
                <w:szCs w:val="21"/>
                <w:highlight w:val="none"/>
                <w:lang w:bidi="ar"/>
              </w:rPr>
              <w:br w:type="textWrapping"/>
            </w:r>
            <w:r>
              <w:rPr>
                <w:rStyle w:val="80"/>
                <w:rFonts w:hint="default"/>
                <w:color w:val="auto"/>
                <w:sz w:val="21"/>
                <w:szCs w:val="21"/>
                <w:highlight w:val="none"/>
                <w:lang w:bidi="ar"/>
              </w:rPr>
              <w:t>7.额定循环风量（m³/h）≥750。</w:t>
            </w:r>
            <w:r>
              <w:rPr>
                <w:rStyle w:val="80"/>
                <w:rFonts w:hint="default"/>
                <w:color w:val="auto"/>
                <w:sz w:val="21"/>
                <w:szCs w:val="21"/>
                <w:highlight w:val="none"/>
                <w:lang w:bidi="ar"/>
              </w:rPr>
              <w:br w:type="textWrapping"/>
            </w:r>
            <w:r>
              <w:rPr>
                <w:rStyle w:val="80"/>
                <w:rFonts w:hint="default"/>
                <w:color w:val="auto"/>
                <w:sz w:val="21"/>
                <w:szCs w:val="21"/>
                <w:highlight w:val="none"/>
                <w:lang w:bidi="ar"/>
              </w:rPr>
              <w:t>8.电压/频率（V/Hz）：220（±5）V~/50（±5）Hz。</w:t>
            </w:r>
          </w:p>
        </w:tc>
      </w:tr>
      <w:tr w14:paraId="705AC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3D946E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29</w:t>
            </w:r>
          </w:p>
        </w:tc>
        <w:tc>
          <w:tcPr>
            <w:tcW w:w="875" w:type="dxa"/>
            <w:shd w:val="clear" w:color="auto" w:fill="FFFFFF" w:themeFill="background1"/>
            <w:vAlign w:val="center"/>
          </w:tcPr>
          <w:p w14:paraId="2181B53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实验室声学分析终端</w:t>
            </w:r>
          </w:p>
        </w:tc>
        <w:tc>
          <w:tcPr>
            <w:tcW w:w="836" w:type="dxa"/>
            <w:gridSpan w:val="2"/>
            <w:shd w:val="clear" w:color="auto" w:fill="FFFFFF" w:themeFill="background1"/>
            <w:vAlign w:val="center"/>
          </w:tcPr>
          <w:p w14:paraId="081168F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1EF4230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对</w:t>
            </w:r>
          </w:p>
        </w:tc>
        <w:tc>
          <w:tcPr>
            <w:tcW w:w="1179" w:type="dxa"/>
            <w:shd w:val="clear" w:color="auto" w:fill="FFFFFF" w:themeFill="background1"/>
            <w:vAlign w:val="center"/>
          </w:tcPr>
          <w:p w14:paraId="16F1450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0F0C8F9">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1.有源音箱内置高保真扬声器，额定输出功率支持≥2×25W，支持4-8Ω输出阻抗。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2.支持≥1路话筒和≥1路立体声线路输入接口、≥1路立体声线路输出接口，带默音功能，话筒优先于线路输入。具有≥1个麦克风音量调节，≥1个线路输入音量调节，≥2个高低音调节</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3.支持≥100V广播输入接口</w:t>
            </w:r>
            <w:r>
              <w:rPr>
                <w:rFonts w:hint="eastAsia" w:ascii="宋体" w:hAnsi="宋体" w:cs="宋体"/>
                <w:b/>
                <w:bCs/>
                <w:color w:val="auto"/>
                <w:kern w:val="0"/>
                <w:szCs w:val="21"/>
                <w:highlight w:val="none"/>
                <w:lang w:bidi="ar"/>
              </w:rPr>
              <w:t>（供应商于响应文件中必须提供所竞产品满足以上技术要求的相关有效证明材料，可以是功能截图等）</w:t>
            </w:r>
            <w:r>
              <w:rPr>
                <w:rFonts w:hint="eastAsia" w:ascii="宋体" w:hAnsi="宋体" w:cs="宋体"/>
                <w:color w:val="auto"/>
                <w:kern w:val="0"/>
                <w:szCs w:val="21"/>
                <w:highlight w:val="none"/>
                <w:lang w:bidi="ar"/>
              </w:rPr>
              <w:t>。</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4.具有输出过载、过压、短路保护。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5.信噪比≥70dB，频率响应优于40Hz~20KHz(≤±3dB)，谐波失真≤1%。</w:t>
            </w:r>
          </w:p>
        </w:tc>
      </w:tr>
      <w:tr w14:paraId="7DD36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573B41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30</w:t>
            </w:r>
          </w:p>
        </w:tc>
        <w:tc>
          <w:tcPr>
            <w:tcW w:w="875" w:type="dxa"/>
            <w:shd w:val="clear" w:color="auto" w:fill="FFFFFF" w:themeFill="background1"/>
            <w:vAlign w:val="center"/>
          </w:tcPr>
          <w:p w14:paraId="22D12E3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实验室数字声学控制器</w:t>
            </w:r>
          </w:p>
        </w:tc>
        <w:tc>
          <w:tcPr>
            <w:tcW w:w="836" w:type="dxa"/>
            <w:gridSpan w:val="2"/>
            <w:shd w:val="clear" w:color="auto" w:fill="FFFFFF" w:themeFill="background1"/>
            <w:vAlign w:val="center"/>
          </w:tcPr>
          <w:p w14:paraId="4DE7264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37B58A3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4A84B1A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F9F502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1.支持≥4路Mic输入兼容≥4路线路输入接口，话筒接口幻象电源：≥+48V，≥4组立体线性输入。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2.具有≥1组立体声主输出、≥1组辅助输出、≥1路耳机监听输出、≥1组CD/Tape输出。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3.每路单声道输入通道设有≥3段EQ，设有峰值LED指示灯。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4.内置≥24位DSP效果器，提供≥100种预设效果。</w:t>
            </w:r>
          </w:p>
        </w:tc>
      </w:tr>
      <w:tr w14:paraId="70D1A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31AD60E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31</w:t>
            </w:r>
          </w:p>
        </w:tc>
        <w:tc>
          <w:tcPr>
            <w:tcW w:w="875" w:type="dxa"/>
            <w:shd w:val="clear" w:color="auto" w:fill="FFFFFF" w:themeFill="background1"/>
            <w:vAlign w:val="center"/>
          </w:tcPr>
          <w:p w14:paraId="636C383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实验室定向声学采集器</w:t>
            </w:r>
          </w:p>
        </w:tc>
        <w:tc>
          <w:tcPr>
            <w:tcW w:w="836" w:type="dxa"/>
            <w:gridSpan w:val="2"/>
            <w:shd w:val="clear" w:color="auto" w:fill="FFFFFF" w:themeFill="background1"/>
            <w:vAlign w:val="center"/>
          </w:tcPr>
          <w:p w14:paraId="49B67BB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78B3EE9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29D621E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6DE7F98">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1.指向性：心形指向性。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2.信噪比：≥65dB SPL 1KHz at 1Pa。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3.频率响应等同或优于20-18KHz。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4.输出阻抗：≥75Ω。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5.灵敏度：≥-40dB±2dB。</w:t>
            </w:r>
          </w:p>
        </w:tc>
      </w:tr>
      <w:tr w14:paraId="55960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373F08F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32</w:t>
            </w:r>
          </w:p>
        </w:tc>
        <w:tc>
          <w:tcPr>
            <w:tcW w:w="875" w:type="dxa"/>
            <w:shd w:val="clear" w:color="auto" w:fill="FFFFFF" w:themeFill="background1"/>
            <w:vAlign w:val="center"/>
          </w:tcPr>
          <w:p w14:paraId="0846FC0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实验室机柜</w:t>
            </w:r>
          </w:p>
        </w:tc>
        <w:tc>
          <w:tcPr>
            <w:tcW w:w="836" w:type="dxa"/>
            <w:gridSpan w:val="2"/>
            <w:shd w:val="clear" w:color="auto" w:fill="FFFFFF" w:themeFill="background1"/>
            <w:vAlign w:val="center"/>
          </w:tcPr>
          <w:p w14:paraId="263EDF9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5514C89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1961660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8934A4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1.42U标准机柜。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2.冷轧钢板、脱脂静电喷塑。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3.前后网门，配门锁，整个工艺采用高精度数控设备生产，带通风孔前门，右开门，高密度网孔后门，立柱: ≥2.0mm，表面喷砂，脱脂，防锈。</w:t>
            </w:r>
          </w:p>
        </w:tc>
      </w:tr>
      <w:tr w14:paraId="42E0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782AD40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33</w:t>
            </w:r>
          </w:p>
        </w:tc>
        <w:tc>
          <w:tcPr>
            <w:tcW w:w="875" w:type="dxa"/>
            <w:shd w:val="clear" w:color="auto" w:fill="FFFFFF" w:themeFill="background1"/>
            <w:vAlign w:val="center"/>
          </w:tcPr>
          <w:p w14:paraId="1E14653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实验室系统集成实施</w:t>
            </w:r>
          </w:p>
        </w:tc>
        <w:tc>
          <w:tcPr>
            <w:tcW w:w="836" w:type="dxa"/>
            <w:gridSpan w:val="2"/>
            <w:shd w:val="clear" w:color="auto" w:fill="FFFFFF" w:themeFill="background1"/>
            <w:vAlign w:val="center"/>
          </w:tcPr>
          <w:p w14:paraId="0F7C893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37A9A5D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项</w:t>
            </w:r>
          </w:p>
        </w:tc>
        <w:tc>
          <w:tcPr>
            <w:tcW w:w="1179" w:type="dxa"/>
            <w:shd w:val="clear" w:color="auto" w:fill="FFFFFF" w:themeFill="background1"/>
            <w:vAlign w:val="center"/>
          </w:tcPr>
          <w:p w14:paraId="024C7AF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B16C068">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1.基于实际设计需求，完成控制室功能性隔断构建，配置单向透视玻璃立面系统。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2.同步实施配电系统升级，包含线缆铺设及配电系统升级，配套完成实验室超高清科研可视化显示平台的线缆布设、设备安装及联动调试工作，实现全系统功能集成。</w:t>
            </w:r>
          </w:p>
        </w:tc>
      </w:tr>
      <w:tr w14:paraId="2639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2CFA562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34</w:t>
            </w:r>
          </w:p>
        </w:tc>
        <w:tc>
          <w:tcPr>
            <w:tcW w:w="875" w:type="dxa"/>
            <w:shd w:val="clear" w:color="auto" w:fill="FFFFFF" w:themeFill="background1"/>
            <w:vAlign w:val="center"/>
          </w:tcPr>
          <w:p w14:paraId="1AC849B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超声诊断系统</w:t>
            </w:r>
          </w:p>
        </w:tc>
        <w:tc>
          <w:tcPr>
            <w:tcW w:w="836" w:type="dxa"/>
            <w:gridSpan w:val="2"/>
            <w:shd w:val="clear" w:color="auto" w:fill="FFFFFF" w:themeFill="background1"/>
            <w:vAlign w:val="center"/>
          </w:tcPr>
          <w:p w14:paraId="10C0139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33BC979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650F7E5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E6F1305">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1.主要技术规格及系统概述：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1.1主机成像系统：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1.1.1高分辨率液晶显示器≥21英寸。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1.1.2操作面板具备防眩光彩色触摸屏≥13英寸。触摸屏可独立调节角度≥20度。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1.1.3触摸屏支持手势控制，可自定义≥7个双指手势功能。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1.1.4控制面板全空间悬浮式调节，可同时旋转和升降，前后拉升。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1.1.5解剖M型技术≥3条取样线，可360度任意旋转，可在实时和冻结的二维图像上获取解剖M图像。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1.1.6曲线解剖M型技术。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1.1.7智能化一键图像优化技术，自动连续优化图像，具备独立按键。可支持对二维灰阶、彩色多普勒、频谱多普勒及造影图像的优化。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1.1.8具备自动血流跟踪技术，可以实现取样框位置和角度的自动优化，提供Color/Power模式下彩色血流/能量图像的实时动态优化。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1.1.9图像放大，支持高清放大和全局放大、局部放大，放大倍数≥16倍;支持≥2种放大及全屏无边框放大模式。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1.1.10支持线阵探头双B图像拼接。</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1.1.11具备腹部、妇科、产科、浅表、心脏模式自动工作流协议，支持定制化模板，在检查过程中可按照协议自动注释，自动标记体位图，自动切换图像模式等。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1.2成像技术：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1.2.1造影成像技术及造影定量分析功能。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1.2.1.1支持探头：凸阵探头、线阵探头，腔内探头，心脏探头。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1.2.1.2支持微血管造影增强功能。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1.2.1.3支持向后存储，≥6分钟电影；支持向前存储。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1.2.1.4具备混合模式。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1.2.2应变式弹性成像技术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1.2.2.1支持探头：线阵探头、腔内探头、容积探头。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1.2.2.2具备组织硬度定量分析软件，支持应变、应变率和应变直方图的测量。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1.2.2.3具备定量测量映射分析，即在组织图测量时弹性图同步测量。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1.2.3组织多普勒成像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1.2.3.1成像模式：彩色速度模式图、能量模式图、频谱模式图、M型模式图。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1.2.3.2曲线解剖M型模式：同步显示心肌组织节段运动同步性、运动时相对比。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1.2.4支持超声教学软件，提供解剖示意图、标准超声图像，包含腹部、心脏、乳腺、甲状腺、妇科、产科等切面。同时，支持腹部及心脏各≥5个标准切面的自动识别。</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1.3测量和分析：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1.3.1产科测量软件包：自动产科测量，要求自动测量≥5项胎儿发育评估指标。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1.3.2自动NT测量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1.3.3心脏测量软件包：心功能自动测量软件,无需ECG可自动识别四腔心、两腔心切面，自动识别心肌边界，并进行自动描迹，无需手动选择切面和手动描记。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1.3.4自动肝脏肾脏灰度比测量 一键自动肝肾器官识别，自动计算肾皮质及肝脏的灰阶比值，方便进行肝脏脂肪变性定量评估。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1.3.5小器官测量软件包，包含乳腺测量包。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1.3.6血管测量软件包：IMT血管内中膜自动测量，测量结果参数≥7项，具备IMT评估曲线分析。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1.3.7支持颈动脉血管内中膜自动实时测量,自动获取6组IMT内膜厚度值,并实时更新。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1.4图像存储(电影)回放重显及病案管理单元：硬盘≥1T，图像存储，电影回放：≥150秒。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1.5连通性要求：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1.5.1支持网络连接，能开放DICOM 3.0接口满足任何厂家PACS联网传输，并可支持DICOM结构化报告。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1.5.2支持移动设备无线传输，一键传输图片到智能手机终端或PC端。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（二）系统技术参数及要求：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1.系统通用功能：主机探头接口≥4个，大小一致，全激活、相互通用。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2.探头规格</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2.1腹部凸阵探头（2.0-5.5MHz）。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2.2血管/小器官线阵探头（3.0-13.0MHz）。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2.3心脏相控阵探头（1.5-4.5MHz）。</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3.二维显像主要参数：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 TGC: ≥8段，LGC: ≥8段。</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3.2显示深度≥38cm。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3.3动态范围：≥240，可视可调。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4.记录装置：内置USB接口≥6。</w:t>
            </w:r>
          </w:p>
        </w:tc>
      </w:tr>
      <w:tr w14:paraId="3E8A4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56B915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35</w:t>
            </w:r>
          </w:p>
        </w:tc>
        <w:tc>
          <w:tcPr>
            <w:tcW w:w="875" w:type="dxa"/>
            <w:shd w:val="clear" w:color="auto" w:fill="FFFFFF" w:themeFill="background1"/>
            <w:vAlign w:val="center"/>
          </w:tcPr>
          <w:p w14:paraId="0AB3088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基于AI临床病史采集技能实践教学系统（学生PC版）</w:t>
            </w:r>
          </w:p>
        </w:tc>
        <w:tc>
          <w:tcPr>
            <w:tcW w:w="836" w:type="dxa"/>
            <w:gridSpan w:val="2"/>
            <w:shd w:val="clear" w:color="auto" w:fill="FFFFFF" w:themeFill="background1"/>
            <w:vAlign w:val="center"/>
          </w:tcPr>
          <w:p w14:paraId="115AE1B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6690CAB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BBDCE0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B95026A">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（一）系统组成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1.系统由教师管理端、教学示教端和触控一体机作答端组成。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2.触控一体机满足。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3.屏幕尺寸：≥30英寸。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4.屏幕分辨率：≥1920×1080。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5.触摸类型：多点触控。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6.内存：RAM 8G+ROM 128G及以上。</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7.系统：参考或相当于安卓系统版本11-13。</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8.教师管理端包含用户管理、角色管理、病例管理、考试管理、训练管理、分析统计等模块。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9.教师示教端包含病例管理、成绩管理、分析统计等模块。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10.病例数量不少于100例，覆盖内科、外科、妇科、儿科等科室。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（二）教师管理端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1.支持为不同角色分配不同的权限，其中包括默认的管理员、教师和学员角色，支持自定义角色。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2.支持通过导入Excel文件批量导入用户信息，可以将用户名单以Excel格式导出到本地进行保存。支持将考生分配到不同的组织机构。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3.支持用户自己创建病例。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4.支持使用AI生成病例，自动添加至系统内，扩展病例库。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5.支持评分表管理，可新增导入评分表。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6.病例默认关联问诊通用评分表，可关联自定义评分表。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7.提供虚拟人库，病例可按照年龄、性别、同虚拟人形象自动关联，支持调整。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8.分析统计模块可按照病例维度、学生维度、考试维度、多维度统计。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9.病例维度展示每个病例作答次数、病例作答平均时长、病例作答平均分等信息。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10.学生维度展示学生作答时长、作答病例数、作答平均分等信息。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11.考试维度展示考试平均分，平均用时，成绩分布等信息。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12.教师可创建考试，配置考试时间、考生名单、考核病例等关键信息，学生即可登录作答端进行作答。</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13.支持作为OSCE考核中病史采集站无人执考方案。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（三）教师教学端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1.支持教师AI虚拟病人进行问诊示教。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2.支持语音问诊；支持点击对话或连续对话两种对话形式。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3.系统自动记录问诊过程，智能分析作答内容，结合AI给出评价。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4.系统根据问诊内容，结合评分标准，自动产生评分表成绩。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（四）学员端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1.支持训练与考核两种模式。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2.训练模式学员可自主选择病例进行训练，训练后展示评价。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3.考核模式学员按照考试规划进行病例作答，作答数据提交教师管理端。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4.系统自带至少15个虚拟病人形象，涵盖婴儿、男童、女童、青年男性和女性、中年男性和女性、老年男性和女性。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5.可直接对虚拟病人进行语音问诊，虚拟病人具有眨眼、说话等面部表情动作，语音回答与表情、口型一致。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6.支持中英文问答，实现英文的问诊。</w:t>
            </w:r>
          </w:p>
        </w:tc>
      </w:tr>
      <w:tr w14:paraId="458E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AE92B3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36</w:t>
            </w:r>
          </w:p>
        </w:tc>
        <w:tc>
          <w:tcPr>
            <w:tcW w:w="875" w:type="dxa"/>
            <w:shd w:val="clear" w:color="auto" w:fill="FFFFFF" w:themeFill="background1"/>
            <w:vAlign w:val="center"/>
          </w:tcPr>
          <w:p w14:paraId="3E2AE24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辅助移动式手术照明灯</w:t>
            </w:r>
          </w:p>
        </w:tc>
        <w:tc>
          <w:tcPr>
            <w:tcW w:w="836" w:type="dxa"/>
            <w:gridSpan w:val="2"/>
            <w:shd w:val="clear" w:color="auto" w:fill="FFFFFF" w:themeFill="background1"/>
            <w:vAlign w:val="center"/>
          </w:tcPr>
          <w:p w14:paraId="0E3676D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p>
        </w:tc>
        <w:tc>
          <w:tcPr>
            <w:tcW w:w="814" w:type="dxa"/>
            <w:shd w:val="clear" w:color="auto" w:fill="FFFFFF" w:themeFill="background1"/>
            <w:vAlign w:val="center"/>
          </w:tcPr>
          <w:p w14:paraId="5A7AA5F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台</w:t>
            </w:r>
          </w:p>
        </w:tc>
        <w:tc>
          <w:tcPr>
            <w:tcW w:w="1179" w:type="dxa"/>
            <w:shd w:val="clear" w:color="auto" w:fill="FFFFFF" w:themeFill="background1"/>
            <w:vAlign w:val="center"/>
          </w:tcPr>
          <w:p w14:paraId="2E3D0E7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760544D">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1.灯头98°旋转。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2.升降伸缩杆。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3.脚踏开关。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 可无极调光。</w:t>
            </w:r>
          </w:p>
        </w:tc>
      </w:tr>
      <w:tr w14:paraId="1A61A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8C70CA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37</w:t>
            </w:r>
          </w:p>
        </w:tc>
        <w:tc>
          <w:tcPr>
            <w:tcW w:w="875" w:type="dxa"/>
            <w:shd w:val="clear" w:color="auto" w:fill="FFFFFF" w:themeFill="background1"/>
            <w:vAlign w:val="center"/>
          </w:tcPr>
          <w:p w14:paraId="273C83A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呼吸内镜模拟训练模型套装</w:t>
            </w:r>
          </w:p>
        </w:tc>
        <w:tc>
          <w:tcPr>
            <w:tcW w:w="836" w:type="dxa"/>
            <w:gridSpan w:val="2"/>
            <w:shd w:val="clear" w:color="auto" w:fill="FFFFFF" w:themeFill="background1"/>
            <w:vAlign w:val="center"/>
          </w:tcPr>
          <w:p w14:paraId="5793B7F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590498A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06215E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DEF8F84">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1.模型本体：成人模型解剖与仿真特性。具体要求如下：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1.1设计依据：基于中国人标准成年人 CT 数据构建三维模型，采用高仿真硅胶材料 1:1 还原人体气道及相关解剖结构，内镜下视野与真实人体气道特征高度吻合。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1.2解剖结构覆盖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1.2.1气道系统：包含左 / 右主支气管、气管软骨环、隆突，左 / 右段支气管可延伸至 5 级支气管，完整呈现支气管分级解剖特征。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 上呼吸道：集成鼻腔、口腔、咽喉部精细解剖结构，下颌具备开合调节功能，可模拟不同张口角度下的操作场景。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1.3.尺寸要求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1.3.1气管长度：10-12cm（自环状软骨下缘至隆突）。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1.3.2 气管直径：男性模拟尺寸 2.0-2.5cm，女性模拟尺寸 1.8-2.2cm。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1.3.3 隆突角度：左右主支气管夹角约 60-80°。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1.3.4 鼻腔通道直径：0.8-1.2cm。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1.3.5 口腔开合度：0-45°可调。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1.3.6 咽喉部深度：12-15cm（自门齿至声门）。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1.4婴儿模型解剖与仿真特性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1.4.1 适用范围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适用于支气管镜的介入教学、诊断和治疗相关的模拟操作训练，可进行器械的性能测试、功能演示及教学训练使用，如支气管镜、活检钳、刷钳等器械。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1.4.2设计与材料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1.4.2.1 根据儿童真实 CT 数据，采用高分子材料 3D 打印 + 软硅胶材料设计而成，支气管结构、颜色、触感高度仿真人体真实器官。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1.4.2.2结构组成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包括左、右主支气管、气管软骨环和隆突、左右段支气管可达 5 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1.4.2.3部位：包括脸部、颈部、口腔、头部等部位。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1.4.3 材料与工艺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1.4.3.1 成型工艺：采用 WJP 多材料 3D 打印技术，实现多材料一体化成型。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1.4.3.2 材料组合：主体结构采用光敏树脂与医用级硅胶复合而成，其中气道黏膜层采用柔性硅胶，软骨结构采用硬质光敏树脂，兼顾解剖真实性与操作触感。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1.4.3.3 材料特性：硅胶具备良好的弹性与耐磨性，可耐受≥5000 次内镜插入操作而无明显磨损；表面光滑度 Ra≤0.8μm，模拟真实黏膜触感。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1.4.4 训练功能支持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1.4.4.1 内镜操作训练：气管软镜的插入与导航训练，模拟不同内镜类型的操作阻力与反馈。</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1.4.4.2 解剖识别训练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可进行气管及支气管各级分支的解剖标识识别训练，包含典型解剖标志（如隆突、叶间裂等）的定位练习。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1.4.3 诊疗操作训练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支持纤维支气管镜及电子支气管镜下的检查流程模拟、异物查找与取出操作训练，可配置多种模拟异物（如花生、硬币等）。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2.配套系统技术要求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评分与记录系统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 无纸化评分功能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配套临床操作及竞赛专用评分表，通过扫描模型本体附带的二维码可直接进入评分界面，支持多维度指标评分（操作规范性、解剖识别准确率等），评分数据自动同步至后台数据库。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2.1.2 画面采集功能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 集成微创镜头（内镜视野）、操作者镜头（手部操作视角）、AI 教师画面（指导提示）三路视频采集通道，画面可单独屏蔽或组合显示。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2.1.3 录制与回放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支持三路画面同屏录制，视频格式为 MP4，分辨率≥1280*720，帧率 30fps；具备时间轴标记功能，可精准定位操作关键节点，回放时支持倍速调节（0.5-2 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模式功能配置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 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 系统配备多种模式：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2.2.1.1.1训练模式：集成包含软镜或硬镜镜头、操作者镜头、AI 教师画面内容，画面内容可选择屏蔽或者部分屏蔽，可同屏录制软镜或硬镜镜头、操作者镜头画面信息，并提供可回放功能。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2.2.1.1.2 竞赛模式：集成包含软镜或硬镜镜头、操作者镜头、活动水印、无纸化考评二维码、参赛者编号或名字画面内容、倒计时功能，画面内容可选择屏蔽或者部分屏蔽，竞赛模式可一键录制参赛操作视频，并提供可回放功能，可一键截屏自动保存，竞赛模式所有录制的视频、截图可通过网络分享或者储存设备进行复制，以便备份保管，作为有争议时的证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2.2.1.1.3 带教模式：集成包含软镜或硬镜镜头、操作者镜头、活动水印、一对一带教画面内容，画面内容可选择屏蔽或者部分屏蔽，带教模式可同屏录制导师操作画面及导师授课画面及现场录音，并提供可回放功能。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2.2.1.1.4 考试模式：集成包含软镜或硬镜镜头、操作者镜头、活动水印、无纸化考评二维码、参赛者编号或名字画面内容，画面内容可选择屏蔽或者部分屏蔽，具备防作弊功能，可同屏录制选手操作画面及选手个人画面及现场录音，并提供可回放功能，考试模式所有录制的视频、截图可通过网络分享或者储存设备进行复制，以便备份保管，作为有争议时的证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2.3教学显示系统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2.3.1显示终端参数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2.3.1.1屏幕尺寸：≥27 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2.3.1.2 分辨率：≥1280×720。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2.3.1.3 面板类型：IPS 广视角屏，可视角度 178°/178°。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2.3.1.4 背光类型：LED 背光，亮度≥250cd/㎡。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2.3.1.5 色域：143% sRGB 广色域覆盖。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2.3.1.6 接口配置：USB3.0 接口≥2 个，USB2.0 接口≥4 个，HDMI 接口≥2 个，RJ45 千兆网口 1 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 性能参数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2.3.2.1存储容量：512GB 高速固态硬盘，读写速度≥500MB/s。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2.3.2.2运行内存：≥16GB 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2.3.2.3视频处理：支持≥2592×1944P 分辨率视频录制，具备实时截图、录像、直播推流功能。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2.3.3网络功能：支持多台设备组建内部局域网，实现训练视频、操作数据的实时共享，可远程下载操作录像及截图文件。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3.硬件配置参数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3.1台车系统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3.1.1 台面规格：尺寸≥450mm×520mm，采用防刮耐磨医用级亚克力材质，承重≥50kg。</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3.1.2 高度调节：支持 70-100cm 高度范围内无级调节，调节精度±1cm，配备自锁式升降杆。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3.1.3移动性能：配置4个带固定锁的静音万向轮，轮径≥50mm，移动噪音≤50dB。</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3.1.4器械放置：侧面设有8个直径10-20mm 的器械放置孔位，孔深≥5cm，可稳固放置内镜、异物钳等工具。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 可视化软镜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3.2.1 基础款可视化软镜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3.2.1.1 光学参数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3.2.1.1.1 像素：≥100 万像素。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3.2.1.1.2 功能：可进行吸痰、活检等临床操作。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3.2.2 要求2.8型号可视化软镜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3.2.2.1 光学参数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3.2.2.1.1 像素：≥40万像素。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3.2.2.1.2 功能：可进行吸痰、活检等临床操作。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3.2.3 要求3.8 型号可视化软镜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3.2.3.1 光学参数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3.2.3.1.1 像素：≥40 万像素。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3.2.3.1.2 功能：可进行吸痰、活检等临床操作。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 可视化硬镜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3.3.1 光学性能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3.3.1.1 像素：≥500万像素，支持全高清成像。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3.3.1.2 分辨率：最大支持 2592×1944P，图像帧数30帧/秒。</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3.3.1.3 镜头尺寸：10mm×330mm，30°视角，具备 IP67 级防水性能。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3.3.2 功能配置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3.3.2.1 调焦功能：具备旋转调焦功能，调焦范围 5-50mm。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3.3.2.2 按键功能：集成调光按键、拍照按键，支持一键抓拍。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3.3.2.3 光源调节：光源可调，亮度分 10 档调节，适应不同操作场景。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4.教学管理软件参数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 内容资源形式与类型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4.1.1 支持多样化基础内容类型，包括图文（手术步骤图解、器械参数说明等）、视频（真实手术录像、模拟操作演示等）。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4.1.2 引入创新内容形式，包含线上微创手术模拟竞赛平台，竞赛平台包括竞赛规则设置、作品提交、导师评分、排行榜分享等功能。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4.1.3 提供体系化内容打包，涵盖专栏、课程等形式，如 “腔镜基础课程”“肝胆外科课程”“呼吸中心课程”“神经外科课程” 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4.2平台访问与权限参数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4.2.1 平台首页访问：无需登录即可查看平台内所有微创手术相关培训与课程信息。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4.2.2 课程授权机制：用户需进行注册（支持手机号、邮箱注册，微信等第三方账号快捷注册）或登录后，获得相应权限方可进行课程学习。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4.2.3 账户权限管理：学员权限：可浏览课程、参与互动、完成作业、观看已授权课程等；讲师权限：拥有课程创建、直播教学、批改作业、解答疑问等权限；管理员权限：可进行用户管理、内容审核、数据统计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4.3 课程学习参数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4.3.1课程学习进度管理：支持按课程进行解锁，用户可清晰查看课程学习总进度及各单元课程学习进度；所有已授权课程视频可反复观看，系统自动记录上次学习具体时间。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4.3.2 课程互动测试：支持在线进行课程相关答题，包括情景练习和随堂测验（如 “腹腔镜穿刺点选择原则” 等问题）；对于设置了答题要求的课程，若回答错误则无法顺利进入下一课程学习。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4.4 后台管理参数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4.4.1 后台管理功能：用户管理：支持新增与删除用户；视频资源管理：支持视频库和视频课程的维护与更新；数据分析功能：提供视频数据分析，统计学习人数、课程观看时长、在线学员列表、实时观看数据（峰值人数、地区分布等），支持课程分发效果分析、学员学习路径分析等多维度分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4.5 直播互动参数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4.5.1 支持多场景直播模式，包括实时视频直播、语音直播、录播转直播等。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4.5.2 配备丰富互动工具，如实时举手发言、讨论区留言、点名签到、白板板书、课件同步展示等。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4.5.3 直播过程自动录制，支持课后回看，支持移动与 PC 端同步观看及多平台分发。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4.5.4 督学与考核参数：提供打卡功能（日历打卡、作业打卡、考试打卡）及打卡统计；设有训练营，整合多节课程内容，结合打卡、考试、证书体系，学员完成后可获得结业证书；提供自定义题库，支持布置作业、随堂检测、灵活组卷。</w:t>
            </w:r>
          </w:p>
        </w:tc>
      </w:tr>
      <w:tr w14:paraId="16AB9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3089D3F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38</w:t>
            </w:r>
          </w:p>
        </w:tc>
        <w:tc>
          <w:tcPr>
            <w:tcW w:w="875" w:type="dxa"/>
            <w:shd w:val="clear" w:color="auto" w:fill="FFFFFF" w:themeFill="background1"/>
            <w:vAlign w:val="center"/>
          </w:tcPr>
          <w:p w14:paraId="3295B8A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上消化道内镜手术训练套装</w:t>
            </w:r>
          </w:p>
        </w:tc>
        <w:tc>
          <w:tcPr>
            <w:tcW w:w="836" w:type="dxa"/>
            <w:gridSpan w:val="2"/>
            <w:shd w:val="clear" w:color="auto" w:fill="FFFFFF" w:themeFill="background1"/>
            <w:vAlign w:val="center"/>
          </w:tcPr>
          <w:p w14:paraId="34D96CD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1430E78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332E9F6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1EA4F959">
            <w:pPr>
              <w:widowControl/>
              <w:numPr>
                <w:ilvl w:val="0"/>
                <w:numId w:val="3"/>
              </w:numPr>
              <w:spacing w:line="36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设计与制作参数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 数据依据：基于中国人标准成年人 CT 数据构建三维模型，解剖结构比例误差≤2%。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 成型工艺：采用完全自主知识产权的硅胶 3D 打印成型工艺，支持多材料复合打印，打印精度±0.1mm。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 材料特性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1.3.1 主体材料：特殊医用级硅胶，邵氏硬度 25-35A。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1.3.2 力学性能：拉伸强度≥3.5MPa，断裂伸长率≥300%。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1.3.3 摩擦系数：0.3-0.5（模拟人体组织摩擦特性）。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 结构尺寸参数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 食道结构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2.1.1 长度：265mm±5mm。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2.1.2 管径：最宽处 22mm±1mm，窄径 18mm±1mm。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2.1.3 管壁厚度：1.5mm±0.2mm。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 贲门结构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 直径：13.5mm±0.5mm。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2.2.2 长度：10mm±1mm。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 胃部结构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2.3.1 容积：995ml±50ml。</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2.3.2 胃体最大横径：120mm±5mm。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2.3.3 胃壁厚度：2.0mm±0.3mm。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 头部及上呼吸道结构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2.4.1口鼻腔通道直径：鼻腔 8-10mm，口腔 18-22mm。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2.4.2 会厌角度：可活动范围 30°-60°。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2.4.3 下颌开合度：0-45° 可调，咬合力度模拟 5-15N。</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 拆解性能：头部与躯干器官部分采用磁吸式连接，拆卸时间≤10 秒，重复拆装次数≥500 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3.解剖结构覆盖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 基础结构：包含口鼻腔、会厌、食道、贲门齿状线、胃（胃底、胃体、胃窦）、幽门等完整解剖结构。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 标志点：清晰呈现贲门齿状线、幽门括约肌等生理标志，定位误差≤1mm。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4.病变模拟参数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4.1食道病变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4.1.1食道息肉：3 处，直径 3-8mm，蒂部宽度 1-3mm，可模拟切除后创面。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4.1.2食道憩室：1 处，深度 5-10mm，开口直径 4-6mm。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4.1.3食道炎：2 处，表现为黏膜充血区（红色硅胶模拟），面积 15-20mm²。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4.1.4食道静脉曲张：2 条，直径 2-4mm，呈迂曲状分布。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4.2胃部病变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4.2.1早期胃癌：1 处，黏膜隆起型，直径 5-10mm，表面凹凸不平。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4.2.2 胃溃疡：2 处，直径 6-12mm，深度 2-4mm，底部覆白苔（白色硅胶模拟）。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4.2.3 胃息肉：3 处，直径 4-10mm，其中 1 处为广基息肉（基底宽度 5-8mm）。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4.2.4 胃炎：弥漫性黏膜充血区，面积 50-80mm²。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5.训练功能参数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 内镜操作训练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5.1.1 支持内镜类型：胃镜（直径 8-12mm）、十二指肠镜（直径 9-11mm）。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5.1.2 进镜阻力：模拟人体组织阻力 5-20N，随插入深度动态变化。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5.1.3 旋转角度：内镜在模型内可实现 360° 旋转，摩擦阻力均匀度误差≤10%。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 操作训练范围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5.2.1 经口 / 经鼻内镜插入训练，成功率验证标准：首次插入成功率≥90%（熟练操作者）。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5.2.2 内镜末端居中控制精度：可达到 ±1mm（在 10mm 观察范围内）。</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5.2.3 病变定位训练：各病变区域设有 RFID 标记，可通过专用设备检测定位准确性。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 介入操作支持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5.3.1 息肉切除：模拟电切效果，切除后创面可更换（更换时间≤3分钟）。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5.3.2 活检取样：支持活检钳（直径 2-3mm）操作，可获取模拟组织样本。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5.3.3 其他操作：兼容直径≤5mm 的异物钳、网篮、引流管等器械，操作阻力模拟误差≤15%。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6.耐用性参数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6.1 内镜插入次数：≥1000 次（保持结构完整性）。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6.2 病变模块更换：单个病变模块可更换次数≥50 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6.3 耐腐蚀性：可耐受常用内镜消毒剂（如 2% 戊二醛）浸泡消毒，连续浸泡 24 小时无变形、变色。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6.4 储存条件：-10℃-40℃环境下可稳定存放，湿度适应范围 30%-80%。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7.台车系统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7.1 配套升降台车，可根据训练者身高和舒适度自由调节操作台高度，台面尺寸不小于 450mm×520mm，高度距离地面为 70-100cm 可调。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7.2 脚轮为带固定锁的静音滑轮，方便移动摆放。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7.3 台车侧面需带有器械放置孔位8个，可稳固手术器械的摆放。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8.内镜系统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8.1环境温度：10°C~40°C（50°F~104°F）。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8.2相对湿度：30%~85%。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8.3气压：700~1060hPa、（0.7~1.1kgf/cm2）、（10.2~15.4psia）。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8.4环境温度：-47°C~+70°C（-52.6°F~+158°F）。</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8.5相对湿度：10%~95%。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8.6气压：700~1060hPa、（0.7~1.1kgf/cm2）、（10.2~15.4psia）。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8.7 视场角：140°。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8.8 景深：8-100mm。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8.9 先端部外径：31.5Fr（10.5mm）。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8.10 软管外径：28.5Fr（9.5mm）。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8.11 软管内径：9.0Fr（3.0mm）。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8.12 通水管道：3.3Fr（1.1mm）。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8.13 通气管道：3.3Fr（1.1mm）。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8.14 弯曲角度：上 180°，下、左、右 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8.15 长度：1360mm。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9.配套系统参数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9.1评分与记录系统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9.1.1无纸化评分功能:配套临床操作及竞赛专用评分表，通过扫描模型本体附带的二维码可直接进入评分界面，支持多维度指标评分（操作规范性、解剖识别准确率等），评分数据自动同步至后台数据库。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9.1.2 画面采集功能:集成微创镜头（内镜视野）、操作者镜头（手部操作视角）、AI 教师画面（指导提示）三路视频采集通道，画面可单独屏蔽或组合显示。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9.1.3 录制与回放：支持三路画面同屏录制，视频格式为 MP4，分辨率≥1280×720，帧率 30fps；具备时间轴标记功能，可精准定位操作关键节点，回放时支持倍速调节（0.5-2 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 模式功能配置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 模式选择</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9.2.1.1 系统配备多种模式：</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9.2.1.1.1 训练模式：集成包含软镜或硬镜镜头、操作者镜头、AI 教师画面内容，画面内容可选择屏蔽或者部分屏蔽，可同屏录制软镜或硬镜镜头、操作者镜头画面信息，并提供可回放功能。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9.2.1.1.2 竞赛模式：集成包含软镜或硬镜镜头、操作者镜头、活动水印、无纸化考评二维码、参赛者编号或名字画面内容、倒计时功能，画面内容可选择屏蔽或者部分屏蔽，竞赛模式可一键录制参赛操作视频，并提供可回放功能，可一键截屏自动保存，竞赛模式所有录制的视频、截图可通过网络分享或者储存设备进行复制，以便备份保管，作为有争议时的证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9.2.1.1.3 带教模式：集成包含软镜或硬镜镜头、操作者镜头、活动水印、一对一带教画面内容，画面内容可选择屏蔽或者部分屏蔽，带教模式可同屏录制导师操作画面及导师授课画面及现场录音，并提供可回放功能。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9.2.1.1.4 考试模式：集成包含软镜或硬镜镜头、操作者镜头、活动水印、无纸化考评二维码、参赛者编号或名字画面内容，画面内容可选择屏蔽或者部分屏蔽，具备防作弊功能，可同屏录制选手操作画面及选手个人画面及现场录音，并提供可回放功能，考试模式所有录制的视频、截图可通过网络分享或者储存设备进行复制，以便备份保管，作为有争议时的证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 教学显示系统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 显示终端参数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9.3.1.1 屏幕尺寸：≥27 英寸。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9.3.1.2 分辨率：≥1280×720。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9.3.1.3 面板类型：IPS 广视角屏，可视角度 178°/178°。</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9.3.1.4 背光类型：LED 背光，亮度≥250cd/㎡。</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9.3.1.5 色域：143% sRGB 广色域覆盖。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9.3.1.6 接口配置：USB3.0 接口≥2 个，USB2.0 接口≥4 个，HDMI 接口≥2 个，RJ45 千兆网口 1 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9.3.2 性能参数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9.3.2.1 存储容量：≥512GB 高速固态硬盘，读写速度≥500MB/s。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9.3.2.2 运行内存：≥16GB DDR4。</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9.3.2.3 视频处理：支持≥2592×1944P 分辨率视频录制，具备实时截图、录像、直播推流功能。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9.3.3 网络功能：支持多台设备组建内部局域网，实现训练视频、操作数据的实时共享，可远程下载操作录像及截图文件。</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10.教学管理软件参数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10.2.1 内容资源形式与类型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10.2.1.1 支持多样化基础内容类型，包括图文（手术步骤图解、器械参数说明等）、视频（真实手术录像、模拟操作演示等）。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10.2.1.2 引入创新内容形式，包含线上微创手术模拟竞赛平台，竞赛平台包括竞赛规则设置、作品提交、导师评分、排行榜分享等功能。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10.2.1.3 提供体系化内容打包，涵盖专栏、课程等形式，如 “ESD手术训练课程”“腔镜基础课程”“肝胆外科课程”“呼吸中心课程”“神经外科课程”等。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10.2.2 平台访问与权限参数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10.2.2.1 平台首页访问：无需登录即可查看平台内所有微创手术相关培训与课程信息。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10.2.2.2 课程授权机制：用户需进行注册（支持手机号、邮箱注册，微信等第三方账号快捷注册）或登录后，获得相应权限方可进行课程学习。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10.2.2.3 账户权限管理：学员权限：可浏览课程、参与互动、完成作业、观看已授权课程等；讲师权限：拥有课程创建、直播教学、批改作业、解答疑问等权限；管理员权限：可进行用户管理、内容审核、数据统计等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10.2.3 课程学习参数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10.2.3.1 课程学习进度管理：支持按课程进行解锁，用户可清晰查看课程学习总进度及各单元课程学习进度；所有已授权课程视频可反复观看，系统自动记录上次学习具体时间。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10.2.3.2 课程互动测试：支持在线进行课程相关答题，包括情景练习和随堂测验（如 “腹腔镜穿刺点选择原则” 等问题）；对于设置了答题要求的课程，若回答错误则无法顺利进入下一课程学习。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10.2.4 后台管理参数</w:t>
            </w:r>
          </w:p>
          <w:p w14:paraId="39FE8C25">
            <w:pPr>
              <w:widowControl/>
              <w:spacing w:line="360" w:lineRule="exact"/>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后台管理功能：用户管理：支持新增与删除用户；视频资源管理：支持视频库和视频课程的维护与更新；数据分析功能：提供视频数据分析，统计学习人数、课程观看时长、在线学员列表、实时观看数据（峰值人数、地区分布等），支持课程分发效果分析、学员学习路径分析等多维度分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10.2.5 直播互动参数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10.2.5.1 支持多场景直播模式，包括实时视频直播、语音直播、录播转直播等。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10.2.5.2 配备丰富互动工具，如实时举手发言、讨论区留言、点名签到、白板板书、课件同步展示等。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10.2.5.3 直播过程自动录制，支持课后回看，支持移动与 PC 端同步观看及多平台分发。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10.2.5.4 督学与考核参数：提供打卡功能（日历打卡、作业打卡、考试打卡）及打卡统计；设有训练营，整合多门课程内容，结合打卡、考试、证书体系，学员完成后可获得结业证书；提供自定义题库，支持布置作业、随堂检测、灵活组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11.可配套持续灌注系统参数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 装置结构参数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11.1.1容器：密封刚性材质，存储特制灌注液（成分为生物安全材料），模拟血液流动特性，模拟电刀止血特性。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11.1.2传感器模块：重力传感器：精度±0.1g，实时监测容器质量；压力传感器：量程0-100kPa，精度±0.5%FS，采集容器内压力数据。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11.1.3.气泵与泄压泵：气泵转速0-5000rpm可调，泄压泵用于稳定输出压力，防止过载。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11.1.4.连接部件：带固定及气管，确保灌注液稳定输送至离体器官。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11.1.5.控制器：集成PID算法，既比例（P）、积分（I）和微分（D），根据压力偏差动态调节气泵转速，支持实时数据计算与反馈。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11.2.核心功能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11.2.1.压力调控：通过PID控制自动调节气泵转速，维持恒定输出压力（0-50kPa可设），适配不同血管条件。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11.2.2.出血量模拟：基于质量数据计算灌注液流失量，模拟真实出血场景。</w:t>
            </w:r>
          </w:p>
          <w:p w14:paraId="755345D9">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11.2.3模拟评分系统：综合手术时长、流失量、术后出血数据（权重可调），输出评分（1-5分）及等级。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11.2.4客观评估：灌注泵智能判断缝合效果。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11.3.性能参数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11.3.1.适用器官：离体胃、肾肝脏、子宫、肺等动物器官，支持微创手术培训。</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11.3.2.响应时间：压力调节响应≤1s，流失量计算频率≥1Hz。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11.3.3.灌注液密度：1.05-1.10g/ml（可调），黏度模拟人体血液。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11.4.高仿真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11.4.1.精准模拟：压力动态调控与质量流失计算结合，提升出血模拟真实度。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11.4.2.操作简便：无需额外加压，自动化控制降低人工干预。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11.4.3.可应用场景：微创外科医师技能培训、手术模拟教学、离体器官实验研究。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12.可配套标准化离体器官持续灌注模型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12.1.可配套保鲜器官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12.1.1保存温度：2-8℃低温环境，温度波动≤±0.5℃。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12.1.2活性保持时间：采用专用器官保存液，离体器官活性保持≥72 小时，组织弹性衰减率≤10%/24h。</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12.1.3灌注液兼容性：支持电刀止血操作，在 100-300W 功率下无爆溅，凝固效果与人体组织相似度≥90%。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12.2手术模拟精度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12.2.1操作手感还原度：组织切割阻力、牵拉弹性与人体组织误差≤15%。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12.2.2可模拟操作：内镜探查、黏膜下注射、剥离、止血、缝合等 ESD 全流程操作。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12.2.3供货规格：提供猪胰、胃、网膜等一体化器官套装，配套模拟血管通路，实现灌注液循环闭合率≥95%。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12.3肿瘤模型参数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12.3.1类型：包含 0-IIc 型早癌（平坦型，厚度 1-3mm）、息肉癌变（隆起型，基底直径 5-10mm，高度 3-8mm）等。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12.3.2边界清晰度：肿瘤与正常组织边界对比度≥80%，肉眼可辨。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12.3.3组织硬度：肿瘤组织硬度 30-50 Shore A，与真实肿瘤硬度误差≤5%。</w:t>
            </w:r>
          </w:p>
        </w:tc>
      </w:tr>
      <w:tr w14:paraId="29BB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EE431C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39</w:t>
            </w:r>
          </w:p>
        </w:tc>
        <w:tc>
          <w:tcPr>
            <w:tcW w:w="875" w:type="dxa"/>
            <w:shd w:val="clear" w:color="auto" w:fill="FFFFFF" w:themeFill="background1"/>
            <w:vAlign w:val="center"/>
          </w:tcPr>
          <w:p w14:paraId="2357BE3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下消化道内镜手术训练模型</w:t>
            </w:r>
          </w:p>
        </w:tc>
        <w:tc>
          <w:tcPr>
            <w:tcW w:w="836" w:type="dxa"/>
            <w:gridSpan w:val="2"/>
            <w:shd w:val="clear" w:color="auto" w:fill="FFFFFF" w:themeFill="background1"/>
            <w:vAlign w:val="center"/>
          </w:tcPr>
          <w:p w14:paraId="782A4DE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9FA862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6AF9891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20C3788">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1设计与制作参数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1.1数据依据：基于中国人标准成年人CT数据构建三维模型，解剖结构比例误差≤2%。</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1.2成型工艺：采用完全自主知识产权的硅胶3D打印成型工艺，支持多材料复合打印，打印精度±0.1mm。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1.3材料特性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1.3.1主体材料：SLD硅胶，邵氏硬度25-35A。</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1.3.2力学性能：拉伸强度≥3.5MPa，断裂伸长率≥300%。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1.3.3摩擦系数：0.3-0.5（模拟人体组织摩擦特性）。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2.结构尺寸参数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2.1下消化道结构（根据人体解剖特征设定）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结肠各段长度、直径等参数符合正常成年人下消化道解剖标准范围。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2.2肛门及直肠结构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2.2.1肛门括约肌功能模拟：具备一定的收缩与舒张特性，模拟正常生理状态。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2.2.2直肠直径：符合正常成年人直肠解剖尺寸范围。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2.3拆解性能：模型主体与可拆卸部件（含病变模块）采用便捷连接方式，拆卸时间≤10秒，重复拆装次数≥500次。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3.解剖结构覆盖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3.1基础结构：包含阑尾、盲肠、升结肠、横结肠、降结肠、乙状结肠、直肠、肛门、肛门括约肌等完整下消化道解剖结构。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3.2标志点：清晰呈现回盲瓣、结肠袋、直肠瓣等生理标志，定位误差≤1mm。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4.病变模拟参数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4.1结肠病变</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4.1.1升结肠：再现LST（侧发育型肿瘤）。</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4.1.2升结肠和降结肠：可安装4种模拟息肉（分类1~V型），用于观察及切除训练。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4.1.3可替换部分：模拟息肉为可替换设计，方便重复训练。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5.训练功能参数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5.1内镜操作训练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5.1.1支持下消化道软镜（如结肠镜等适合下消化道检查的内镜）、活检器械等介入器械。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5.1.2进镜阻力：模拟人体下消化道组织阻力，随插入深度动态变化。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5.1.3旋转角度：内镜在模型内可实现360°旋转，摩擦阻力均匀度误差≤10%。</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5.2操作训练范围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5.2.1支持项目：肛门、直肠、乙状结肠、降结肠、横结肠、升结肠、盲肠、阑尾的内视镜检查训练。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5.2.2内镜末端控制精度：可达到相应操作要求，确保检查和治疗的准确性模拟。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5.2.3病变定位训练：各病变区域可通过视觉观察等方式进行定位准确性训练。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5.3介入操作支持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5.3.1息肉切除：支持对安装的模拟息肉进行切除训练，模拟切除操作手感及效果。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5.3.2活检取样：支持活检钳（直径适配）操作，可获取模拟组织样本。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5.3.3其他操作：兼容直径适配的相关器械，如异物钳等，操作阻力模拟误差≤15%。</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5.3.4产品功能：用于下消化道软镜、活检械等介入器械的性能测试、功能演示及训练使用；通过安装配套的模拟息肉，可以进行息肉切除等处理的训练。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6.耐用性参数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6.1内镜插入次数：≥1000次（保持结构完整性）。</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6.2病变模块更换：模拟息肉等病变模块可更换次数≥50次。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6.3耐腐蚀性：可耐受常用内镜消毒剂（如2%戊二醛）浸泡消毒，连续浸泡24小时无变形、变色。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6.4储存条件：-10℃-40℃环境下可稳定存放，湿度适应范围30%-80%。</w:t>
            </w:r>
          </w:p>
        </w:tc>
      </w:tr>
      <w:tr w14:paraId="39BF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9151A8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40</w:t>
            </w:r>
          </w:p>
        </w:tc>
        <w:tc>
          <w:tcPr>
            <w:tcW w:w="875" w:type="dxa"/>
            <w:shd w:val="clear" w:color="auto" w:fill="FFFFFF" w:themeFill="background1"/>
            <w:vAlign w:val="center"/>
          </w:tcPr>
          <w:p w14:paraId="09A66F5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显微训练套装</w:t>
            </w:r>
          </w:p>
        </w:tc>
        <w:tc>
          <w:tcPr>
            <w:tcW w:w="836" w:type="dxa"/>
            <w:gridSpan w:val="2"/>
            <w:shd w:val="clear" w:color="auto" w:fill="FFFFFF" w:themeFill="background1"/>
            <w:vAlign w:val="center"/>
          </w:tcPr>
          <w:p w14:paraId="5109A04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814" w:type="dxa"/>
            <w:shd w:val="clear" w:color="auto" w:fill="FFFFFF" w:themeFill="background1"/>
            <w:vAlign w:val="center"/>
          </w:tcPr>
          <w:p w14:paraId="7957084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1AE4897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C7B858F">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1.显微血管吻合训练器（1个）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1.1显微镜数据:三目体式显微镜，7-45倍连续变倍，≥2800万CCD摄像头，兼容显示器和电脑（带usb数据线和hdmi高清线），带LED可调式光源，加0.5的物镜（140-180mm工作物距）。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1.2底座数据:4层可调深度模拟颅脑训练空间，全晶透明可视化设计，亚克力材质，长宽高为170mm(±2mm)×170mm(±2mm)×150mm(±2mm)。包含A、B、C、D 四种不同难度深度模拟选择（35-53-87-105mm），搭配有哑光绒布平台和解剖固定平台。顶部模拟骨窗，开口直径为60mm(±2mm)，深度模拟了开颅手术的孔径大小。双万向手托，可调节的高度为180-270mm，手托长度为120mm(±2mm)。耐磨铝合金底座，350mm(±2mm)×300mm(±2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2.浅部显微持针钳（1个）：浅部显微针钳，钛合金材质，上弯头端，总长度150mm(±2mm)，圆柄。无磁，无锈，轻质。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3.浅部显微组织镊（1个）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浅部显微打结镊，钛合金材质，头端0.3mm(±0.2mm，直型头端，带平台，总长度150mm(±2mm)，圆柄带平切。无磁，无锈，轻质。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4.浅部显微剪（弯剪）（1个）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浅部显微剪刀(弯剪），不锈钢材质，上弯头端，头端钝化处理，总长度150mm(±2mm)，扁柄。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5.浅部显微剪（直剪）（1个）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 xml:space="preserve">浅部显微剪刀（直剪），不锈钢材质，直形头端，头端钝化处理，总长度150mm(±2mm)，扁柄。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6.显微模拟血管（1个）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高分子硅胶材质。每包5根，长5cm(±0.2cm)，壁厚0.3mm(±0.2mm)，直径1mm(±0.1mm)。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7.血管吻合训练模拟底座（1个）：硅胶材质。长宽为80mm(±0.5mm)×70mm(±0.5mm)。</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8.法老五面吻合训练塔（1个）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金色，铝合金材质。结合手套或纱布，可做平面，斜面（坡面）吻合和打结，可实现多角度、不同深度训练。顶部正方形可操作面积：15mm(±2mm)×15mm(±2mm)（有一面）。斜面可操作面积为：高30mm(±2mm)×上底15mm(±2mm)×下底35mm(±2mm)（各四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9.深部显微剪（弯剪）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深部显微剪，弯头，钛合金材质，刺刀状，头端开口4mm(±2mm)，工作端 长90mm(±2mm)，总长度 210mm(±2mm)。无磁，无锈，轻质，薄刃。圆柄带平切。 圆柄带平切。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10.深部显微剪（直剪）</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深部显微剪，直头，钛合金材质，刺刀状，头端开口4mm(±2mm)，工作端 长90mm(±2mm)，总长度 210mm(±2mm)。无磁，无锈，轻质，薄刃。圆柄带平切，圆柄带平切。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11.深部显微持针钳</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深部显微针持，弯头，钛合金材质，刺刀状，工作端 长90mm(±2mm)，总长度 210mm(±2mm)。无磁，无锈，轻质，圆柄带平切。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12.深部显微组织镊（弯头）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深部显微打结镊，弯头，钛合金材质，头端0.3mm(±0.2mm)，带平台总长度 190mm(±2mm)。无磁，无锈，轻质，圆柄带平切。</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13.物镜:深部吻合训练必备，工作物距200-280mm。</w:t>
            </w:r>
          </w:p>
        </w:tc>
      </w:tr>
      <w:tr w14:paraId="3DC35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50ABDE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41</w:t>
            </w:r>
          </w:p>
        </w:tc>
        <w:tc>
          <w:tcPr>
            <w:tcW w:w="875" w:type="dxa"/>
            <w:shd w:val="clear" w:color="auto" w:fill="FFFFFF" w:themeFill="background1"/>
            <w:vAlign w:val="center"/>
          </w:tcPr>
          <w:p w14:paraId="0825140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中心静脉置管术训练平台</w:t>
            </w:r>
          </w:p>
        </w:tc>
        <w:tc>
          <w:tcPr>
            <w:tcW w:w="836" w:type="dxa"/>
            <w:gridSpan w:val="2"/>
            <w:shd w:val="clear" w:color="auto" w:fill="FFFFFF" w:themeFill="background1"/>
            <w:vAlign w:val="center"/>
          </w:tcPr>
          <w:p w14:paraId="117F003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5038922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54CB1C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A4CC237">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1.模拟正常成年男性体型大小，解剖结构准确真实。</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2.具有中心静脉置管术相关解剖结构：锁骨、肋骨、颈内静脉、锁骨下静脉、静脉角、心脏、头臂干、颈总动脉、锁骨下动脉及其相对解剖关系。</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备有普通穿刺模块和皮肤用于进行中心静脉置管训练，包括：经皮锁骨下静脉、颈内静脉置管训练；经外周静脉行中心静脉置管训练（可选用的外周静脉包括贵要静脉、头静脉、肘正中静脉），可进行从套管针穿刺到使用皮肤扩张器到沿导丝送入中心静脉导管的一整套完整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4.进针及置管手感真实，可回抽出液体。置管是否到位（正确进入上腔静脉、误入颈内静脉、误入对侧头臂干静脉）可通过不同视窗展现。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5.锁骨下静脉穿刺时误穿到肺部可有自动报警。</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6.可进行CVP测定训练。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7.备有心前区皮肤便于考核。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8.穿刺时渗漏的液体可方便地引流至体外。</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9.可方便更换血管和皮肤（包括手臂皮肤、血管；锁骨下、颈内静脉及颈前区皮肤）。</w:t>
            </w:r>
          </w:p>
        </w:tc>
      </w:tr>
      <w:tr w14:paraId="41C29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AF310B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42</w:t>
            </w:r>
          </w:p>
        </w:tc>
        <w:tc>
          <w:tcPr>
            <w:tcW w:w="875" w:type="dxa"/>
            <w:shd w:val="clear" w:color="auto" w:fill="FFFFFF" w:themeFill="background1"/>
            <w:vAlign w:val="center"/>
          </w:tcPr>
          <w:p w14:paraId="29D504A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导尿仿真模型</w:t>
            </w:r>
          </w:p>
        </w:tc>
        <w:tc>
          <w:tcPr>
            <w:tcW w:w="836" w:type="dxa"/>
            <w:gridSpan w:val="2"/>
            <w:shd w:val="clear" w:color="auto" w:fill="FFFFFF" w:themeFill="background1"/>
            <w:vAlign w:val="center"/>
          </w:tcPr>
          <w:p w14:paraId="6C1FB7F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17E1FF1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402CB6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A42DA6F">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1.模拟一成人下半身，标准的导尿体位：仰卧双腿屈曲外展。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2.男女外生殖器可更换，更换过程简单方便。</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3.男性生殖器模块：阴茎呈自然下垂状态，有柔软的包皮结构包裹部分龟头，可将包皮向后推，更好暴露尿道口及冠状沟。阴茎可以提起与腹壁可成60°角，使导管顺利插入，导尿时能体会尿道真实的狭窄与弯曲。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4.女性生殖器模块：外观模仿真实成年女性大小及质地，小阴唇可分开显露阴蒂，尿道口呈自然闭合状态，阴道口明显可见，针对尿管置入位置具有考核意义。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5.采用优质材料制成，坚固耐用且手感真实。</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6.可进行导尿、留置尿管和膀胱冲洗操作：常规的导尿练习，并有模拟尿液导出；采用单向阀技术保证导尿管拔出后不会漏液。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7.可连接外置储液袋提供不间断的尿液。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8.模型内置弹性储水装置，可在导尿过程中模拟 “膀胱逼尿肌”的功能，实现导尿操作不借助外接水袋提供压力即可完成。</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9.可使用临床多种不同型号的双腔或三腔导尿管。</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10.模型生殖器与后面板可拆卸，方便清洁维护。</w:t>
            </w:r>
          </w:p>
        </w:tc>
      </w:tr>
      <w:tr w14:paraId="675DA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608A020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43</w:t>
            </w:r>
          </w:p>
        </w:tc>
        <w:tc>
          <w:tcPr>
            <w:tcW w:w="875" w:type="dxa"/>
            <w:shd w:val="clear" w:color="auto" w:fill="FFFFFF" w:themeFill="background1"/>
            <w:vAlign w:val="center"/>
          </w:tcPr>
          <w:p w14:paraId="297BBDA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动脉穿刺平台</w:t>
            </w:r>
          </w:p>
        </w:tc>
        <w:tc>
          <w:tcPr>
            <w:tcW w:w="836" w:type="dxa"/>
            <w:gridSpan w:val="2"/>
            <w:shd w:val="clear" w:color="auto" w:fill="FFFFFF" w:themeFill="background1"/>
            <w:vAlign w:val="center"/>
          </w:tcPr>
          <w:p w14:paraId="0B27689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1E52AA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4FA2E7F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7A8F221">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1.模拟亚洲成人手臂，外形逼真，手感柔软，可看到血管走形，解剖结构包括腕横纹、桡骨茎突。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2.可以进行前臂桡动脉穿刺采血；肘部至少1条静脉的穿刺采血训练。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3.进行桡动脉穿刺时，操作者将食指、中指放置于模型腕横纹上方，指间分开距离约2cm，以达到绷紧皮肤；肘部静脉穿刺时，可以旋转手臂的角度，达到合适的穿刺位置。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4.穿刺操作前可模拟消毒流程，消毒液痕迹方便去除，不留痕迹。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5.模型可自动产生桡动脉搏动，搏动分1、2、3档可调。不同档位搏动可产生的动脉血压不同，穿刺时可体会到不同的脉冲感觉。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6.动脉穿刺时，可在腕部触诊到桡动脉搏动，在搏动位置穿刺，进入血管可体会到突破感，可见动脉血将注射器活塞顶起，支持在桡动脉采集动脉血标本。</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7.静脉血管可以通过触摸找到。</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8.静脉采血时，穿刺针可以使用输液贴固定，不松脱。</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9.血管耐穿刺，可反复使用。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10.手部和肘部穿刺部位为可更换模块，配有1套可替换模块；耗材可由用户免工具更换，单部位更换时间不超过60s。</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11.肩部设计有透明可视窗，可观察模拟血液的液位，方便及时补充液体。</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12.内置锂电池供电，可持续工作不少于3小时。</w:t>
            </w:r>
          </w:p>
        </w:tc>
      </w:tr>
      <w:tr w14:paraId="3F0A6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E6376B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44</w:t>
            </w:r>
          </w:p>
        </w:tc>
        <w:tc>
          <w:tcPr>
            <w:tcW w:w="875" w:type="dxa"/>
            <w:shd w:val="clear" w:color="auto" w:fill="FFFFFF" w:themeFill="background1"/>
            <w:vAlign w:val="center"/>
          </w:tcPr>
          <w:p w14:paraId="18CE8E9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瘘管造口术护理模型</w:t>
            </w:r>
          </w:p>
        </w:tc>
        <w:tc>
          <w:tcPr>
            <w:tcW w:w="836" w:type="dxa"/>
            <w:gridSpan w:val="2"/>
            <w:shd w:val="clear" w:color="auto" w:fill="FFFFFF" w:themeFill="background1"/>
            <w:vAlign w:val="center"/>
          </w:tcPr>
          <w:p w14:paraId="4740381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814" w:type="dxa"/>
            <w:shd w:val="clear" w:color="auto" w:fill="FFFFFF" w:themeFill="background1"/>
            <w:vAlign w:val="center"/>
          </w:tcPr>
          <w:p w14:paraId="05B4243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6ADE40B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6B65E4E0">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1.模拟了一成人下半身结构，上至腰部，下至大腿上1/3；可摆成直立位或左侧卧位。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2.包括结肠造瘘口、回肠造瘘口的护理；材质柔软逼真。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3.可进行肠内营养、瘘管造口术后的护理及更换人工肛门粪袋训练。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4.可以灌入模拟粪便和模拟肠内营养液；灌入的液体都可以排出。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5.可方便进行内部管道清洗，配有底座便于体位稳定。</w:t>
            </w:r>
          </w:p>
        </w:tc>
      </w:tr>
      <w:tr w14:paraId="2621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0D046F3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45</w:t>
            </w:r>
          </w:p>
        </w:tc>
        <w:tc>
          <w:tcPr>
            <w:tcW w:w="875" w:type="dxa"/>
            <w:shd w:val="clear" w:color="auto" w:fill="FFFFFF" w:themeFill="background1"/>
            <w:vAlign w:val="center"/>
          </w:tcPr>
          <w:p w14:paraId="7E2B94D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术前无菌操作训练仿真标准化病人</w:t>
            </w:r>
          </w:p>
        </w:tc>
        <w:tc>
          <w:tcPr>
            <w:tcW w:w="836" w:type="dxa"/>
            <w:gridSpan w:val="2"/>
            <w:shd w:val="clear" w:color="auto" w:fill="FFFFFF" w:themeFill="background1"/>
            <w:vAlign w:val="center"/>
          </w:tcPr>
          <w:p w14:paraId="68FA636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68C4827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5CF035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01BF620B">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1.仿真人体外观真实，皮肤纹理清晰可见，腹部柔软，触感真实。</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2.人体体表标志准确：胸廓、锁骨、胸骨角、肋骨、肋间隙、腹上角、剑突、肋弓下缘、髂骨、髂前上棘、耻骨等。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3.可进行手术区域消毒和铺巾操作训练。</w:t>
            </w:r>
          </w:p>
        </w:tc>
      </w:tr>
      <w:tr w14:paraId="2341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5B0F04C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46</w:t>
            </w:r>
          </w:p>
        </w:tc>
        <w:tc>
          <w:tcPr>
            <w:tcW w:w="875" w:type="dxa"/>
            <w:shd w:val="clear" w:color="auto" w:fill="FFFFFF" w:themeFill="background1"/>
            <w:vAlign w:val="center"/>
          </w:tcPr>
          <w:p w14:paraId="6A370A6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高级皮肤切开缝合模块</w:t>
            </w:r>
          </w:p>
        </w:tc>
        <w:tc>
          <w:tcPr>
            <w:tcW w:w="836" w:type="dxa"/>
            <w:gridSpan w:val="2"/>
            <w:shd w:val="clear" w:color="auto" w:fill="FFFFFF" w:themeFill="background1"/>
            <w:vAlign w:val="center"/>
          </w:tcPr>
          <w:p w14:paraId="5C96EF8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100</w:t>
            </w:r>
          </w:p>
        </w:tc>
        <w:tc>
          <w:tcPr>
            <w:tcW w:w="814" w:type="dxa"/>
            <w:shd w:val="clear" w:color="auto" w:fill="FFFFFF" w:themeFill="background1"/>
            <w:vAlign w:val="center"/>
          </w:tcPr>
          <w:p w14:paraId="256FED4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51EE917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84F3F72">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1.皮肤模块具有清晰的三层结构，具有皮肤真实的组织张力。</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2.特殊材质制成，缝合时针眼不明显，可进行多次练习。</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3.可多部位练习皮肤切开、缝合、打结、拆线等外科操作技能。</w:t>
            </w:r>
          </w:p>
        </w:tc>
      </w:tr>
      <w:tr w14:paraId="3345F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31791EC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47</w:t>
            </w:r>
          </w:p>
        </w:tc>
        <w:tc>
          <w:tcPr>
            <w:tcW w:w="875" w:type="dxa"/>
            <w:shd w:val="clear" w:color="auto" w:fill="FFFFFF" w:themeFill="background1"/>
            <w:vAlign w:val="center"/>
          </w:tcPr>
          <w:p w14:paraId="0E9E6A8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新型多功能护理人模型</w:t>
            </w:r>
          </w:p>
        </w:tc>
        <w:tc>
          <w:tcPr>
            <w:tcW w:w="836" w:type="dxa"/>
            <w:gridSpan w:val="2"/>
            <w:shd w:val="clear" w:color="auto" w:fill="FFFFFF" w:themeFill="background1"/>
            <w:vAlign w:val="center"/>
          </w:tcPr>
          <w:p w14:paraId="6E68586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814" w:type="dxa"/>
            <w:shd w:val="clear" w:color="auto" w:fill="FFFFFF" w:themeFill="background1"/>
            <w:vAlign w:val="center"/>
          </w:tcPr>
          <w:p w14:paraId="3415936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3AC4EB0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2F784042">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1.四肢关节全部采用螺丝固定，关节左右弯曲上下活动灵活，永不脱落。头部眼睛部位还采用液晶模拟瞳孔，真实模拟正常状态。</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2.要求模型采用优质塑胶材料，不锈钢模具浇注工艺制成。具有形象逼真、操作真实、结构标准、经久耐用等特点。</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3.洗头、洗脸。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4.眼耳清洗、滴药。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5.口腔护理、假牙护理。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6.气管切开护理。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7.氧气吸入疗法。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8.鼻饲法。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9.洗胃法。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10.心内注射法。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11.胸外心脏复苏急救法。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12.气胸。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13.乳房护理。</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14.胸腔穿刺。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15.肝脏穿刺。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16.腹腔穿刺。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17.骨髓穿刺。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18.腰椎穿刺。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19.三角肌注射。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20.静脉注射。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21.静脉穿刺。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22.静脉输液（血）。</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23.女性导尿术。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24.女性灌肠法。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25.女性膀胱冲洗。</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26.臂部肌肉注射。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27.整体护理：擦浴、穿换衣服。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28.四肢关节左右弯曲。</w:t>
            </w:r>
          </w:p>
        </w:tc>
      </w:tr>
      <w:tr w14:paraId="130AF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1DD3DBD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48</w:t>
            </w:r>
          </w:p>
        </w:tc>
        <w:tc>
          <w:tcPr>
            <w:tcW w:w="875" w:type="dxa"/>
            <w:shd w:val="clear" w:color="auto" w:fill="FFFFFF" w:themeFill="background1"/>
            <w:vAlign w:val="center"/>
          </w:tcPr>
          <w:p w14:paraId="63A653D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高级透明洗胃模型</w:t>
            </w:r>
          </w:p>
        </w:tc>
        <w:tc>
          <w:tcPr>
            <w:tcW w:w="836" w:type="dxa"/>
            <w:gridSpan w:val="2"/>
            <w:shd w:val="clear" w:color="auto" w:fill="FFFFFF" w:themeFill="background1"/>
            <w:vAlign w:val="center"/>
          </w:tcPr>
          <w:p w14:paraId="7EEC80C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521457C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7178949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9E9EF4D">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（一）功能要求：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1.模型为成年男性上半身，可实现洗胃时的多种体位：仰卧位、左侧卧位、坐位。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2.解剖结构精确，包括牙、舌、悬雍垂、气管、支气管、左右肺脏、食管、胃、膈、胆囊、胰腺、脾、十二指肠、结肠等结构。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3.胸腹部外皮为透明外壳，便于观察内部解剖结构以及操作全过程。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4.真实大小的透明胃，能容纳300ml的液体,可在操作时观察胃管进出胃腔的全过程。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5.模型使用完毕，消化道内残存液体可方便地从专用管道排出。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（二）可实现功能：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1.洗胃术：经口、鼻洗胃器洗胃法，电动吸引洗胃法，胃管洗胃法，洗胃机洗胃法。</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2.胃肠减压术、胃液采集术、十二指肠引流术、双气囊三腔管压迫术。</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3.鼻饲术、氧气吸入、口腔护理、经口经鼻吸痰术、气管切开术术后护理等多项护理操作。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4.示教瞳孔：瞳孔缩小提示有机磷类杀虫药和氨基甲酸酯类杀虫药中毒；瞳孔散大提示阿托品和莨菪碱类中毒，学生可根据中毒类型的不同选择相应的洗胃液。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5.带有灯光警示系统，提示胆囊的不同解剖部位。</w:t>
            </w:r>
          </w:p>
        </w:tc>
      </w:tr>
      <w:tr w14:paraId="5589D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261904B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49</w:t>
            </w:r>
          </w:p>
        </w:tc>
        <w:tc>
          <w:tcPr>
            <w:tcW w:w="875" w:type="dxa"/>
            <w:shd w:val="clear" w:color="auto" w:fill="FFFFFF" w:themeFill="background1"/>
            <w:vAlign w:val="center"/>
          </w:tcPr>
          <w:p w14:paraId="28D7BA4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静脉穿刺输液手臂模型</w:t>
            </w:r>
          </w:p>
        </w:tc>
        <w:tc>
          <w:tcPr>
            <w:tcW w:w="836" w:type="dxa"/>
            <w:gridSpan w:val="2"/>
            <w:shd w:val="clear" w:color="auto" w:fill="FFFFFF" w:themeFill="background1"/>
            <w:vAlign w:val="center"/>
          </w:tcPr>
          <w:p w14:paraId="7711F3A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06BE5BC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4FD323E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2161E00">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要求所竞产品是为需要学习静脉注射的专业人员特别设计，真实模拟人体手臂，具有与人体手臂相同的尺寸，外观和质感，具体要求如下：</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1.模拟一成人右臂。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2.造型高度仿真，精细的皮肤纹理，材质柔软并富有弹性，手指可弯曲。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3.解剖结构精确，有八条血管组成完整的静脉系统，具有手背静脉网。</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4.可进行静脉输液和静脉穿刺训练，穿刺正确有明显落空感并有回血，穿刺针可用输液贴牢固固定；进行三角肌注射训练；佩戴式皮内注射模块进行皮内注射训练。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5.三角肌模块、皮内注射模块。</w:t>
            </w:r>
          </w:p>
        </w:tc>
      </w:tr>
      <w:tr w14:paraId="2605C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24F83A29">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50</w:t>
            </w:r>
          </w:p>
        </w:tc>
        <w:tc>
          <w:tcPr>
            <w:tcW w:w="875" w:type="dxa"/>
            <w:shd w:val="clear" w:color="auto" w:fill="FFFFFF" w:themeFill="background1"/>
            <w:vAlign w:val="center"/>
          </w:tcPr>
          <w:p w14:paraId="61DBECB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动脉穿刺术手臂模型</w:t>
            </w:r>
          </w:p>
        </w:tc>
        <w:tc>
          <w:tcPr>
            <w:tcW w:w="836" w:type="dxa"/>
            <w:gridSpan w:val="2"/>
            <w:shd w:val="clear" w:color="auto" w:fill="FFFFFF" w:themeFill="background1"/>
            <w:vAlign w:val="center"/>
          </w:tcPr>
          <w:p w14:paraId="4D142C2D">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19EF8714">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151DBDB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3104F3B2">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1.模拟一成人右臂。</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2.解剖结构包括桡动脉、桡骨茎突等。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3.进行桡动脉穿刺，采动脉血样。</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4.可模拟桡动脉搏动，方便定位。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5.皮肤和血管可更换，带有备用的皮肤及血管。</w:t>
            </w:r>
          </w:p>
        </w:tc>
      </w:tr>
      <w:tr w14:paraId="583D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7986050">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51</w:t>
            </w:r>
          </w:p>
        </w:tc>
        <w:tc>
          <w:tcPr>
            <w:tcW w:w="875" w:type="dxa"/>
            <w:shd w:val="clear" w:color="auto" w:fill="FFFFFF" w:themeFill="background1"/>
            <w:vAlign w:val="center"/>
          </w:tcPr>
          <w:p w14:paraId="3BB3A8D1">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背部胸腔穿刺电子标准化病人</w:t>
            </w:r>
          </w:p>
        </w:tc>
        <w:tc>
          <w:tcPr>
            <w:tcW w:w="836" w:type="dxa"/>
            <w:gridSpan w:val="2"/>
            <w:shd w:val="clear" w:color="auto" w:fill="FFFFFF" w:themeFill="background1"/>
            <w:vAlign w:val="center"/>
          </w:tcPr>
          <w:p w14:paraId="766025E6">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814" w:type="dxa"/>
            <w:shd w:val="clear" w:color="auto" w:fill="FFFFFF" w:themeFill="background1"/>
            <w:vAlign w:val="center"/>
          </w:tcPr>
          <w:p w14:paraId="619AEFC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0FEE601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46E848C9">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1.标准胸腔积液穿刺体位。</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2.体表标志明显，可触及棘突、肩胛下角、肋骨及肋间隙。</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3.可进行胸腔积液的叩诊检查，确定穿刺位置。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4.穿刺模块与躯干主体边缘贴合平整紧密，可满足以穿刺点为中心直径至少15cm的消毒范围。</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5.可在双侧腋后线、肩胛下角线进行胸腔积液穿刺。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6.正确穿刺可以抽出胸腔积液。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7.单位穿刺面积可满足至少500次穿刺练习不漏液。</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8.座椅轻便带脚轮，方便移动和固定。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9.双侧穿刺模块可更换。</w:t>
            </w:r>
          </w:p>
        </w:tc>
      </w:tr>
      <w:tr w14:paraId="5A03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3F0DC7F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52</w:t>
            </w:r>
          </w:p>
        </w:tc>
        <w:tc>
          <w:tcPr>
            <w:tcW w:w="875" w:type="dxa"/>
            <w:shd w:val="clear" w:color="auto" w:fill="FFFFFF" w:themeFill="background1"/>
            <w:vAlign w:val="center"/>
          </w:tcPr>
          <w:p w14:paraId="0EBD512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腹部移动性浊音叩诊与腹腔穿刺仿真标准化病人</w:t>
            </w:r>
          </w:p>
        </w:tc>
        <w:tc>
          <w:tcPr>
            <w:tcW w:w="836" w:type="dxa"/>
            <w:gridSpan w:val="2"/>
            <w:shd w:val="clear" w:color="auto" w:fill="FFFFFF" w:themeFill="background1"/>
            <w:vAlign w:val="center"/>
          </w:tcPr>
          <w:p w14:paraId="0FE0349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814" w:type="dxa"/>
            <w:shd w:val="clear" w:color="auto" w:fill="FFFFFF" w:themeFill="background1"/>
            <w:vAlign w:val="center"/>
          </w:tcPr>
          <w:p w14:paraId="274F623F">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2B78E45A">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7DD25E3">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1.模型腹部材料质地柔软，富有弹性，触感真实，外观形象逼真。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2.腹部皮肤采用微发泡高分子复合材料，结实耐穿刺，穿刺后针眼不明显。</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3.体表标志（肋骨、肋间隙、左、右肋弓、腹上角、髂前上棘、脐、耻骨联合、腹股沟等）明显，易触及，解剖位置准确。</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4.可进行腹部移动性浊音的叩诊、腹腔穿刺术、股静脉穿刺术的训练。</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5.可以触诊到股动脉搏动，以利于定位股静脉。</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6.腹部穿刺的皮肤、腹部水囊和股静脉血管都可以更换，实现模型的反复长期使用。</w:t>
            </w:r>
          </w:p>
        </w:tc>
      </w:tr>
      <w:tr w14:paraId="4627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4F0B723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53</w:t>
            </w:r>
          </w:p>
        </w:tc>
        <w:tc>
          <w:tcPr>
            <w:tcW w:w="875" w:type="dxa"/>
            <w:shd w:val="clear" w:color="auto" w:fill="FFFFFF" w:themeFill="background1"/>
            <w:vAlign w:val="center"/>
          </w:tcPr>
          <w:p w14:paraId="0529ABB5">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腰椎穿刺仿真标准化病人</w:t>
            </w:r>
          </w:p>
        </w:tc>
        <w:tc>
          <w:tcPr>
            <w:tcW w:w="836" w:type="dxa"/>
            <w:gridSpan w:val="2"/>
            <w:shd w:val="clear" w:color="auto" w:fill="FFFFFF" w:themeFill="background1"/>
            <w:vAlign w:val="center"/>
          </w:tcPr>
          <w:p w14:paraId="2AACFEAB">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814" w:type="dxa"/>
            <w:shd w:val="clear" w:color="auto" w:fill="FFFFFF" w:themeFill="background1"/>
            <w:vAlign w:val="center"/>
          </w:tcPr>
          <w:p w14:paraId="49B2BDA3">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6921F60C">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56E91069">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 xml:space="preserve">1.成年男性外观，身体呈屈曲状，左侧卧位；体表标志明显，可摸到髂嵴、腰椎棘突，方便定位。 </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2.模型人腰部结构可活动，通过加大身体的屈曲程度，可使脊柱后凸、椎间隙增宽。</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模型腰部解剖结构正确，包括皮肤、皮下组织、黄韧带、硬脊膜等结构，可以在L2-L5椎间隙进行硬膜外穿刺、蛛网膜下腔穿刺操作，完成脑脊液压力测定、腰穿、腰麻、硬膜外麻醉、腰硬联合麻醉、鞘内给药等技术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4.穿刺操作使用临床真实穿刺器械，穿刺针可依次经过皮肤及皮下组织、黄韧带、硬脊膜及蛛网膜，可体会到真实的2次突破感。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5.可使用临床真实测压管进行脑脊液压力测定。</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6.突破黄韧带时可体会到落空感，到达硬脊膜外腔时有负压，通过水珠被吸入可验证负压存在，到达蛛网膜下腔时可有脑脊液流出；穿刺角度不正确可穿刺到椎骨。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7.具有硬膜外和蛛网膜下两个腔隙，都支持真实麻醉注液操作。</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8.穿刺部位模块可耐受多次穿刺，耗材可以更换。</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9.无需外置水袋提供压力，即可在进入蛛网膜下腔后自动有脑脊液流出。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10.内置锂电池连续使用时间不少于5小时。</w:t>
            </w:r>
          </w:p>
        </w:tc>
      </w:tr>
      <w:tr w14:paraId="3B30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5" w:hRule="atLeast"/>
          <w:jc w:val="center"/>
        </w:trPr>
        <w:tc>
          <w:tcPr>
            <w:tcW w:w="534" w:type="dxa"/>
            <w:shd w:val="clear" w:color="auto" w:fill="FFFFFF" w:themeFill="background1"/>
            <w:vAlign w:val="center"/>
          </w:tcPr>
          <w:p w14:paraId="72C4EC18">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54</w:t>
            </w:r>
          </w:p>
        </w:tc>
        <w:tc>
          <w:tcPr>
            <w:tcW w:w="875" w:type="dxa"/>
            <w:shd w:val="clear" w:color="auto" w:fill="FFFFFF" w:themeFill="background1"/>
            <w:vAlign w:val="center"/>
          </w:tcPr>
          <w:p w14:paraId="07A239A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骨髓穿刺仿真标准化病人</w:t>
            </w:r>
          </w:p>
        </w:tc>
        <w:tc>
          <w:tcPr>
            <w:tcW w:w="836" w:type="dxa"/>
            <w:gridSpan w:val="2"/>
            <w:shd w:val="clear" w:color="auto" w:fill="FFFFFF" w:themeFill="background1"/>
            <w:vAlign w:val="center"/>
          </w:tcPr>
          <w:p w14:paraId="758A628E">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814" w:type="dxa"/>
            <w:shd w:val="clear" w:color="auto" w:fill="FFFFFF" w:themeFill="background1"/>
            <w:vAlign w:val="center"/>
          </w:tcPr>
          <w:p w14:paraId="58F3C5D7">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套</w:t>
            </w:r>
          </w:p>
        </w:tc>
        <w:tc>
          <w:tcPr>
            <w:tcW w:w="1179" w:type="dxa"/>
            <w:shd w:val="clear" w:color="auto" w:fill="FFFFFF" w:themeFill="background1"/>
            <w:vAlign w:val="center"/>
          </w:tcPr>
          <w:p w14:paraId="1AF9A472">
            <w:pPr>
              <w:snapToGrid w:val="0"/>
              <w:spacing w:line="320" w:lineRule="exact"/>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工业</w:t>
            </w:r>
          </w:p>
        </w:tc>
        <w:tc>
          <w:tcPr>
            <w:tcW w:w="4277" w:type="dxa"/>
            <w:shd w:val="clear" w:color="auto" w:fill="FFFFFF" w:themeFill="background1"/>
            <w:vAlign w:val="center"/>
          </w:tcPr>
          <w:p w14:paraId="76266CFF">
            <w:pPr>
              <w:widowControl/>
              <w:spacing w:line="360" w:lineRule="exact"/>
              <w:jc w:val="left"/>
              <w:textAlignment w:val="center"/>
              <w:rPr>
                <w:rFonts w:hint="eastAsia" w:ascii="宋体" w:hAnsi="宋体" w:cs="宋体"/>
                <w:bCs/>
                <w:color w:val="auto"/>
                <w:szCs w:val="21"/>
                <w:highlight w:val="none"/>
              </w:rPr>
            </w:pPr>
            <w:r>
              <w:rPr>
                <w:rFonts w:hint="eastAsia" w:ascii="宋体" w:hAnsi="宋体" w:cs="宋体"/>
                <w:color w:val="auto"/>
                <w:kern w:val="0"/>
                <w:szCs w:val="21"/>
                <w:highlight w:val="none"/>
                <w:lang w:bidi="ar"/>
              </w:rPr>
              <w:t>1.模拟一成年男性的身体结构，上至头部，下至大腿根部。</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2.用于骨髓穿刺术的示教、训练、考核。</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3.模型具有仿真人造皮肤，其触感趋近于真人。</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4.模型可在体表触摸到颈椎棘突、胸椎棘突、腰椎棘突、胸骨柄、肋骨、髂前上棘、髂后上棘、髂嵴最高点的解剖结构。</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5.模型具有仿真骨髓穿刺模块（胸骨柄、左髂前上棘、右髂前上棘、左髂后上棘、右髂后上棘），仿真穿刺操作时的突破手感。</w:t>
            </w:r>
            <w:r>
              <w:rPr>
                <w:rFonts w:hint="eastAsia" w:ascii="宋体" w:hAnsi="宋体" w:cs="宋体"/>
                <w:color w:val="auto"/>
                <w:kern w:val="0"/>
                <w:szCs w:val="21"/>
                <w:highlight w:val="none"/>
                <w:lang w:bidi="ar"/>
              </w:rPr>
              <w:br w:type="textWrapping"/>
            </w:r>
            <w:r>
              <w:rPr>
                <w:rFonts w:hint="eastAsia" w:ascii="宋体" w:hAnsi="宋体" w:cs="宋体"/>
                <w:color w:val="auto"/>
                <w:kern w:val="0"/>
                <w:szCs w:val="21"/>
                <w:highlight w:val="none"/>
                <w:lang w:bidi="ar"/>
              </w:rPr>
              <w:t>6.穿刺操作成功后，可抽出模拟骨髓液。</w:t>
            </w:r>
          </w:p>
        </w:tc>
      </w:tr>
      <w:bookmarkEnd w:id="72"/>
      <w:tr w14:paraId="2285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515" w:type="dxa"/>
            <w:gridSpan w:val="7"/>
            <w:shd w:val="clear" w:color="auto" w:fill="FFFFFF" w:themeFill="background1"/>
            <w:vAlign w:val="center"/>
          </w:tcPr>
          <w:p w14:paraId="4BC6BE75">
            <w:pP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（二）售后服务要求</w:t>
            </w:r>
          </w:p>
        </w:tc>
      </w:tr>
      <w:tr w14:paraId="00B65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5" w:type="dxa"/>
            <w:gridSpan w:val="7"/>
            <w:shd w:val="clear" w:color="auto" w:fill="FFFFFF" w:themeFill="background1"/>
            <w:vAlign w:val="center"/>
          </w:tcPr>
          <w:p w14:paraId="72E12B0F">
            <w:pPr>
              <w:spacing w:line="340" w:lineRule="exact"/>
              <w:rPr>
                <w:rFonts w:hint="eastAsia" w:ascii="宋体" w:hAnsi="宋体" w:cs="宋体"/>
                <w:b/>
                <w:bCs/>
                <w:color w:val="auto"/>
                <w:szCs w:val="21"/>
                <w:highlight w:val="none"/>
              </w:rPr>
            </w:pPr>
            <w:r>
              <w:rPr>
                <w:rFonts w:hint="eastAsia" w:ascii="宋体" w:hAnsi="宋体" w:cs="宋体"/>
                <w:b/>
                <w:bCs/>
                <w:color w:val="auto"/>
                <w:szCs w:val="21"/>
                <w:highlight w:val="none"/>
              </w:rPr>
              <w:t>1.保修期内售后服务要求</w:t>
            </w:r>
          </w:p>
          <w:p w14:paraId="433DE52C">
            <w:pPr>
              <w:spacing w:line="340" w:lineRule="exact"/>
              <w:rPr>
                <w:rFonts w:hint="eastAsia" w:ascii="宋体" w:hAnsi="宋体" w:cs="宋体"/>
                <w:b/>
                <w:bCs/>
                <w:color w:val="auto"/>
                <w:szCs w:val="21"/>
                <w:highlight w:val="none"/>
              </w:rPr>
            </w:pPr>
            <w:r>
              <w:rPr>
                <w:rFonts w:hint="eastAsia" w:ascii="宋体" w:hAnsi="宋体" w:cs="宋体"/>
                <w:b/>
                <w:bCs/>
                <w:color w:val="auto"/>
                <w:szCs w:val="21"/>
                <w:highlight w:val="none"/>
              </w:rPr>
              <w:t>供应商按提供的以下售后服务所产生的相关费用均包含在竞标报价中，采购人不再另行支付相关费用，具体要求如下：</w:t>
            </w:r>
          </w:p>
          <w:p w14:paraId="388D933D">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（1）保修期：按国家有关产品“三包”规定执行“三包”，保修期不少于</w:t>
            </w:r>
            <w:r>
              <w:rPr>
                <w:rFonts w:hint="eastAsia" w:cs="宋体" w:asciiTheme="majorEastAsia" w:hAnsiTheme="majorEastAsia" w:eastAsiaTheme="majorEastAsia"/>
                <w:b/>
                <w:bCs/>
                <w:color w:val="auto"/>
                <w:szCs w:val="21"/>
                <w:highlight w:val="none"/>
                <w:u w:val="single"/>
              </w:rPr>
              <w:t>3</w:t>
            </w:r>
            <w:r>
              <w:rPr>
                <w:rFonts w:hint="eastAsia" w:cs="宋体" w:asciiTheme="majorEastAsia" w:hAnsiTheme="majorEastAsia" w:eastAsiaTheme="majorEastAsia"/>
                <w:b/>
                <w:bCs/>
                <w:color w:val="auto"/>
                <w:szCs w:val="21"/>
                <w:highlight w:val="none"/>
              </w:rPr>
              <w:t>年。保修期从设备验收合格之日起计算，“技术要求”中有特别注明的除外。保修期内负责上门维修，更换零部件，不另收取维修费和元器件费。保修期届满后，</w:t>
            </w:r>
            <w:r>
              <w:rPr>
                <w:rFonts w:hint="eastAsia"/>
                <w:b/>
                <w:color w:val="auto"/>
                <w:highlight w:val="none"/>
              </w:rPr>
              <w:t>提供终身保修（维护）服务，且维修时只收取所需维修部件的成本费，服务内容与保修期内的要求相一致</w:t>
            </w:r>
            <w:r>
              <w:rPr>
                <w:rFonts w:hint="eastAsia" w:cs="宋体" w:asciiTheme="majorEastAsia" w:hAnsiTheme="majorEastAsia" w:eastAsiaTheme="majorEastAsia"/>
                <w:b/>
                <w:bCs/>
                <w:color w:val="auto"/>
                <w:szCs w:val="21"/>
                <w:highlight w:val="none"/>
              </w:rPr>
              <w:t>。</w:t>
            </w:r>
          </w:p>
          <w:p w14:paraId="2A56653A">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w:t>
            </w:r>
            <w:r>
              <w:rPr>
                <w:rFonts w:cs="宋体" w:asciiTheme="majorEastAsia" w:hAnsiTheme="majorEastAsia" w:eastAsiaTheme="majorEastAsia"/>
                <w:b/>
                <w:bCs/>
                <w:color w:val="auto"/>
                <w:szCs w:val="21"/>
                <w:highlight w:val="none"/>
              </w:rPr>
              <w:t>2</w:t>
            </w:r>
            <w:r>
              <w:rPr>
                <w:rFonts w:hint="eastAsia" w:cs="宋体" w:asciiTheme="majorEastAsia" w:hAnsiTheme="majorEastAsia" w:eastAsiaTheme="majorEastAsia"/>
                <w:b/>
                <w:bCs/>
                <w:color w:val="auto"/>
                <w:szCs w:val="21"/>
                <w:highlight w:val="none"/>
              </w:rPr>
              <w:t>）采购范围内的货物提供送货上门，在采购人指定的时间内完成货物的安装、调试。提供技术培训，保证使用人员独立正常操作设备的各种功能，同时能掌握常规故障的判断与常规处理及日常维护保养的方法。若设备自带软件，则在保修期内提供升级服务；如厂家有更优承诺的，按厂家承诺进行。</w:t>
            </w:r>
          </w:p>
          <w:p w14:paraId="4F762249">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w:t>
            </w:r>
            <w:r>
              <w:rPr>
                <w:rFonts w:cs="宋体" w:asciiTheme="majorEastAsia" w:hAnsiTheme="majorEastAsia" w:eastAsiaTheme="majorEastAsia"/>
                <w:b/>
                <w:bCs/>
                <w:color w:val="auto"/>
                <w:szCs w:val="21"/>
                <w:highlight w:val="none"/>
              </w:rPr>
              <w:t>3</w:t>
            </w:r>
            <w:r>
              <w:rPr>
                <w:rFonts w:hint="eastAsia" w:cs="宋体" w:asciiTheme="majorEastAsia" w:hAnsiTheme="majorEastAsia" w:eastAsiaTheme="majorEastAsia"/>
                <w:b/>
                <w:bCs/>
                <w:color w:val="auto"/>
                <w:szCs w:val="21"/>
                <w:highlight w:val="none"/>
              </w:rPr>
              <w:t>）保修期内，供应商须在出现故障4小时内响应，</w:t>
            </w:r>
            <w:r>
              <w:rPr>
                <w:rFonts w:cs="宋体" w:asciiTheme="majorEastAsia" w:hAnsiTheme="majorEastAsia" w:eastAsiaTheme="majorEastAsia"/>
                <w:b/>
                <w:bCs/>
                <w:color w:val="auto"/>
                <w:szCs w:val="21"/>
                <w:highlight w:val="none"/>
              </w:rPr>
              <w:t>24</w:t>
            </w:r>
            <w:r>
              <w:rPr>
                <w:rFonts w:hint="eastAsia" w:cs="宋体" w:asciiTheme="majorEastAsia" w:hAnsiTheme="majorEastAsia" w:eastAsiaTheme="majorEastAsia"/>
                <w:b/>
                <w:bCs/>
                <w:color w:val="auto"/>
                <w:szCs w:val="21"/>
                <w:highlight w:val="none"/>
              </w:rPr>
              <w:t>小时内必须到达故障设备现场排除故障并维修。一般问题应在48小时内解决，对于保修期内不能修复的设备或部件，供应商应在48小时内更换备品备件。如果需要更换配件的，要求更换的配件应跟被更换的品牌、类型相一致或者是同类同档次的替代品，后者需征得采购人管理人员同意。</w:t>
            </w:r>
          </w:p>
          <w:p w14:paraId="020E178D">
            <w:pPr>
              <w:spacing w:line="360" w:lineRule="exact"/>
              <w:jc w:val="left"/>
              <w:rPr>
                <w:rFonts w:hint="eastAsia" w:cs="宋体" w:asciiTheme="majorEastAsia" w:hAnsiTheme="majorEastAsia" w:eastAsiaTheme="majorEastAsia"/>
                <w:b/>
                <w:bCs/>
                <w:color w:val="auto"/>
                <w:szCs w:val="21"/>
                <w:highlight w:val="none"/>
              </w:rPr>
            </w:pPr>
            <w:r>
              <w:rPr>
                <w:rFonts w:hint="eastAsia" w:cs="宋体" w:asciiTheme="majorEastAsia" w:hAnsiTheme="majorEastAsia" w:eastAsiaTheme="majorEastAsia"/>
                <w:b/>
                <w:bCs/>
                <w:color w:val="auto"/>
                <w:szCs w:val="21"/>
                <w:highlight w:val="none"/>
              </w:rPr>
              <w:t>（</w:t>
            </w:r>
            <w:r>
              <w:rPr>
                <w:rFonts w:cs="宋体" w:asciiTheme="majorEastAsia" w:hAnsiTheme="majorEastAsia" w:eastAsiaTheme="majorEastAsia"/>
                <w:b/>
                <w:bCs/>
                <w:color w:val="auto"/>
                <w:szCs w:val="21"/>
                <w:highlight w:val="none"/>
              </w:rPr>
              <w:t>4</w:t>
            </w:r>
            <w:r>
              <w:rPr>
                <w:rFonts w:hint="eastAsia" w:cs="宋体" w:asciiTheme="majorEastAsia" w:hAnsiTheme="majorEastAsia" w:eastAsiaTheme="majorEastAsia"/>
                <w:b/>
                <w:bCs/>
                <w:color w:val="auto"/>
                <w:szCs w:val="21"/>
                <w:highlight w:val="none"/>
              </w:rPr>
              <w:t>）定期回访并对设备进行维护。</w:t>
            </w:r>
          </w:p>
          <w:p w14:paraId="71AA2535">
            <w:pPr>
              <w:spacing w:line="340" w:lineRule="exact"/>
              <w:rPr>
                <w:rFonts w:hint="eastAsia" w:cs="宋体" w:asciiTheme="majorEastAsia" w:hAnsiTheme="majorEastAsia" w:eastAsiaTheme="majorEastAsia"/>
                <w:b/>
                <w:bCs/>
                <w:color w:val="auto"/>
                <w:szCs w:val="21"/>
                <w:highlight w:val="none"/>
              </w:rPr>
            </w:pPr>
            <w:r>
              <w:rPr>
                <w:rFonts w:cs="宋体" w:asciiTheme="majorEastAsia" w:hAnsiTheme="majorEastAsia" w:eastAsiaTheme="majorEastAsia"/>
                <w:b/>
                <w:bCs/>
                <w:color w:val="auto"/>
                <w:szCs w:val="21"/>
                <w:highlight w:val="none"/>
              </w:rPr>
              <w:t>2.</w:t>
            </w:r>
            <w:r>
              <w:rPr>
                <w:rFonts w:hint="eastAsia"/>
                <w:b/>
                <w:color w:val="auto"/>
                <w:highlight w:val="none"/>
              </w:rPr>
              <w:t>提</w:t>
            </w:r>
            <w:r>
              <w:rPr>
                <w:rFonts w:hint="eastAsia" w:cs="宋体" w:asciiTheme="majorEastAsia" w:hAnsiTheme="majorEastAsia" w:eastAsiaTheme="majorEastAsia"/>
                <w:b/>
                <w:bCs/>
                <w:color w:val="auto"/>
                <w:szCs w:val="21"/>
                <w:highlight w:val="none"/>
              </w:rPr>
              <w:t>供保修期外维修方案。</w:t>
            </w:r>
          </w:p>
          <w:p w14:paraId="276249CF">
            <w:pPr>
              <w:spacing w:line="340" w:lineRule="exact"/>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b/>
                <w:bCs/>
                <w:color w:val="auto"/>
                <w:szCs w:val="21"/>
                <w:highlight w:val="none"/>
              </w:rPr>
              <w:t>注：供应商根据以上售后服务要求，于响应文件必须提供相应的售后服务承诺书。</w:t>
            </w:r>
          </w:p>
        </w:tc>
      </w:tr>
      <w:tr w14:paraId="0A17E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8515" w:type="dxa"/>
            <w:gridSpan w:val="7"/>
            <w:shd w:val="clear" w:color="auto" w:fill="FFFFFF" w:themeFill="background1"/>
          </w:tcPr>
          <w:p w14:paraId="6E067DE0">
            <w:pPr>
              <w:spacing w:line="34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（三）商务要求</w:t>
            </w:r>
          </w:p>
        </w:tc>
      </w:tr>
      <w:tr w14:paraId="05EAD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877" w:type="dxa"/>
            <w:gridSpan w:val="3"/>
            <w:shd w:val="clear" w:color="auto" w:fill="FFFFFF" w:themeFill="background1"/>
            <w:vAlign w:val="center"/>
          </w:tcPr>
          <w:p w14:paraId="517F84E2">
            <w:pPr>
              <w:spacing w:line="34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1.交付时间和地点</w:t>
            </w:r>
          </w:p>
        </w:tc>
        <w:tc>
          <w:tcPr>
            <w:tcW w:w="6638" w:type="dxa"/>
            <w:gridSpan w:val="4"/>
            <w:shd w:val="clear" w:color="auto" w:fill="FFFFFF" w:themeFill="background1"/>
          </w:tcPr>
          <w:p w14:paraId="2419B4B6">
            <w:pPr>
              <w:spacing w:line="34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（1）交付时间：自签订合同之日起</w:t>
            </w:r>
            <w:r>
              <w:rPr>
                <w:rFonts w:hint="eastAsia" w:asciiTheme="majorEastAsia" w:hAnsiTheme="majorEastAsia" w:eastAsiaTheme="majorEastAsia" w:cstheme="majorEastAsia"/>
                <w:b/>
                <w:color w:val="auto"/>
                <w:szCs w:val="21"/>
                <w:highlight w:val="none"/>
                <w:u w:val="single"/>
              </w:rPr>
              <w:t xml:space="preserve"> 20 </w:t>
            </w:r>
            <w:r>
              <w:rPr>
                <w:rFonts w:hint="eastAsia" w:asciiTheme="majorEastAsia" w:hAnsiTheme="majorEastAsia" w:eastAsiaTheme="majorEastAsia" w:cstheme="majorEastAsia"/>
                <w:b/>
                <w:color w:val="auto"/>
                <w:szCs w:val="21"/>
                <w:highlight w:val="none"/>
              </w:rPr>
              <w:t>个工作日内到货并全部安装调试合格完毕。</w:t>
            </w:r>
          </w:p>
          <w:p w14:paraId="09365F18">
            <w:pPr>
              <w:spacing w:line="34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（2）交付地点：桂林医科大学采购人指定地点。</w:t>
            </w:r>
          </w:p>
        </w:tc>
      </w:tr>
      <w:tr w14:paraId="48EFB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877" w:type="dxa"/>
            <w:gridSpan w:val="3"/>
            <w:shd w:val="clear" w:color="auto" w:fill="FFFFFF" w:themeFill="background1"/>
            <w:vAlign w:val="center"/>
          </w:tcPr>
          <w:p w14:paraId="1E858709">
            <w:pPr>
              <w:spacing w:line="34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2.合同签订时间</w:t>
            </w:r>
          </w:p>
        </w:tc>
        <w:tc>
          <w:tcPr>
            <w:tcW w:w="6638" w:type="dxa"/>
            <w:gridSpan w:val="4"/>
            <w:shd w:val="clear" w:color="auto" w:fill="FFFFFF" w:themeFill="background1"/>
          </w:tcPr>
          <w:p w14:paraId="039A13A1">
            <w:pPr>
              <w:spacing w:line="34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自成交通知书发出之日起</w:t>
            </w:r>
            <w:r>
              <w:rPr>
                <w:rFonts w:hint="eastAsia" w:asciiTheme="majorEastAsia" w:hAnsiTheme="majorEastAsia" w:eastAsiaTheme="majorEastAsia" w:cstheme="majorEastAsia"/>
                <w:b/>
                <w:color w:val="auto"/>
                <w:szCs w:val="21"/>
                <w:highlight w:val="none"/>
                <w:u w:val="single"/>
              </w:rPr>
              <w:t>25</w:t>
            </w:r>
            <w:r>
              <w:rPr>
                <w:rFonts w:hint="eastAsia" w:asciiTheme="majorEastAsia" w:hAnsiTheme="majorEastAsia" w:eastAsiaTheme="majorEastAsia" w:cstheme="majorEastAsia"/>
                <w:b/>
                <w:color w:val="auto"/>
                <w:szCs w:val="21"/>
                <w:highlight w:val="none"/>
              </w:rPr>
              <w:t>日内</w:t>
            </w:r>
          </w:p>
        </w:tc>
      </w:tr>
      <w:tr w14:paraId="6381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1877" w:type="dxa"/>
            <w:gridSpan w:val="3"/>
            <w:shd w:val="clear" w:color="auto" w:fill="FFFFFF" w:themeFill="background1"/>
            <w:vAlign w:val="center"/>
          </w:tcPr>
          <w:p w14:paraId="2EB974DB">
            <w:pPr>
              <w:spacing w:line="32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3.付款条件（进度和方式）</w:t>
            </w:r>
          </w:p>
        </w:tc>
        <w:tc>
          <w:tcPr>
            <w:tcW w:w="6638" w:type="dxa"/>
            <w:gridSpan w:val="4"/>
            <w:shd w:val="clear" w:color="auto" w:fill="FFFFFF" w:themeFill="background1"/>
          </w:tcPr>
          <w:p w14:paraId="1BC4AF2E">
            <w:pPr>
              <w:spacing w:line="320" w:lineRule="exact"/>
              <w:rPr>
                <w:rFonts w:hint="eastAsia" w:asciiTheme="majorEastAsia" w:hAnsiTheme="majorEastAsia" w:eastAsiaTheme="majorEastAsia" w:cstheme="majorEastAsia"/>
                <w:b/>
                <w:color w:val="auto"/>
                <w:szCs w:val="21"/>
                <w:highlight w:val="none"/>
              </w:rPr>
            </w:pPr>
            <w:r>
              <w:rPr>
                <w:rFonts w:hint="eastAsia" w:cs="宋体" w:asciiTheme="majorEastAsia" w:hAnsiTheme="majorEastAsia" w:eastAsiaTheme="majorEastAsia"/>
                <w:b/>
                <w:color w:val="auto"/>
                <w:szCs w:val="21"/>
                <w:highlight w:val="none"/>
              </w:rPr>
              <w:t>货物进场并开始安装后，成交供应商向采购人开具等额有效的增值税专用发票，采购人收到发票后</w:t>
            </w:r>
            <w:r>
              <w:rPr>
                <w:rFonts w:cs="宋体" w:asciiTheme="majorEastAsia" w:hAnsiTheme="majorEastAsia" w:eastAsiaTheme="majorEastAsia"/>
                <w:b/>
                <w:color w:val="auto"/>
                <w:szCs w:val="21"/>
                <w:highlight w:val="none"/>
              </w:rPr>
              <w:t>10</w:t>
            </w:r>
            <w:r>
              <w:rPr>
                <w:rFonts w:hint="eastAsia" w:cs="宋体" w:asciiTheme="majorEastAsia" w:hAnsiTheme="majorEastAsia" w:eastAsiaTheme="majorEastAsia"/>
                <w:b/>
                <w:color w:val="auto"/>
                <w:szCs w:val="21"/>
                <w:highlight w:val="none"/>
              </w:rPr>
              <w:t>个工作日内支付合同款的50%（无息）。货物安装完成并验收合格后，成交供应商向采购人开具等额有效的增值税专用发票，采购人收到发票后</w:t>
            </w:r>
            <w:r>
              <w:rPr>
                <w:rFonts w:cs="宋体" w:asciiTheme="majorEastAsia" w:hAnsiTheme="majorEastAsia" w:eastAsiaTheme="majorEastAsia"/>
                <w:b/>
                <w:color w:val="auto"/>
                <w:szCs w:val="21"/>
                <w:highlight w:val="none"/>
              </w:rPr>
              <w:t>10</w:t>
            </w:r>
            <w:r>
              <w:rPr>
                <w:rFonts w:hint="eastAsia" w:cs="宋体" w:asciiTheme="majorEastAsia" w:hAnsiTheme="majorEastAsia" w:eastAsiaTheme="majorEastAsia"/>
                <w:b/>
                <w:color w:val="auto"/>
                <w:szCs w:val="21"/>
                <w:highlight w:val="none"/>
              </w:rPr>
              <w:t>个工作日内付至合同价款的100%（无息）。</w:t>
            </w:r>
          </w:p>
        </w:tc>
      </w:tr>
      <w:tr w14:paraId="5859D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gridSpan w:val="3"/>
            <w:shd w:val="clear" w:color="auto" w:fill="FFFFFF" w:themeFill="background1"/>
            <w:vAlign w:val="center"/>
          </w:tcPr>
          <w:p w14:paraId="714DD4F9">
            <w:pPr>
              <w:spacing w:line="32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4.包装和运输</w:t>
            </w:r>
          </w:p>
        </w:tc>
        <w:tc>
          <w:tcPr>
            <w:tcW w:w="6638" w:type="dxa"/>
            <w:gridSpan w:val="4"/>
            <w:shd w:val="clear" w:color="auto" w:fill="FFFFFF" w:themeFill="background1"/>
          </w:tcPr>
          <w:p w14:paraId="51F04167">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1.原厂原包装，包装完好完整、无破损、未开封。</w:t>
            </w:r>
          </w:p>
          <w:p w14:paraId="0909EA75">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2.包装及运输方式应综合考虑运输距离、防潮、防锈、防震和防破损装卸等要求。</w:t>
            </w:r>
          </w:p>
          <w:p w14:paraId="5C743C68">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3.国家对包装和运输有相关强制性标准或要求的，供应商应当执行。</w:t>
            </w:r>
          </w:p>
          <w:p w14:paraId="723E3A92">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4.产品（含包装）运抵采购人指定交付地点前发生损坏的，相应损失由成交供应商自行承担。</w:t>
            </w:r>
          </w:p>
        </w:tc>
      </w:tr>
      <w:tr w14:paraId="3DB4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gridSpan w:val="3"/>
            <w:shd w:val="clear" w:color="auto" w:fill="FFFFFF" w:themeFill="background1"/>
            <w:vAlign w:val="center"/>
          </w:tcPr>
          <w:p w14:paraId="097CF53F">
            <w:pPr>
              <w:adjustRightInd w:val="0"/>
              <w:snapToGrid w:val="0"/>
              <w:spacing w:line="320" w:lineRule="exact"/>
              <w:jc w:val="center"/>
              <w:rPr>
                <w:rFonts w:hint="eastAsia" w:asciiTheme="majorEastAsia" w:hAnsiTheme="majorEastAsia" w:eastAsiaTheme="majorEastAsia" w:cstheme="majorEastAsia"/>
                <w:b/>
                <w:color w:val="auto"/>
                <w:szCs w:val="21"/>
                <w:highlight w:val="none"/>
              </w:rPr>
            </w:pPr>
            <w:r>
              <w:rPr>
                <w:rFonts w:hint="eastAsia" w:cs="宋体" w:asciiTheme="majorEastAsia" w:hAnsiTheme="majorEastAsia" w:eastAsiaTheme="majorEastAsia"/>
                <w:b/>
                <w:color w:val="auto"/>
                <w:szCs w:val="21"/>
                <w:highlight w:val="none"/>
              </w:rPr>
              <w:t>5.保险</w:t>
            </w:r>
          </w:p>
        </w:tc>
        <w:tc>
          <w:tcPr>
            <w:tcW w:w="6638" w:type="dxa"/>
            <w:gridSpan w:val="4"/>
            <w:shd w:val="clear" w:color="auto" w:fill="FFFFFF" w:themeFill="background1"/>
            <w:vAlign w:val="center"/>
          </w:tcPr>
          <w:p w14:paraId="19D93ADF">
            <w:pPr>
              <w:adjustRightInd w:val="0"/>
              <w:snapToGrid w:val="0"/>
              <w:spacing w:line="320" w:lineRule="exact"/>
              <w:rPr>
                <w:rFonts w:hint="eastAsia" w:asciiTheme="majorEastAsia" w:hAnsiTheme="majorEastAsia" w:eastAsiaTheme="majorEastAsia" w:cstheme="majorEastAsia"/>
                <w:b/>
                <w:color w:val="auto"/>
                <w:szCs w:val="21"/>
                <w:highlight w:val="none"/>
              </w:rPr>
            </w:pPr>
            <w:r>
              <w:rPr>
                <w:rFonts w:hint="eastAsia" w:cs="宋体" w:asciiTheme="majorEastAsia" w:hAnsiTheme="majorEastAsia" w:eastAsiaTheme="majorEastAsia"/>
                <w:b/>
                <w:bCs/>
                <w:color w:val="auto"/>
                <w:kern w:val="0"/>
                <w:szCs w:val="21"/>
                <w:highlight w:val="none"/>
              </w:rPr>
              <w:t>若供应商为本项目标的及标的涉及的相关材料、设备、人员、运输等购买保险的，相关费用由供应商自行承担。</w:t>
            </w:r>
          </w:p>
        </w:tc>
      </w:tr>
      <w:tr w14:paraId="6C601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gridSpan w:val="3"/>
            <w:shd w:val="clear" w:color="auto" w:fill="FFFFFF" w:themeFill="background1"/>
            <w:vAlign w:val="center"/>
          </w:tcPr>
          <w:p w14:paraId="443C4284">
            <w:pPr>
              <w:spacing w:line="320" w:lineRule="exact"/>
              <w:jc w:val="center"/>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6.验收标准、要求</w:t>
            </w:r>
          </w:p>
        </w:tc>
        <w:tc>
          <w:tcPr>
            <w:tcW w:w="6638" w:type="dxa"/>
            <w:gridSpan w:val="4"/>
            <w:shd w:val="clear" w:color="auto" w:fill="FFFFFF" w:themeFill="background1"/>
          </w:tcPr>
          <w:p w14:paraId="56D0889C">
            <w:pPr>
              <w:spacing w:line="320" w:lineRule="exact"/>
              <w:rPr>
                <w:rStyle w:val="82"/>
                <w:rFonts w:hint="eastAsia" w:ascii="宋体" w:hAnsi="宋体"/>
                <w:b/>
                <w:color w:val="auto"/>
                <w:highlight w:val="none"/>
              </w:rPr>
            </w:pPr>
            <w:r>
              <w:rPr>
                <w:rStyle w:val="82"/>
                <w:rFonts w:ascii="宋体" w:hAnsi="宋体"/>
                <w:b/>
                <w:color w:val="auto"/>
                <w:highlight w:val="none"/>
              </w:rPr>
              <w:t>1.</w:t>
            </w:r>
            <w:r>
              <w:rPr>
                <w:rStyle w:val="82"/>
                <w:rFonts w:hint="eastAsia" w:ascii="宋体" w:hAnsi="宋体"/>
                <w:b/>
                <w:color w:val="auto"/>
                <w:highlight w:val="none"/>
              </w:rPr>
              <w:t>质量标准：设备符合国家相关标准及制造厂家合格产品的出厂质量标准。本项目执行国家相关标准、行业标准、地方标准或者其他标准、规范。如具体项目需求与标准、规范不一致的，高于标准、规范的按具体项目需求执行；低于标准、规范的按标准、规范执行。供应商所提供的产品必须是全新、完好、无破损、未经使用的原装产品，产品符合制造厂家合格产品的出厂质量标准，且在正常安装、使用和保养条件下，其使用寿命期内各项指标均达到质量要求。</w:t>
            </w:r>
          </w:p>
          <w:p w14:paraId="1915AD87">
            <w:pPr>
              <w:spacing w:line="320" w:lineRule="exact"/>
              <w:rPr>
                <w:rStyle w:val="82"/>
                <w:rFonts w:hint="eastAsia" w:ascii="宋体" w:hAnsi="宋体"/>
                <w:b/>
                <w:color w:val="auto"/>
                <w:highlight w:val="none"/>
              </w:rPr>
            </w:pPr>
            <w:r>
              <w:rPr>
                <w:rStyle w:val="82"/>
                <w:rFonts w:ascii="宋体" w:hAnsi="宋体"/>
                <w:b/>
                <w:color w:val="auto"/>
                <w:highlight w:val="none"/>
              </w:rPr>
              <w:t>2.验收条件：设备需全新、完好、无破损，</w:t>
            </w:r>
            <w:r>
              <w:rPr>
                <w:rStyle w:val="82"/>
                <w:rFonts w:hint="eastAsia" w:ascii="宋体" w:hAnsi="宋体"/>
                <w:b/>
                <w:color w:val="auto"/>
                <w:highlight w:val="none"/>
              </w:rPr>
              <w:t>送达指定地点后</w:t>
            </w:r>
            <w:r>
              <w:rPr>
                <w:rStyle w:val="82"/>
                <w:rFonts w:ascii="宋体" w:hAnsi="宋体"/>
                <w:b/>
                <w:color w:val="auto"/>
                <w:highlight w:val="none"/>
              </w:rPr>
              <w:t>按照技术要求的各项指标进行验收。</w:t>
            </w:r>
          </w:p>
          <w:p w14:paraId="6FAEDA40">
            <w:pPr>
              <w:spacing w:line="320" w:lineRule="exact"/>
              <w:rPr>
                <w:rStyle w:val="82"/>
                <w:rFonts w:hint="eastAsia" w:ascii="宋体" w:hAnsi="宋体"/>
                <w:b/>
                <w:color w:val="auto"/>
                <w:highlight w:val="none"/>
              </w:rPr>
            </w:pPr>
            <w:r>
              <w:rPr>
                <w:rStyle w:val="82"/>
                <w:rFonts w:ascii="宋体" w:hAnsi="宋体"/>
                <w:b/>
                <w:color w:val="auto"/>
                <w:highlight w:val="none"/>
              </w:rPr>
              <w:t>3.验收</w:t>
            </w:r>
            <w:r>
              <w:rPr>
                <w:rStyle w:val="82"/>
                <w:rFonts w:hint="eastAsia" w:ascii="宋体" w:hAnsi="宋体"/>
                <w:b/>
                <w:color w:val="auto"/>
                <w:highlight w:val="none"/>
              </w:rPr>
              <w:t>方法及标准</w:t>
            </w:r>
            <w:r>
              <w:rPr>
                <w:rStyle w:val="82"/>
                <w:rFonts w:ascii="宋体" w:hAnsi="宋体"/>
                <w:b/>
                <w:color w:val="auto"/>
                <w:highlight w:val="none"/>
              </w:rPr>
              <w:t>：</w:t>
            </w:r>
          </w:p>
          <w:p w14:paraId="21F7AAA9">
            <w:pPr>
              <w:widowControl/>
              <w:spacing w:line="320" w:lineRule="exact"/>
              <w:jc w:val="left"/>
              <w:rPr>
                <w:rFonts w:hint="eastAsia" w:ascii="宋体" w:hAnsi="宋体" w:cs="Arial"/>
                <w:b/>
                <w:color w:val="auto"/>
                <w:kern w:val="0"/>
                <w:szCs w:val="21"/>
                <w:highlight w:val="none"/>
              </w:rPr>
            </w:pPr>
            <w:r>
              <w:rPr>
                <w:rFonts w:ascii="宋体" w:hAnsi="宋体" w:cs="Arial"/>
                <w:b/>
                <w:color w:val="auto"/>
                <w:kern w:val="0"/>
                <w:szCs w:val="21"/>
                <w:highlight w:val="none"/>
              </w:rPr>
              <w:t>（1）</w:t>
            </w:r>
            <w:r>
              <w:rPr>
                <w:rFonts w:hint="eastAsia" w:ascii="宋体" w:hAnsi="宋体" w:cs="Arial"/>
                <w:b/>
                <w:color w:val="auto"/>
                <w:szCs w:val="21"/>
                <w:highlight w:val="none"/>
              </w:rPr>
              <w:t>成交供应商</w:t>
            </w:r>
            <w:r>
              <w:rPr>
                <w:rFonts w:ascii="宋体" w:hAnsi="宋体" w:cs="Arial"/>
                <w:b/>
                <w:color w:val="auto"/>
                <w:kern w:val="0"/>
                <w:szCs w:val="21"/>
                <w:highlight w:val="none"/>
              </w:rPr>
              <w:t>按要求完成交付后，应以书面形式正式向采购人递交验收申请书，采购人收到验收申请书后，按照采购人单位规定流程组织项目验收。</w:t>
            </w:r>
          </w:p>
          <w:p w14:paraId="355ACDF7">
            <w:pPr>
              <w:widowControl/>
              <w:spacing w:line="320" w:lineRule="exact"/>
              <w:jc w:val="left"/>
              <w:rPr>
                <w:rFonts w:hint="eastAsia" w:ascii="宋体" w:hAnsi="宋体" w:cs="Arial"/>
                <w:b/>
                <w:color w:val="auto"/>
                <w:szCs w:val="21"/>
                <w:highlight w:val="none"/>
              </w:rPr>
            </w:pPr>
            <w:r>
              <w:rPr>
                <w:rFonts w:ascii="宋体" w:hAnsi="宋体" w:cs="Arial"/>
                <w:b/>
                <w:bCs/>
                <w:color w:val="auto"/>
                <w:szCs w:val="21"/>
                <w:highlight w:val="none"/>
              </w:rPr>
              <w:t>（2）验收时提供完整应用中文操作说明书、维修手册和详细技术参数手册及其它相关技术资料一份。</w:t>
            </w:r>
          </w:p>
          <w:p w14:paraId="779C5BE3">
            <w:pPr>
              <w:spacing w:line="320" w:lineRule="exact"/>
              <w:rPr>
                <w:rFonts w:hint="eastAsia" w:ascii="宋体" w:hAnsi="宋体" w:cs="Arial"/>
                <w:b/>
                <w:color w:val="auto"/>
                <w:szCs w:val="21"/>
                <w:highlight w:val="none"/>
              </w:rPr>
            </w:pPr>
            <w:r>
              <w:rPr>
                <w:rFonts w:ascii="宋体" w:hAnsi="宋体" w:cs="Arial"/>
                <w:b/>
                <w:color w:val="auto"/>
                <w:szCs w:val="21"/>
                <w:highlight w:val="none"/>
              </w:rPr>
              <w:t>（3）采购人对</w:t>
            </w:r>
            <w:r>
              <w:rPr>
                <w:rFonts w:hint="eastAsia" w:ascii="宋体" w:hAnsi="宋体" w:cs="Arial"/>
                <w:b/>
                <w:color w:val="auto"/>
                <w:szCs w:val="21"/>
                <w:highlight w:val="none"/>
              </w:rPr>
              <w:t>成交供应商</w:t>
            </w:r>
            <w:r>
              <w:rPr>
                <w:rFonts w:ascii="宋体" w:hAnsi="宋体" w:cs="Arial"/>
                <w:b/>
                <w:color w:val="auto"/>
                <w:szCs w:val="21"/>
                <w:highlight w:val="none"/>
              </w:rPr>
              <w:t>所交货物依照</w:t>
            </w:r>
            <w:r>
              <w:rPr>
                <w:rFonts w:hint="eastAsia" w:ascii="宋体" w:hAnsi="宋体" w:cs="Arial"/>
                <w:b/>
                <w:color w:val="auto"/>
                <w:szCs w:val="21"/>
                <w:highlight w:val="none"/>
              </w:rPr>
              <w:t>谈判文件</w:t>
            </w:r>
            <w:r>
              <w:rPr>
                <w:rFonts w:ascii="宋体" w:hAnsi="宋体" w:cs="Arial"/>
                <w:b/>
                <w:color w:val="auto"/>
                <w:szCs w:val="21"/>
                <w:highlight w:val="none"/>
              </w:rPr>
              <w:t>上的技术规格要求和国家有关标准进行验收，要求所有技术指标、功能、性能都能满足</w:t>
            </w:r>
            <w:r>
              <w:rPr>
                <w:rFonts w:hint="eastAsia" w:ascii="宋体" w:hAnsi="宋体" w:cs="Arial"/>
                <w:b/>
                <w:color w:val="auto"/>
                <w:szCs w:val="21"/>
                <w:highlight w:val="none"/>
              </w:rPr>
              <w:t>谈判文件</w:t>
            </w:r>
            <w:r>
              <w:rPr>
                <w:rFonts w:ascii="宋体" w:hAnsi="宋体" w:cs="Arial"/>
                <w:b/>
                <w:color w:val="auto"/>
                <w:szCs w:val="21"/>
                <w:highlight w:val="none"/>
              </w:rPr>
              <w:t>要求，</w:t>
            </w:r>
            <w:r>
              <w:rPr>
                <w:rFonts w:ascii="宋体" w:hAnsi="宋体" w:cs="Arial"/>
                <w:b/>
                <w:color w:val="auto"/>
                <w:kern w:val="0"/>
                <w:szCs w:val="21"/>
                <w:highlight w:val="none"/>
              </w:rPr>
              <w:t>如符合，则认为验收合格，采购人应在验收单上签字确认；如不符合，双方均有权向相关部门申请鉴定，</w:t>
            </w:r>
            <w:r>
              <w:rPr>
                <w:rFonts w:hint="eastAsia" w:ascii="宋体" w:hAnsi="宋体" w:cs="Arial"/>
                <w:b/>
                <w:color w:val="auto"/>
                <w:kern w:val="0"/>
                <w:szCs w:val="21"/>
                <w:highlight w:val="none"/>
              </w:rPr>
              <w:t>货物符合标准的，鉴定费由采购人承担；货物不符合标准的，鉴定费由成交供应商承担</w:t>
            </w:r>
            <w:r>
              <w:rPr>
                <w:rFonts w:ascii="宋体" w:hAnsi="宋体" w:cs="Arial"/>
                <w:b/>
                <w:color w:val="auto"/>
                <w:kern w:val="0"/>
                <w:szCs w:val="21"/>
                <w:highlight w:val="none"/>
              </w:rPr>
              <w:t>，验收结果以采购人签署的验收证明为准。</w:t>
            </w:r>
            <w:r>
              <w:rPr>
                <w:rFonts w:ascii="宋体" w:hAnsi="宋体" w:cs="Arial"/>
                <w:b/>
                <w:color w:val="auto"/>
                <w:szCs w:val="21"/>
                <w:highlight w:val="none"/>
              </w:rPr>
              <w:t>验收不通过的，不再予以</w:t>
            </w:r>
            <w:r>
              <w:rPr>
                <w:rFonts w:hint="eastAsia" w:ascii="宋体" w:hAnsi="宋体" w:cs="Arial"/>
                <w:b/>
                <w:color w:val="auto"/>
                <w:szCs w:val="21"/>
                <w:highlight w:val="none"/>
              </w:rPr>
              <w:t>整改</w:t>
            </w:r>
            <w:r>
              <w:rPr>
                <w:rFonts w:ascii="宋体" w:hAnsi="宋体" w:cs="Arial"/>
                <w:b/>
                <w:color w:val="auto"/>
                <w:szCs w:val="21"/>
                <w:highlight w:val="none"/>
              </w:rPr>
              <w:t>，视为</w:t>
            </w:r>
            <w:r>
              <w:rPr>
                <w:rFonts w:hint="eastAsia" w:ascii="宋体" w:hAnsi="宋体" w:cs="Arial"/>
                <w:b/>
                <w:color w:val="auto"/>
                <w:szCs w:val="21"/>
                <w:highlight w:val="none"/>
              </w:rPr>
              <w:t>成交供应商</w:t>
            </w:r>
            <w:r>
              <w:rPr>
                <w:rFonts w:ascii="宋体" w:hAnsi="宋体" w:cs="Arial"/>
                <w:b/>
                <w:color w:val="auto"/>
                <w:szCs w:val="21"/>
                <w:highlight w:val="none"/>
              </w:rPr>
              <w:t>虚假响应及</w:t>
            </w:r>
            <w:r>
              <w:rPr>
                <w:rFonts w:hint="eastAsia" w:ascii="宋体" w:hAnsi="宋体" w:cs="Arial"/>
                <w:b/>
                <w:color w:val="auto"/>
                <w:szCs w:val="21"/>
                <w:highlight w:val="none"/>
              </w:rPr>
              <w:t>成交供应商</w:t>
            </w:r>
            <w:r>
              <w:rPr>
                <w:rFonts w:ascii="宋体" w:hAnsi="宋体" w:cs="Arial"/>
                <w:b/>
                <w:color w:val="auto"/>
                <w:szCs w:val="21"/>
                <w:highlight w:val="none"/>
              </w:rPr>
              <w:t>单方违约，</w:t>
            </w:r>
            <w:r>
              <w:rPr>
                <w:rFonts w:hint="eastAsia" w:ascii="宋体" w:hAnsi="宋体" w:cs="Arial"/>
                <w:b/>
                <w:color w:val="auto"/>
                <w:szCs w:val="21"/>
                <w:highlight w:val="none"/>
              </w:rPr>
              <w:t>采购人有权解除合同，成交供应商承担因此给采购人造成的经济损失。</w:t>
            </w:r>
          </w:p>
          <w:p w14:paraId="447E0787">
            <w:pPr>
              <w:spacing w:line="320" w:lineRule="exact"/>
              <w:rPr>
                <w:rFonts w:hint="eastAsia" w:ascii="宋体" w:hAnsi="宋体" w:cs="Arial"/>
                <w:b/>
                <w:color w:val="auto"/>
                <w:kern w:val="0"/>
                <w:szCs w:val="21"/>
                <w:highlight w:val="none"/>
              </w:rPr>
            </w:pPr>
            <w:r>
              <w:rPr>
                <w:rFonts w:hint="eastAsia" w:ascii="宋体" w:hAnsi="宋体" w:cs="Arial"/>
                <w:b/>
                <w:color w:val="auto"/>
                <w:kern w:val="0"/>
                <w:szCs w:val="21"/>
                <w:highlight w:val="none"/>
              </w:rPr>
              <w:t>4</w:t>
            </w:r>
            <w:r>
              <w:rPr>
                <w:rFonts w:ascii="宋体" w:hAnsi="宋体" w:cs="Arial"/>
                <w:b/>
                <w:color w:val="auto"/>
                <w:kern w:val="0"/>
                <w:szCs w:val="21"/>
                <w:highlight w:val="none"/>
              </w:rPr>
              <w:t>.</w:t>
            </w:r>
            <w:r>
              <w:rPr>
                <w:rFonts w:hint="eastAsia" w:ascii="宋体" w:hAnsi="宋体" w:cs="Arial"/>
                <w:b/>
                <w:color w:val="auto"/>
                <w:kern w:val="0"/>
                <w:szCs w:val="21"/>
                <w:highlight w:val="none"/>
              </w:rPr>
              <w:t>成交供应商提供的产品如不满足谈判文件技术要求或与响应文件承诺不一致或提供虚假承诺或低于国家相关执行标准的，采购人有权拒收该货物，做退货处理，视为成交供应商违约，采购人有权解除合同，成交供应商负责承担所有责任和相关费用。采购人保留进一步追究法律责任的权力，成交供应商须赔偿因此给采购人造成的经济损失。</w:t>
            </w:r>
          </w:p>
          <w:p w14:paraId="31F3ADD2">
            <w:pPr>
              <w:spacing w:line="320" w:lineRule="exact"/>
              <w:rPr>
                <w:rFonts w:hint="eastAsia" w:asciiTheme="majorEastAsia" w:hAnsiTheme="majorEastAsia" w:eastAsiaTheme="majorEastAsia" w:cstheme="majorEastAsia"/>
                <w:b/>
                <w:color w:val="auto"/>
                <w:szCs w:val="21"/>
                <w:highlight w:val="none"/>
              </w:rPr>
            </w:pPr>
            <w:r>
              <w:rPr>
                <w:rFonts w:ascii="宋体" w:hAnsi="宋体" w:cs="Arial"/>
                <w:b/>
                <w:color w:val="auto"/>
                <w:kern w:val="0"/>
                <w:szCs w:val="21"/>
                <w:highlight w:val="none"/>
              </w:rPr>
              <w:t>5.</w:t>
            </w:r>
            <w:r>
              <w:rPr>
                <w:rFonts w:hint="eastAsia" w:ascii="宋体" w:hAnsi="宋体" w:cs="Arial"/>
                <w:b/>
                <w:color w:val="auto"/>
                <w:kern w:val="0"/>
                <w:szCs w:val="21"/>
                <w:highlight w:val="none"/>
              </w:rPr>
              <w:t>验收过程中产生的费用均由成交供应商负责承担。</w:t>
            </w:r>
          </w:p>
        </w:tc>
      </w:tr>
      <w:tr w14:paraId="5BAD1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7" w:type="dxa"/>
            <w:gridSpan w:val="3"/>
            <w:shd w:val="clear" w:color="auto" w:fill="FFFFFF" w:themeFill="background1"/>
            <w:vAlign w:val="center"/>
          </w:tcPr>
          <w:p w14:paraId="3DEDDEFC">
            <w:pPr>
              <w:spacing w:line="320" w:lineRule="exact"/>
              <w:jc w:val="center"/>
              <w:rPr>
                <w:rFonts w:hint="eastAsia" w:asciiTheme="majorEastAsia" w:hAnsiTheme="majorEastAsia" w:eastAsiaTheme="majorEastAsia" w:cstheme="majorEastAsia"/>
                <w:b/>
                <w:color w:val="auto"/>
                <w:szCs w:val="21"/>
                <w:highlight w:val="none"/>
              </w:rPr>
            </w:pPr>
            <w:r>
              <w:rPr>
                <w:rFonts w:hint="eastAsia" w:eastAsiaTheme="majorEastAsia"/>
                <w:b/>
                <w:color w:val="auto"/>
                <w:szCs w:val="21"/>
                <w:highlight w:val="none"/>
              </w:rPr>
              <w:t>7.知识产权要求</w:t>
            </w:r>
          </w:p>
        </w:tc>
        <w:tc>
          <w:tcPr>
            <w:tcW w:w="6638" w:type="dxa"/>
            <w:gridSpan w:val="4"/>
            <w:shd w:val="clear" w:color="auto" w:fill="FFFFFF" w:themeFill="background1"/>
          </w:tcPr>
          <w:p w14:paraId="699030CD">
            <w:pPr>
              <w:spacing w:line="320" w:lineRule="exact"/>
              <w:jc w:val="left"/>
              <w:rPr>
                <w:rFonts w:hint="eastAsia" w:ascii="宋体" w:hAnsi="宋体" w:cs="Arial"/>
                <w:b/>
                <w:color w:val="auto"/>
                <w:kern w:val="0"/>
                <w:szCs w:val="21"/>
                <w:highlight w:val="none"/>
              </w:rPr>
            </w:pPr>
            <w:r>
              <w:rPr>
                <w:rFonts w:hint="eastAsia" w:eastAsiaTheme="majorEastAsia"/>
                <w:b/>
                <w:color w:val="auto"/>
                <w:szCs w:val="21"/>
                <w:highlight w:val="none"/>
              </w:rPr>
              <w:t>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供应商负责解决由此引起的一切纠纷，采购人有权追究成交供应商的法律责任，其不利后果由成交供应商全部承担。</w:t>
            </w:r>
          </w:p>
        </w:tc>
      </w:tr>
      <w:tr w14:paraId="174F3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5" w:type="dxa"/>
            <w:gridSpan w:val="7"/>
            <w:shd w:val="clear" w:color="auto" w:fill="FFFFFF" w:themeFill="background1"/>
          </w:tcPr>
          <w:p w14:paraId="1B7FF7B9">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（四）进口产品说明</w:t>
            </w:r>
          </w:p>
        </w:tc>
      </w:tr>
      <w:tr w14:paraId="56A0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515" w:type="dxa"/>
            <w:gridSpan w:val="7"/>
            <w:shd w:val="clear" w:color="auto" w:fill="FFFFFF" w:themeFill="background1"/>
          </w:tcPr>
          <w:p w14:paraId="54478403">
            <w:pPr>
              <w:spacing w:line="320" w:lineRule="exact"/>
              <w:rPr>
                <w:rFonts w:hint="eastAsia" w:asciiTheme="majorEastAsia" w:hAnsiTheme="majorEastAsia" w:eastAsiaTheme="majorEastAsia" w:cstheme="majorEastAsia"/>
                <w:b/>
                <w:color w:val="auto"/>
                <w:szCs w:val="21"/>
                <w:highlight w:val="none"/>
              </w:rPr>
            </w:pPr>
            <w:r>
              <w:rPr>
                <w:rFonts w:hint="eastAsia" w:asciiTheme="majorEastAsia" w:hAnsiTheme="majorEastAsia" w:eastAsiaTheme="majorEastAsia" w:cstheme="majorEastAsia"/>
                <w:b/>
                <w:color w:val="auto"/>
                <w:szCs w:val="21"/>
                <w:highlight w:val="none"/>
              </w:rPr>
              <w:t>本项目货物均不接受进口产品（即通过中国海关报关验放进入中国境内且产自关境外的产品）参与竞标，如有进口产品参与竞标的，其响应文件按无效处理。</w:t>
            </w:r>
          </w:p>
        </w:tc>
      </w:tr>
    </w:tbl>
    <w:p w14:paraId="5BFEE69B">
      <w:pPr>
        <w:pStyle w:val="11"/>
        <w:rPr>
          <w:rFonts w:ascii="宋体" w:cs="宋体"/>
          <w:color w:val="auto"/>
          <w:sz w:val="20"/>
          <w:szCs w:val="20"/>
          <w:highlight w:val="none"/>
        </w:rPr>
      </w:pPr>
      <w:r>
        <w:rPr>
          <w:color w:val="auto"/>
          <w:highlight w:val="none"/>
        </w:rPr>
        <w:br w:type="page"/>
      </w:r>
    </w:p>
    <w:p w14:paraId="5CE1BC99">
      <w:pPr>
        <w:spacing w:line="428" w:lineRule="exact"/>
        <w:ind w:left="119"/>
        <w:rPr>
          <w:rFonts w:hint="eastAsia" w:ascii="Arial Unicode MS" w:hAnsi="Arial Unicode MS" w:eastAsia="Arial Unicode MS" w:cs="Arial Unicode MS"/>
          <w:color w:val="auto"/>
          <w:sz w:val="32"/>
          <w:szCs w:val="32"/>
          <w:highlight w:val="none"/>
        </w:rPr>
      </w:pPr>
      <w:r>
        <w:rPr>
          <w:rFonts w:hint="eastAsia" w:ascii="黑体" w:hAnsi="黑体" w:eastAsia="黑体" w:cs="黑体"/>
          <w:color w:val="auto"/>
          <w:sz w:val="32"/>
          <w:szCs w:val="32"/>
          <w:highlight w:val="none"/>
        </w:rPr>
        <w:t>附件：</w:t>
      </w:r>
    </w:p>
    <w:p w14:paraId="5B0D0FD3">
      <w:pPr>
        <w:spacing w:before="7"/>
        <w:rPr>
          <w:rFonts w:hint="eastAsia" w:ascii="Arial Unicode MS" w:hAnsi="Arial Unicode MS" w:eastAsia="Arial Unicode MS" w:cs="Arial Unicode MS"/>
          <w:color w:val="auto"/>
          <w:sz w:val="17"/>
          <w:szCs w:val="17"/>
          <w:highlight w:val="none"/>
        </w:rPr>
      </w:pPr>
    </w:p>
    <w:p w14:paraId="1F24EE1E">
      <w:pPr>
        <w:spacing w:line="528" w:lineRule="exact"/>
        <w:ind w:left="1871"/>
        <w:rPr>
          <w:rFonts w:hint="eastAsia" w:ascii="Arial Unicode MS" w:hAnsi="Arial Unicode MS" w:eastAsia="Arial Unicode MS" w:cs="Arial Unicode MS"/>
          <w:color w:val="auto"/>
          <w:sz w:val="40"/>
          <w:szCs w:val="40"/>
          <w:highlight w:val="none"/>
        </w:rPr>
      </w:pPr>
      <w:r>
        <w:rPr>
          <w:rFonts w:hint="eastAsia" w:ascii="方正小标宋简体" w:hAnsi="方正小标宋简体" w:eastAsia="方正小标宋简体" w:cs="方正小标宋简体"/>
          <w:color w:val="auto"/>
          <w:sz w:val="44"/>
          <w:szCs w:val="44"/>
          <w:highlight w:val="none"/>
        </w:rPr>
        <w:t>节能产品政府采购品目清单</w:t>
      </w:r>
    </w:p>
    <w:tbl>
      <w:tblPr>
        <w:tblStyle w:val="2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413"/>
        <w:gridCol w:w="1484"/>
        <w:gridCol w:w="1675"/>
        <w:gridCol w:w="3486"/>
      </w:tblGrid>
      <w:tr w14:paraId="4EF5B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66CFADEB">
            <w:pPr>
              <w:jc w:val="center"/>
              <w:rPr>
                <w:rFonts w:hint="eastAsia"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b/>
                <w:bCs/>
                <w:color w:val="auto"/>
                <w:w w:val="99"/>
                <w:highlight w:val="none"/>
              </w:rPr>
              <w:t>品目序号</w:t>
            </w:r>
          </w:p>
        </w:tc>
        <w:tc>
          <w:tcPr>
            <w:tcW w:w="4572" w:type="dxa"/>
            <w:gridSpan w:val="3"/>
            <w:tcBorders>
              <w:top w:val="single" w:color="000000" w:sz="4" w:space="0"/>
              <w:left w:val="single" w:color="000000" w:sz="4" w:space="0"/>
              <w:bottom w:val="single" w:color="000000" w:sz="4" w:space="0"/>
              <w:right w:val="single" w:color="000000" w:sz="4" w:space="0"/>
            </w:tcBorders>
            <w:vAlign w:val="center"/>
          </w:tcPr>
          <w:p w14:paraId="484FF2FA">
            <w:pPr>
              <w:jc w:val="center"/>
              <w:rPr>
                <w:rFonts w:hint="eastAsia"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b/>
                <w:bCs/>
                <w:color w:val="auto"/>
                <w:w w:val="99"/>
                <w:highlight w:val="none"/>
              </w:rPr>
              <w:t>名称</w:t>
            </w:r>
          </w:p>
        </w:tc>
        <w:tc>
          <w:tcPr>
            <w:tcW w:w="3486" w:type="dxa"/>
            <w:tcBorders>
              <w:top w:val="single" w:color="000000" w:sz="4" w:space="0"/>
              <w:left w:val="single" w:color="000000" w:sz="4" w:space="0"/>
              <w:bottom w:val="single" w:color="000000" w:sz="4" w:space="0"/>
              <w:right w:val="single" w:color="000000" w:sz="4" w:space="0"/>
            </w:tcBorders>
            <w:vAlign w:val="center"/>
          </w:tcPr>
          <w:p w14:paraId="3E293C29">
            <w:pPr>
              <w:jc w:val="center"/>
              <w:rPr>
                <w:rFonts w:hint="eastAsia" w:asciiTheme="majorEastAsia" w:hAnsiTheme="majorEastAsia" w:eastAsiaTheme="majorEastAsia" w:cstheme="majorEastAsia"/>
                <w:color w:val="auto"/>
                <w:szCs w:val="22"/>
                <w:highlight w:val="none"/>
              </w:rPr>
            </w:pPr>
            <w:r>
              <w:rPr>
                <w:rFonts w:hint="eastAsia" w:asciiTheme="majorEastAsia" w:hAnsiTheme="majorEastAsia" w:eastAsiaTheme="majorEastAsia" w:cstheme="majorEastAsia"/>
                <w:b/>
                <w:bCs/>
                <w:color w:val="auto"/>
                <w:w w:val="99"/>
                <w:highlight w:val="none"/>
              </w:rPr>
              <w:t>依据的标准</w:t>
            </w:r>
          </w:p>
        </w:tc>
      </w:tr>
      <w:tr w14:paraId="6F2B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4319A661">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4A10ACF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A02010100计算机</w:t>
            </w:r>
          </w:p>
        </w:tc>
        <w:tc>
          <w:tcPr>
            <w:tcW w:w="1484" w:type="dxa"/>
            <w:tcBorders>
              <w:top w:val="single" w:color="000000" w:sz="4" w:space="0"/>
              <w:left w:val="single" w:color="000000" w:sz="4" w:space="0"/>
              <w:bottom w:val="single" w:color="000000" w:sz="4" w:space="0"/>
              <w:right w:val="single" w:color="000000" w:sz="4" w:space="0"/>
            </w:tcBorders>
            <w:vAlign w:val="center"/>
          </w:tcPr>
          <w:p w14:paraId="7CC8050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★A02010105台式计算机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20769998">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00EF15F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《微型计算机能效限定值及能效等级》（GB 28380-2012）</w:t>
            </w:r>
          </w:p>
        </w:tc>
      </w:tr>
      <w:tr w14:paraId="247E4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6F070872">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7BDBF6B8">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094F40B">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★A02010108便携式计算机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2D6325EF">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4FB316C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《微型计算机能效限定值及能效等级》（GB 28380-2012）</w:t>
            </w:r>
          </w:p>
        </w:tc>
      </w:tr>
      <w:tr w14:paraId="2930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AD6E476">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410738BE">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D189B80">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★A02010109平板式计算机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44126C78">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11D811D0">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《微型计算机能效限定值及能效等级》（GB 28380-2012）</w:t>
            </w:r>
          </w:p>
        </w:tc>
      </w:tr>
      <w:tr w14:paraId="73D93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318A417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2</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1FFEDBC9">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A02020000办公设备</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0F42682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A02021000打印机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01A2EB4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A02021001 A3黑白打印机</w:t>
            </w:r>
          </w:p>
        </w:tc>
        <w:tc>
          <w:tcPr>
            <w:tcW w:w="3486" w:type="dxa"/>
            <w:tcBorders>
              <w:top w:val="single" w:color="000000" w:sz="4" w:space="0"/>
              <w:left w:val="single" w:color="000000" w:sz="4" w:space="0"/>
              <w:bottom w:val="single" w:color="000000" w:sz="4" w:space="0"/>
              <w:right w:val="single" w:color="000000" w:sz="4" w:space="0"/>
            </w:tcBorders>
          </w:tcPr>
          <w:p w14:paraId="6229ACD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56DBF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700AEBAF">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E008A8A">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25CFB49D">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2C50B4D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A02021002 A3彩色打印机</w:t>
            </w:r>
          </w:p>
        </w:tc>
        <w:tc>
          <w:tcPr>
            <w:tcW w:w="3486" w:type="dxa"/>
            <w:tcBorders>
              <w:top w:val="single" w:color="000000" w:sz="4" w:space="0"/>
              <w:left w:val="single" w:color="000000" w:sz="4" w:space="0"/>
              <w:bottom w:val="single" w:color="000000" w:sz="4" w:space="0"/>
              <w:right w:val="single" w:color="000000" w:sz="4" w:space="0"/>
            </w:tcBorders>
          </w:tcPr>
          <w:p w14:paraId="2F3672B9">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272B7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50650895">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4F07209B">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5F7ACA66">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04B3A11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A02021003 A4黑白打印机</w:t>
            </w:r>
          </w:p>
        </w:tc>
        <w:tc>
          <w:tcPr>
            <w:tcW w:w="3486" w:type="dxa"/>
            <w:tcBorders>
              <w:top w:val="single" w:color="000000" w:sz="4" w:space="0"/>
              <w:left w:val="single" w:color="000000" w:sz="4" w:space="0"/>
              <w:bottom w:val="single" w:color="000000" w:sz="4" w:space="0"/>
              <w:right w:val="single" w:color="000000" w:sz="4" w:space="0"/>
            </w:tcBorders>
          </w:tcPr>
          <w:p w14:paraId="7A36E63C">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48CD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4A568863">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74BB2344">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4A44D7B8">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4E149CF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A02021004 A4彩色打印机</w:t>
            </w:r>
          </w:p>
        </w:tc>
        <w:tc>
          <w:tcPr>
            <w:tcW w:w="3486" w:type="dxa"/>
            <w:tcBorders>
              <w:top w:val="single" w:color="000000" w:sz="4" w:space="0"/>
              <w:left w:val="single" w:color="000000" w:sz="4" w:space="0"/>
              <w:bottom w:val="single" w:color="000000" w:sz="4" w:space="0"/>
              <w:right w:val="single" w:color="000000" w:sz="4" w:space="0"/>
            </w:tcBorders>
          </w:tcPr>
          <w:p w14:paraId="07D6718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3F55B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87A939B">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317D6A5D">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33664F72">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7702A43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A02021005 3D打印机</w:t>
            </w:r>
          </w:p>
        </w:tc>
        <w:tc>
          <w:tcPr>
            <w:tcW w:w="3486" w:type="dxa"/>
            <w:tcBorders>
              <w:top w:val="single" w:color="000000" w:sz="4" w:space="0"/>
              <w:left w:val="single" w:color="000000" w:sz="4" w:space="0"/>
              <w:bottom w:val="single" w:color="000000" w:sz="4" w:space="0"/>
              <w:right w:val="single" w:color="000000" w:sz="4" w:space="0"/>
            </w:tcBorders>
          </w:tcPr>
          <w:p w14:paraId="3B6225EC">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《复印机、打印机和传真机能效限定值及能效等级》（GB21521）</w:t>
            </w:r>
          </w:p>
        </w:tc>
      </w:tr>
      <w:tr w14:paraId="40A1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55505424">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05B8CC5D">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1D84B2C0">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06CA349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A02021006票据打印机</w:t>
            </w:r>
          </w:p>
        </w:tc>
        <w:tc>
          <w:tcPr>
            <w:tcW w:w="3486" w:type="dxa"/>
            <w:tcBorders>
              <w:top w:val="single" w:color="000000" w:sz="4" w:space="0"/>
              <w:left w:val="single" w:color="000000" w:sz="4" w:space="0"/>
              <w:bottom w:val="single" w:color="000000" w:sz="4" w:space="0"/>
              <w:right w:val="single" w:color="000000" w:sz="4" w:space="0"/>
            </w:tcBorders>
          </w:tcPr>
          <w:p w14:paraId="16511BB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76CA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219BEAC7">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758A94A7">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6075CBFE">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221FBCE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A02021007条码打印机</w:t>
            </w:r>
          </w:p>
        </w:tc>
        <w:tc>
          <w:tcPr>
            <w:tcW w:w="3486" w:type="dxa"/>
            <w:tcBorders>
              <w:top w:val="single" w:color="000000" w:sz="4" w:space="0"/>
              <w:left w:val="single" w:color="000000" w:sz="4" w:space="0"/>
              <w:bottom w:val="single" w:color="000000" w:sz="4" w:space="0"/>
              <w:right w:val="single" w:color="000000" w:sz="4" w:space="0"/>
            </w:tcBorders>
          </w:tcPr>
          <w:p w14:paraId="369E6D11">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65136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6283E6B2">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793623C9">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2D07D027">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1FC9450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A02021008地址打印机</w:t>
            </w:r>
          </w:p>
        </w:tc>
        <w:tc>
          <w:tcPr>
            <w:tcW w:w="3486" w:type="dxa"/>
            <w:tcBorders>
              <w:top w:val="single" w:color="000000" w:sz="4" w:space="0"/>
              <w:left w:val="single" w:color="000000" w:sz="4" w:space="0"/>
              <w:bottom w:val="single" w:color="000000" w:sz="4" w:space="0"/>
              <w:right w:val="single" w:color="000000" w:sz="4" w:space="0"/>
            </w:tcBorders>
          </w:tcPr>
          <w:p w14:paraId="0769133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3A84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343F9DC0">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0793A718">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467DFD1D">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6A64209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A02021099其他打印机</w:t>
            </w:r>
          </w:p>
        </w:tc>
        <w:tc>
          <w:tcPr>
            <w:tcW w:w="3486" w:type="dxa"/>
            <w:tcBorders>
              <w:top w:val="single" w:color="000000" w:sz="4" w:space="0"/>
              <w:left w:val="single" w:color="000000" w:sz="4" w:space="0"/>
              <w:bottom w:val="single" w:color="000000" w:sz="4" w:space="0"/>
              <w:right w:val="single" w:color="000000" w:sz="4" w:space="0"/>
            </w:tcBorders>
          </w:tcPr>
          <w:p w14:paraId="1E443A7F">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1BDF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682B2AC">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2F0D2BE7">
            <w:pPr>
              <w:jc w:val="center"/>
              <w:rPr>
                <w:rFonts w:hint="eastAsia" w:asciiTheme="majorEastAsia" w:hAnsiTheme="majorEastAsia" w:eastAsiaTheme="majorEastAsia" w:cstheme="majorEastAsia"/>
                <w:color w:val="auto"/>
                <w:szCs w:val="21"/>
                <w:highlight w:val="none"/>
              </w:rPr>
            </w:pP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275A185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A02021100输入输出设备</w:t>
            </w:r>
          </w:p>
        </w:tc>
        <w:tc>
          <w:tcPr>
            <w:tcW w:w="1675" w:type="dxa"/>
            <w:tcBorders>
              <w:top w:val="single" w:color="000000" w:sz="4" w:space="0"/>
              <w:left w:val="single" w:color="000000" w:sz="4" w:space="0"/>
              <w:bottom w:val="single" w:color="000000" w:sz="4" w:space="0"/>
              <w:right w:val="single" w:color="000000" w:sz="4" w:space="0"/>
            </w:tcBorders>
            <w:vAlign w:val="center"/>
          </w:tcPr>
          <w:p w14:paraId="46643F6F">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★A02021104液晶显示器</w:t>
            </w:r>
          </w:p>
        </w:tc>
        <w:tc>
          <w:tcPr>
            <w:tcW w:w="3486" w:type="dxa"/>
            <w:tcBorders>
              <w:top w:val="single" w:color="000000" w:sz="4" w:space="0"/>
              <w:left w:val="single" w:color="000000" w:sz="4" w:space="0"/>
              <w:bottom w:val="single" w:color="000000" w:sz="4" w:space="0"/>
              <w:right w:val="single" w:color="000000" w:sz="4" w:space="0"/>
            </w:tcBorders>
            <w:vAlign w:val="center"/>
          </w:tcPr>
          <w:p w14:paraId="0EE254E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《显示器能效限定值及能效等级》（GB 21520-2023）</w:t>
            </w:r>
          </w:p>
        </w:tc>
      </w:tr>
      <w:tr w14:paraId="14C8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747A9BD4">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1EB8FBA5">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399AA483">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7CA5F89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A02021118扫描仪</w:t>
            </w:r>
          </w:p>
        </w:tc>
        <w:tc>
          <w:tcPr>
            <w:tcW w:w="3486" w:type="dxa"/>
            <w:tcBorders>
              <w:top w:val="single" w:color="000000" w:sz="4" w:space="0"/>
              <w:left w:val="single" w:color="000000" w:sz="4" w:space="0"/>
              <w:bottom w:val="single" w:color="000000" w:sz="4" w:space="0"/>
              <w:right w:val="single" w:color="000000" w:sz="4" w:space="0"/>
            </w:tcBorders>
            <w:vAlign w:val="center"/>
          </w:tcPr>
          <w:p w14:paraId="063E081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参照《复印机、打印机和传真机能效限定值及能效等级》（GB 21521-2014）针式打印机相关要求</w:t>
            </w:r>
          </w:p>
        </w:tc>
      </w:tr>
      <w:tr w14:paraId="1670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733ACAC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3</w:t>
            </w:r>
          </w:p>
        </w:tc>
        <w:tc>
          <w:tcPr>
            <w:tcW w:w="1413" w:type="dxa"/>
            <w:tcBorders>
              <w:top w:val="single" w:color="000000" w:sz="4" w:space="0"/>
              <w:left w:val="single" w:color="000000" w:sz="4" w:space="0"/>
              <w:bottom w:val="single" w:color="000000" w:sz="4" w:space="0"/>
              <w:right w:val="single" w:color="000000" w:sz="4" w:space="0"/>
            </w:tcBorders>
            <w:vAlign w:val="center"/>
          </w:tcPr>
          <w:p w14:paraId="3181FBDA">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A02020200投影仪</w:t>
            </w:r>
          </w:p>
        </w:tc>
        <w:tc>
          <w:tcPr>
            <w:tcW w:w="1484" w:type="dxa"/>
            <w:tcBorders>
              <w:top w:val="single" w:color="000000" w:sz="4" w:space="0"/>
              <w:left w:val="single" w:color="000000" w:sz="4" w:space="0"/>
              <w:bottom w:val="single" w:color="000000" w:sz="4" w:space="0"/>
              <w:right w:val="single" w:color="000000" w:sz="4" w:space="0"/>
            </w:tcBorders>
            <w:vAlign w:val="center"/>
          </w:tcPr>
          <w:p w14:paraId="62A79FA7">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53A4B21E">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vAlign w:val="center"/>
          </w:tcPr>
          <w:p w14:paraId="70520AA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《投影机能效限定值及能效等级》（GB 32028-2015）</w:t>
            </w:r>
          </w:p>
        </w:tc>
      </w:tr>
      <w:tr w14:paraId="1E1E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776914A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4</w:t>
            </w:r>
          </w:p>
        </w:tc>
        <w:tc>
          <w:tcPr>
            <w:tcW w:w="1413" w:type="dxa"/>
            <w:tcBorders>
              <w:top w:val="single" w:color="000000" w:sz="4" w:space="0"/>
              <w:left w:val="single" w:color="000000" w:sz="4" w:space="0"/>
              <w:bottom w:val="single" w:color="000000" w:sz="4" w:space="0"/>
              <w:right w:val="single" w:color="000000" w:sz="4" w:space="0"/>
            </w:tcBorders>
            <w:vAlign w:val="center"/>
          </w:tcPr>
          <w:p w14:paraId="154B26CA">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A02020400多功能一体机</w:t>
            </w:r>
          </w:p>
        </w:tc>
        <w:tc>
          <w:tcPr>
            <w:tcW w:w="1484" w:type="dxa"/>
            <w:tcBorders>
              <w:top w:val="single" w:color="000000" w:sz="4" w:space="0"/>
              <w:left w:val="single" w:color="000000" w:sz="4" w:space="0"/>
              <w:bottom w:val="single" w:color="000000" w:sz="4" w:space="0"/>
              <w:right w:val="single" w:color="000000" w:sz="4" w:space="0"/>
            </w:tcBorders>
            <w:vAlign w:val="center"/>
          </w:tcPr>
          <w:p w14:paraId="7F1BC342">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671EBDCD">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vAlign w:val="center"/>
          </w:tcPr>
          <w:p w14:paraId="2164410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《复印机、打印机和传真机能效限定值及能效等级》（GB 21521-2014）</w:t>
            </w:r>
          </w:p>
        </w:tc>
      </w:tr>
      <w:tr w14:paraId="461E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1AE89E61">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5</w:t>
            </w:r>
          </w:p>
        </w:tc>
        <w:tc>
          <w:tcPr>
            <w:tcW w:w="1413" w:type="dxa"/>
            <w:tcBorders>
              <w:top w:val="single" w:color="000000" w:sz="4" w:space="0"/>
              <w:left w:val="single" w:color="000000" w:sz="4" w:space="0"/>
              <w:bottom w:val="single" w:color="000000" w:sz="4" w:space="0"/>
              <w:right w:val="single" w:color="000000" w:sz="4" w:space="0"/>
            </w:tcBorders>
            <w:vAlign w:val="center"/>
          </w:tcPr>
          <w:p w14:paraId="6910B392">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A02051900泵</w:t>
            </w:r>
          </w:p>
        </w:tc>
        <w:tc>
          <w:tcPr>
            <w:tcW w:w="1484" w:type="dxa"/>
            <w:tcBorders>
              <w:top w:val="single" w:color="000000" w:sz="4" w:space="0"/>
              <w:left w:val="single" w:color="000000" w:sz="4" w:space="0"/>
              <w:bottom w:val="single" w:color="000000" w:sz="4" w:space="0"/>
              <w:right w:val="single" w:color="000000" w:sz="4" w:space="0"/>
            </w:tcBorders>
            <w:vAlign w:val="center"/>
          </w:tcPr>
          <w:p w14:paraId="40C5DB0E">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A02051901离心泵</w:t>
            </w:r>
          </w:p>
        </w:tc>
        <w:tc>
          <w:tcPr>
            <w:tcW w:w="1675" w:type="dxa"/>
            <w:tcBorders>
              <w:top w:val="single" w:color="000000" w:sz="4" w:space="0"/>
              <w:left w:val="single" w:color="000000" w:sz="4" w:space="0"/>
              <w:bottom w:val="single" w:color="000000" w:sz="4" w:space="0"/>
              <w:right w:val="single" w:color="000000" w:sz="4" w:space="0"/>
            </w:tcBorders>
            <w:vAlign w:val="center"/>
          </w:tcPr>
          <w:p w14:paraId="01717AF6">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7986DEC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《清水离心泵能效限定值及节能评价值》（GB 19762-2007）</w:t>
            </w:r>
          </w:p>
        </w:tc>
      </w:tr>
      <w:tr w14:paraId="1C7DA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0A83D5EA">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6</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7EB22AF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A02052300制冷空调设备</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1426AE48">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★A02052301制冷压缩机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2AF8B954">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冷水机组</w:t>
            </w:r>
          </w:p>
        </w:tc>
        <w:tc>
          <w:tcPr>
            <w:tcW w:w="3486" w:type="dxa"/>
            <w:tcBorders>
              <w:top w:val="single" w:color="000000" w:sz="4" w:space="0"/>
              <w:left w:val="single" w:color="000000" w:sz="4" w:space="0"/>
              <w:bottom w:val="single" w:color="000000" w:sz="4" w:space="0"/>
              <w:right w:val="single" w:color="000000" w:sz="4" w:space="0"/>
            </w:tcBorders>
          </w:tcPr>
          <w:p w14:paraId="22EA95B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《冷水机组能效限定值及能效等级》（GB 19577-2024），《热泵和冷水机组能效限定值及能效等级》（GB 19577-2024）</w:t>
            </w:r>
          </w:p>
        </w:tc>
      </w:tr>
      <w:tr w14:paraId="18EA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A8D1D2D">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32A51400">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01FD16E0">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65633EC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溴化锂吸收式冷水机组</w:t>
            </w:r>
          </w:p>
        </w:tc>
        <w:tc>
          <w:tcPr>
            <w:tcW w:w="3486" w:type="dxa"/>
            <w:tcBorders>
              <w:top w:val="single" w:color="000000" w:sz="4" w:space="0"/>
              <w:left w:val="single" w:color="000000" w:sz="4" w:space="0"/>
              <w:bottom w:val="single" w:color="000000" w:sz="4" w:space="0"/>
              <w:right w:val="single" w:color="000000" w:sz="4" w:space="0"/>
            </w:tcBorders>
            <w:vAlign w:val="center"/>
          </w:tcPr>
          <w:p w14:paraId="2B6D3DDB">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《热泵和冷水机组能效限定值及能效等级》（GB 19577-2024）</w:t>
            </w:r>
          </w:p>
        </w:tc>
      </w:tr>
      <w:tr w14:paraId="40C32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005F6736">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707272E">
            <w:pPr>
              <w:jc w:val="center"/>
              <w:rPr>
                <w:rFonts w:hint="eastAsia" w:asciiTheme="majorEastAsia" w:hAnsiTheme="majorEastAsia" w:eastAsiaTheme="majorEastAsia" w:cstheme="majorEastAsia"/>
                <w:color w:val="auto"/>
                <w:szCs w:val="21"/>
                <w:highlight w:val="none"/>
              </w:rPr>
            </w:pP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18770221">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★A02052305空调机组</w:t>
            </w:r>
          </w:p>
        </w:tc>
        <w:tc>
          <w:tcPr>
            <w:tcW w:w="1675" w:type="dxa"/>
            <w:tcBorders>
              <w:top w:val="single" w:color="000000" w:sz="4" w:space="0"/>
              <w:left w:val="single" w:color="000000" w:sz="4" w:space="0"/>
              <w:bottom w:val="single" w:color="000000" w:sz="4" w:space="0"/>
              <w:right w:val="single" w:color="000000" w:sz="4" w:space="0"/>
            </w:tcBorders>
            <w:vAlign w:val="center"/>
          </w:tcPr>
          <w:p w14:paraId="28997BD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多联式空调（热泵）机组（制冷量&gt;14000W）</w:t>
            </w:r>
          </w:p>
        </w:tc>
        <w:tc>
          <w:tcPr>
            <w:tcW w:w="3486" w:type="dxa"/>
            <w:tcBorders>
              <w:top w:val="single" w:color="000000" w:sz="4" w:space="0"/>
              <w:left w:val="single" w:color="000000" w:sz="4" w:space="0"/>
              <w:bottom w:val="single" w:color="000000" w:sz="4" w:space="0"/>
              <w:right w:val="single" w:color="000000" w:sz="4" w:space="0"/>
            </w:tcBorders>
          </w:tcPr>
          <w:p w14:paraId="233198E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《多联式空调（热泵）机组能效限定值及能效等级》（GB 21454-2021）</w:t>
            </w:r>
          </w:p>
        </w:tc>
      </w:tr>
      <w:tr w14:paraId="09F36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8D0CDC7">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1D72F8B4">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5EBBC7B6">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64E9856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单元式空气调节机</w:t>
            </w:r>
          </w:p>
        </w:tc>
        <w:tc>
          <w:tcPr>
            <w:tcW w:w="3486" w:type="dxa"/>
            <w:tcBorders>
              <w:top w:val="single" w:color="000000" w:sz="4" w:space="0"/>
              <w:left w:val="single" w:color="000000" w:sz="4" w:space="0"/>
              <w:bottom w:val="single" w:color="000000" w:sz="4" w:space="0"/>
              <w:right w:val="single" w:color="000000" w:sz="4" w:space="0"/>
            </w:tcBorders>
          </w:tcPr>
          <w:p w14:paraId="6DAFBD0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《单元式空气调节机能效限定值及能效等级》（GB 19576-2019）《风管送风式空调机组能效限定值及能效等级》（GB 37479-2019）</w:t>
            </w:r>
          </w:p>
        </w:tc>
      </w:tr>
      <w:tr w14:paraId="5A282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5A75521C">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1DBECB6">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D14FB9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★A02052309专用制冷、空调设备</w:t>
            </w:r>
          </w:p>
        </w:tc>
        <w:tc>
          <w:tcPr>
            <w:tcW w:w="1675" w:type="dxa"/>
            <w:tcBorders>
              <w:top w:val="single" w:color="000000" w:sz="4" w:space="0"/>
              <w:left w:val="single" w:color="000000" w:sz="4" w:space="0"/>
              <w:bottom w:val="single" w:color="000000" w:sz="4" w:space="0"/>
              <w:right w:val="single" w:color="000000" w:sz="4" w:space="0"/>
            </w:tcBorders>
            <w:vAlign w:val="center"/>
          </w:tcPr>
          <w:p w14:paraId="3904211A">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机房空调</w:t>
            </w:r>
          </w:p>
        </w:tc>
        <w:tc>
          <w:tcPr>
            <w:tcW w:w="3486" w:type="dxa"/>
            <w:tcBorders>
              <w:top w:val="single" w:color="000000" w:sz="4" w:space="0"/>
              <w:left w:val="single" w:color="000000" w:sz="4" w:space="0"/>
              <w:bottom w:val="single" w:color="000000" w:sz="4" w:space="0"/>
              <w:right w:val="single" w:color="000000" w:sz="4" w:space="0"/>
            </w:tcBorders>
          </w:tcPr>
          <w:p w14:paraId="6E76AF1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《单元式空气调节机能效限定值及能效等级》（GB 19576-2019）</w:t>
            </w:r>
          </w:p>
        </w:tc>
      </w:tr>
      <w:tr w14:paraId="1BC9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511E7A95">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19518D15">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89E2822">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A02052399其他制冷</w:t>
            </w:r>
          </w:p>
          <w:p w14:paraId="16768176">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空调设备</w:t>
            </w:r>
          </w:p>
        </w:tc>
        <w:tc>
          <w:tcPr>
            <w:tcW w:w="1675" w:type="dxa"/>
            <w:tcBorders>
              <w:top w:val="single" w:color="000000" w:sz="4" w:space="0"/>
              <w:left w:val="single" w:color="000000" w:sz="4" w:space="0"/>
              <w:bottom w:val="single" w:color="000000" w:sz="4" w:space="0"/>
              <w:right w:val="single" w:color="000000" w:sz="4" w:space="0"/>
            </w:tcBorders>
            <w:vAlign w:val="center"/>
          </w:tcPr>
          <w:p w14:paraId="5B514EED">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rPr>
              <w:t>冷却塔</w:t>
            </w:r>
          </w:p>
        </w:tc>
        <w:tc>
          <w:tcPr>
            <w:tcW w:w="3486" w:type="dxa"/>
            <w:tcBorders>
              <w:top w:val="single" w:color="000000" w:sz="4" w:space="0"/>
              <w:left w:val="single" w:color="000000" w:sz="4" w:space="0"/>
              <w:bottom w:val="single" w:color="000000" w:sz="4" w:space="0"/>
              <w:right w:val="single" w:color="000000" w:sz="4" w:space="0"/>
            </w:tcBorders>
          </w:tcPr>
          <w:p w14:paraId="594DC9B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《机械通风冷却塔 第1部分：中小型开式冷却塔》（GB/T 7190.1-2018）</w:t>
            </w:r>
          </w:p>
          <w:p w14:paraId="18414A3A">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《机械通风冷却塔 第2部分：大型开式冷却塔》（GB/T 7190.2-2018）</w:t>
            </w:r>
          </w:p>
        </w:tc>
      </w:tr>
      <w:tr w14:paraId="77C4A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17D46A4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7</w:t>
            </w:r>
          </w:p>
        </w:tc>
        <w:tc>
          <w:tcPr>
            <w:tcW w:w="1413" w:type="dxa"/>
            <w:tcBorders>
              <w:top w:val="single" w:color="000000" w:sz="4" w:space="0"/>
              <w:left w:val="single" w:color="000000" w:sz="4" w:space="0"/>
              <w:bottom w:val="single" w:color="000000" w:sz="4" w:space="0"/>
              <w:right w:val="single" w:color="000000" w:sz="4" w:space="0"/>
            </w:tcBorders>
            <w:vAlign w:val="center"/>
          </w:tcPr>
          <w:p w14:paraId="4AFE960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A02060100电机</w:t>
            </w:r>
          </w:p>
        </w:tc>
        <w:tc>
          <w:tcPr>
            <w:tcW w:w="1484" w:type="dxa"/>
            <w:tcBorders>
              <w:top w:val="single" w:color="000000" w:sz="4" w:space="0"/>
              <w:left w:val="single" w:color="000000" w:sz="4" w:space="0"/>
              <w:bottom w:val="single" w:color="000000" w:sz="4" w:space="0"/>
              <w:right w:val="single" w:color="000000" w:sz="4" w:space="0"/>
            </w:tcBorders>
            <w:vAlign w:val="center"/>
          </w:tcPr>
          <w:p w14:paraId="23CDD7F8">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2AE307A2">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62A890B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《电动机能效限定值及能效等级》（GB 18613-2020）</w:t>
            </w:r>
          </w:p>
        </w:tc>
      </w:tr>
      <w:tr w14:paraId="28D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662" w:type="dxa"/>
            <w:tcBorders>
              <w:top w:val="single" w:color="000000" w:sz="4" w:space="0"/>
              <w:left w:val="single" w:color="000000" w:sz="4" w:space="0"/>
              <w:bottom w:val="single" w:color="000000" w:sz="4" w:space="0"/>
              <w:right w:val="single" w:color="000000" w:sz="4" w:space="0"/>
            </w:tcBorders>
            <w:vAlign w:val="center"/>
          </w:tcPr>
          <w:p w14:paraId="4E0F1F35">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8</w:t>
            </w:r>
          </w:p>
        </w:tc>
        <w:tc>
          <w:tcPr>
            <w:tcW w:w="1413" w:type="dxa"/>
            <w:tcBorders>
              <w:top w:val="single" w:color="000000" w:sz="4" w:space="0"/>
              <w:left w:val="single" w:color="000000" w:sz="4" w:space="0"/>
              <w:bottom w:val="single" w:color="000000" w:sz="4" w:space="0"/>
              <w:right w:val="single" w:color="000000" w:sz="4" w:space="0"/>
            </w:tcBorders>
            <w:vAlign w:val="center"/>
          </w:tcPr>
          <w:p w14:paraId="352D152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A02060200变压</w:t>
            </w:r>
          </w:p>
        </w:tc>
        <w:tc>
          <w:tcPr>
            <w:tcW w:w="1484" w:type="dxa"/>
            <w:tcBorders>
              <w:top w:val="single" w:color="000000" w:sz="4" w:space="0"/>
              <w:left w:val="single" w:color="000000" w:sz="4" w:space="0"/>
              <w:bottom w:val="single" w:color="000000" w:sz="4" w:space="0"/>
              <w:right w:val="single" w:color="000000" w:sz="4" w:space="0"/>
            </w:tcBorders>
            <w:vAlign w:val="center"/>
          </w:tcPr>
          <w:p w14:paraId="1D90B43D">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配电变压器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535F3770">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vAlign w:val="center"/>
          </w:tcPr>
          <w:p w14:paraId="06DEB522">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《电力变压器能效限定值及能效等级》（GB 20052-2024）</w:t>
            </w:r>
          </w:p>
        </w:tc>
      </w:tr>
      <w:tr w14:paraId="5EE5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7048326D">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9</w:t>
            </w:r>
          </w:p>
        </w:tc>
        <w:tc>
          <w:tcPr>
            <w:tcW w:w="1413" w:type="dxa"/>
            <w:tcBorders>
              <w:top w:val="single" w:color="000000" w:sz="4" w:space="0"/>
              <w:left w:val="single" w:color="000000" w:sz="4" w:space="0"/>
              <w:bottom w:val="single" w:color="000000" w:sz="4" w:space="0"/>
              <w:right w:val="single" w:color="000000" w:sz="4" w:space="0"/>
            </w:tcBorders>
            <w:vAlign w:val="center"/>
          </w:tcPr>
          <w:p w14:paraId="1CC3771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★A02060900镇流器</w:t>
            </w:r>
          </w:p>
        </w:tc>
        <w:tc>
          <w:tcPr>
            <w:tcW w:w="1484" w:type="dxa"/>
            <w:tcBorders>
              <w:top w:val="single" w:color="000000" w:sz="4" w:space="0"/>
              <w:left w:val="single" w:color="000000" w:sz="4" w:space="0"/>
              <w:bottom w:val="single" w:color="000000" w:sz="4" w:space="0"/>
              <w:right w:val="single" w:color="000000" w:sz="4" w:space="0"/>
            </w:tcBorders>
            <w:vAlign w:val="center"/>
          </w:tcPr>
          <w:p w14:paraId="11BD3C39">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管型荧光灯镇流器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23BC2263">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037FF4FA">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《普通照明用气体放电灯用镇流器能效限定值及能效等级》（GB 17896-2022）</w:t>
            </w:r>
          </w:p>
        </w:tc>
      </w:tr>
      <w:tr w14:paraId="0871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32D4580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10</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17414442">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A02061800生活用电器</w:t>
            </w:r>
          </w:p>
        </w:tc>
        <w:tc>
          <w:tcPr>
            <w:tcW w:w="1484" w:type="dxa"/>
            <w:tcBorders>
              <w:top w:val="single" w:color="000000" w:sz="4" w:space="0"/>
              <w:left w:val="single" w:color="000000" w:sz="4" w:space="0"/>
              <w:bottom w:val="single" w:color="000000" w:sz="4" w:space="0"/>
              <w:right w:val="single" w:color="000000" w:sz="4" w:space="0"/>
            </w:tcBorders>
            <w:vAlign w:val="center"/>
          </w:tcPr>
          <w:p w14:paraId="3DE4514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A02061801电冰箱</w:t>
            </w:r>
          </w:p>
        </w:tc>
        <w:tc>
          <w:tcPr>
            <w:tcW w:w="1675" w:type="dxa"/>
            <w:tcBorders>
              <w:top w:val="single" w:color="000000" w:sz="4" w:space="0"/>
              <w:left w:val="single" w:color="000000" w:sz="4" w:space="0"/>
              <w:bottom w:val="single" w:color="000000" w:sz="4" w:space="0"/>
              <w:right w:val="single" w:color="000000" w:sz="4" w:space="0"/>
            </w:tcBorders>
            <w:vAlign w:val="center"/>
          </w:tcPr>
          <w:p w14:paraId="7B0FA8B9">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22C8B26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《家用电冰箱耗电量限定值及能效等级》（GB 12021.2-2015）</w:t>
            </w:r>
          </w:p>
        </w:tc>
      </w:tr>
      <w:tr w14:paraId="046D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0F96130E">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0B65CBFE">
            <w:pPr>
              <w:jc w:val="center"/>
              <w:rPr>
                <w:rFonts w:hint="eastAsia" w:asciiTheme="majorEastAsia" w:hAnsiTheme="majorEastAsia" w:eastAsiaTheme="majorEastAsia" w:cstheme="majorEastAsia"/>
                <w:color w:val="auto"/>
                <w:szCs w:val="21"/>
                <w:highlight w:val="none"/>
              </w:rPr>
            </w:pP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5B4F82D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★A02061804空调机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145AB14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房间空气调节器</w:t>
            </w:r>
          </w:p>
        </w:tc>
        <w:tc>
          <w:tcPr>
            <w:tcW w:w="3486" w:type="dxa"/>
            <w:tcBorders>
              <w:top w:val="single" w:color="000000" w:sz="4" w:space="0"/>
              <w:left w:val="single" w:color="000000" w:sz="4" w:space="0"/>
              <w:bottom w:val="single" w:color="000000" w:sz="4" w:space="0"/>
              <w:right w:val="single" w:color="000000" w:sz="4" w:space="0"/>
            </w:tcBorders>
          </w:tcPr>
          <w:p w14:paraId="76505F8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《房间空气调节器能效限定值及能效等级》（GB 21455-2019）</w:t>
            </w:r>
          </w:p>
        </w:tc>
      </w:tr>
      <w:tr w14:paraId="5415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687A24E4">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30E62388">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07EDF70B">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4F2B2448">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多联式空调（热泵）机组（制冷量≤ 14000W）</w:t>
            </w:r>
          </w:p>
        </w:tc>
        <w:tc>
          <w:tcPr>
            <w:tcW w:w="3486" w:type="dxa"/>
            <w:tcBorders>
              <w:top w:val="single" w:color="000000" w:sz="4" w:space="0"/>
              <w:left w:val="single" w:color="000000" w:sz="4" w:space="0"/>
              <w:bottom w:val="single" w:color="000000" w:sz="4" w:space="0"/>
              <w:right w:val="single" w:color="000000" w:sz="4" w:space="0"/>
            </w:tcBorders>
          </w:tcPr>
          <w:p w14:paraId="451BBC5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《多联式空调（热泵）机组能效限定值及能效等级》（GB 21454-2021）</w:t>
            </w:r>
          </w:p>
        </w:tc>
      </w:tr>
      <w:tr w14:paraId="6B0B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4DA444BF">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31EE3758">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1ACDEA49">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68A1B8A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单元式空气调节机（制冷量≤ 14000W）</w:t>
            </w:r>
          </w:p>
        </w:tc>
        <w:tc>
          <w:tcPr>
            <w:tcW w:w="3486" w:type="dxa"/>
            <w:tcBorders>
              <w:top w:val="single" w:color="000000" w:sz="4" w:space="0"/>
              <w:left w:val="single" w:color="000000" w:sz="4" w:space="0"/>
              <w:bottom w:val="single" w:color="000000" w:sz="4" w:space="0"/>
              <w:right w:val="single" w:color="000000" w:sz="4" w:space="0"/>
            </w:tcBorders>
          </w:tcPr>
          <w:p w14:paraId="1F35B91C">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《单元式空气调节机能效限定值及能效等级》（GB 19576-2019）《风管送风式空调机组能效限定值及能效等级》（GB 37479-2019）</w:t>
            </w:r>
          </w:p>
        </w:tc>
      </w:tr>
      <w:tr w14:paraId="6F69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256BB412">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2FE7E7D6">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EB5D9A7">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A02061810洗衣机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516BBE7F">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2D77FE7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《电动洗衣机能效水效限定值及等级》（GB 12021.4-2013）</w:t>
            </w:r>
          </w:p>
        </w:tc>
      </w:tr>
      <w:tr w14:paraId="195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3F47595D">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2F3C1064">
            <w:pPr>
              <w:jc w:val="center"/>
              <w:rPr>
                <w:rFonts w:hint="eastAsia" w:asciiTheme="majorEastAsia" w:hAnsiTheme="majorEastAsia" w:eastAsiaTheme="majorEastAsia" w:cstheme="majorEastAsia"/>
                <w:color w:val="auto"/>
                <w:szCs w:val="21"/>
                <w:highlight w:val="none"/>
              </w:rPr>
            </w:pP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2E4D8A5F">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A02061819热水器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6FC22145">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★电热水器</w:t>
            </w:r>
          </w:p>
        </w:tc>
        <w:tc>
          <w:tcPr>
            <w:tcW w:w="3486" w:type="dxa"/>
            <w:tcBorders>
              <w:top w:val="single" w:color="000000" w:sz="4" w:space="0"/>
              <w:left w:val="single" w:color="000000" w:sz="4" w:space="0"/>
              <w:bottom w:val="single" w:color="000000" w:sz="4" w:space="0"/>
              <w:right w:val="single" w:color="000000" w:sz="4" w:space="0"/>
            </w:tcBorders>
          </w:tcPr>
          <w:p w14:paraId="05834E3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《储水式电热水器能效限定值及能效等级》（GB 21519-2008）</w:t>
            </w:r>
          </w:p>
        </w:tc>
      </w:tr>
      <w:tr w14:paraId="3DB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7361E6A5">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0DDA3C4F">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084859A0">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5AA30812">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燃气热水器</w:t>
            </w:r>
          </w:p>
        </w:tc>
        <w:tc>
          <w:tcPr>
            <w:tcW w:w="3486" w:type="dxa"/>
            <w:tcBorders>
              <w:top w:val="single" w:color="000000" w:sz="4" w:space="0"/>
              <w:left w:val="single" w:color="000000" w:sz="4" w:space="0"/>
              <w:bottom w:val="single" w:color="000000" w:sz="4" w:space="0"/>
              <w:right w:val="single" w:color="000000" w:sz="4" w:space="0"/>
            </w:tcBorders>
          </w:tcPr>
          <w:p w14:paraId="3B79762D">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《家用燃气快速热水器和燃气采暖热水炉能效限定值及能效等级》（GB 20665-2015）</w:t>
            </w:r>
          </w:p>
        </w:tc>
      </w:tr>
      <w:tr w14:paraId="78C8E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43157769">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2992CE5D">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000389C0">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22C83490">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热泵热水器</w:t>
            </w:r>
          </w:p>
        </w:tc>
        <w:tc>
          <w:tcPr>
            <w:tcW w:w="3486" w:type="dxa"/>
            <w:tcBorders>
              <w:top w:val="single" w:color="000000" w:sz="4" w:space="0"/>
              <w:left w:val="single" w:color="000000" w:sz="4" w:space="0"/>
              <w:bottom w:val="single" w:color="000000" w:sz="4" w:space="0"/>
              <w:right w:val="single" w:color="000000" w:sz="4" w:space="0"/>
            </w:tcBorders>
          </w:tcPr>
          <w:p w14:paraId="7595396C">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《热泵热水机（器）能效限定值及能效等级》（GB 29541-2013）</w:t>
            </w:r>
          </w:p>
        </w:tc>
      </w:tr>
      <w:tr w14:paraId="4B86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4F1FB0D4">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0DCF8C29">
            <w:pPr>
              <w:jc w:val="center"/>
              <w:rPr>
                <w:rFonts w:hint="eastAsia" w:asciiTheme="majorEastAsia" w:hAnsiTheme="majorEastAsia" w:eastAsiaTheme="majorEastAsia" w:cstheme="majorEastAsia"/>
                <w:color w:val="auto"/>
                <w:szCs w:val="21"/>
                <w:highlight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6E40BDE2">
            <w:pPr>
              <w:jc w:val="center"/>
              <w:rPr>
                <w:rFonts w:hint="eastAsia" w:asciiTheme="majorEastAsia" w:hAnsiTheme="majorEastAsia" w:eastAsiaTheme="majorEastAsia" w:cstheme="majorEastAsia"/>
                <w:color w:val="auto"/>
                <w:szCs w:val="21"/>
                <w:highlight w:val="none"/>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44C181C2">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太阳能热水系统</w:t>
            </w:r>
          </w:p>
        </w:tc>
        <w:tc>
          <w:tcPr>
            <w:tcW w:w="3486" w:type="dxa"/>
            <w:tcBorders>
              <w:top w:val="single" w:color="000000" w:sz="4" w:space="0"/>
              <w:left w:val="single" w:color="000000" w:sz="4" w:space="0"/>
              <w:bottom w:val="single" w:color="000000" w:sz="4" w:space="0"/>
              <w:right w:val="single" w:color="000000" w:sz="4" w:space="0"/>
            </w:tcBorders>
          </w:tcPr>
          <w:p w14:paraId="4E9BD6A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《家用太阳能热水系统能效限定值及能效等级》（GB 26969-2011）</w:t>
            </w:r>
          </w:p>
        </w:tc>
      </w:tr>
      <w:tr w14:paraId="323E0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072B0B03">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11</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19523647">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A02061900照明设备</w:t>
            </w:r>
          </w:p>
        </w:tc>
        <w:tc>
          <w:tcPr>
            <w:tcW w:w="1484" w:type="dxa"/>
            <w:tcBorders>
              <w:top w:val="single" w:color="000000" w:sz="4" w:space="0"/>
              <w:left w:val="single" w:color="000000" w:sz="4" w:space="0"/>
              <w:bottom w:val="single" w:color="000000" w:sz="4" w:space="0"/>
              <w:right w:val="single" w:color="000000" w:sz="4" w:space="0"/>
            </w:tcBorders>
            <w:vAlign w:val="center"/>
          </w:tcPr>
          <w:p w14:paraId="01F9008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★普通照明用双端荧光灯</w:t>
            </w:r>
          </w:p>
        </w:tc>
        <w:tc>
          <w:tcPr>
            <w:tcW w:w="1675" w:type="dxa"/>
            <w:tcBorders>
              <w:top w:val="single" w:color="000000" w:sz="4" w:space="0"/>
              <w:left w:val="single" w:color="000000" w:sz="4" w:space="0"/>
              <w:bottom w:val="single" w:color="000000" w:sz="4" w:space="0"/>
              <w:right w:val="single" w:color="000000" w:sz="4" w:space="0"/>
            </w:tcBorders>
            <w:vAlign w:val="center"/>
          </w:tcPr>
          <w:p w14:paraId="48955657">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241E1CA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《普通照明用荧光灯能效限定值及能效等级》（GB 19044-2022）</w:t>
            </w:r>
          </w:p>
        </w:tc>
      </w:tr>
      <w:tr w14:paraId="6DB2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1013F8AE">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937E248">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1FF0D167">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LED道路/隧道照明产品</w:t>
            </w:r>
          </w:p>
        </w:tc>
        <w:tc>
          <w:tcPr>
            <w:tcW w:w="1675" w:type="dxa"/>
            <w:tcBorders>
              <w:top w:val="single" w:color="000000" w:sz="4" w:space="0"/>
              <w:left w:val="single" w:color="000000" w:sz="4" w:space="0"/>
              <w:bottom w:val="single" w:color="000000" w:sz="4" w:space="0"/>
              <w:right w:val="single" w:color="000000" w:sz="4" w:space="0"/>
            </w:tcBorders>
            <w:vAlign w:val="center"/>
          </w:tcPr>
          <w:p w14:paraId="749E2FCF">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739D1EC5">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《道路和隧道照明用LED灯具能效限定值及能效等级》（GB 37478-2019）</w:t>
            </w:r>
          </w:p>
        </w:tc>
      </w:tr>
      <w:tr w14:paraId="4162C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6C6AE986">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5C8DAECB">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27777FD">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LED筒灯</w:t>
            </w:r>
          </w:p>
        </w:tc>
        <w:tc>
          <w:tcPr>
            <w:tcW w:w="1675" w:type="dxa"/>
            <w:tcBorders>
              <w:top w:val="single" w:color="000000" w:sz="4" w:space="0"/>
              <w:left w:val="single" w:color="000000" w:sz="4" w:space="0"/>
              <w:bottom w:val="single" w:color="000000" w:sz="4" w:space="0"/>
              <w:right w:val="single" w:color="000000" w:sz="4" w:space="0"/>
            </w:tcBorders>
            <w:vAlign w:val="center"/>
          </w:tcPr>
          <w:p w14:paraId="7C43015E">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319878E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《室内照明用LED产品能效限定值及能效等级》（GB 30255-2019）</w:t>
            </w:r>
          </w:p>
        </w:tc>
      </w:tr>
      <w:tr w14:paraId="1673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06340C52">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15C96542">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A3E42A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普通照明用非定向自镇流LED灯</w:t>
            </w:r>
          </w:p>
        </w:tc>
        <w:tc>
          <w:tcPr>
            <w:tcW w:w="1675" w:type="dxa"/>
            <w:tcBorders>
              <w:top w:val="single" w:color="000000" w:sz="4" w:space="0"/>
              <w:left w:val="single" w:color="000000" w:sz="4" w:space="0"/>
              <w:bottom w:val="single" w:color="000000" w:sz="4" w:space="0"/>
              <w:right w:val="single" w:color="000000" w:sz="4" w:space="0"/>
            </w:tcBorders>
            <w:vAlign w:val="center"/>
          </w:tcPr>
          <w:p w14:paraId="719105C5">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63973A5E">
            <w:pPr>
              <w:jc w:val="center"/>
              <w:rPr>
                <w:rFonts w:hint="eastAsia" w:asciiTheme="majorEastAsia" w:hAnsiTheme="majorEastAsia" w:eastAsiaTheme="majorEastAsia" w:cstheme="majorEastAsia"/>
                <w:color w:val="auto"/>
                <w:szCs w:val="21"/>
                <w:highlight w:val="none"/>
              </w:rPr>
            </w:pPr>
          </w:p>
          <w:p w14:paraId="3BA72641">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《室内照明用LED产品能效限定值及能效等级》（GB 30255-2019）</w:t>
            </w:r>
          </w:p>
        </w:tc>
      </w:tr>
      <w:tr w14:paraId="35635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62501899">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12</w:t>
            </w:r>
          </w:p>
        </w:tc>
        <w:tc>
          <w:tcPr>
            <w:tcW w:w="1413" w:type="dxa"/>
            <w:tcBorders>
              <w:top w:val="single" w:color="000000" w:sz="4" w:space="0"/>
              <w:left w:val="single" w:color="000000" w:sz="4" w:space="0"/>
              <w:bottom w:val="single" w:color="000000" w:sz="4" w:space="0"/>
              <w:right w:val="single" w:color="000000" w:sz="4" w:space="0"/>
            </w:tcBorders>
            <w:vAlign w:val="center"/>
          </w:tcPr>
          <w:p w14:paraId="35CC8FAE">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★A02091000电视设备</w:t>
            </w:r>
          </w:p>
        </w:tc>
        <w:tc>
          <w:tcPr>
            <w:tcW w:w="1484" w:type="dxa"/>
            <w:tcBorders>
              <w:top w:val="single" w:color="000000" w:sz="4" w:space="0"/>
              <w:left w:val="single" w:color="000000" w:sz="4" w:space="0"/>
              <w:bottom w:val="single" w:color="000000" w:sz="4" w:space="0"/>
              <w:right w:val="single" w:color="000000" w:sz="4" w:space="0"/>
            </w:tcBorders>
            <w:vAlign w:val="center"/>
          </w:tcPr>
          <w:p w14:paraId="03B0E7D9">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A02091001普通电视设备（电视机）</w:t>
            </w:r>
          </w:p>
        </w:tc>
        <w:tc>
          <w:tcPr>
            <w:tcW w:w="1675" w:type="dxa"/>
            <w:tcBorders>
              <w:top w:val="single" w:color="000000" w:sz="4" w:space="0"/>
              <w:left w:val="single" w:color="000000" w:sz="4" w:space="0"/>
              <w:bottom w:val="single" w:color="000000" w:sz="4" w:space="0"/>
              <w:right w:val="single" w:color="000000" w:sz="4" w:space="0"/>
            </w:tcBorders>
            <w:vAlign w:val="center"/>
          </w:tcPr>
          <w:p w14:paraId="34BB16F2">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086C14B7">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《平板电视与机顶盒能效限定值及能效等级》（GB 24850-2020）</w:t>
            </w:r>
          </w:p>
        </w:tc>
      </w:tr>
      <w:tr w14:paraId="211D8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3F57F2B0">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13</w:t>
            </w:r>
          </w:p>
        </w:tc>
        <w:tc>
          <w:tcPr>
            <w:tcW w:w="1413" w:type="dxa"/>
            <w:tcBorders>
              <w:top w:val="single" w:color="000000" w:sz="4" w:space="0"/>
              <w:left w:val="single" w:color="000000" w:sz="4" w:space="0"/>
              <w:bottom w:val="single" w:color="000000" w:sz="4" w:space="0"/>
              <w:right w:val="single" w:color="000000" w:sz="4" w:space="0"/>
            </w:tcBorders>
            <w:vAlign w:val="center"/>
          </w:tcPr>
          <w:p w14:paraId="2C061B50">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★A02091100视频设备</w:t>
            </w:r>
          </w:p>
        </w:tc>
        <w:tc>
          <w:tcPr>
            <w:tcW w:w="1484" w:type="dxa"/>
            <w:tcBorders>
              <w:top w:val="single" w:color="000000" w:sz="4" w:space="0"/>
              <w:left w:val="single" w:color="000000" w:sz="4" w:space="0"/>
              <w:bottom w:val="single" w:color="000000" w:sz="4" w:space="0"/>
              <w:right w:val="single" w:color="000000" w:sz="4" w:space="0"/>
            </w:tcBorders>
            <w:vAlign w:val="center"/>
          </w:tcPr>
          <w:p w14:paraId="01528995">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A02091107视频监控设备</w:t>
            </w:r>
          </w:p>
        </w:tc>
        <w:tc>
          <w:tcPr>
            <w:tcW w:w="1675" w:type="dxa"/>
            <w:tcBorders>
              <w:top w:val="single" w:color="000000" w:sz="4" w:space="0"/>
              <w:left w:val="single" w:color="000000" w:sz="4" w:space="0"/>
              <w:bottom w:val="single" w:color="000000" w:sz="4" w:space="0"/>
              <w:right w:val="single" w:color="000000" w:sz="4" w:space="0"/>
            </w:tcBorders>
            <w:vAlign w:val="center"/>
          </w:tcPr>
          <w:p w14:paraId="5674D179">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监视器</w:t>
            </w:r>
          </w:p>
        </w:tc>
        <w:tc>
          <w:tcPr>
            <w:tcW w:w="3486" w:type="dxa"/>
            <w:tcBorders>
              <w:top w:val="single" w:color="000000" w:sz="4" w:space="0"/>
              <w:left w:val="single" w:color="000000" w:sz="4" w:space="0"/>
              <w:bottom w:val="single" w:color="000000" w:sz="4" w:space="0"/>
              <w:right w:val="single" w:color="000000" w:sz="4" w:space="0"/>
            </w:tcBorders>
          </w:tcPr>
          <w:p w14:paraId="5A94FF93">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《平板电视与机顶盒能效限定值及能效等级》（GB 24850-2020），以数字信号为主要信号输入的监视器应符合《显示器能效限定值及能效等级》（GB 21520-2023）</w:t>
            </w:r>
          </w:p>
        </w:tc>
      </w:tr>
      <w:tr w14:paraId="00054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06277C06">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14</w:t>
            </w:r>
          </w:p>
        </w:tc>
        <w:tc>
          <w:tcPr>
            <w:tcW w:w="1413" w:type="dxa"/>
            <w:tcBorders>
              <w:top w:val="single" w:color="000000" w:sz="4" w:space="0"/>
              <w:left w:val="single" w:color="000000" w:sz="4" w:space="0"/>
              <w:bottom w:val="single" w:color="000000" w:sz="4" w:space="0"/>
              <w:right w:val="single" w:color="000000" w:sz="4" w:space="0"/>
            </w:tcBorders>
            <w:vAlign w:val="center"/>
          </w:tcPr>
          <w:p w14:paraId="33CDAE7F">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A02241000饮食炊事机械</w:t>
            </w:r>
          </w:p>
        </w:tc>
        <w:tc>
          <w:tcPr>
            <w:tcW w:w="1484" w:type="dxa"/>
            <w:tcBorders>
              <w:top w:val="single" w:color="000000" w:sz="4" w:space="0"/>
              <w:left w:val="single" w:color="000000" w:sz="4" w:space="0"/>
              <w:bottom w:val="single" w:color="000000" w:sz="4" w:space="0"/>
              <w:right w:val="single" w:color="000000" w:sz="4" w:space="0"/>
            </w:tcBorders>
            <w:vAlign w:val="center"/>
          </w:tcPr>
          <w:p w14:paraId="74AC2071">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商用燃气灶具</w:t>
            </w:r>
          </w:p>
        </w:tc>
        <w:tc>
          <w:tcPr>
            <w:tcW w:w="1675" w:type="dxa"/>
            <w:tcBorders>
              <w:top w:val="single" w:color="000000" w:sz="4" w:space="0"/>
              <w:left w:val="single" w:color="000000" w:sz="4" w:space="0"/>
              <w:bottom w:val="single" w:color="000000" w:sz="4" w:space="0"/>
              <w:right w:val="single" w:color="000000" w:sz="4" w:space="0"/>
            </w:tcBorders>
            <w:vAlign w:val="center"/>
          </w:tcPr>
          <w:p w14:paraId="0A6574E2">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7141AFE1">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《商用燃气灶具能效限定值及能效等级》（GB 30531-2014）</w:t>
            </w:r>
          </w:p>
        </w:tc>
      </w:tr>
      <w:tr w14:paraId="12ED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restart"/>
            <w:tcBorders>
              <w:top w:val="single" w:color="000000" w:sz="4" w:space="0"/>
              <w:left w:val="single" w:color="000000" w:sz="4" w:space="0"/>
              <w:bottom w:val="single" w:color="000000" w:sz="4" w:space="0"/>
              <w:right w:val="single" w:color="000000" w:sz="4" w:space="0"/>
            </w:tcBorders>
            <w:vAlign w:val="center"/>
          </w:tcPr>
          <w:p w14:paraId="65FEF289">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15</w:t>
            </w:r>
          </w:p>
        </w:tc>
        <w:tc>
          <w:tcPr>
            <w:tcW w:w="1413" w:type="dxa"/>
            <w:vMerge w:val="restart"/>
            <w:tcBorders>
              <w:top w:val="single" w:color="000000" w:sz="4" w:space="0"/>
              <w:left w:val="single" w:color="000000" w:sz="4" w:space="0"/>
              <w:bottom w:val="single" w:color="000000" w:sz="4" w:space="0"/>
              <w:right w:val="single" w:color="000000" w:sz="4" w:space="0"/>
            </w:tcBorders>
            <w:vAlign w:val="center"/>
          </w:tcPr>
          <w:p w14:paraId="00AB57D4">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★A05020105便器</w:t>
            </w:r>
          </w:p>
        </w:tc>
        <w:tc>
          <w:tcPr>
            <w:tcW w:w="1484" w:type="dxa"/>
            <w:tcBorders>
              <w:top w:val="single" w:color="000000" w:sz="4" w:space="0"/>
              <w:left w:val="single" w:color="000000" w:sz="4" w:space="0"/>
              <w:bottom w:val="single" w:color="000000" w:sz="4" w:space="0"/>
              <w:right w:val="single" w:color="000000" w:sz="4" w:space="0"/>
            </w:tcBorders>
            <w:vAlign w:val="center"/>
          </w:tcPr>
          <w:p w14:paraId="48550A20">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坐便器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01724A9E">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18A537F0">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《坐便器水效限定值及水效等级》</w:t>
            </w:r>
          </w:p>
          <w:p w14:paraId="155FAFEF">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rPr>
              <w:t>(</w:t>
            </w:r>
            <w:r>
              <w:rPr>
                <w:rFonts w:hint="eastAsia" w:asciiTheme="majorEastAsia" w:hAnsiTheme="majorEastAsia" w:eastAsiaTheme="majorEastAsia" w:cstheme="majorEastAsia"/>
                <w:color w:val="auto"/>
                <w:szCs w:val="21"/>
                <w:highlight w:val="none"/>
                <w:lang w:eastAsia="en-US"/>
              </w:rPr>
              <w:t>GB25502</w:t>
            </w:r>
            <w:r>
              <w:rPr>
                <w:rFonts w:hint="eastAsia" w:asciiTheme="majorEastAsia" w:hAnsiTheme="majorEastAsia" w:eastAsiaTheme="majorEastAsia" w:cstheme="majorEastAsia"/>
                <w:color w:val="auto"/>
                <w:szCs w:val="21"/>
                <w:highlight w:val="none"/>
              </w:rPr>
              <w:t>)</w:t>
            </w:r>
          </w:p>
        </w:tc>
      </w:tr>
      <w:tr w14:paraId="6F19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2C7A0885">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0A5B1EA">
            <w:pPr>
              <w:jc w:val="center"/>
              <w:rPr>
                <w:rFonts w:hint="eastAsia" w:asciiTheme="majorEastAsia" w:hAnsiTheme="majorEastAsia" w:eastAsiaTheme="majorEastAsia" w:cstheme="majorEastAsia"/>
                <w:color w:val="auto"/>
                <w:szCs w:val="21"/>
                <w:highlight w:val="none"/>
                <w:lang w:eastAsia="en-US"/>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4FA74D2A">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蹲便器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60481CAC">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4980D936">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《坐便器水效限定值及水效等级》（GB 25502-2024）</w:t>
            </w:r>
          </w:p>
        </w:tc>
      </w:tr>
      <w:tr w14:paraId="0A379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vMerge w:val="continue"/>
            <w:tcBorders>
              <w:top w:val="single" w:color="000000" w:sz="4" w:space="0"/>
              <w:left w:val="single" w:color="000000" w:sz="4" w:space="0"/>
              <w:bottom w:val="single" w:color="000000" w:sz="4" w:space="0"/>
              <w:right w:val="single" w:color="000000" w:sz="4" w:space="0"/>
            </w:tcBorders>
            <w:vAlign w:val="center"/>
          </w:tcPr>
          <w:p w14:paraId="4B0A663C">
            <w:pPr>
              <w:jc w:val="center"/>
              <w:rPr>
                <w:rFonts w:hint="eastAsia" w:asciiTheme="majorEastAsia" w:hAnsiTheme="majorEastAsia" w:eastAsiaTheme="majorEastAsia" w:cstheme="majorEastAsia"/>
                <w:color w:val="auto"/>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14:paraId="6900F42B">
            <w:pPr>
              <w:jc w:val="center"/>
              <w:rPr>
                <w:rFonts w:hint="eastAsia" w:asciiTheme="majorEastAsia" w:hAnsiTheme="majorEastAsia" w:eastAsiaTheme="majorEastAsia" w:cstheme="majorEastAsia"/>
                <w:color w:val="auto"/>
                <w:szCs w:val="21"/>
                <w:highlight w:val="none"/>
              </w:rPr>
            </w:pPr>
          </w:p>
        </w:tc>
        <w:tc>
          <w:tcPr>
            <w:tcW w:w="1484" w:type="dxa"/>
            <w:tcBorders>
              <w:top w:val="single" w:color="000000" w:sz="4" w:space="0"/>
              <w:left w:val="single" w:color="000000" w:sz="4" w:space="0"/>
              <w:bottom w:val="single" w:color="000000" w:sz="4" w:space="0"/>
              <w:right w:val="single" w:color="000000" w:sz="4" w:space="0"/>
            </w:tcBorders>
            <w:vAlign w:val="center"/>
          </w:tcPr>
          <w:p w14:paraId="64A416CC">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小便器</w:t>
            </w:r>
          </w:p>
        </w:tc>
        <w:tc>
          <w:tcPr>
            <w:tcW w:w="1675" w:type="dxa"/>
            <w:tcBorders>
              <w:top w:val="single" w:color="000000" w:sz="4" w:space="0"/>
              <w:left w:val="single" w:color="000000" w:sz="4" w:space="0"/>
              <w:bottom w:val="single" w:color="000000" w:sz="4" w:space="0"/>
              <w:right w:val="single" w:color="000000" w:sz="4" w:space="0"/>
            </w:tcBorders>
            <w:vAlign w:val="center"/>
          </w:tcPr>
          <w:p w14:paraId="060B6FA6">
            <w:pPr>
              <w:jc w:val="center"/>
              <w:rPr>
                <w:rFonts w:hint="eastAsia" w:asciiTheme="majorEastAsia" w:hAnsiTheme="majorEastAsia" w:eastAsiaTheme="majorEastAsia" w:cstheme="majorEastAsia"/>
                <w:color w:val="auto"/>
                <w:szCs w:val="21"/>
                <w:highlight w:val="none"/>
              </w:rPr>
            </w:pPr>
          </w:p>
        </w:tc>
        <w:tc>
          <w:tcPr>
            <w:tcW w:w="3486" w:type="dxa"/>
            <w:tcBorders>
              <w:top w:val="single" w:color="000000" w:sz="4" w:space="0"/>
              <w:left w:val="single" w:color="000000" w:sz="4" w:space="0"/>
              <w:bottom w:val="single" w:color="000000" w:sz="4" w:space="0"/>
              <w:right w:val="single" w:color="000000" w:sz="4" w:space="0"/>
            </w:tcBorders>
          </w:tcPr>
          <w:p w14:paraId="7FC6D71E">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《小便器水效限定值及水效等级》（GB 28377-2019）</w:t>
            </w:r>
          </w:p>
        </w:tc>
      </w:tr>
      <w:tr w14:paraId="2318A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111CF4D6">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16</w:t>
            </w:r>
          </w:p>
        </w:tc>
        <w:tc>
          <w:tcPr>
            <w:tcW w:w="1413" w:type="dxa"/>
            <w:tcBorders>
              <w:top w:val="single" w:color="000000" w:sz="4" w:space="0"/>
              <w:left w:val="single" w:color="000000" w:sz="4" w:space="0"/>
              <w:bottom w:val="single" w:color="000000" w:sz="4" w:space="0"/>
              <w:right w:val="single" w:color="000000" w:sz="4" w:space="0"/>
            </w:tcBorders>
            <w:vAlign w:val="center"/>
          </w:tcPr>
          <w:p w14:paraId="1EE96300">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★A05020106水嘴</w:t>
            </w:r>
          </w:p>
        </w:tc>
        <w:tc>
          <w:tcPr>
            <w:tcW w:w="1484" w:type="dxa"/>
            <w:tcBorders>
              <w:top w:val="single" w:color="000000" w:sz="4" w:space="0"/>
              <w:left w:val="single" w:color="000000" w:sz="4" w:space="0"/>
              <w:bottom w:val="single" w:color="000000" w:sz="4" w:space="0"/>
              <w:right w:val="single" w:color="000000" w:sz="4" w:space="0"/>
            </w:tcBorders>
            <w:vAlign w:val="center"/>
          </w:tcPr>
          <w:p w14:paraId="7A87C5BF">
            <w:pPr>
              <w:jc w:val="center"/>
              <w:rPr>
                <w:rFonts w:hint="eastAsia" w:asciiTheme="majorEastAsia" w:hAnsiTheme="majorEastAsia" w:eastAsiaTheme="majorEastAsia" w:cstheme="majorEastAsia"/>
                <w:color w:val="auto"/>
                <w:szCs w:val="21"/>
                <w:highlight w:val="none"/>
                <w:lang w:eastAsia="en-US"/>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45BA2CEB">
            <w:pPr>
              <w:jc w:val="center"/>
              <w:rPr>
                <w:rFonts w:hint="eastAsia" w:asciiTheme="majorEastAsia" w:hAnsiTheme="majorEastAsia" w:eastAsiaTheme="majorEastAsia" w:cstheme="majorEastAsia"/>
                <w:color w:val="auto"/>
                <w:szCs w:val="21"/>
                <w:highlight w:val="none"/>
                <w:lang w:eastAsia="en-US"/>
              </w:rPr>
            </w:pPr>
          </w:p>
        </w:tc>
        <w:tc>
          <w:tcPr>
            <w:tcW w:w="3486" w:type="dxa"/>
            <w:tcBorders>
              <w:top w:val="single" w:color="000000" w:sz="4" w:space="0"/>
              <w:left w:val="single" w:color="000000" w:sz="4" w:space="0"/>
              <w:bottom w:val="single" w:color="000000" w:sz="4" w:space="0"/>
              <w:right w:val="single" w:color="000000" w:sz="4" w:space="0"/>
            </w:tcBorders>
          </w:tcPr>
          <w:p w14:paraId="125A090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《水嘴水效限定值及水效等级》（GB 25501-2019）</w:t>
            </w:r>
          </w:p>
        </w:tc>
      </w:tr>
      <w:tr w14:paraId="7AF91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042CA066">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17</w:t>
            </w:r>
          </w:p>
        </w:tc>
        <w:tc>
          <w:tcPr>
            <w:tcW w:w="1413" w:type="dxa"/>
            <w:tcBorders>
              <w:top w:val="single" w:color="000000" w:sz="4" w:space="0"/>
              <w:left w:val="single" w:color="000000" w:sz="4" w:space="0"/>
              <w:bottom w:val="single" w:color="000000" w:sz="4" w:space="0"/>
              <w:right w:val="single" w:color="000000" w:sz="4" w:space="0"/>
            </w:tcBorders>
            <w:vAlign w:val="center"/>
          </w:tcPr>
          <w:p w14:paraId="3F12224D">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A05020107便器冲洗阀</w:t>
            </w:r>
          </w:p>
        </w:tc>
        <w:tc>
          <w:tcPr>
            <w:tcW w:w="1484" w:type="dxa"/>
            <w:tcBorders>
              <w:top w:val="single" w:color="000000" w:sz="4" w:space="0"/>
              <w:left w:val="single" w:color="000000" w:sz="4" w:space="0"/>
              <w:bottom w:val="single" w:color="000000" w:sz="4" w:space="0"/>
              <w:right w:val="single" w:color="000000" w:sz="4" w:space="0"/>
            </w:tcBorders>
            <w:vAlign w:val="center"/>
          </w:tcPr>
          <w:p w14:paraId="35BAB51F">
            <w:pPr>
              <w:jc w:val="center"/>
              <w:rPr>
                <w:rFonts w:hint="eastAsia" w:asciiTheme="majorEastAsia" w:hAnsiTheme="majorEastAsia" w:eastAsiaTheme="majorEastAsia" w:cstheme="majorEastAsia"/>
                <w:color w:val="auto"/>
                <w:szCs w:val="21"/>
                <w:highlight w:val="none"/>
                <w:lang w:eastAsia="en-US"/>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56C3353C">
            <w:pPr>
              <w:jc w:val="center"/>
              <w:rPr>
                <w:rFonts w:hint="eastAsia" w:asciiTheme="majorEastAsia" w:hAnsiTheme="majorEastAsia" w:eastAsiaTheme="majorEastAsia" w:cstheme="majorEastAsia"/>
                <w:color w:val="auto"/>
                <w:szCs w:val="21"/>
                <w:highlight w:val="none"/>
                <w:lang w:eastAsia="en-US"/>
              </w:rPr>
            </w:pPr>
          </w:p>
        </w:tc>
        <w:tc>
          <w:tcPr>
            <w:tcW w:w="3486" w:type="dxa"/>
            <w:tcBorders>
              <w:top w:val="single" w:color="000000" w:sz="4" w:space="0"/>
              <w:left w:val="single" w:color="000000" w:sz="4" w:space="0"/>
              <w:bottom w:val="single" w:color="000000" w:sz="4" w:space="0"/>
              <w:right w:val="single" w:color="000000" w:sz="4" w:space="0"/>
            </w:tcBorders>
          </w:tcPr>
          <w:p w14:paraId="19DE29DF">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《便器冲洗阀水效限定值及水效等级》（GB 28379-2022）</w:t>
            </w:r>
          </w:p>
        </w:tc>
      </w:tr>
      <w:tr w14:paraId="65F8B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dxa"/>
            <w:tcBorders>
              <w:top w:val="single" w:color="000000" w:sz="4" w:space="0"/>
              <w:left w:val="single" w:color="000000" w:sz="4" w:space="0"/>
              <w:bottom w:val="single" w:color="000000" w:sz="4" w:space="0"/>
              <w:right w:val="single" w:color="000000" w:sz="4" w:space="0"/>
            </w:tcBorders>
            <w:vAlign w:val="center"/>
          </w:tcPr>
          <w:p w14:paraId="41465EB5">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18</w:t>
            </w:r>
          </w:p>
        </w:tc>
        <w:tc>
          <w:tcPr>
            <w:tcW w:w="1413" w:type="dxa"/>
            <w:tcBorders>
              <w:top w:val="single" w:color="000000" w:sz="4" w:space="0"/>
              <w:left w:val="single" w:color="000000" w:sz="4" w:space="0"/>
              <w:bottom w:val="single" w:color="000000" w:sz="4" w:space="0"/>
              <w:right w:val="single" w:color="000000" w:sz="4" w:space="0"/>
            </w:tcBorders>
            <w:vAlign w:val="center"/>
          </w:tcPr>
          <w:p w14:paraId="43AC1D7F">
            <w:pPr>
              <w:jc w:val="center"/>
              <w:rPr>
                <w:rFonts w:hint="eastAsia" w:asciiTheme="majorEastAsia" w:hAnsiTheme="majorEastAsia" w:eastAsiaTheme="majorEastAsia" w:cstheme="majorEastAsia"/>
                <w:color w:val="auto"/>
                <w:szCs w:val="21"/>
                <w:highlight w:val="none"/>
                <w:lang w:eastAsia="en-US"/>
              </w:rPr>
            </w:pPr>
            <w:r>
              <w:rPr>
                <w:rFonts w:hint="eastAsia" w:asciiTheme="majorEastAsia" w:hAnsiTheme="majorEastAsia" w:eastAsiaTheme="majorEastAsia" w:cstheme="majorEastAsia"/>
                <w:color w:val="auto"/>
                <w:szCs w:val="21"/>
                <w:highlight w:val="none"/>
                <w:lang w:eastAsia="en-US"/>
              </w:rPr>
              <w:t>A05020110淋浴器</w:t>
            </w:r>
          </w:p>
        </w:tc>
        <w:tc>
          <w:tcPr>
            <w:tcW w:w="1484" w:type="dxa"/>
            <w:tcBorders>
              <w:top w:val="single" w:color="000000" w:sz="4" w:space="0"/>
              <w:left w:val="single" w:color="000000" w:sz="4" w:space="0"/>
              <w:bottom w:val="single" w:color="000000" w:sz="4" w:space="0"/>
              <w:right w:val="single" w:color="000000" w:sz="4" w:space="0"/>
            </w:tcBorders>
            <w:vAlign w:val="center"/>
          </w:tcPr>
          <w:p w14:paraId="3CF45F83">
            <w:pPr>
              <w:jc w:val="center"/>
              <w:rPr>
                <w:rFonts w:hint="eastAsia" w:asciiTheme="majorEastAsia" w:hAnsiTheme="majorEastAsia" w:eastAsiaTheme="majorEastAsia" w:cstheme="majorEastAsia"/>
                <w:color w:val="auto"/>
                <w:szCs w:val="21"/>
                <w:highlight w:val="none"/>
                <w:lang w:eastAsia="en-US"/>
              </w:rPr>
            </w:pPr>
          </w:p>
        </w:tc>
        <w:tc>
          <w:tcPr>
            <w:tcW w:w="1675" w:type="dxa"/>
            <w:tcBorders>
              <w:top w:val="single" w:color="000000" w:sz="4" w:space="0"/>
              <w:left w:val="single" w:color="000000" w:sz="4" w:space="0"/>
              <w:bottom w:val="single" w:color="000000" w:sz="4" w:space="0"/>
              <w:right w:val="single" w:color="000000" w:sz="4" w:space="0"/>
            </w:tcBorders>
            <w:vAlign w:val="center"/>
          </w:tcPr>
          <w:p w14:paraId="0600FE48">
            <w:pPr>
              <w:jc w:val="center"/>
              <w:rPr>
                <w:rFonts w:hint="eastAsia" w:asciiTheme="majorEastAsia" w:hAnsiTheme="majorEastAsia" w:eastAsiaTheme="majorEastAsia" w:cstheme="majorEastAsia"/>
                <w:color w:val="auto"/>
                <w:szCs w:val="21"/>
                <w:highlight w:val="none"/>
                <w:lang w:eastAsia="en-US"/>
              </w:rPr>
            </w:pPr>
          </w:p>
        </w:tc>
        <w:tc>
          <w:tcPr>
            <w:tcW w:w="3486" w:type="dxa"/>
            <w:tcBorders>
              <w:top w:val="single" w:color="000000" w:sz="4" w:space="0"/>
              <w:left w:val="single" w:color="000000" w:sz="4" w:space="0"/>
              <w:bottom w:val="single" w:color="000000" w:sz="4" w:space="0"/>
              <w:right w:val="single" w:color="000000" w:sz="4" w:space="0"/>
            </w:tcBorders>
          </w:tcPr>
          <w:p w14:paraId="6F27D3E4">
            <w:pPr>
              <w:jc w:val="center"/>
              <w:rPr>
                <w:rFonts w:hint="eastAsia" w:asciiTheme="majorEastAsia" w:hAnsiTheme="majorEastAsia" w:eastAsiaTheme="majorEastAsia" w:cstheme="majorEastAsia"/>
                <w:color w:val="auto"/>
                <w:szCs w:val="21"/>
                <w:highlight w:val="none"/>
              </w:rPr>
            </w:pPr>
            <w:r>
              <w:rPr>
                <w:rFonts w:hint="eastAsia" w:asciiTheme="majorEastAsia" w:hAnsiTheme="majorEastAsia" w:eastAsiaTheme="majorEastAsia" w:cstheme="majorEastAsia"/>
                <w:color w:val="auto"/>
                <w:szCs w:val="21"/>
                <w:highlight w:val="none"/>
              </w:rPr>
              <w:t>《淋浴器水效限定值及水效等级》（GB 28378-2019）</w:t>
            </w:r>
          </w:p>
        </w:tc>
      </w:tr>
    </w:tbl>
    <w:p w14:paraId="1109836C">
      <w:pPr>
        <w:spacing w:line="360" w:lineRule="auto"/>
        <w:rPr>
          <w:rFonts w:hint="eastAsia" w:ascii="宋体" w:hAnsi="宋体"/>
          <w:color w:val="auto"/>
          <w:szCs w:val="21"/>
          <w:highlight w:val="none"/>
        </w:rPr>
      </w:pPr>
      <w:r>
        <w:rPr>
          <w:rFonts w:hint="eastAsia" w:ascii="宋体" w:hAnsi="宋体"/>
          <w:color w:val="auto"/>
          <w:spacing w:val="-3"/>
          <w:kern w:val="0"/>
          <w:szCs w:val="21"/>
          <w:highlight w:val="none"/>
        </w:rPr>
        <w:t>注：</w:t>
      </w:r>
      <w:r>
        <w:rPr>
          <w:rFonts w:ascii="宋体" w:hAnsi="宋体"/>
          <w:color w:val="auto"/>
          <w:spacing w:val="-3"/>
          <w:kern w:val="0"/>
          <w:szCs w:val="21"/>
          <w:highlight w:val="none"/>
        </w:rPr>
        <w:t>1.</w:t>
      </w:r>
      <w:r>
        <w:rPr>
          <w:rFonts w:hint="eastAsia" w:ascii="宋体" w:hAnsi="宋体"/>
          <w:color w:val="auto"/>
          <w:spacing w:val="-3"/>
          <w:kern w:val="0"/>
          <w:szCs w:val="21"/>
          <w:highlight w:val="none"/>
        </w:rPr>
        <w:t>节能产品认证应依据相关国家标准的最新版本，依据国家标准中二级能效（水效）</w:t>
      </w:r>
      <w:r>
        <w:rPr>
          <w:rFonts w:hint="eastAsia" w:ascii="宋体" w:hAnsi="宋体"/>
          <w:color w:val="auto"/>
          <w:kern w:val="0"/>
          <w:szCs w:val="21"/>
          <w:highlight w:val="none"/>
        </w:rPr>
        <w:t>指标。</w:t>
      </w:r>
    </w:p>
    <w:p w14:paraId="350379A3">
      <w:pPr>
        <w:spacing w:line="360" w:lineRule="auto"/>
        <w:ind w:firstLine="420" w:firstLineChars="200"/>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.以</w:t>
      </w:r>
      <w:r>
        <w:rPr>
          <w:rFonts w:ascii="宋体" w:hAnsi="宋体"/>
          <w:color w:val="auto"/>
          <w:kern w:val="0"/>
          <w:szCs w:val="21"/>
          <w:highlight w:val="none"/>
        </w:rPr>
        <w:t>“</w:t>
      </w:r>
      <w:r>
        <w:rPr>
          <w:rFonts w:hint="eastAsia" w:ascii="宋体" w:hAnsi="宋体"/>
          <w:color w:val="auto"/>
          <w:kern w:val="0"/>
          <w:szCs w:val="21"/>
          <w:highlight w:val="none"/>
        </w:rPr>
        <w:t>★</w:t>
      </w:r>
      <w:r>
        <w:rPr>
          <w:rFonts w:ascii="宋体" w:hAnsi="宋体"/>
          <w:color w:val="auto"/>
          <w:kern w:val="0"/>
          <w:szCs w:val="21"/>
          <w:highlight w:val="none"/>
        </w:rPr>
        <w:t>”</w:t>
      </w:r>
      <w:r>
        <w:rPr>
          <w:rFonts w:hint="eastAsia" w:ascii="宋体" w:hAnsi="宋体"/>
          <w:color w:val="auto"/>
          <w:kern w:val="0"/>
          <w:szCs w:val="21"/>
          <w:highlight w:val="none"/>
        </w:rPr>
        <w:t>标注的为政府强制采购产品。</w:t>
      </w:r>
    </w:p>
    <w:p w14:paraId="615E2CEB">
      <w:pPr>
        <w:widowControl/>
        <w:ind w:firstLine="420" w:firstLineChars="200"/>
        <w:jc w:val="left"/>
        <w:rPr>
          <w:rFonts w:ascii="宋体" w:cs="宋体"/>
          <w:color w:val="auto"/>
          <w:sz w:val="20"/>
          <w:szCs w:val="20"/>
          <w:highlight w:val="none"/>
        </w:rPr>
        <w:sectPr>
          <w:pgSz w:w="11910" w:h="16840"/>
          <w:pgMar w:top="1340" w:right="1500" w:bottom="280" w:left="1680" w:header="720" w:footer="720" w:gutter="0"/>
          <w:cols w:space="720" w:num="1"/>
        </w:sectPr>
      </w:pPr>
      <w:r>
        <w:rPr>
          <w:rFonts w:hint="eastAsia" w:ascii="宋体" w:hAnsi="宋体"/>
          <w:color w:val="auto"/>
          <w:szCs w:val="21"/>
          <w:highlight w:val="none"/>
        </w:rPr>
        <w:t>3.本表格原为《关于印发节能产品政府采购品目清单的通知》（财库〔2019〕19号）规定的表格附件，其中名称及编码已根据《财政部关于印发〈政府采购品目分类目录〉的通知》（财库〔2022〕31号）修改。</w:t>
      </w:r>
    </w:p>
    <w:p w14:paraId="74EE10E1">
      <w:pPr>
        <w:spacing w:before="4"/>
        <w:rPr>
          <w:rFonts w:ascii="宋体" w:cs="宋体"/>
          <w:color w:val="auto"/>
          <w:sz w:val="6"/>
          <w:szCs w:val="6"/>
          <w:highlight w:val="none"/>
        </w:rPr>
      </w:pPr>
    </w:p>
    <w:p w14:paraId="6C0A7BF3">
      <w:pPr>
        <w:pStyle w:val="2"/>
        <w:jc w:val="center"/>
        <w:rPr>
          <w:rFonts w:ascii="宋体"/>
          <w:bCs w:val="0"/>
          <w:color w:val="auto"/>
          <w:kern w:val="2"/>
          <w:sz w:val="32"/>
          <w:szCs w:val="32"/>
          <w:highlight w:val="none"/>
        </w:rPr>
      </w:pPr>
      <w:bookmarkStart w:id="73" w:name="_Toc74322011"/>
      <w:r>
        <w:rPr>
          <w:rFonts w:hint="eastAsia" w:ascii="宋体" w:hAnsi="宋体"/>
          <w:bCs w:val="0"/>
          <w:color w:val="auto"/>
          <w:kern w:val="2"/>
          <w:sz w:val="32"/>
          <w:szCs w:val="32"/>
          <w:highlight w:val="none"/>
        </w:rPr>
        <w:t>第四章</w:t>
      </w:r>
      <w:bookmarkStart w:id="74" w:name="_Hlk68601507"/>
      <w:r>
        <w:rPr>
          <w:rFonts w:hint="eastAsia" w:ascii="宋体" w:hAnsi="宋体"/>
          <w:bCs w:val="0"/>
          <w:color w:val="auto"/>
          <w:kern w:val="2"/>
          <w:sz w:val="32"/>
          <w:szCs w:val="32"/>
          <w:highlight w:val="none"/>
        </w:rPr>
        <w:t xml:space="preserve"> 评审程序和评定成交的标准</w:t>
      </w:r>
      <w:bookmarkEnd w:id="73"/>
      <w:bookmarkEnd w:id="74"/>
    </w:p>
    <w:p w14:paraId="69420EFD">
      <w:pPr>
        <w:spacing w:line="360" w:lineRule="auto"/>
        <w:jc w:val="center"/>
        <w:rPr>
          <w:rFonts w:ascii="宋体"/>
          <w:b/>
          <w:color w:val="auto"/>
          <w:sz w:val="32"/>
          <w:szCs w:val="32"/>
          <w:highlight w:val="none"/>
        </w:rPr>
      </w:pPr>
      <w:r>
        <w:rPr>
          <w:rFonts w:hint="eastAsia" w:ascii="宋体" w:hAnsi="宋体"/>
          <w:b/>
          <w:color w:val="auto"/>
          <w:sz w:val="32"/>
          <w:szCs w:val="32"/>
          <w:highlight w:val="none"/>
        </w:rPr>
        <w:t>一、评审程序</w:t>
      </w:r>
    </w:p>
    <w:p w14:paraId="2645E78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确认谈判文件</w:t>
      </w:r>
    </w:p>
    <w:p w14:paraId="62D054A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由谈判小组确认谈判文件。</w:t>
      </w:r>
    </w:p>
    <w:p w14:paraId="6D4B6081">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资格审查</w:t>
      </w:r>
    </w:p>
    <w:p w14:paraId="7FC221A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2.1</w:t>
      </w:r>
      <w:r>
        <w:rPr>
          <w:rFonts w:hint="eastAsia" w:ascii="宋体" w:hAnsi="宋体" w:cs="宋体"/>
          <w:color w:val="auto"/>
          <w:szCs w:val="21"/>
          <w:highlight w:val="none"/>
        </w:rPr>
        <w:t>响应文件开启后，谈判小组依法对供应商的资格证明文件进行审查。</w:t>
      </w:r>
    </w:p>
    <w:p w14:paraId="55922058">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谈判小组</w:t>
      </w:r>
      <w:r>
        <w:rPr>
          <w:rFonts w:hint="eastAsia" w:ascii="宋体" w:hAnsi="宋体" w:cs="宋体"/>
          <w:color w:val="auto"/>
          <w:szCs w:val="21"/>
          <w:highlight w:val="none"/>
        </w:rPr>
        <w:t>在资格审查结束前，对供应商进行信用查询。</w:t>
      </w:r>
    </w:p>
    <w:p w14:paraId="61EFA29D">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）查询渠道：</w:t>
      </w:r>
      <w:r>
        <w:rPr>
          <w:rFonts w:hint="eastAsia" w:ascii="宋体" w:hAnsi="宋体"/>
          <w:bCs/>
          <w:color w:val="auto"/>
          <w:szCs w:val="21"/>
          <w:highlight w:val="none"/>
        </w:rPr>
        <w:t>广西政府采购云平台</w:t>
      </w:r>
      <w:r>
        <w:rPr>
          <w:rFonts w:hint="eastAsia" w:ascii="宋体" w:hAnsi="宋体" w:cs="宋体"/>
          <w:color w:val="auto"/>
          <w:szCs w:val="21"/>
          <w:highlight w:val="none"/>
        </w:rPr>
        <w:t>“信用中国”网站（</w:t>
      </w:r>
      <w:r>
        <w:rPr>
          <w:rFonts w:ascii="宋体" w:hAnsi="宋体" w:cs="宋体"/>
          <w:color w:val="auto"/>
          <w:szCs w:val="21"/>
          <w:highlight w:val="none"/>
        </w:rPr>
        <w:t>hppt://www.creditchina.gov.cn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hppt://www.ccgp.gov.cn</w:t>
      </w:r>
      <w:r>
        <w:rPr>
          <w:rFonts w:hint="eastAsia" w:ascii="宋体" w:hAnsi="宋体" w:cs="宋体"/>
          <w:color w:val="auto"/>
          <w:szCs w:val="21"/>
          <w:highlight w:val="none"/>
        </w:rPr>
        <w:t>）链接入口。</w:t>
      </w:r>
    </w:p>
    <w:p w14:paraId="413E4849">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）信用查询截止时点：资格审查结束前。</w:t>
      </w:r>
    </w:p>
    <w:p w14:paraId="0D67FDE7">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）查询记录和证据留存方式：在查询网站中直接查询，截图另存为电子文档作为评审资料保存。</w:t>
      </w:r>
    </w:p>
    <w:p w14:paraId="6984312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）信用信息使用规则：对在“信用中国”网站（</w:t>
      </w:r>
      <w:r>
        <w:rPr>
          <w:rFonts w:ascii="宋体" w:hAnsi="宋体" w:cs="宋体"/>
          <w:color w:val="auto"/>
          <w:szCs w:val="21"/>
          <w:highlight w:val="none"/>
        </w:rPr>
        <w:t>hppt://www.creditchina.gov.cn</w:t>
      </w:r>
      <w:r>
        <w:rPr>
          <w:rFonts w:hint="eastAsia" w:ascii="宋体" w:hAnsi="宋体" w:cs="宋体"/>
          <w:color w:val="auto"/>
          <w:szCs w:val="21"/>
          <w:highlight w:val="none"/>
        </w:rPr>
        <w:t>）、中国政府采购网（</w:t>
      </w:r>
      <w:r>
        <w:rPr>
          <w:rFonts w:ascii="宋体" w:hAnsi="宋体" w:cs="宋体"/>
          <w:color w:val="auto"/>
          <w:szCs w:val="21"/>
          <w:highlight w:val="none"/>
        </w:rPr>
        <w:t>hppt://www.ccgp.gov.cn</w:t>
      </w:r>
      <w:r>
        <w:rPr>
          <w:rFonts w:hint="eastAsia" w:ascii="宋体" w:hAnsi="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0F5F7646">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资格审查标准为本谈判文件中载明对供应商资格要求的条件。本项目资格审查采用合格制，凡符合谈判文件规定的供应商资格要求的供应商均通过资格审查。</w:t>
      </w:r>
    </w:p>
    <w:p w14:paraId="5C49169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 xml:space="preserve">2.3 </w:t>
      </w:r>
      <w:r>
        <w:rPr>
          <w:rFonts w:hint="eastAsia" w:ascii="宋体" w:hAnsi="宋体" w:cs="宋体"/>
          <w:color w:val="auto"/>
          <w:szCs w:val="21"/>
          <w:highlight w:val="none"/>
        </w:rPr>
        <w:t>供应商有下列情形之一的，资格审查不通过，其响应文件按无效处理：</w:t>
      </w:r>
    </w:p>
    <w:p w14:paraId="7AF5BEA1">
      <w:pPr>
        <w:snapToGrid w:val="0"/>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）不具备谈判文件中规定的资格要求的；</w:t>
      </w:r>
    </w:p>
    <w:p w14:paraId="409F23C5">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）未按谈判文件规定的方式获取本谈判文件的供应商；</w:t>
      </w:r>
    </w:p>
    <w:p w14:paraId="342C0B04">
      <w:p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）响应文件中的资格证明文件缺少任一项“供应商须知前附表”资格证明文件规定的“必须提供”的文件资料的；</w:t>
      </w:r>
    </w:p>
    <w:p w14:paraId="18AF791D">
      <w:pPr>
        <w:spacing w:line="360" w:lineRule="auto"/>
        <w:ind w:firstLine="420" w:firstLineChars="200"/>
        <w:contextualSpacing/>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1EC60D27">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EF34CD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2.4</w:t>
      </w:r>
      <w:r>
        <w:rPr>
          <w:rFonts w:hint="eastAsia" w:ascii="宋体" w:hAnsi="宋体" w:cs="宋体"/>
          <w:color w:val="auto"/>
          <w:szCs w:val="21"/>
          <w:highlight w:val="none"/>
        </w:rPr>
        <w:t>通过资格审查的合格供应商不足</w:t>
      </w:r>
      <w:r>
        <w:rPr>
          <w:rFonts w:ascii="宋体" w:hAnsi="宋体" w:cs="宋体"/>
          <w:color w:val="auto"/>
          <w:szCs w:val="21"/>
          <w:highlight w:val="none"/>
        </w:rPr>
        <w:t>3</w:t>
      </w:r>
      <w:r>
        <w:rPr>
          <w:rFonts w:hint="eastAsia" w:ascii="宋体" w:hAnsi="宋体" w:cs="宋体"/>
          <w:color w:val="auto"/>
          <w:szCs w:val="21"/>
          <w:highlight w:val="none"/>
        </w:rPr>
        <w:t>家（本章</w:t>
      </w:r>
      <w:r>
        <w:rPr>
          <w:rFonts w:ascii="宋体" w:hAnsi="宋体" w:cs="宋体"/>
          <w:color w:val="auto"/>
          <w:szCs w:val="21"/>
          <w:highlight w:val="none"/>
        </w:rPr>
        <w:t>3.7</w:t>
      </w:r>
      <w:r>
        <w:rPr>
          <w:rFonts w:hint="eastAsia" w:ascii="宋体" w:hAnsi="宋体" w:cs="宋体"/>
          <w:color w:val="auto"/>
          <w:szCs w:val="21"/>
          <w:highlight w:val="none"/>
        </w:rPr>
        <w:t>条规定除外）的，不得进入符合性审查环节，应当重新开展采购活动。</w:t>
      </w:r>
    </w:p>
    <w:p w14:paraId="46D69184">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符合性审查</w:t>
      </w:r>
    </w:p>
    <w:p w14:paraId="3099598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3.1</w:t>
      </w:r>
      <w:r>
        <w:rPr>
          <w:rFonts w:hint="eastAsia" w:ascii="宋体" w:hAnsi="宋体" w:cs="宋体"/>
          <w:color w:val="auto"/>
          <w:szCs w:val="21"/>
          <w:highlight w:val="none"/>
        </w:rPr>
        <w:t>谈判小组应当对符合资格的供应商的响应文件进行竞标报价、商务、技术等实质性要求符合性审查，以确定其是否满足谈判文件的实质性要求。</w:t>
      </w:r>
    </w:p>
    <w:p w14:paraId="060BA0E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7296FA1">
      <w:pPr>
        <w:spacing w:line="360" w:lineRule="auto"/>
        <w:ind w:firstLine="420" w:firstLineChars="200"/>
        <w:rPr>
          <w:rFonts w:ascii="宋体" w:cs="宋体"/>
          <w:color w:val="auto"/>
          <w:spacing w:val="-6"/>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谈判小组要求供应商澄清、说明或者更正响应文件应当以电子澄清函形式作出。供应商的澄清、说明或者更正应当以电子回函形式按照谈判小组的要求作出明确的澄清、说明或者更正，  未按谈判小组的要求作出明确澄清、说明或者更正的供应商的响应文件将按照有利于采购人的原则由谈判小组进行判定。供应商的澄清、说明或者更正必须加盖电子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5BAC2A8F">
      <w:pPr>
        <w:spacing w:line="360" w:lineRule="auto"/>
        <w:ind w:firstLine="420" w:firstLineChars="200"/>
        <w:rPr>
          <w:rFonts w:ascii="宋体" w:cs="Courier New"/>
          <w:color w:val="auto"/>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76E99D31">
      <w:pPr>
        <w:spacing w:line="360" w:lineRule="auto"/>
        <w:ind w:firstLine="396" w:firstLineChars="200"/>
        <w:rPr>
          <w:rFonts w:ascii="宋体" w:cs="宋体"/>
          <w:color w:val="auto"/>
          <w:szCs w:val="21"/>
          <w:highlight w:val="none"/>
        </w:rPr>
      </w:pPr>
      <w:r>
        <w:rPr>
          <w:rFonts w:ascii="宋体" w:hAnsi="宋体" w:cs="宋体"/>
          <w:color w:val="auto"/>
          <w:spacing w:val="-6"/>
          <w:szCs w:val="21"/>
          <w:highlight w:val="none"/>
        </w:rPr>
        <w:t>3.4</w:t>
      </w:r>
      <w:r>
        <w:rPr>
          <w:rFonts w:hint="eastAsia" w:ascii="宋体" w:hAnsi="宋体" w:cs="宋体"/>
          <w:color w:val="auto"/>
          <w:szCs w:val="21"/>
          <w:highlight w:val="none"/>
        </w:rPr>
        <w:t>首次响应文件报价出现前后不一致的，按照下列规定修正：</w:t>
      </w:r>
    </w:p>
    <w:p w14:paraId="7B405A8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）响应文件中报价表内容与响应文件中相应内容不一致的，以报价表为准；</w:t>
      </w:r>
    </w:p>
    <w:p w14:paraId="6EDF003B">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）大写金额和小写金额不一致的，以大写金额为准；</w:t>
      </w:r>
    </w:p>
    <w:p w14:paraId="7C18C10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）单价金额小数点或者百分比有明显错位的，以报价表的总价为准，并修改单价；</w:t>
      </w:r>
    </w:p>
    <w:p w14:paraId="5CB14104">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）总价金额与按单价汇总金额不一致的，以单价金额计算结果为准。</w:t>
      </w:r>
    </w:p>
    <w:p w14:paraId="171827D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同时出现两种以上不一致的，按照以上（</w:t>
      </w:r>
      <w:r>
        <w:rPr>
          <w:rFonts w:ascii="宋体" w:hAnsi="宋体" w:cs="宋体"/>
          <w:color w:val="auto"/>
          <w:szCs w:val="21"/>
          <w:highlight w:val="none"/>
        </w:rPr>
        <w:t>1</w:t>
      </w:r>
      <w:r>
        <w:rPr>
          <w:rFonts w:hint="eastAsia" w:ascii="宋体" w:hAnsi="宋体" w:cs="宋体"/>
          <w:color w:val="auto"/>
          <w:szCs w:val="21"/>
          <w:highlight w:val="none"/>
        </w:rPr>
        <w:t>）</w:t>
      </w:r>
      <w:r>
        <w:rPr>
          <w:rFonts w:ascii="宋体" w:cs="宋体"/>
          <w:color w:val="auto"/>
          <w:szCs w:val="21"/>
          <w:highlight w:val="none"/>
        </w:rPr>
        <w:t>-</w:t>
      </w: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）规定的顺序逐条进行修正。修正后的报价经供应商确认后产生约束力，供应商不确认的，其响应文件按无效响应处理。</w:t>
      </w:r>
    </w:p>
    <w:p w14:paraId="14BC765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asci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1D13986E">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13CB84BD">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）商务技术评审</w:t>
      </w:r>
    </w:p>
    <w:p w14:paraId="01AFF2C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）响应文件未按谈判文件要求签署、盖章的；</w:t>
      </w:r>
    </w:p>
    <w:p w14:paraId="56022F0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）委托代理人未能出具有效身份证或者出具的身份证与授权委托书中的信息不符的；</w:t>
      </w:r>
    </w:p>
    <w:p w14:paraId="2CD4401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）提交的竞标保证金无效的或者未按照谈判文件的规定提交竞标保证金；</w:t>
      </w:r>
    </w:p>
    <w:p w14:paraId="65AAD96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响应文件未提供任一项“供应商须知前附表”商务技术文件中“必须提供”或者“委托时必须提供”的文件资料；响应文件提供的商务技术文件出现任一项不符合“供应商须知前附表”商务技术文件中“必须提供”或者“委托时必须提供”文件资料要求的规定或者提供的商务技术文件无效；</w:t>
      </w:r>
    </w:p>
    <w:p w14:paraId="6663A06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）商务要求允许负偏离的条款数超过“供应商须知前附表”规定项数的；</w:t>
      </w:r>
    </w:p>
    <w:p w14:paraId="170D9B0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）未对竞标有效期作出响应或者响应文件承诺的竞标有效期不满足谈判文件要求；</w:t>
      </w:r>
    </w:p>
    <w:p w14:paraId="000084C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7</w:t>
      </w:r>
      <w:r>
        <w:rPr>
          <w:rFonts w:hint="eastAsia" w:ascii="宋体" w:hAnsi="宋体" w:cs="宋体"/>
          <w:color w:val="auto"/>
          <w:szCs w:val="21"/>
          <w:highlight w:val="none"/>
        </w:rPr>
        <w:t>）响应文件的实质性内容未使用中文表述、使用计量单位不符合谈判文件要求的；</w:t>
      </w:r>
    </w:p>
    <w:p w14:paraId="2EF2931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8</w:t>
      </w:r>
      <w:r>
        <w:rPr>
          <w:rFonts w:hint="eastAsia" w:ascii="宋体" w:hAnsi="宋体" w:cs="宋体"/>
          <w:color w:val="auto"/>
          <w:szCs w:val="21"/>
          <w:highlight w:val="none"/>
        </w:rPr>
        <w:t>）响应文件中的文件资料因填写不齐全或者内容虚假或者出现其他情形而导致被谈判小组认定无效的；</w:t>
      </w:r>
    </w:p>
    <w:p w14:paraId="2B01E08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9</w:t>
      </w:r>
      <w:r>
        <w:rPr>
          <w:rFonts w:hint="eastAsia" w:ascii="宋体" w:hAnsi="宋体" w:cs="宋体"/>
          <w:color w:val="auto"/>
          <w:szCs w:val="21"/>
          <w:highlight w:val="none"/>
        </w:rPr>
        <w:t>）响应文件含有采购人不能接受的附加条件的；</w:t>
      </w:r>
    </w:p>
    <w:p w14:paraId="020F766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ascii="宋体" w:cs="宋体"/>
          <w:color w:val="auto"/>
          <w:szCs w:val="21"/>
          <w:highlight w:val="none"/>
        </w:rPr>
        <w:t>0</w:t>
      </w:r>
      <w:r>
        <w:rPr>
          <w:rFonts w:hint="eastAsia" w:ascii="宋体" w:hAnsi="宋体" w:cs="宋体"/>
          <w:color w:val="auto"/>
          <w:szCs w:val="21"/>
          <w:highlight w:val="none"/>
        </w:rPr>
        <w:t>）属于“供应商须知正文”第</w:t>
      </w:r>
      <w:r>
        <w:rPr>
          <w:rFonts w:ascii="宋体" w:hAnsi="宋体" w:cs="宋体"/>
          <w:color w:val="auto"/>
          <w:szCs w:val="21"/>
          <w:highlight w:val="none"/>
        </w:rPr>
        <w:t>7.5</w:t>
      </w:r>
      <w:r>
        <w:rPr>
          <w:rFonts w:hint="eastAsia" w:ascii="宋体" w:hAnsi="宋体" w:cs="宋体"/>
          <w:color w:val="auto"/>
          <w:szCs w:val="21"/>
          <w:highlight w:val="none"/>
        </w:rPr>
        <w:t>条的情形的；</w:t>
      </w:r>
    </w:p>
    <w:p w14:paraId="263D513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11</w:t>
      </w:r>
      <w:r>
        <w:rPr>
          <w:rFonts w:hint="eastAsia" w:ascii="宋体" w:hAnsi="宋体" w:cs="宋体"/>
          <w:color w:val="auto"/>
          <w:szCs w:val="21"/>
          <w:highlight w:val="none"/>
        </w:rPr>
        <w:t>）技术评审允许负偏离的条款数超过“供应商须知前附表”规定项数的；</w:t>
      </w:r>
    </w:p>
    <w:p w14:paraId="1960722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12</w:t>
      </w:r>
      <w:r>
        <w:rPr>
          <w:rFonts w:hint="eastAsia" w:ascii="宋体" w:hAnsi="宋体" w:cs="宋体"/>
          <w:color w:val="auto"/>
          <w:szCs w:val="21"/>
          <w:highlight w:val="none"/>
        </w:rPr>
        <w:t>）虚假竞标，或者出现其他情形而导致被谈判小组认定无效的；</w:t>
      </w:r>
    </w:p>
    <w:p w14:paraId="24076F13">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13</w:t>
      </w:r>
      <w:r>
        <w:rPr>
          <w:rFonts w:hint="eastAsia" w:ascii="宋体" w:hAnsi="宋体" w:cs="宋体"/>
          <w:color w:val="auto"/>
          <w:szCs w:val="21"/>
          <w:highlight w:val="none"/>
        </w:rPr>
        <w:t>）</w:t>
      </w:r>
      <w:bookmarkStart w:id="75"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75"/>
    </w:p>
    <w:p w14:paraId="4C3CF4E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14</w:t>
      </w:r>
      <w:r>
        <w:rPr>
          <w:rFonts w:hint="eastAsia" w:ascii="宋体" w:hAnsi="宋体" w:cs="宋体"/>
          <w:color w:val="auto"/>
          <w:szCs w:val="21"/>
          <w:highlight w:val="none"/>
        </w:rPr>
        <w:t>）</w:t>
      </w:r>
      <w:r>
        <w:rPr>
          <w:rFonts w:hint="eastAsia" w:ascii="宋体" w:hAnsi="宋体"/>
          <w:color w:val="auto"/>
          <w:szCs w:val="21"/>
          <w:highlight w:val="none"/>
        </w:rPr>
        <w:t>谈判文件明确不允许分包，响应文件拟分包的；</w:t>
      </w:r>
    </w:p>
    <w:p w14:paraId="598B58C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15</w:t>
      </w:r>
      <w:r>
        <w:rPr>
          <w:rFonts w:hint="eastAsia" w:ascii="宋体" w:hAnsi="宋体" w:cs="宋体"/>
          <w:color w:val="auto"/>
          <w:szCs w:val="21"/>
          <w:highlight w:val="none"/>
        </w:rPr>
        <w:t>）未响应谈判文件实质性要求；</w:t>
      </w:r>
    </w:p>
    <w:p w14:paraId="51DA43A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16</w:t>
      </w:r>
      <w:r>
        <w:rPr>
          <w:rFonts w:hint="eastAsia" w:ascii="宋体" w:hAnsi="宋体" w:cs="宋体"/>
          <w:color w:val="auto"/>
          <w:szCs w:val="21"/>
          <w:highlight w:val="none"/>
        </w:rPr>
        <w:t>）法律、法规和谈判文件规定的其他无效情形。</w:t>
      </w:r>
    </w:p>
    <w:p w14:paraId="3D624AB0">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）报价评审</w:t>
      </w:r>
    </w:p>
    <w:p w14:paraId="7ED826C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）响应文件未提供“供应商须知前附表”报价文件中规定的“竞标报价表”的；</w:t>
      </w:r>
    </w:p>
    <w:p w14:paraId="4554FFF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）未采用人民币报价或者未按照谈判文件标明的币种报价的；</w:t>
      </w:r>
    </w:p>
    <w:p w14:paraId="68EC151F">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供应商未就本项目所有内容进行报价或者存在漏项报价；供应商未就本项目单项内容作唯一报价；供应商未就本项目的全部内容作完整唯一总价报价；供应商响应文件中存在有选择、有条件报价的（谈判文件允许有备选方案或者其他约定的除外）；</w:t>
      </w:r>
    </w:p>
    <w:p w14:paraId="43F32C2A">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竞标报价（包含首次报价、最后报价）超过本项目规定的采购预算金额或者最高限价的（如本项目公布了最高限价）；竞标报价（包含首次报价、最后报价）超过谈判文件分项采购预算金额或者最高限价的（如本项目公布了最高限价）；</w:t>
      </w:r>
    </w:p>
    <w:p w14:paraId="62F2224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修正后的报价，供应商不确认的；或者经供应商确认修正后的竞标报价（包含首次报价、最后报价）超过本项目规定的采购预算金额或者最高限价（如本项目公布了最高限价）；或者经供应商确认修正后竞标报价（包含首次报价、最后报价）超过谈判文件分项采购预算金额或者最高限价的（如本项目公布了最高限价）。</w:t>
      </w:r>
    </w:p>
    <w:p w14:paraId="7E1A8BA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w:t>
      </w:r>
      <w:r>
        <w:rPr>
          <w:rFonts w:hint="eastAsia" w:ascii="宋体" w:hAnsi="宋体" w:cs="宋体"/>
          <w:color w:val="auto"/>
          <w:szCs w:val="21"/>
          <w:highlight w:val="none"/>
        </w:rPr>
        <w:t>）</w:t>
      </w:r>
      <w:r>
        <w:rPr>
          <w:rFonts w:hint="eastAsia" w:ascii="宋体" w:hAnsi="宋体"/>
          <w:color w:val="auto"/>
          <w:szCs w:val="21"/>
          <w:highlight w:val="none"/>
        </w:rPr>
        <w:t>响应文件响应的标的数量及单位与竞争性谈判采购文件要求实质性不一致的。</w:t>
      </w:r>
    </w:p>
    <w:p w14:paraId="5B6D9CC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谈判小组对响应文件进行评审，未实质性响应谈判文件的响应文件按无效处理。谈判小组应当将资格和符合性不通过的情况告知有关供应商。谈判小组从符合谈判文件规定的相应资格条件的供应商名单中确定不少于</w:t>
      </w:r>
      <w:r>
        <w:rPr>
          <w:rFonts w:ascii="宋体" w:hAnsi="宋体" w:cs="宋体"/>
          <w:color w:val="auto"/>
          <w:szCs w:val="21"/>
          <w:highlight w:val="none"/>
        </w:rPr>
        <w:t>3</w:t>
      </w:r>
      <w:r>
        <w:rPr>
          <w:rFonts w:hint="eastAsia" w:ascii="宋体" w:hAnsi="宋体" w:cs="宋体"/>
          <w:color w:val="auto"/>
          <w:szCs w:val="21"/>
          <w:highlight w:val="none"/>
        </w:rPr>
        <w:t>家的供应商参加谈判。</w:t>
      </w:r>
    </w:p>
    <w:p w14:paraId="17236C69">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3.7</w:t>
      </w:r>
      <w:r>
        <w:rPr>
          <w:rFonts w:hint="eastAsia" w:ascii="宋体" w:hAnsi="宋体" w:cs="宋体"/>
          <w:color w:val="auto"/>
          <w:szCs w:val="21"/>
          <w:highlight w:val="none"/>
        </w:rPr>
        <w:t>公开招标的货物、服务采购项目，招标过程中提交响应文件或者经评审实质性响应谈判文件要求的供应商只有两家时，采购人、采购代理机构按照《政府采购非招标采购方式管理办法》（财政部</w:t>
      </w:r>
      <w:r>
        <w:rPr>
          <w:rFonts w:ascii="宋体" w:hAnsi="宋体" w:cs="宋体"/>
          <w:color w:val="auto"/>
          <w:szCs w:val="21"/>
          <w:highlight w:val="none"/>
        </w:rPr>
        <w:t>74</w:t>
      </w:r>
      <w:r>
        <w:rPr>
          <w:rFonts w:hint="eastAsia" w:ascii="宋体" w:hAnsi="宋体" w:cs="宋体"/>
          <w:color w:val="auto"/>
          <w:szCs w:val="21"/>
          <w:highlight w:val="none"/>
        </w:rPr>
        <w:t>号令）第四条经本级财政部门批准后可以与该两家供应商进行竞争性谈判采购。</w:t>
      </w:r>
    </w:p>
    <w:p w14:paraId="4502B8E2">
      <w:pPr>
        <w:spacing w:line="360" w:lineRule="auto"/>
        <w:ind w:firstLine="420" w:firstLineChars="200"/>
        <w:rPr>
          <w:rFonts w:ascii="宋体" w:cs="宋体"/>
          <w:color w:val="auto"/>
          <w:szCs w:val="21"/>
          <w:highlight w:val="none"/>
        </w:rPr>
      </w:pPr>
      <w:r>
        <w:rPr>
          <w:rFonts w:ascii="宋体" w:hAnsi="宋体" w:cs="宋体"/>
          <w:color w:val="auto"/>
          <w:szCs w:val="21"/>
          <w:highlight w:val="none"/>
        </w:rPr>
        <w:t>3.8</w:t>
      </w:r>
      <w:r>
        <w:rPr>
          <w:rFonts w:hint="eastAsia" w:ascii="宋体" w:hAnsi="宋体" w:cs="宋体"/>
          <w:color w:val="auto"/>
          <w:szCs w:val="21"/>
          <w:highlight w:val="none"/>
        </w:rPr>
        <w:t>除本章</w:t>
      </w:r>
      <w:r>
        <w:rPr>
          <w:rFonts w:ascii="宋体" w:hAnsi="宋体" w:cs="宋体"/>
          <w:color w:val="auto"/>
          <w:szCs w:val="21"/>
          <w:highlight w:val="none"/>
        </w:rPr>
        <w:t>3.7</w:t>
      </w:r>
      <w:r>
        <w:rPr>
          <w:rFonts w:hint="eastAsia" w:ascii="宋体" w:hAnsi="宋体" w:cs="宋体"/>
          <w:color w:val="auto"/>
          <w:szCs w:val="21"/>
          <w:highlight w:val="none"/>
        </w:rPr>
        <w:t>条规定的情形外，通过符合性审查的合格供应商不足</w:t>
      </w:r>
      <w:r>
        <w:rPr>
          <w:rFonts w:ascii="宋体" w:hAnsi="宋体" w:cs="宋体"/>
          <w:color w:val="auto"/>
          <w:szCs w:val="21"/>
          <w:highlight w:val="none"/>
        </w:rPr>
        <w:t>3</w:t>
      </w:r>
      <w:r>
        <w:rPr>
          <w:rFonts w:hint="eastAsia" w:ascii="宋体" w:hAnsi="宋体" w:cs="宋体"/>
          <w:color w:val="auto"/>
          <w:szCs w:val="21"/>
          <w:highlight w:val="none"/>
        </w:rPr>
        <w:t>家的，不得进入谈判环节，应当重新开展采购活动。</w:t>
      </w:r>
    </w:p>
    <w:p w14:paraId="147B8D8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谈判程序</w:t>
      </w:r>
    </w:p>
    <w:p w14:paraId="62F1E65C">
      <w:pPr>
        <w:spacing w:line="360" w:lineRule="auto"/>
        <w:ind w:firstLine="420" w:firstLineChars="200"/>
        <w:rPr>
          <w:rFonts w:ascii="宋体" w:cs="宋体"/>
          <w:color w:val="auto"/>
          <w:kern w:val="0"/>
          <w:szCs w:val="21"/>
          <w:highlight w:val="none"/>
        </w:rPr>
      </w:pPr>
      <w:r>
        <w:rPr>
          <w:rFonts w:ascii="宋体" w:hAnsi="宋体" w:cs="宋体"/>
          <w:color w:val="auto"/>
          <w:kern w:val="0"/>
          <w:szCs w:val="21"/>
          <w:highlight w:val="none"/>
        </w:rPr>
        <w:t>4.1</w:t>
      </w:r>
      <w:r>
        <w:rPr>
          <w:rFonts w:hint="eastAsia" w:ascii="宋体" w:hAnsi="宋体" w:cs="宋体"/>
          <w:color w:val="auto"/>
          <w:kern w:val="0"/>
          <w:szCs w:val="21"/>
          <w:highlight w:val="none"/>
        </w:rPr>
        <w:t>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751F419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4.2</w:t>
      </w:r>
      <w:r>
        <w:rPr>
          <w:rFonts w:hint="eastAsia" w:ascii="宋体" w:hAnsi="宋体" w:cs="宋体"/>
          <w:color w:val="auto"/>
          <w:szCs w:val="21"/>
          <w:highlight w:val="none"/>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4B244CD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对谈判文件作出的实质性变动是谈判文件的有效组成部分，由谈判小组及时以电子澄清函形式同时通知所有参加谈判的供应商。</w:t>
      </w:r>
    </w:p>
    <w:p w14:paraId="4AA3DDA5">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供应商必须按照谈判文件的变动情况和谈判小组的要求以回函的形式重新提交响应文件，并加盖电子签章。参加谈判的供应商未在规定时间内重新提交响应文件的，视同退出谈判，其响应文件按无效处理。</w:t>
      </w:r>
    </w:p>
    <w:p w14:paraId="0B7AD61E">
      <w:pPr>
        <w:spacing w:line="360" w:lineRule="auto"/>
        <w:ind w:firstLine="420" w:firstLineChars="200"/>
        <w:rPr>
          <w:rFonts w:asci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谈判中，谈判的任何一方不得透露与谈判有关的其他供应商的技术资料、价格和其他信息。</w:t>
      </w:r>
    </w:p>
    <w:p w14:paraId="0274E1D8">
      <w:pPr>
        <w:widowControl/>
        <w:tabs>
          <w:tab w:val="left" w:pos="540"/>
        </w:tabs>
        <w:spacing w:line="360" w:lineRule="auto"/>
        <w:ind w:firstLine="420" w:firstLineChars="200"/>
        <w:jc w:val="left"/>
        <w:rPr>
          <w:rFonts w:asci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谈判小组应对谈判过程和重要谈判内容进行记录。</w:t>
      </w:r>
    </w:p>
    <w:p w14:paraId="5908BDA3">
      <w:pPr>
        <w:tabs>
          <w:tab w:val="left" w:pos="2835"/>
        </w:tabs>
        <w:spacing w:line="360" w:lineRule="auto"/>
        <w:ind w:firstLine="420" w:firstLineChars="200"/>
        <w:rPr>
          <w:rFonts w:asci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除本章第</w:t>
      </w:r>
      <w:r>
        <w:rPr>
          <w:rFonts w:ascii="宋体" w:hAnsi="宋体" w:cs="宋体"/>
          <w:color w:val="auto"/>
          <w:szCs w:val="21"/>
          <w:highlight w:val="none"/>
        </w:rPr>
        <w:t>3.7</w:t>
      </w:r>
      <w:r>
        <w:rPr>
          <w:rFonts w:hint="eastAsia" w:ascii="宋体" w:hAnsi="宋体" w:cs="宋体"/>
          <w:color w:val="auto"/>
          <w:szCs w:val="21"/>
          <w:highlight w:val="none"/>
        </w:rPr>
        <w:t>条外，</w:t>
      </w:r>
      <w:r>
        <w:rPr>
          <w:rFonts w:hint="eastAsia" w:ascii="宋体" w:hAnsi="宋体"/>
          <w:color w:val="auto"/>
          <w:szCs w:val="21"/>
          <w:highlight w:val="none"/>
        </w:rPr>
        <w:t>对谈判过程提交的响应文件进行有效性、完整性和响应程度审查，通过审查的合格供应商不足</w:t>
      </w:r>
      <w:r>
        <w:rPr>
          <w:rFonts w:ascii="宋体" w:hAnsi="宋体"/>
          <w:color w:val="auto"/>
          <w:szCs w:val="21"/>
          <w:highlight w:val="none"/>
        </w:rPr>
        <w:t>3</w:t>
      </w:r>
      <w:r>
        <w:rPr>
          <w:rFonts w:hint="eastAsia" w:ascii="宋体" w:hAnsi="宋体"/>
          <w:color w:val="auto"/>
          <w:szCs w:val="21"/>
          <w:highlight w:val="none"/>
        </w:rPr>
        <w:t>家的，采购人或者采购代理机构应当重新开展采购活动</w:t>
      </w:r>
      <w:r>
        <w:rPr>
          <w:rFonts w:hint="eastAsia" w:ascii="宋体" w:hAnsi="宋体" w:cs="宋体"/>
          <w:color w:val="auto"/>
          <w:szCs w:val="21"/>
          <w:highlight w:val="none"/>
        </w:rPr>
        <w:t>。</w:t>
      </w:r>
    </w:p>
    <w:p w14:paraId="3F5FE976">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 xml:space="preserve">5. </w:t>
      </w:r>
      <w:r>
        <w:rPr>
          <w:rFonts w:hint="eastAsia" w:ascii="黑体" w:hAnsi="黑体" w:eastAsia="黑体" w:cs="宋体"/>
          <w:b/>
          <w:bCs/>
          <w:color w:val="auto"/>
          <w:sz w:val="24"/>
          <w:highlight w:val="none"/>
        </w:rPr>
        <w:t>最后报价</w:t>
      </w:r>
    </w:p>
    <w:p w14:paraId="5D8C3D24">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谈判文件能够详细列明采购标的的技术、服务要求的，谈判结束后，谈判小组应当要求所有实质性响应谈判文件要求的供应商在规定时间内在</w:t>
      </w:r>
      <w:r>
        <w:rPr>
          <w:rFonts w:hint="eastAsia" w:ascii="宋体" w:hAnsi="宋体"/>
          <w:bCs/>
          <w:color w:val="auto"/>
          <w:szCs w:val="21"/>
          <w:highlight w:val="none"/>
        </w:rPr>
        <w:t>广西政府采购云平台</w:t>
      </w:r>
      <w:r>
        <w:rPr>
          <w:rFonts w:hint="eastAsia" w:ascii="宋体" w:hAnsi="宋体" w:cs="宋体"/>
          <w:color w:val="auto"/>
          <w:szCs w:val="21"/>
          <w:highlight w:val="none"/>
        </w:rPr>
        <w:t>开标大厅提交最后报价，除本章第</w:t>
      </w:r>
      <w:r>
        <w:rPr>
          <w:rFonts w:ascii="宋体" w:hAnsi="宋体" w:cs="宋体"/>
          <w:color w:val="auto"/>
          <w:szCs w:val="21"/>
          <w:highlight w:val="none"/>
        </w:rPr>
        <w:t>3.7</w:t>
      </w:r>
      <w:r>
        <w:rPr>
          <w:rFonts w:hint="eastAsia" w:ascii="宋体" w:hAnsi="宋体" w:cs="宋体"/>
          <w:color w:val="auto"/>
          <w:szCs w:val="21"/>
          <w:highlight w:val="none"/>
        </w:rPr>
        <w:t>条外，提交最后报价的供应商不得少于</w:t>
      </w:r>
      <w:r>
        <w:rPr>
          <w:rFonts w:ascii="宋体" w:hAnsi="宋体" w:cs="宋体"/>
          <w:color w:val="auto"/>
          <w:szCs w:val="21"/>
          <w:highlight w:val="none"/>
        </w:rPr>
        <w:t>3</w:t>
      </w:r>
      <w:r>
        <w:rPr>
          <w:rFonts w:hint="eastAsia" w:ascii="宋体" w:hAnsi="宋体" w:cs="宋体"/>
          <w:color w:val="auto"/>
          <w:szCs w:val="21"/>
          <w:highlight w:val="none"/>
        </w:rPr>
        <w:t>家，否则应当重新采购。</w:t>
      </w:r>
    </w:p>
    <w:p w14:paraId="68126FC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w:t>
      </w:r>
      <w:r>
        <w:rPr>
          <w:rFonts w:asci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谈判文件不能详细列明采购标的的技术、服务要求，需经谈判由供应商提供最后设计方案或者解决方案的，谈判结束后，谈判小组应当按照少数服从多数的原则投票推荐</w:t>
      </w:r>
      <w:r>
        <w:rPr>
          <w:rFonts w:ascii="宋体" w:hAnsi="宋体" w:cs="宋体"/>
          <w:color w:val="auto"/>
          <w:szCs w:val="21"/>
          <w:highlight w:val="none"/>
        </w:rPr>
        <w:t>3</w:t>
      </w:r>
      <w:r>
        <w:rPr>
          <w:rFonts w:hint="eastAsia" w:ascii="宋体" w:hAnsi="宋体" w:cs="宋体"/>
          <w:color w:val="auto"/>
          <w:szCs w:val="21"/>
          <w:highlight w:val="none"/>
        </w:rPr>
        <w:t>家以上供应商的设计方案或者解决方案，并要求其在规定时间内在</w:t>
      </w:r>
      <w:r>
        <w:rPr>
          <w:rFonts w:hint="eastAsia" w:ascii="宋体" w:hAnsi="宋体"/>
          <w:bCs/>
          <w:color w:val="auto"/>
          <w:szCs w:val="21"/>
          <w:highlight w:val="none"/>
        </w:rPr>
        <w:t>广西政府采购云平台</w:t>
      </w:r>
      <w:r>
        <w:rPr>
          <w:rFonts w:hint="eastAsia" w:ascii="宋体" w:hAnsi="宋体" w:cs="宋体"/>
          <w:color w:val="auto"/>
          <w:szCs w:val="21"/>
          <w:highlight w:val="none"/>
        </w:rPr>
        <w:t>开标大厅提交最后报价。</w:t>
      </w:r>
    </w:p>
    <w:p w14:paraId="2657467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最后报价是供应商响应文件的有效组成部分。</w:t>
      </w:r>
    </w:p>
    <w:p w14:paraId="7D3711E7">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已经提交响应文件的供应商，在提交最后报价之前，可以根据谈判情况退出谈判，退出谈判的供应商的响应文件按无效响应处理。采购人、采购代理机构将退还退出谈判的供应商的保证金。</w:t>
      </w:r>
    </w:p>
    <w:p w14:paraId="44B6C07B">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5.5</w:t>
      </w:r>
      <w:r>
        <w:rPr>
          <w:rFonts w:hint="eastAsia" w:ascii="宋体" w:hAnsi="宋体" w:cs="宋体"/>
          <w:color w:val="auto"/>
          <w:szCs w:val="21"/>
          <w:highlight w:val="none"/>
        </w:rPr>
        <w:t>供应商未在规定时间内提交最后报价的，视为退出谈判，其响应文件按无效处理。</w:t>
      </w:r>
    </w:p>
    <w:p w14:paraId="3203086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5.6</w:t>
      </w:r>
      <w:r>
        <w:rPr>
          <w:rFonts w:hint="eastAsia" w:ascii="宋体" w:hAnsi="宋体" w:cs="宋体"/>
          <w:color w:val="auto"/>
          <w:szCs w:val="21"/>
          <w:highlight w:val="none"/>
        </w:rPr>
        <w:t>最后报价统一开启后，谈判小组对最后报价进行有效性、完整性和响应程度的审查。</w:t>
      </w:r>
    </w:p>
    <w:p w14:paraId="39650E9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3.4</w:t>
      </w:r>
      <w:r>
        <w:rPr>
          <w:rFonts w:hint="eastAsia" w:ascii="宋体" w:hAnsi="宋体" w:cs="宋体"/>
          <w:color w:val="auto"/>
          <w:szCs w:val="21"/>
          <w:highlight w:val="none"/>
        </w:rPr>
        <w:t>条的规定修正。</w:t>
      </w:r>
    </w:p>
    <w:p w14:paraId="74EE584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5.8</w:t>
      </w:r>
      <w:r>
        <w:rPr>
          <w:rFonts w:hint="eastAsia" w:ascii="宋体" w:hAnsi="宋体" w:cs="宋体"/>
          <w:color w:val="auto"/>
          <w:szCs w:val="21"/>
          <w:highlight w:val="none"/>
        </w:rPr>
        <w:t>修正后的报价出现下列情形的，按无效响应处理：</w:t>
      </w:r>
    </w:p>
    <w:p w14:paraId="76BE75CF">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）供应商不确认的（全流程电子化评标采取在线确认）；</w:t>
      </w:r>
    </w:p>
    <w:p w14:paraId="03BA7F83">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）经供应商确认修正后的竞标报价（包含首次报价、最后报价）超过本项目规定的采购预算金额或者最高限价的（如本项目公布了最高限价）；</w:t>
      </w:r>
    </w:p>
    <w:p w14:paraId="24BA7B11">
      <w:pPr>
        <w:spacing w:line="360" w:lineRule="auto"/>
        <w:ind w:firstLine="420" w:firstLineChars="200"/>
        <w:rPr>
          <w:rFonts w:asci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）经供应商确认修正后的竞标报价（包含首次报价、最后报价）超过分项采购预算金额或者最高限价的（如本项目公布了最高限价）。</w:t>
      </w:r>
    </w:p>
    <w:p w14:paraId="210FF0AD">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5.9</w:t>
      </w:r>
      <w:r>
        <w:rPr>
          <w:rFonts w:hint="eastAsia" w:ascii="宋体" w:hAnsi="宋体" w:cs="宋体"/>
          <w:color w:val="auto"/>
          <w:szCs w:val="21"/>
          <w:highlight w:val="none"/>
        </w:rPr>
        <w:t>经供应商确认修正后的最后报价作为评审及签订合同的依据。</w:t>
      </w:r>
    </w:p>
    <w:p w14:paraId="7B90EAD8">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5.10</w:t>
      </w:r>
      <w:r>
        <w:rPr>
          <w:rFonts w:hint="eastAsia" w:ascii="宋体" w:hAnsi="宋体" w:cs="宋体"/>
          <w:color w:val="auto"/>
          <w:szCs w:val="21"/>
          <w:highlight w:val="none"/>
        </w:rPr>
        <w:t>供应商出现最后报价按无效响应处理或者响应文件按无效处理时</w:t>
      </w:r>
      <w:r>
        <w:rPr>
          <w:rFonts w:hint="eastAsia" w:ascii="宋体" w:hAnsi="宋体"/>
          <w:color w:val="auto"/>
          <w:sz w:val="22"/>
          <w:szCs w:val="22"/>
          <w:highlight w:val="none"/>
        </w:rPr>
        <w:t>，谈判小组应当告知有关供应商</w:t>
      </w:r>
      <w:r>
        <w:rPr>
          <w:rFonts w:hint="eastAsia" w:ascii="宋体" w:hAnsi="宋体" w:cs="宋体"/>
          <w:color w:val="auto"/>
          <w:szCs w:val="21"/>
          <w:highlight w:val="none"/>
        </w:rPr>
        <w:t>。</w:t>
      </w:r>
    </w:p>
    <w:p w14:paraId="018E640C">
      <w:pPr>
        <w:spacing w:line="360" w:lineRule="auto"/>
        <w:ind w:firstLine="420" w:firstLineChars="200"/>
        <w:rPr>
          <w:rFonts w:ascii="宋体" w:cs="宋体"/>
          <w:color w:val="auto"/>
          <w:szCs w:val="21"/>
          <w:highlight w:val="none"/>
        </w:rPr>
      </w:pPr>
      <w:r>
        <w:rPr>
          <w:rFonts w:ascii="宋体" w:hAnsi="宋体" w:cs="宋体"/>
          <w:color w:val="auto"/>
          <w:szCs w:val="21"/>
          <w:highlight w:val="none"/>
        </w:rPr>
        <w:t>5.11</w:t>
      </w:r>
      <w:r>
        <w:rPr>
          <w:rFonts w:hint="eastAsia" w:ascii="宋体" w:hAnsi="宋体" w:cs="宋体"/>
          <w:color w:val="auto"/>
          <w:szCs w:val="21"/>
          <w:highlight w:val="none"/>
        </w:rPr>
        <w:t>最后报价结束后，谈判小组不得再与供应商进行任何形式的商谈。</w:t>
      </w:r>
    </w:p>
    <w:p w14:paraId="4EA0D256">
      <w:pPr>
        <w:spacing w:line="360" w:lineRule="auto"/>
        <w:ind w:firstLine="472" w:firstLineChars="196"/>
        <w:rPr>
          <w:rFonts w:hint="eastAsia" w:ascii="黑体" w:hAnsi="黑体" w:eastAsia="黑体" w:cs="宋体"/>
          <w:b/>
          <w:bCs/>
          <w:color w:val="auto"/>
          <w:sz w:val="24"/>
          <w:highlight w:val="none"/>
        </w:rPr>
      </w:pPr>
      <w:r>
        <w:rPr>
          <w:rFonts w:ascii="黑体" w:hAnsi="黑体" w:eastAsia="黑体" w:cs="宋体"/>
          <w:b/>
          <w:bCs/>
          <w:color w:val="auto"/>
          <w:sz w:val="24"/>
          <w:highlight w:val="none"/>
        </w:rPr>
        <w:t xml:space="preserve">6. </w:t>
      </w:r>
      <w:r>
        <w:rPr>
          <w:rFonts w:hint="eastAsia" w:ascii="黑体" w:hAnsi="黑体" w:eastAsia="黑体" w:cs="宋体"/>
          <w:b/>
          <w:bCs/>
          <w:color w:val="auto"/>
          <w:sz w:val="24"/>
          <w:highlight w:val="none"/>
        </w:rPr>
        <w:t>最后报价政府采购政策性扣除</w:t>
      </w:r>
    </w:p>
    <w:p w14:paraId="0AB20D01">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6.1</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BA9A38C">
      <w:pPr>
        <w:spacing w:line="360" w:lineRule="auto"/>
        <w:ind w:firstLine="420" w:firstLineChars="200"/>
        <w:rPr>
          <w:rFonts w:ascii="宋体" w:cs="宋体"/>
          <w:color w:val="auto"/>
          <w:highlight w:val="none"/>
        </w:rPr>
      </w:pPr>
      <w:r>
        <w:rPr>
          <w:rFonts w:ascii="宋体" w:hAnsi="宋体" w:cs="宋体"/>
          <w:color w:val="auto"/>
          <w:szCs w:val="21"/>
          <w:highlight w:val="none"/>
        </w:rPr>
        <w:t>6.2</w:t>
      </w:r>
      <w:r>
        <w:rPr>
          <w:rFonts w:hint="eastAsia" w:ascii="宋体" w:hAnsi="宋体" w:cs="宋体"/>
          <w:color w:val="auto"/>
          <w:highlight w:val="none"/>
        </w:rPr>
        <w:t>政策性扣除计算方法。</w:t>
      </w:r>
    </w:p>
    <w:p w14:paraId="65F416F0">
      <w:pPr>
        <w:spacing w:line="360" w:lineRule="auto"/>
        <w:ind w:firstLine="369" w:firstLineChars="176"/>
        <w:rPr>
          <w:rFonts w:ascii="宋体" w:cs="宋体"/>
          <w:color w:val="auto"/>
          <w:highlight w:val="none"/>
        </w:rPr>
      </w:pPr>
      <w:r>
        <w:rPr>
          <w:rFonts w:hint="eastAsia" w:ascii="宋体" w:hAnsi="宋体" w:cs="宋体"/>
          <w:color w:val="auto"/>
          <w:szCs w:val="21"/>
          <w:highlight w:val="none"/>
        </w:rPr>
        <w:t>根据《政府采购促进中小企业发展管理办法》（财库〔</w:t>
      </w:r>
      <w:r>
        <w:rPr>
          <w:rFonts w:ascii="宋体" w:hAnsi="宋体" w:cs="宋体"/>
          <w:color w:val="auto"/>
          <w:szCs w:val="21"/>
          <w:highlight w:val="none"/>
        </w:rPr>
        <w:t>2020</w:t>
      </w:r>
      <w:r>
        <w:rPr>
          <w:rFonts w:hint="eastAsia" w:ascii="宋体" w:hAnsi="宋体" w:cs="宋体"/>
          <w:color w:val="auto"/>
          <w:szCs w:val="21"/>
          <w:highlight w:val="none"/>
        </w:rPr>
        <w:t>〕</w:t>
      </w:r>
      <w:r>
        <w:rPr>
          <w:rFonts w:ascii="宋体" w:hAnsi="宋体" w:cs="宋体"/>
          <w:color w:val="auto"/>
          <w:szCs w:val="21"/>
          <w:highlight w:val="none"/>
        </w:rPr>
        <w:t>46</w:t>
      </w:r>
      <w:r>
        <w:rPr>
          <w:rFonts w:hint="eastAsia" w:ascii="宋体" w:hAnsi="宋体" w:cs="宋体"/>
          <w:color w:val="auto"/>
          <w:szCs w:val="21"/>
          <w:highlight w:val="none"/>
        </w:rPr>
        <w:t>号）及</w:t>
      </w:r>
      <w:r>
        <w:rPr>
          <w:rFonts w:hint="eastAsia" w:ascii="宋体" w:hAnsi="宋体" w:cs="宋体"/>
          <w:color w:val="auto"/>
          <w:kern w:val="0"/>
          <w:szCs w:val="21"/>
          <w:highlight w:val="none"/>
        </w:rPr>
        <w:t>《广西壮族自治区财政厅关于持续优化政府采购营商环境推动高质量发展的通知》（桂财采〔2024〕55号）</w:t>
      </w:r>
      <w:r>
        <w:rPr>
          <w:rFonts w:hint="eastAsia" w:ascii="宋体" w:hAnsi="宋体" w:cs="宋体"/>
          <w:color w:val="auto"/>
          <w:szCs w:val="21"/>
          <w:highlight w:val="none"/>
        </w:rPr>
        <w:t>的规定，供应商在其响应文件中提供《中小企业声明函》，</w:t>
      </w:r>
      <w:r>
        <w:rPr>
          <w:rFonts w:hint="eastAsia" w:ascii="宋体" w:hAnsi="宋体"/>
          <w:bCs/>
          <w:color w:val="auto"/>
          <w:szCs w:val="21"/>
          <w:highlight w:val="none"/>
        </w:rPr>
        <w:t>且其竞标全部货物由符合政策要求的小微企业制造的</w:t>
      </w:r>
      <w:r>
        <w:rPr>
          <w:rFonts w:hint="eastAsia" w:ascii="宋体" w:hAnsi="宋体" w:cs="宋体"/>
          <w:color w:val="auto"/>
          <w:szCs w:val="21"/>
          <w:highlight w:val="none"/>
        </w:rPr>
        <w:t>，</w:t>
      </w:r>
      <w:r>
        <w:rPr>
          <w:rFonts w:hint="eastAsia" w:ascii="宋体" w:hAnsi="宋体"/>
          <w:bCs/>
          <w:color w:val="auto"/>
          <w:szCs w:val="21"/>
          <w:highlight w:val="none"/>
        </w:rPr>
        <w:t>对供应商的最后报价给予10</w:t>
      </w:r>
      <w:r>
        <w:rPr>
          <w:rFonts w:ascii="宋体" w:hAnsi="宋体"/>
          <w:bCs/>
          <w:color w:val="auto"/>
          <w:szCs w:val="21"/>
          <w:highlight w:val="none"/>
        </w:rPr>
        <w:t>%</w:t>
      </w:r>
      <w:r>
        <w:rPr>
          <w:rFonts w:hint="eastAsia" w:ascii="宋体" w:hAnsi="宋体"/>
          <w:bCs/>
          <w:color w:val="auto"/>
          <w:szCs w:val="21"/>
          <w:highlight w:val="none"/>
        </w:rPr>
        <w:t>的扣除，扣除后的价格为评审价，即评审价</w:t>
      </w:r>
      <w:r>
        <w:rPr>
          <w:rFonts w:ascii="宋体" w:hAnsi="宋体"/>
          <w:bCs/>
          <w:color w:val="auto"/>
          <w:szCs w:val="21"/>
          <w:highlight w:val="none"/>
        </w:rPr>
        <w:t>=</w:t>
      </w:r>
      <w:r>
        <w:rPr>
          <w:rFonts w:hint="eastAsia" w:ascii="宋体" w:hAnsi="宋体"/>
          <w:bCs/>
          <w:color w:val="auto"/>
          <w:szCs w:val="21"/>
          <w:highlight w:val="none"/>
        </w:rPr>
        <w:t>最后报价×（</w:t>
      </w:r>
      <w:r>
        <w:rPr>
          <w:rFonts w:ascii="宋体" w:hAnsi="宋体"/>
          <w:bCs/>
          <w:color w:val="auto"/>
          <w:szCs w:val="21"/>
          <w:highlight w:val="none"/>
        </w:rPr>
        <w:t>1-</w:t>
      </w:r>
      <w:r>
        <w:rPr>
          <w:rFonts w:hint="eastAsia" w:ascii="宋体" w:hAnsi="宋体"/>
          <w:bCs/>
          <w:color w:val="auto"/>
          <w:szCs w:val="21"/>
          <w:highlight w:val="none"/>
        </w:rPr>
        <w:t>1</w:t>
      </w:r>
      <w:r>
        <w:rPr>
          <w:rFonts w:ascii="宋体"/>
          <w:bCs/>
          <w:color w:val="auto"/>
          <w:szCs w:val="21"/>
          <w:highlight w:val="none"/>
        </w:rPr>
        <w:t>0</w:t>
      </w:r>
      <w:r>
        <w:rPr>
          <w:rFonts w:ascii="宋体" w:hAnsi="宋体"/>
          <w:bCs/>
          <w:color w:val="auto"/>
          <w:szCs w:val="21"/>
          <w:highlight w:val="none"/>
        </w:rPr>
        <w:t>%</w:t>
      </w:r>
      <w:r>
        <w:rPr>
          <w:rFonts w:hint="eastAsia" w:ascii="宋体" w:hAnsi="宋体"/>
          <w:bCs/>
          <w:color w:val="auto"/>
          <w:szCs w:val="21"/>
          <w:highlight w:val="none"/>
        </w:rPr>
        <w:t>）。</w:t>
      </w:r>
    </w:p>
    <w:p w14:paraId="6020D060">
      <w:pPr>
        <w:spacing w:line="360" w:lineRule="auto"/>
        <w:ind w:firstLine="420" w:firstLineChars="200"/>
        <w:rPr>
          <w:rFonts w:ascii="宋体" w:cs="宋体"/>
          <w:color w:val="auto"/>
          <w:szCs w:val="21"/>
          <w:highlight w:val="none"/>
        </w:rPr>
      </w:pPr>
      <w:r>
        <w:rPr>
          <w:rFonts w:ascii="宋体" w:hAnsi="宋体" w:cs="宋体"/>
          <w:color w:val="auto"/>
          <w:szCs w:val="21"/>
          <w:highlight w:val="none"/>
        </w:rPr>
        <w:t>6.3</w:t>
      </w:r>
      <w:r>
        <w:rPr>
          <w:rFonts w:hint="eastAsia" w:ascii="宋体" w:hAnsi="宋体" w:cs="宋体"/>
          <w:color w:val="auto"/>
          <w:szCs w:val="21"/>
          <w:highlight w:val="none"/>
        </w:rPr>
        <w:t>按照《财政部、司法部关于政府采购支持监狱企业发展有关问题的通知》（财库〔</w:t>
      </w:r>
      <w:r>
        <w:rPr>
          <w:rFonts w:ascii="宋体" w:hAnsi="宋体" w:cs="宋体"/>
          <w:color w:val="auto"/>
          <w:szCs w:val="21"/>
          <w:highlight w:val="none"/>
        </w:rPr>
        <w:t>2014</w:t>
      </w:r>
      <w:r>
        <w:rPr>
          <w:rFonts w:hint="eastAsia" w:ascii="宋体" w:hAnsi="宋体" w:cs="宋体"/>
          <w:color w:val="auto"/>
          <w:szCs w:val="21"/>
          <w:highlight w:val="none"/>
        </w:rPr>
        <w:t>〕</w:t>
      </w:r>
      <w:r>
        <w:rPr>
          <w:rFonts w:ascii="宋体" w:hAnsi="宋体" w:cs="宋体"/>
          <w:color w:val="auto"/>
          <w:szCs w:val="21"/>
          <w:highlight w:val="none"/>
        </w:rPr>
        <w:t>68</w:t>
      </w:r>
      <w:r>
        <w:rPr>
          <w:rFonts w:hint="eastAsia" w:ascii="宋体" w:hAnsi="宋体" w:cs="宋体"/>
          <w:color w:val="auto"/>
          <w:szCs w:val="21"/>
          <w:highlight w:val="none"/>
        </w:rPr>
        <w:t>号）的规定，监狱企业视同小型、微型企业，享受预留份额、评审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auto"/>
          <w:szCs w:val="21"/>
          <w:highlight w:val="none"/>
        </w:rPr>
        <w:t>监狱企业属于小型、微型企业的，</w:t>
      </w:r>
      <w:r>
        <w:rPr>
          <w:rFonts w:hint="eastAsia" w:ascii="宋体" w:hAnsi="宋体" w:cs="宋体"/>
          <w:color w:val="auto"/>
          <w:szCs w:val="21"/>
          <w:highlight w:val="none"/>
        </w:rPr>
        <w:t>不重复享受政策。</w:t>
      </w:r>
    </w:p>
    <w:p w14:paraId="65E6CEE3">
      <w:pPr>
        <w:spacing w:line="360" w:lineRule="auto"/>
        <w:ind w:firstLine="420" w:firstLineChars="200"/>
        <w:rPr>
          <w:rFonts w:ascii="宋体" w:cs="宋体"/>
          <w:color w:val="auto"/>
          <w:highlight w:val="none"/>
        </w:rPr>
      </w:pPr>
      <w:r>
        <w:rPr>
          <w:rFonts w:ascii="宋体" w:hAnsi="宋体" w:cs="宋体"/>
          <w:color w:val="auto"/>
          <w:szCs w:val="21"/>
          <w:highlight w:val="none"/>
        </w:rPr>
        <w:t>6.4</w:t>
      </w:r>
      <w:r>
        <w:rPr>
          <w:rFonts w:hint="eastAsia" w:ascii="宋体" w:hAnsi="宋体" w:cs="宋体"/>
          <w:color w:val="auto"/>
          <w:szCs w:val="21"/>
          <w:highlight w:val="none"/>
        </w:rPr>
        <w:t>按照《关于促进残疾人就业政府采购政策的通知》（财库〔</w:t>
      </w:r>
      <w:r>
        <w:rPr>
          <w:rFonts w:ascii="宋体" w:hAnsi="宋体" w:cs="宋体"/>
          <w:color w:val="auto"/>
          <w:szCs w:val="21"/>
          <w:highlight w:val="none"/>
        </w:rPr>
        <w:t>2017</w:t>
      </w:r>
      <w:r>
        <w:rPr>
          <w:rFonts w:hint="eastAsia" w:ascii="宋体" w:hAnsi="宋体" w:cs="宋体"/>
          <w:color w:val="auto"/>
          <w:szCs w:val="21"/>
          <w:highlight w:val="none"/>
        </w:rPr>
        <w:t>〕</w:t>
      </w:r>
      <w:r>
        <w:rPr>
          <w:rFonts w:ascii="宋体" w:hAnsi="宋体" w:cs="宋体"/>
          <w:color w:val="auto"/>
          <w:szCs w:val="21"/>
          <w:highlight w:val="none"/>
        </w:rPr>
        <w:t>141</w:t>
      </w:r>
      <w:r>
        <w:rPr>
          <w:rFonts w:hint="eastAsia" w:ascii="宋体" w:hAnsi="宋体" w:cs="宋体"/>
          <w:color w:val="auto"/>
          <w:szCs w:val="21"/>
          <w:highlight w:val="none"/>
        </w:rPr>
        <w:t>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29BB666">
      <w:pPr>
        <w:spacing w:line="360" w:lineRule="auto"/>
        <w:ind w:firstLine="420" w:firstLineChars="200"/>
        <w:rPr>
          <w:rFonts w:ascii="宋体" w:cs="宋体"/>
          <w:color w:val="auto"/>
          <w:highlight w:val="none"/>
        </w:rPr>
      </w:pPr>
      <w:r>
        <w:rPr>
          <w:rFonts w:ascii="宋体" w:hAnsi="宋体" w:cs="宋体"/>
          <w:color w:val="auto"/>
          <w:highlight w:val="none"/>
        </w:rPr>
        <w:t>6.5</w:t>
      </w:r>
      <w:r>
        <w:rPr>
          <w:rFonts w:hint="eastAsia" w:ascii="宋体" w:hAnsi="宋体" w:cs="宋体"/>
          <w:color w:val="auto"/>
          <w:highlight w:val="none"/>
        </w:rPr>
        <w:t>除上述情况外，评审价＝最后报价。</w:t>
      </w:r>
    </w:p>
    <w:p w14:paraId="0AB16264">
      <w:pPr>
        <w:spacing w:line="360" w:lineRule="auto"/>
        <w:jc w:val="center"/>
        <w:rPr>
          <w:rFonts w:hint="eastAsia" w:ascii="宋体" w:hAnsi="宋体"/>
          <w:b/>
          <w:color w:val="auto"/>
          <w:sz w:val="32"/>
          <w:szCs w:val="32"/>
          <w:highlight w:val="none"/>
        </w:rPr>
      </w:pPr>
    </w:p>
    <w:p w14:paraId="5218490E">
      <w:pPr>
        <w:spacing w:line="360" w:lineRule="auto"/>
        <w:jc w:val="center"/>
        <w:rPr>
          <w:rFonts w:ascii="宋体"/>
          <w:b/>
          <w:color w:val="auto"/>
          <w:sz w:val="32"/>
          <w:szCs w:val="32"/>
          <w:highlight w:val="none"/>
        </w:rPr>
      </w:pPr>
      <w:r>
        <w:rPr>
          <w:rFonts w:hint="eastAsia" w:ascii="宋体" w:hAnsi="宋体"/>
          <w:b/>
          <w:color w:val="auto"/>
          <w:sz w:val="32"/>
          <w:szCs w:val="32"/>
          <w:highlight w:val="none"/>
        </w:rPr>
        <w:t>二、评定成交的标准</w:t>
      </w:r>
    </w:p>
    <w:p w14:paraId="08B776CE">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 xml:space="preserve">7. </w:t>
      </w:r>
      <w:r>
        <w:rPr>
          <w:rFonts w:hint="eastAsia" w:ascii="黑体" w:hAnsi="黑体" w:eastAsia="黑体" w:cs="宋体"/>
          <w:b/>
          <w:bCs/>
          <w:color w:val="auto"/>
          <w:sz w:val="24"/>
          <w:highlight w:val="none"/>
        </w:rPr>
        <w:t>成交候选人推荐</w:t>
      </w:r>
    </w:p>
    <w:p w14:paraId="015572B7">
      <w:pPr>
        <w:spacing w:line="360" w:lineRule="auto"/>
        <w:ind w:firstLine="420" w:firstLineChars="200"/>
        <w:contextualSpacing/>
        <w:rPr>
          <w:rFonts w:hint="eastAsia" w:hAnsi="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名以上成交候选人（评审价相同时，按照最后报价由低到高顺序依次推荐；最后报价相同时，由谈判小组按“供应商须知前附表”第</w:t>
      </w:r>
      <w:r>
        <w:rPr>
          <w:rFonts w:ascii="宋体" w:hAnsi="宋体" w:cs="宋体"/>
          <w:color w:val="auto"/>
          <w:highlight w:val="none"/>
        </w:rPr>
        <w:t>26</w:t>
      </w:r>
      <w:r>
        <w:rPr>
          <w:rFonts w:hint="eastAsia" w:ascii="宋体" w:hAnsi="宋体" w:cs="宋体"/>
          <w:color w:val="auto"/>
          <w:highlight w:val="none"/>
        </w:rPr>
        <w:t>.1条规定的顺序推荐），并编写评审报告，评审报告</w:t>
      </w:r>
      <w:r>
        <w:rPr>
          <w:rFonts w:hint="eastAsia" w:hAnsi="宋体"/>
          <w:color w:val="auto"/>
          <w:highlight w:val="none"/>
        </w:rPr>
        <w:t>通过电子交易平台向采购人、采购代理机构提交。</w:t>
      </w:r>
    </w:p>
    <w:p w14:paraId="461E7A99">
      <w:pPr>
        <w:pStyle w:val="2"/>
        <w:jc w:val="center"/>
        <w:rPr>
          <w:color w:val="auto"/>
          <w:highlight w:val="none"/>
        </w:rPr>
      </w:pPr>
    </w:p>
    <w:p w14:paraId="1A520831">
      <w:pPr>
        <w:rPr>
          <w:color w:val="auto"/>
          <w:highlight w:val="none"/>
        </w:rPr>
      </w:pPr>
    </w:p>
    <w:p w14:paraId="5810FF1D">
      <w:pPr>
        <w:rPr>
          <w:color w:val="auto"/>
          <w:highlight w:val="none"/>
        </w:rPr>
      </w:pPr>
      <w:r>
        <w:rPr>
          <w:color w:val="auto"/>
          <w:highlight w:val="none"/>
        </w:rPr>
        <w:t>.</w:t>
      </w:r>
    </w:p>
    <w:p w14:paraId="732D5558">
      <w:pPr>
        <w:rPr>
          <w:color w:val="auto"/>
          <w:highlight w:val="none"/>
        </w:rPr>
      </w:pPr>
    </w:p>
    <w:p w14:paraId="2D2FF407">
      <w:pPr>
        <w:rPr>
          <w:color w:val="auto"/>
          <w:highlight w:val="none"/>
        </w:rPr>
      </w:pPr>
    </w:p>
    <w:p w14:paraId="23B1691E">
      <w:pPr>
        <w:rPr>
          <w:color w:val="auto"/>
          <w:highlight w:val="none"/>
        </w:rPr>
      </w:pPr>
    </w:p>
    <w:p w14:paraId="681A5CB1">
      <w:pPr>
        <w:rPr>
          <w:color w:val="auto"/>
          <w:highlight w:val="none"/>
        </w:rPr>
      </w:pPr>
    </w:p>
    <w:p w14:paraId="5662E65D">
      <w:pPr>
        <w:rPr>
          <w:color w:val="auto"/>
          <w:highlight w:val="none"/>
        </w:rPr>
      </w:pPr>
    </w:p>
    <w:p w14:paraId="2B2C657D">
      <w:pPr>
        <w:rPr>
          <w:color w:val="auto"/>
          <w:highlight w:val="none"/>
        </w:rPr>
      </w:pPr>
    </w:p>
    <w:p w14:paraId="613E2EDF">
      <w:pPr>
        <w:rPr>
          <w:color w:val="auto"/>
          <w:highlight w:val="none"/>
        </w:rPr>
      </w:pPr>
    </w:p>
    <w:p w14:paraId="2998FF46">
      <w:pPr>
        <w:rPr>
          <w:color w:val="auto"/>
          <w:highlight w:val="none"/>
        </w:rPr>
      </w:pPr>
    </w:p>
    <w:p w14:paraId="6D85E73C">
      <w:pPr>
        <w:rPr>
          <w:color w:val="auto"/>
          <w:highlight w:val="none"/>
        </w:rPr>
      </w:pPr>
    </w:p>
    <w:p w14:paraId="4504DB96">
      <w:pPr>
        <w:pStyle w:val="2"/>
        <w:jc w:val="center"/>
        <w:rPr>
          <w:color w:val="auto"/>
          <w:highlight w:val="none"/>
        </w:rPr>
      </w:pPr>
      <w:bookmarkStart w:id="76" w:name="_Toc74322012"/>
    </w:p>
    <w:p w14:paraId="6668EDD2">
      <w:pPr>
        <w:pStyle w:val="2"/>
        <w:jc w:val="center"/>
        <w:rPr>
          <w:color w:val="auto"/>
          <w:highlight w:val="none"/>
        </w:rPr>
      </w:pPr>
      <w:r>
        <w:rPr>
          <w:rFonts w:hint="eastAsia"/>
          <w:color w:val="auto"/>
          <w:highlight w:val="none"/>
        </w:rPr>
        <w:t>第五章 响应文件格式</w:t>
      </w:r>
      <w:bookmarkEnd w:id="76"/>
    </w:p>
    <w:p w14:paraId="62787371">
      <w:pPr>
        <w:spacing w:line="240" w:lineRule="atLeast"/>
        <w:rPr>
          <w:rFonts w:ascii="宋体"/>
          <w:b/>
          <w:color w:val="auto"/>
          <w:sz w:val="32"/>
          <w:szCs w:val="32"/>
          <w:highlight w:val="none"/>
        </w:rPr>
      </w:pPr>
    </w:p>
    <w:p w14:paraId="41F1B44E">
      <w:pPr>
        <w:spacing w:line="240" w:lineRule="atLeast"/>
        <w:rPr>
          <w:rFonts w:ascii="宋体"/>
          <w:b/>
          <w:color w:val="auto"/>
          <w:sz w:val="32"/>
          <w:szCs w:val="32"/>
          <w:highlight w:val="none"/>
        </w:rPr>
      </w:pPr>
    </w:p>
    <w:p w14:paraId="709EF0A5">
      <w:pPr>
        <w:spacing w:line="240" w:lineRule="atLeast"/>
        <w:rPr>
          <w:rFonts w:ascii="宋体"/>
          <w:b/>
          <w:color w:val="auto"/>
          <w:sz w:val="32"/>
          <w:szCs w:val="32"/>
          <w:highlight w:val="none"/>
        </w:rPr>
      </w:pPr>
    </w:p>
    <w:p w14:paraId="1C82E1C1">
      <w:pPr>
        <w:spacing w:line="240" w:lineRule="atLeast"/>
        <w:rPr>
          <w:rFonts w:ascii="宋体"/>
          <w:b/>
          <w:color w:val="auto"/>
          <w:sz w:val="32"/>
          <w:szCs w:val="32"/>
          <w:highlight w:val="none"/>
        </w:rPr>
      </w:pPr>
    </w:p>
    <w:p w14:paraId="641B6DAC">
      <w:pPr>
        <w:spacing w:line="240" w:lineRule="atLeast"/>
        <w:rPr>
          <w:rFonts w:ascii="宋体"/>
          <w:b/>
          <w:color w:val="auto"/>
          <w:sz w:val="32"/>
          <w:szCs w:val="32"/>
          <w:highlight w:val="none"/>
        </w:rPr>
      </w:pPr>
    </w:p>
    <w:p w14:paraId="0B4B410B">
      <w:pPr>
        <w:spacing w:line="240" w:lineRule="atLeast"/>
        <w:rPr>
          <w:rFonts w:ascii="宋体"/>
          <w:b/>
          <w:color w:val="auto"/>
          <w:sz w:val="32"/>
          <w:szCs w:val="32"/>
          <w:highlight w:val="none"/>
        </w:rPr>
      </w:pPr>
    </w:p>
    <w:p w14:paraId="610B0980">
      <w:pPr>
        <w:spacing w:line="240" w:lineRule="atLeast"/>
        <w:rPr>
          <w:rFonts w:ascii="宋体"/>
          <w:b/>
          <w:color w:val="auto"/>
          <w:sz w:val="32"/>
          <w:szCs w:val="32"/>
          <w:highlight w:val="none"/>
        </w:rPr>
      </w:pPr>
    </w:p>
    <w:p w14:paraId="7F7870C7">
      <w:pPr>
        <w:spacing w:line="240" w:lineRule="atLeast"/>
        <w:rPr>
          <w:rFonts w:ascii="宋体"/>
          <w:b/>
          <w:color w:val="auto"/>
          <w:sz w:val="32"/>
          <w:szCs w:val="32"/>
          <w:highlight w:val="none"/>
        </w:rPr>
      </w:pPr>
    </w:p>
    <w:p w14:paraId="4A8B771B">
      <w:pPr>
        <w:spacing w:line="240" w:lineRule="atLeast"/>
        <w:rPr>
          <w:rFonts w:ascii="宋体"/>
          <w:b/>
          <w:color w:val="auto"/>
          <w:sz w:val="32"/>
          <w:szCs w:val="32"/>
          <w:highlight w:val="none"/>
        </w:rPr>
      </w:pPr>
    </w:p>
    <w:p w14:paraId="6365278A">
      <w:pPr>
        <w:spacing w:line="240" w:lineRule="atLeast"/>
        <w:rPr>
          <w:rFonts w:ascii="宋体"/>
          <w:b/>
          <w:color w:val="auto"/>
          <w:sz w:val="32"/>
          <w:szCs w:val="32"/>
          <w:highlight w:val="none"/>
        </w:rPr>
      </w:pPr>
    </w:p>
    <w:p w14:paraId="3AAAC614">
      <w:pPr>
        <w:spacing w:line="240" w:lineRule="atLeast"/>
        <w:rPr>
          <w:rFonts w:ascii="宋体"/>
          <w:b/>
          <w:color w:val="auto"/>
          <w:sz w:val="32"/>
          <w:szCs w:val="32"/>
          <w:highlight w:val="none"/>
        </w:rPr>
      </w:pPr>
    </w:p>
    <w:p w14:paraId="447DCB27">
      <w:pPr>
        <w:spacing w:line="240" w:lineRule="atLeast"/>
        <w:rPr>
          <w:rFonts w:ascii="宋体"/>
          <w:b/>
          <w:color w:val="auto"/>
          <w:sz w:val="32"/>
          <w:szCs w:val="32"/>
          <w:highlight w:val="none"/>
        </w:rPr>
      </w:pPr>
    </w:p>
    <w:p w14:paraId="28E76180">
      <w:pPr>
        <w:spacing w:line="240" w:lineRule="atLeast"/>
        <w:rPr>
          <w:rFonts w:ascii="宋体"/>
          <w:b/>
          <w:color w:val="auto"/>
          <w:sz w:val="32"/>
          <w:szCs w:val="32"/>
          <w:highlight w:val="none"/>
        </w:rPr>
      </w:pPr>
    </w:p>
    <w:p w14:paraId="4F94262B">
      <w:pPr>
        <w:spacing w:line="240" w:lineRule="atLeast"/>
        <w:rPr>
          <w:rFonts w:ascii="宋体"/>
          <w:b/>
          <w:color w:val="auto"/>
          <w:sz w:val="32"/>
          <w:szCs w:val="32"/>
          <w:highlight w:val="none"/>
        </w:rPr>
      </w:pPr>
    </w:p>
    <w:p w14:paraId="01892215">
      <w:pPr>
        <w:rPr>
          <w:b/>
          <w:color w:val="auto"/>
          <w:sz w:val="32"/>
          <w:szCs w:val="32"/>
          <w:highlight w:val="none"/>
        </w:rPr>
      </w:pPr>
      <w:bookmarkStart w:id="77" w:name="_Toc71365382"/>
      <w:bookmarkStart w:id="78" w:name="_Toc71366060"/>
    </w:p>
    <w:p w14:paraId="04ED26AC">
      <w:pPr>
        <w:rPr>
          <w:b/>
          <w:color w:val="auto"/>
          <w:sz w:val="32"/>
          <w:szCs w:val="32"/>
          <w:highlight w:val="none"/>
        </w:rPr>
      </w:pPr>
      <w:r>
        <w:rPr>
          <w:rFonts w:hint="eastAsia"/>
          <w:b/>
          <w:color w:val="auto"/>
          <w:sz w:val="32"/>
          <w:szCs w:val="32"/>
          <w:highlight w:val="none"/>
        </w:rPr>
        <w:t>一、资格证明文件格式</w:t>
      </w:r>
      <w:bookmarkEnd w:id="77"/>
      <w:bookmarkEnd w:id="78"/>
    </w:p>
    <w:p w14:paraId="18F139F4">
      <w:pPr>
        <w:snapToGrid w:val="0"/>
        <w:spacing w:before="120" w:beforeLines="50" w:after="50" w:line="360" w:lineRule="auto"/>
        <w:jc w:val="left"/>
        <w:rPr>
          <w:rFonts w:ascii="宋体"/>
          <w:b/>
          <w:color w:val="auto"/>
          <w:sz w:val="24"/>
          <w:highlight w:val="none"/>
        </w:rPr>
      </w:pPr>
      <w:r>
        <w:rPr>
          <w:rFonts w:ascii="宋体" w:hAnsi="宋体"/>
          <w:b/>
          <w:color w:val="auto"/>
          <w:sz w:val="32"/>
          <w:szCs w:val="32"/>
          <w:highlight w:val="none"/>
        </w:rPr>
        <w:t>1.</w:t>
      </w:r>
      <w:r>
        <w:rPr>
          <w:rFonts w:hint="eastAsia" w:ascii="宋体" w:hAnsi="宋体"/>
          <w:b/>
          <w:color w:val="auto"/>
          <w:sz w:val="32"/>
          <w:szCs w:val="32"/>
          <w:highlight w:val="none"/>
        </w:rPr>
        <w:t>资格证明文件封面格式：</w:t>
      </w:r>
    </w:p>
    <w:p w14:paraId="7948FDB7">
      <w:pPr>
        <w:snapToGrid w:val="0"/>
        <w:spacing w:before="120" w:beforeLines="50" w:after="50"/>
        <w:rPr>
          <w:rFonts w:ascii="宋体"/>
          <w:bCs/>
          <w:color w:val="auto"/>
          <w:sz w:val="32"/>
          <w:szCs w:val="20"/>
          <w:highlight w:val="none"/>
        </w:rPr>
      </w:pPr>
    </w:p>
    <w:p w14:paraId="003A5FA2">
      <w:pPr>
        <w:snapToGrid w:val="0"/>
        <w:spacing w:before="120" w:beforeLines="50" w:after="50"/>
        <w:jc w:val="center"/>
        <w:rPr>
          <w:rFonts w:ascii="宋体"/>
          <w:color w:val="auto"/>
          <w:sz w:val="44"/>
          <w:szCs w:val="44"/>
          <w:highlight w:val="none"/>
        </w:rPr>
      </w:pPr>
      <w:r>
        <w:rPr>
          <w:rFonts w:hint="eastAsia" w:ascii="宋体" w:hAnsi="宋体"/>
          <w:color w:val="auto"/>
          <w:sz w:val="44"/>
          <w:szCs w:val="44"/>
          <w:highlight w:val="none"/>
        </w:rPr>
        <w:t>电子响应文件</w:t>
      </w:r>
    </w:p>
    <w:p w14:paraId="5A73832C">
      <w:pPr>
        <w:snapToGrid w:val="0"/>
        <w:spacing w:before="120" w:beforeLines="50" w:after="50"/>
        <w:rPr>
          <w:rFonts w:ascii="宋体"/>
          <w:color w:val="auto"/>
          <w:sz w:val="24"/>
          <w:szCs w:val="20"/>
          <w:highlight w:val="none"/>
        </w:rPr>
      </w:pPr>
    </w:p>
    <w:p w14:paraId="1C7C071B">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资格证明文件</w:t>
      </w:r>
    </w:p>
    <w:p w14:paraId="5D2949AF">
      <w:pPr>
        <w:snapToGrid w:val="0"/>
        <w:spacing w:before="120" w:beforeLines="50" w:after="50"/>
        <w:rPr>
          <w:rFonts w:ascii="宋体"/>
          <w:bCs/>
          <w:color w:val="auto"/>
          <w:sz w:val="24"/>
          <w:szCs w:val="20"/>
          <w:highlight w:val="none"/>
        </w:rPr>
      </w:pPr>
    </w:p>
    <w:p w14:paraId="13FCA53B">
      <w:pPr>
        <w:snapToGrid w:val="0"/>
        <w:spacing w:before="120" w:beforeLines="50" w:after="50"/>
        <w:rPr>
          <w:rFonts w:ascii="宋体"/>
          <w:bCs/>
          <w:color w:val="auto"/>
          <w:sz w:val="24"/>
          <w:szCs w:val="20"/>
          <w:highlight w:val="none"/>
        </w:rPr>
      </w:pPr>
    </w:p>
    <w:p w14:paraId="5E5B7610">
      <w:pPr>
        <w:snapToGrid w:val="0"/>
        <w:spacing w:before="120" w:beforeLines="50" w:after="50"/>
        <w:rPr>
          <w:rFonts w:ascii="宋体"/>
          <w:bCs/>
          <w:color w:val="auto"/>
          <w:sz w:val="24"/>
          <w:szCs w:val="20"/>
          <w:highlight w:val="none"/>
        </w:rPr>
      </w:pPr>
    </w:p>
    <w:p w14:paraId="75CD3567">
      <w:pPr>
        <w:snapToGrid w:val="0"/>
        <w:spacing w:before="120" w:beforeLines="50" w:after="50"/>
        <w:rPr>
          <w:rFonts w:ascii="宋体"/>
          <w:bCs/>
          <w:color w:val="auto"/>
          <w:sz w:val="24"/>
          <w:szCs w:val="20"/>
          <w:highlight w:val="none"/>
        </w:rPr>
      </w:pPr>
    </w:p>
    <w:p w14:paraId="5C869858">
      <w:pPr>
        <w:snapToGrid w:val="0"/>
        <w:spacing w:before="120" w:beforeLines="50" w:after="50"/>
        <w:rPr>
          <w:rFonts w:ascii="宋体"/>
          <w:bCs/>
          <w:color w:val="auto"/>
          <w:sz w:val="24"/>
          <w:szCs w:val="20"/>
          <w:highlight w:val="none"/>
        </w:rPr>
      </w:pPr>
    </w:p>
    <w:p w14:paraId="328F3F69">
      <w:pPr>
        <w:snapToGrid w:val="0"/>
        <w:spacing w:before="120" w:beforeLines="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项目名称：</w:t>
      </w:r>
    </w:p>
    <w:p w14:paraId="3C807803">
      <w:pPr>
        <w:snapToGrid w:val="0"/>
        <w:spacing w:before="120" w:beforeLines="50" w:after="50"/>
        <w:ind w:firstLine="720" w:firstLineChars="225"/>
        <w:rPr>
          <w:rFonts w:ascii="宋体" w:cs="仿宋_GB2312"/>
          <w:bCs/>
          <w:color w:val="auto"/>
          <w:sz w:val="32"/>
          <w:szCs w:val="32"/>
          <w:highlight w:val="none"/>
        </w:rPr>
      </w:pPr>
    </w:p>
    <w:p w14:paraId="2788CEE7">
      <w:pPr>
        <w:snapToGrid w:val="0"/>
        <w:spacing w:before="120" w:beforeLines="50" w:after="50"/>
        <w:ind w:firstLine="707" w:firstLineChars="221"/>
        <w:rPr>
          <w:rFonts w:ascii="宋体" w:cs="仿宋_GB2312"/>
          <w:bCs/>
          <w:color w:val="auto"/>
          <w:sz w:val="32"/>
          <w:szCs w:val="32"/>
          <w:highlight w:val="none"/>
        </w:rPr>
      </w:pPr>
      <w:r>
        <w:rPr>
          <w:rFonts w:hint="eastAsia" w:ascii="宋体" w:hAnsi="宋体" w:cs="仿宋_GB2312"/>
          <w:bCs/>
          <w:color w:val="auto"/>
          <w:sz w:val="32"/>
          <w:szCs w:val="32"/>
          <w:highlight w:val="none"/>
        </w:rPr>
        <w:t>项目编号：</w:t>
      </w:r>
    </w:p>
    <w:p w14:paraId="46763628">
      <w:pPr>
        <w:snapToGrid w:val="0"/>
        <w:spacing w:before="120" w:beforeLines="50" w:after="50"/>
        <w:ind w:firstLine="720" w:firstLineChars="225"/>
        <w:rPr>
          <w:rFonts w:ascii="宋体" w:cs="仿宋_GB2312"/>
          <w:bCs/>
          <w:color w:val="auto"/>
          <w:sz w:val="32"/>
          <w:szCs w:val="32"/>
          <w:highlight w:val="none"/>
        </w:rPr>
      </w:pPr>
    </w:p>
    <w:p w14:paraId="400865E3">
      <w:pPr>
        <w:snapToGrid w:val="0"/>
        <w:spacing w:before="120" w:beforeLines="50" w:after="50"/>
        <w:ind w:firstLine="720" w:firstLineChars="225"/>
        <w:rPr>
          <w:rFonts w:ascii="宋体" w:cs="仿宋_GB2312"/>
          <w:bCs/>
          <w:color w:val="auto"/>
          <w:sz w:val="32"/>
          <w:szCs w:val="32"/>
          <w:highlight w:val="none"/>
        </w:rPr>
      </w:pPr>
    </w:p>
    <w:p w14:paraId="1D3988A3">
      <w:pPr>
        <w:pStyle w:val="6"/>
        <w:snapToGrid w:val="0"/>
        <w:spacing w:before="50" w:after="50"/>
        <w:ind w:firstLine="720" w:firstLineChars="225"/>
        <w:rPr>
          <w:rFonts w:asci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33BA085">
      <w:pPr>
        <w:snapToGrid w:val="0"/>
        <w:spacing w:before="120" w:beforeLines="50" w:after="50"/>
        <w:ind w:firstLine="640" w:firstLineChars="200"/>
        <w:rPr>
          <w:rFonts w:ascii="宋体" w:cs="仿宋_GB2312"/>
          <w:bCs/>
          <w:color w:val="auto"/>
          <w:sz w:val="32"/>
          <w:szCs w:val="32"/>
          <w:highlight w:val="none"/>
        </w:rPr>
      </w:pPr>
    </w:p>
    <w:p w14:paraId="6189D6D8">
      <w:pPr>
        <w:pStyle w:val="6"/>
        <w:snapToGrid w:val="0"/>
        <w:spacing w:before="50" w:after="50"/>
        <w:ind w:firstLine="720" w:firstLineChars="225"/>
        <w:rPr>
          <w:rFonts w:ascii="宋体" w:cs="仿宋_GB2312"/>
          <w:bCs/>
          <w:color w:val="auto"/>
          <w:sz w:val="32"/>
          <w:szCs w:val="32"/>
          <w:highlight w:val="none"/>
        </w:rPr>
      </w:pPr>
    </w:p>
    <w:p w14:paraId="00041615">
      <w:pPr>
        <w:pStyle w:val="6"/>
        <w:snapToGrid w:val="0"/>
        <w:spacing w:before="50" w:after="50"/>
        <w:ind w:firstLine="720" w:firstLineChars="225"/>
        <w:rPr>
          <w:rFonts w:ascii="宋体" w:cs="仿宋_GB2312"/>
          <w:bCs/>
          <w:color w:val="auto"/>
          <w:sz w:val="32"/>
          <w:szCs w:val="32"/>
          <w:highlight w:val="none"/>
        </w:rPr>
      </w:pPr>
    </w:p>
    <w:p w14:paraId="37CFCF8A">
      <w:pPr>
        <w:pStyle w:val="6"/>
        <w:snapToGrid w:val="0"/>
        <w:spacing w:before="50" w:after="50"/>
        <w:ind w:firstLine="1280" w:firstLineChars="400"/>
        <w:rPr>
          <w:rFonts w:ascii="宋体" w:cs="仿宋_GB2312"/>
          <w:bCs/>
          <w:color w:val="auto"/>
          <w:sz w:val="32"/>
          <w:szCs w:val="32"/>
          <w:highlight w:val="none"/>
        </w:rPr>
      </w:pPr>
    </w:p>
    <w:p w14:paraId="3A59A58B">
      <w:pPr>
        <w:snapToGrid w:val="0"/>
        <w:spacing w:before="120" w:beforeLines="50" w:after="50"/>
        <w:jc w:val="center"/>
        <w:rPr>
          <w:rFonts w:ascii="宋体" w:cs="仿宋_GB2312"/>
          <w:color w:val="auto"/>
          <w:sz w:val="32"/>
          <w:szCs w:val="32"/>
          <w:highlight w:val="none"/>
        </w:rPr>
      </w:pPr>
      <w:r>
        <w:rPr>
          <w:rFonts w:hint="eastAsia" w:ascii="宋体" w:hAnsi="宋体" w:cs="仿宋_GB2312"/>
          <w:color w:val="auto"/>
          <w:sz w:val="32"/>
          <w:szCs w:val="32"/>
          <w:highlight w:val="none"/>
        </w:rPr>
        <w:t>年  月  日</w:t>
      </w:r>
    </w:p>
    <w:p w14:paraId="1C30A6FB">
      <w:pPr>
        <w:snapToGrid w:val="0"/>
        <w:spacing w:before="120" w:beforeLines="50" w:after="50" w:line="360" w:lineRule="auto"/>
        <w:ind w:left="142"/>
        <w:jc w:val="left"/>
        <w:rPr>
          <w:rFonts w:ascii="宋体"/>
          <w:b/>
          <w:bCs/>
          <w:color w:val="auto"/>
          <w:sz w:val="32"/>
          <w:szCs w:val="32"/>
          <w:highlight w:val="none"/>
        </w:rPr>
      </w:pPr>
      <w:r>
        <w:rPr>
          <w:rFonts w:ascii="宋体"/>
          <w:color w:val="auto"/>
          <w:sz w:val="24"/>
          <w:highlight w:val="none"/>
        </w:rPr>
        <w:br w:type="page"/>
      </w:r>
      <w:r>
        <w:rPr>
          <w:rFonts w:ascii="宋体" w:hAnsi="宋体"/>
          <w:b/>
          <w:bCs/>
          <w:color w:val="auto"/>
          <w:sz w:val="32"/>
          <w:szCs w:val="32"/>
          <w:highlight w:val="none"/>
        </w:rPr>
        <w:t>2.</w:t>
      </w:r>
      <w:r>
        <w:rPr>
          <w:rFonts w:hint="eastAsia" w:ascii="宋体" w:hAnsi="宋体"/>
          <w:b/>
          <w:bCs/>
          <w:color w:val="auto"/>
          <w:sz w:val="32"/>
          <w:szCs w:val="32"/>
          <w:highlight w:val="none"/>
        </w:rPr>
        <w:t>资格证明文件目录</w:t>
      </w:r>
    </w:p>
    <w:p w14:paraId="1182AABA">
      <w:pPr>
        <w:snapToGrid w:val="0"/>
        <w:spacing w:before="120" w:beforeLines="50" w:after="50" w:line="360" w:lineRule="auto"/>
        <w:ind w:firstLine="645"/>
        <w:rPr>
          <w:rFonts w:asci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5CDC563E">
      <w:pPr>
        <w:snapToGrid w:val="0"/>
        <w:spacing w:before="120" w:beforeLines="50" w:after="50" w:line="360" w:lineRule="auto"/>
        <w:rPr>
          <w:rFonts w:ascii="宋体"/>
          <w:color w:val="auto"/>
          <w:sz w:val="24"/>
          <w:szCs w:val="20"/>
          <w:highlight w:val="none"/>
        </w:rPr>
      </w:pPr>
    </w:p>
    <w:p w14:paraId="0BE57CF7">
      <w:pPr>
        <w:spacing w:line="360" w:lineRule="auto"/>
        <w:rPr>
          <w:rFonts w:ascii="宋体"/>
          <w:color w:val="auto"/>
          <w:szCs w:val="21"/>
          <w:highlight w:val="none"/>
        </w:rPr>
      </w:pPr>
    </w:p>
    <w:p w14:paraId="7DF7CD8B">
      <w:pPr>
        <w:spacing w:line="360" w:lineRule="auto"/>
        <w:rPr>
          <w:rFonts w:ascii="宋体"/>
          <w:color w:val="auto"/>
          <w:szCs w:val="21"/>
          <w:highlight w:val="none"/>
        </w:rPr>
      </w:pPr>
    </w:p>
    <w:p w14:paraId="26954815">
      <w:pPr>
        <w:spacing w:line="360" w:lineRule="auto"/>
        <w:rPr>
          <w:rFonts w:ascii="宋体"/>
          <w:color w:val="auto"/>
          <w:szCs w:val="21"/>
          <w:highlight w:val="none"/>
        </w:rPr>
      </w:pPr>
    </w:p>
    <w:p w14:paraId="47FB0766">
      <w:pPr>
        <w:spacing w:line="360" w:lineRule="auto"/>
        <w:rPr>
          <w:rFonts w:ascii="宋体"/>
          <w:color w:val="auto"/>
          <w:szCs w:val="21"/>
          <w:highlight w:val="none"/>
        </w:rPr>
      </w:pPr>
    </w:p>
    <w:p w14:paraId="0457AF9F">
      <w:pPr>
        <w:spacing w:line="300" w:lineRule="auto"/>
        <w:rPr>
          <w:rFonts w:ascii="宋体"/>
          <w:color w:val="auto"/>
          <w:szCs w:val="21"/>
          <w:highlight w:val="none"/>
        </w:rPr>
      </w:pPr>
    </w:p>
    <w:p w14:paraId="32F918E4">
      <w:pPr>
        <w:spacing w:line="300" w:lineRule="auto"/>
        <w:rPr>
          <w:rFonts w:ascii="宋体"/>
          <w:color w:val="auto"/>
          <w:szCs w:val="21"/>
          <w:highlight w:val="none"/>
        </w:rPr>
      </w:pPr>
    </w:p>
    <w:p w14:paraId="193CAA2A">
      <w:pPr>
        <w:spacing w:line="300" w:lineRule="auto"/>
        <w:rPr>
          <w:rFonts w:ascii="宋体"/>
          <w:color w:val="auto"/>
          <w:szCs w:val="21"/>
          <w:highlight w:val="none"/>
        </w:rPr>
      </w:pPr>
    </w:p>
    <w:p w14:paraId="4758BDBC">
      <w:pPr>
        <w:spacing w:line="300" w:lineRule="auto"/>
        <w:rPr>
          <w:rFonts w:ascii="宋体"/>
          <w:color w:val="auto"/>
          <w:szCs w:val="21"/>
          <w:highlight w:val="none"/>
        </w:rPr>
      </w:pPr>
    </w:p>
    <w:p w14:paraId="3273C325">
      <w:pPr>
        <w:spacing w:line="300" w:lineRule="auto"/>
        <w:rPr>
          <w:rFonts w:ascii="宋体"/>
          <w:color w:val="auto"/>
          <w:szCs w:val="21"/>
          <w:highlight w:val="none"/>
        </w:rPr>
      </w:pPr>
    </w:p>
    <w:p w14:paraId="1E1220DC">
      <w:pPr>
        <w:spacing w:line="300" w:lineRule="auto"/>
        <w:rPr>
          <w:rFonts w:ascii="宋体"/>
          <w:color w:val="auto"/>
          <w:szCs w:val="21"/>
          <w:highlight w:val="none"/>
        </w:rPr>
      </w:pPr>
    </w:p>
    <w:p w14:paraId="3883572A">
      <w:pPr>
        <w:spacing w:line="300" w:lineRule="auto"/>
        <w:rPr>
          <w:rFonts w:ascii="宋体"/>
          <w:color w:val="auto"/>
          <w:szCs w:val="21"/>
          <w:highlight w:val="none"/>
        </w:rPr>
      </w:pPr>
    </w:p>
    <w:p w14:paraId="21B3A56D">
      <w:pPr>
        <w:spacing w:line="300" w:lineRule="auto"/>
        <w:rPr>
          <w:rFonts w:ascii="宋体"/>
          <w:color w:val="auto"/>
          <w:szCs w:val="21"/>
          <w:highlight w:val="none"/>
        </w:rPr>
      </w:pPr>
    </w:p>
    <w:p w14:paraId="03DDFECC">
      <w:pPr>
        <w:spacing w:line="300" w:lineRule="auto"/>
        <w:rPr>
          <w:rFonts w:ascii="宋体"/>
          <w:color w:val="auto"/>
          <w:szCs w:val="21"/>
          <w:highlight w:val="none"/>
        </w:rPr>
      </w:pPr>
    </w:p>
    <w:p w14:paraId="7684946C">
      <w:pPr>
        <w:spacing w:line="300" w:lineRule="auto"/>
        <w:rPr>
          <w:rFonts w:ascii="宋体"/>
          <w:color w:val="auto"/>
          <w:szCs w:val="21"/>
          <w:highlight w:val="none"/>
        </w:rPr>
      </w:pPr>
    </w:p>
    <w:p w14:paraId="573EFBE7">
      <w:pPr>
        <w:spacing w:line="300" w:lineRule="auto"/>
        <w:rPr>
          <w:rFonts w:ascii="宋体"/>
          <w:color w:val="auto"/>
          <w:szCs w:val="21"/>
          <w:highlight w:val="none"/>
        </w:rPr>
      </w:pPr>
    </w:p>
    <w:p w14:paraId="2652B2BF">
      <w:pPr>
        <w:spacing w:line="320" w:lineRule="exact"/>
        <w:jc w:val="left"/>
        <w:rPr>
          <w:rFonts w:ascii="宋体"/>
          <w:color w:val="auto"/>
          <w:szCs w:val="21"/>
          <w:highlight w:val="none"/>
        </w:rPr>
      </w:pPr>
    </w:p>
    <w:p w14:paraId="4DA01D75">
      <w:pPr>
        <w:snapToGrid w:val="0"/>
        <w:spacing w:before="120" w:beforeLines="50" w:after="50"/>
        <w:jc w:val="center"/>
        <w:rPr>
          <w:rFonts w:ascii="宋体"/>
          <w:b/>
          <w:color w:val="auto"/>
          <w:sz w:val="32"/>
          <w:szCs w:val="32"/>
          <w:highlight w:val="none"/>
        </w:rPr>
      </w:pPr>
      <w:r>
        <w:rPr>
          <w:rFonts w:ascii="宋体"/>
          <w:b/>
          <w:color w:val="auto"/>
          <w:sz w:val="32"/>
          <w:szCs w:val="32"/>
          <w:highlight w:val="none"/>
        </w:rPr>
        <w:br w:type="page"/>
      </w:r>
      <w:r>
        <w:rPr>
          <w:rFonts w:hint="eastAsia" w:ascii="宋体" w:hAnsi="宋体"/>
          <w:b/>
          <w:color w:val="auto"/>
          <w:sz w:val="32"/>
          <w:szCs w:val="32"/>
          <w:highlight w:val="none"/>
        </w:rPr>
        <w:t>供应商直接控股、管理关系信息表</w:t>
      </w:r>
    </w:p>
    <w:p w14:paraId="1296E3B4">
      <w:pPr>
        <w:snapToGrid w:val="0"/>
        <w:spacing w:before="120" w:beforeLines="50" w:after="50"/>
        <w:jc w:val="center"/>
        <w:rPr>
          <w:rFonts w:ascii="宋体"/>
          <w:b/>
          <w:color w:val="auto"/>
          <w:sz w:val="32"/>
          <w:szCs w:val="32"/>
          <w:highlight w:val="none"/>
        </w:rPr>
      </w:pPr>
    </w:p>
    <w:p w14:paraId="41AA2DD5">
      <w:pPr>
        <w:snapToGrid w:val="0"/>
        <w:spacing w:before="120" w:beforeLines="50" w:after="50"/>
        <w:jc w:val="center"/>
        <w:rPr>
          <w:rFonts w:ascii="宋体"/>
          <w:b/>
          <w:color w:val="auto"/>
          <w:sz w:val="32"/>
          <w:szCs w:val="32"/>
          <w:highlight w:val="none"/>
        </w:rPr>
      </w:pPr>
      <w:r>
        <w:rPr>
          <w:rFonts w:hint="eastAsia" w:ascii="宋体" w:hAnsi="宋体"/>
          <w:b/>
          <w:color w:val="auto"/>
          <w:sz w:val="32"/>
          <w:szCs w:val="32"/>
          <w:highlight w:val="none"/>
        </w:rPr>
        <w:t>供应商直接控股股东信息表</w:t>
      </w:r>
    </w:p>
    <w:p w14:paraId="38AD1C1F">
      <w:pPr>
        <w:snapToGrid w:val="0"/>
        <w:spacing w:before="50" w:after="120" w:afterLines="50"/>
        <w:jc w:val="center"/>
        <w:rPr>
          <w:rFonts w:ascii="宋体"/>
          <w:b/>
          <w:color w:val="auto"/>
          <w:sz w:val="32"/>
          <w:szCs w:val="32"/>
          <w:highlight w:val="none"/>
        </w:rPr>
      </w:pPr>
    </w:p>
    <w:tbl>
      <w:tblPr>
        <w:tblStyle w:val="25"/>
        <w:tblW w:w="10147" w:type="dxa"/>
        <w:jc w:val="center"/>
        <w:tblLayout w:type="fixed"/>
        <w:tblCellMar>
          <w:top w:w="0" w:type="dxa"/>
          <w:left w:w="0" w:type="dxa"/>
          <w:bottom w:w="0" w:type="dxa"/>
          <w:right w:w="0" w:type="dxa"/>
        </w:tblCellMar>
      </w:tblPr>
      <w:tblGrid>
        <w:gridCol w:w="880"/>
        <w:gridCol w:w="2655"/>
        <w:gridCol w:w="1455"/>
        <w:gridCol w:w="4287"/>
        <w:gridCol w:w="870"/>
      </w:tblGrid>
      <w:tr w14:paraId="3A1B778A">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41C9FA3">
            <w:pPr>
              <w:widowControl/>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92509E8">
            <w:pPr>
              <w:widowControl/>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CF9CD04">
            <w:pPr>
              <w:widowControl/>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63AF415">
            <w:pPr>
              <w:widowControl/>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EB2BD78">
            <w:pPr>
              <w:widowControl/>
              <w:spacing w:line="360" w:lineRule="auto"/>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177282E1">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C5C5E5">
            <w:pPr>
              <w:widowControl/>
              <w:spacing w:line="360" w:lineRule="auto"/>
              <w:jc w:val="center"/>
              <w:rPr>
                <w:rFonts w:ascii="宋体" w:cs="宋体"/>
                <w:color w:val="auto"/>
                <w:kern w:val="0"/>
                <w:sz w:val="28"/>
                <w:szCs w:val="28"/>
                <w:highlight w:val="none"/>
              </w:rPr>
            </w:pPr>
            <w:r>
              <w:rPr>
                <w:rFonts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5B716">
            <w:pPr>
              <w:widowControl/>
              <w:spacing w:line="360" w:lineRule="auto"/>
              <w:jc w:val="center"/>
              <w:rPr>
                <w:rFonts w:asci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8D991D">
            <w:pPr>
              <w:widowControl/>
              <w:spacing w:line="360" w:lineRule="auto"/>
              <w:jc w:val="center"/>
              <w:rPr>
                <w:rFonts w:asci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37CA5F">
            <w:pPr>
              <w:widowControl/>
              <w:spacing w:line="360" w:lineRule="auto"/>
              <w:jc w:val="center"/>
              <w:rPr>
                <w:rFonts w:asci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5B7A5F">
            <w:pPr>
              <w:widowControl/>
              <w:spacing w:line="360" w:lineRule="auto"/>
              <w:jc w:val="center"/>
              <w:rPr>
                <w:rFonts w:ascii="宋体" w:cs="宋体"/>
                <w:color w:val="auto"/>
                <w:kern w:val="0"/>
                <w:sz w:val="28"/>
                <w:szCs w:val="28"/>
                <w:highlight w:val="none"/>
              </w:rPr>
            </w:pPr>
          </w:p>
        </w:tc>
      </w:tr>
      <w:tr w14:paraId="54A2529E">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13A8AA">
            <w:pPr>
              <w:widowControl/>
              <w:spacing w:line="360" w:lineRule="auto"/>
              <w:jc w:val="center"/>
              <w:rPr>
                <w:rFonts w:ascii="宋体" w:cs="宋体"/>
                <w:color w:val="auto"/>
                <w:kern w:val="0"/>
                <w:sz w:val="28"/>
                <w:szCs w:val="28"/>
                <w:highlight w:val="none"/>
              </w:rPr>
            </w:pPr>
            <w:r>
              <w:rPr>
                <w:rFonts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3A3AB4">
            <w:pPr>
              <w:widowControl/>
              <w:spacing w:line="360" w:lineRule="auto"/>
              <w:jc w:val="center"/>
              <w:rPr>
                <w:rFonts w:asci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EAE707">
            <w:pPr>
              <w:widowControl/>
              <w:spacing w:line="360" w:lineRule="auto"/>
              <w:jc w:val="center"/>
              <w:rPr>
                <w:rFonts w:asci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ADD701">
            <w:pPr>
              <w:widowControl/>
              <w:spacing w:line="360" w:lineRule="auto"/>
              <w:jc w:val="center"/>
              <w:rPr>
                <w:rFonts w:asci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E0494">
            <w:pPr>
              <w:widowControl/>
              <w:spacing w:line="360" w:lineRule="auto"/>
              <w:jc w:val="center"/>
              <w:rPr>
                <w:rFonts w:ascii="宋体" w:cs="宋体"/>
                <w:color w:val="auto"/>
                <w:kern w:val="0"/>
                <w:sz w:val="28"/>
                <w:szCs w:val="28"/>
                <w:highlight w:val="none"/>
              </w:rPr>
            </w:pPr>
          </w:p>
        </w:tc>
      </w:tr>
      <w:tr w14:paraId="287E0C7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4861B9">
            <w:pPr>
              <w:widowControl/>
              <w:spacing w:line="360" w:lineRule="auto"/>
              <w:jc w:val="center"/>
              <w:rPr>
                <w:rFonts w:ascii="宋体" w:cs="宋体"/>
                <w:color w:val="auto"/>
                <w:kern w:val="0"/>
                <w:sz w:val="28"/>
                <w:szCs w:val="28"/>
                <w:highlight w:val="none"/>
              </w:rPr>
            </w:pPr>
            <w:r>
              <w:rPr>
                <w:rFonts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DD9DD62">
            <w:pPr>
              <w:widowControl/>
              <w:spacing w:line="360" w:lineRule="auto"/>
              <w:jc w:val="center"/>
              <w:rPr>
                <w:rFonts w:asci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0ED717">
            <w:pPr>
              <w:widowControl/>
              <w:spacing w:line="360" w:lineRule="auto"/>
              <w:jc w:val="center"/>
              <w:rPr>
                <w:rFonts w:asci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E42B4">
            <w:pPr>
              <w:widowControl/>
              <w:spacing w:line="360" w:lineRule="auto"/>
              <w:jc w:val="center"/>
              <w:rPr>
                <w:rFonts w:asci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931D9D2">
            <w:pPr>
              <w:widowControl/>
              <w:spacing w:line="360" w:lineRule="auto"/>
              <w:jc w:val="center"/>
              <w:rPr>
                <w:rFonts w:ascii="宋体" w:cs="宋体"/>
                <w:color w:val="auto"/>
                <w:kern w:val="0"/>
                <w:sz w:val="28"/>
                <w:szCs w:val="28"/>
                <w:highlight w:val="none"/>
              </w:rPr>
            </w:pPr>
          </w:p>
        </w:tc>
      </w:tr>
      <w:tr w14:paraId="1739737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B09CB4">
            <w:pPr>
              <w:widowControl/>
              <w:spacing w:line="360" w:lineRule="auto"/>
              <w:jc w:val="center"/>
              <w:rPr>
                <w:rFonts w:asci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7861B5">
            <w:pPr>
              <w:widowControl/>
              <w:spacing w:line="360" w:lineRule="auto"/>
              <w:jc w:val="center"/>
              <w:rPr>
                <w:rFonts w:asci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493F0F">
            <w:pPr>
              <w:widowControl/>
              <w:spacing w:line="360" w:lineRule="auto"/>
              <w:jc w:val="center"/>
              <w:rPr>
                <w:rFonts w:asci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050847">
            <w:pPr>
              <w:widowControl/>
              <w:spacing w:line="360" w:lineRule="auto"/>
              <w:jc w:val="center"/>
              <w:rPr>
                <w:rFonts w:asci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1B5FDD">
            <w:pPr>
              <w:widowControl/>
              <w:spacing w:line="360" w:lineRule="auto"/>
              <w:jc w:val="center"/>
              <w:rPr>
                <w:rFonts w:ascii="宋体" w:cs="宋体"/>
                <w:color w:val="auto"/>
                <w:kern w:val="0"/>
                <w:sz w:val="28"/>
                <w:szCs w:val="28"/>
                <w:highlight w:val="none"/>
              </w:rPr>
            </w:pPr>
          </w:p>
        </w:tc>
      </w:tr>
    </w:tbl>
    <w:p w14:paraId="1210197E">
      <w:pPr>
        <w:spacing w:line="360" w:lineRule="auto"/>
        <w:contextualSpacing/>
        <w:jc w:val="left"/>
        <w:rPr>
          <w:rFonts w:ascii="宋体" w:cs="宋体"/>
          <w:color w:val="auto"/>
          <w:sz w:val="24"/>
          <w:highlight w:val="none"/>
        </w:rPr>
      </w:pPr>
      <w:r>
        <w:rPr>
          <w:rFonts w:hint="eastAsia" w:ascii="宋体" w:hAnsi="宋体" w:cs="宋体"/>
          <w:color w:val="auto"/>
          <w:sz w:val="24"/>
          <w:highlight w:val="none"/>
        </w:rPr>
        <w:t>注：</w:t>
      </w:r>
    </w:p>
    <w:p w14:paraId="0EAEA828">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D75AE8B">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本表所指的控股关系仅限于直接控股关系，不包括间接的控股关系。公司实际控制人与公司之间的关系不属于本表所指的直接控股关系。</w:t>
      </w:r>
    </w:p>
    <w:p w14:paraId="06B5E430">
      <w:pPr>
        <w:spacing w:line="360" w:lineRule="auto"/>
        <w:ind w:firstLine="480" w:firstLineChars="200"/>
        <w:contextualSpacing/>
        <w:jc w:val="left"/>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0AFFC92D">
      <w:pPr>
        <w:spacing w:line="360" w:lineRule="auto"/>
        <w:ind w:firstLine="420" w:firstLineChars="200"/>
        <w:contextualSpacing/>
        <w:jc w:val="left"/>
        <w:rPr>
          <w:rFonts w:ascii="宋体" w:cs="宋体"/>
          <w:color w:val="auto"/>
          <w:szCs w:val="21"/>
          <w:highlight w:val="none"/>
        </w:rPr>
      </w:pPr>
    </w:p>
    <w:p w14:paraId="11D57E9E">
      <w:pPr>
        <w:spacing w:line="360" w:lineRule="auto"/>
        <w:ind w:firstLine="560" w:firstLineChars="200"/>
        <w:contextualSpacing/>
        <w:jc w:val="left"/>
        <w:rPr>
          <w:rFonts w:ascii="宋体" w:cs="宋体"/>
          <w:color w:val="auto"/>
          <w:sz w:val="28"/>
          <w:szCs w:val="28"/>
          <w:highlight w:val="none"/>
        </w:rPr>
      </w:pPr>
    </w:p>
    <w:p w14:paraId="466740E0">
      <w:pPr>
        <w:spacing w:line="360" w:lineRule="auto"/>
        <w:ind w:right="480"/>
        <w:contextualSpacing/>
        <w:jc w:val="center"/>
        <w:rPr>
          <w:rFonts w:asci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0230A42D">
      <w:pPr>
        <w:spacing w:line="360" w:lineRule="auto"/>
        <w:ind w:right="480" w:firstLine="3000" w:firstLineChars="1250"/>
        <w:contextualSpacing/>
        <w:rPr>
          <w:rFonts w:asci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w:t>
      </w:r>
    </w:p>
    <w:p w14:paraId="1F16FAD0">
      <w:pPr>
        <w:spacing w:line="360" w:lineRule="auto"/>
        <w:ind w:right="480" w:firstLine="5280" w:firstLineChars="2200"/>
        <w:contextualSpacing/>
        <w:rPr>
          <w:rFonts w:ascii="宋体" w:cs="宋体"/>
          <w:color w:val="auto"/>
          <w:sz w:val="28"/>
          <w:szCs w:val="28"/>
          <w:highlight w:val="none"/>
        </w:rPr>
      </w:pPr>
      <w:r>
        <w:rPr>
          <w:rFonts w:hint="eastAsia" w:ascii="宋体" w:hAnsi="宋体" w:cs="宋体"/>
          <w:color w:val="auto"/>
          <w:sz w:val="24"/>
          <w:highlight w:val="none"/>
        </w:rPr>
        <w:t>年  月  日</w:t>
      </w:r>
    </w:p>
    <w:p w14:paraId="4FA0B456">
      <w:pPr>
        <w:snapToGrid w:val="0"/>
        <w:jc w:val="center"/>
        <w:rPr>
          <w:rFonts w:ascii="宋体"/>
          <w:b/>
          <w:color w:val="auto"/>
          <w:sz w:val="28"/>
          <w:szCs w:val="28"/>
          <w:highlight w:val="none"/>
        </w:rPr>
      </w:pPr>
      <w:r>
        <w:rPr>
          <w:rFonts w:ascii="宋体"/>
          <w:b/>
          <w:color w:val="auto"/>
          <w:sz w:val="28"/>
          <w:szCs w:val="28"/>
          <w:highlight w:val="none"/>
        </w:rPr>
        <w:br w:type="page"/>
      </w:r>
    </w:p>
    <w:p w14:paraId="63332F9E">
      <w:pPr>
        <w:snapToGrid w:val="0"/>
        <w:jc w:val="center"/>
        <w:rPr>
          <w:rFonts w:ascii="宋体"/>
          <w:b/>
          <w:color w:val="auto"/>
          <w:sz w:val="32"/>
          <w:szCs w:val="32"/>
          <w:highlight w:val="none"/>
        </w:rPr>
      </w:pPr>
      <w:r>
        <w:rPr>
          <w:rFonts w:hint="eastAsia" w:ascii="宋体" w:hAnsi="宋体"/>
          <w:b/>
          <w:color w:val="auto"/>
          <w:sz w:val="32"/>
          <w:szCs w:val="32"/>
          <w:highlight w:val="none"/>
        </w:rPr>
        <w:t>供应商直接管理关系信息表</w:t>
      </w:r>
    </w:p>
    <w:p w14:paraId="3DB69B36">
      <w:pPr>
        <w:snapToGrid w:val="0"/>
        <w:jc w:val="center"/>
        <w:rPr>
          <w:rFonts w:ascii="宋体"/>
          <w:b/>
          <w:color w:val="auto"/>
          <w:sz w:val="32"/>
          <w:szCs w:val="32"/>
          <w:highlight w:val="none"/>
        </w:rPr>
      </w:pPr>
    </w:p>
    <w:tbl>
      <w:tblPr>
        <w:tblStyle w:val="25"/>
        <w:tblW w:w="9652" w:type="dxa"/>
        <w:jc w:val="center"/>
        <w:tblLayout w:type="fixed"/>
        <w:tblCellMar>
          <w:top w:w="0" w:type="dxa"/>
          <w:left w:w="0" w:type="dxa"/>
          <w:bottom w:w="0" w:type="dxa"/>
          <w:right w:w="0" w:type="dxa"/>
        </w:tblCellMar>
      </w:tblPr>
      <w:tblGrid>
        <w:gridCol w:w="808"/>
        <w:gridCol w:w="3600"/>
        <w:gridCol w:w="3555"/>
        <w:gridCol w:w="1689"/>
      </w:tblGrid>
      <w:tr w14:paraId="1857D122">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16D4627">
            <w:pPr>
              <w:widowControl/>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8291058">
            <w:pPr>
              <w:widowControl/>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64F96D">
            <w:pPr>
              <w:widowControl/>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EC1B55E">
            <w:pPr>
              <w:widowControl/>
              <w:jc w:val="center"/>
              <w:rPr>
                <w:rFonts w:asci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5686DBF">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BFED419">
            <w:pPr>
              <w:widowControl/>
              <w:wordWrap w:val="0"/>
              <w:spacing w:line="200" w:lineRule="atLeast"/>
              <w:jc w:val="center"/>
              <w:rPr>
                <w:rFonts w:ascii="宋体" w:cs="宋体"/>
                <w:color w:val="auto"/>
                <w:kern w:val="0"/>
                <w:sz w:val="28"/>
                <w:szCs w:val="28"/>
                <w:highlight w:val="none"/>
              </w:rPr>
            </w:pPr>
            <w:r>
              <w:rPr>
                <w:rFonts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1BBF9C">
            <w:pPr>
              <w:widowControl/>
              <w:wordWrap w:val="0"/>
              <w:spacing w:line="200" w:lineRule="atLeast"/>
              <w:jc w:val="center"/>
              <w:rPr>
                <w:rFonts w:asci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92BFAE">
            <w:pPr>
              <w:widowControl/>
              <w:wordWrap w:val="0"/>
              <w:spacing w:line="200" w:lineRule="atLeast"/>
              <w:jc w:val="center"/>
              <w:rPr>
                <w:rFonts w:asci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D0415D">
            <w:pPr>
              <w:widowControl/>
              <w:wordWrap w:val="0"/>
              <w:spacing w:line="200" w:lineRule="atLeast"/>
              <w:jc w:val="center"/>
              <w:rPr>
                <w:rFonts w:ascii="宋体" w:cs="宋体"/>
                <w:color w:val="auto"/>
                <w:kern w:val="0"/>
                <w:sz w:val="28"/>
                <w:szCs w:val="28"/>
                <w:highlight w:val="none"/>
              </w:rPr>
            </w:pPr>
          </w:p>
        </w:tc>
      </w:tr>
      <w:tr w14:paraId="49134B3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46ED84">
            <w:pPr>
              <w:widowControl/>
              <w:wordWrap w:val="0"/>
              <w:spacing w:line="200" w:lineRule="atLeast"/>
              <w:jc w:val="center"/>
              <w:rPr>
                <w:rFonts w:ascii="宋体" w:cs="宋体"/>
                <w:color w:val="auto"/>
                <w:kern w:val="0"/>
                <w:sz w:val="28"/>
                <w:szCs w:val="28"/>
                <w:highlight w:val="none"/>
              </w:rPr>
            </w:pPr>
            <w:r>
              <w:rPr>
                <w:rFonts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128C1D">
            <w:pPr>
              <w:widowControl/>
              <w:wordWrap w:val="0"/>
              <w:spacing w:line="200" w:lineRule="atLeast"/>
              <w:jc w:val="center"/>
              <w:rPr>
                <w:rFonts w:asci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95FFFD">
            <w:pPr>
              <w:widowControl/>
              <w:wordWrap w:val="0"/>
              <w:spacing w:line="200" w:lineRule="atLeast"/>
              <w:jc w:val="center"/>
              <w:rPr>
                <w:rFonts w:asci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8A6361">
            <w:pPr>
              <w:widowControl/>
              <w:wordWrap w:val="0"/>
              <w:spacing w:line="200" w:lineRule="atLeast"/>
              <w:jc w:val="center"/>
              <w:rPr>
                <w:rFonts w:ascii="宋体" w:cs="宋体"/>
                <w:color w:val="auto"/>
                <w:kern w:val="0"/>
                <w:sz w:val="28"/>
                <w:szCs w:val="28"/>
                <w:highlight w:val="none"/>
              </w:rPr>
            </w:pPr>
          </w:p>
        </w:tc>
      </w:tr>
      <w:tr w14:paraId="08ED4A0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3A5C8C">
            <w:pPr>
              <w:widowControl/>
              <w:wordWrap w:val="0"/>
              <w:spacing w:line="200" w:lineRule="atLeast"/>
              <w:jc w:val="center"/>
              <w:rPr>
                <w:rFonts w:ascii="宋体" w:cs="宋体"/>
                <w:color w:val="auto"/>
                <w:kern w:val="0"/>
                <w:sz w:val="28"/>
                <w:szCs w:val="28"/>
                <w:highlight w:val="none"/>
              </w:rPr>
            </w:pPr>
            <w:r>
              <w:rPr>
                <w:rFonts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DFD243A">
            <w:pPr>
              <w:widowControl/>
              <w:wordWrap w:val="0"/>
              <w:spacing w:line="200" w:lineRule="atLeast"/>
              <w:jc w:val="center"/>
              <w:rPr>
                <w:rFonts w:asci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6395D9">
            <w:pPr>
              <w:widowControl/>
              <w:wordWrap w:val="0"/>
              <w:spacing w:line="200" w:lineRule="atLeast"/>
              <w:jc w:val="center"/>
              <w:rPr>
                <w:rFonts w:asci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851F8">
            <w:pPr>
              <w:widowControl/>
              <w:wordWrap w:val="0"/>
              <w:spacing w:line="200" w:lineRule="atLeast"/>
              <w:jc w:val="center"/>
              <w:rPr>
                <w:rFonts w:ascii="宋体" w:cs="宋体"/>
                <w:color w:val="auto"/>
                <w:kern w:val="0"/>
                <w:sz w:val="28"/>
                <w:szCs w:val="28"/>
                <w:highlight w:val="none"/>
              </w:rPr>
            </w:pPr>
          </w:p>
        </w:tc>
      </w:tr>
      <w:tr w14:paraId="2A3D6D5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3E759F">
            <w:pPr>
              <w:widowControl/>
              <w:wordWrap w:val="0"/>
              <w:spacing w:line="200" w:lineRule="atLeast"/>
              <w:jc w:val="center"/>
              <w:rPr>
                <w:rFonts w:asci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132FE47">
            <w:pPr>
              <w:widowControl/>
              <w:wordWrap w:val="0"/>
              <w:spacing w:line="200" w:lineRule="atLeast"/>
              <w:jc w:val="center"/>
              <w:rPr>
                <w:rFonts w:asci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518F09">
            <w:pPr>
              <w:widowControl/>
              <w:wordWrap w:val="0"/>
              <w:spacing w:line="200" w:lineRule="atLeast"/>
              <w:jc w:val="center"/>
              <w:rPr>
                <w:rFonts w:asci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E90A4F">
            <w:pPr>
              <w:widowControl/>
              <w:wordWrap w:val="0"/>
              <w:spacing w:line="200" w:lineRule="atLeast"/>
              <w:jc w:val="center"/>
              <w:rPr>
                <w:rFonts w:ascii="宋体" w:cs="宋体"/>
                <w:color w:val="auto"/>
                <w:kern w:val="0"/>
                <w:sz w:val="28"/>
                <w:szCs w:val="28"/>
                <w:highlight w:val="none"/>
              </w:rPr>
            </w:pPr>
          </w:p>
        </w:tc>
      </w:tr>
    </w:tbl>
    <w:p w14:paraId="1197EBB0">
      <w:pPr>
        <w:spacing w:line="360" w:lineRule="auto"/>
        <w:contextualSpacing/>
        <w:jc w:val="left"/>
        <w:rPr>
          <w:rFonts w:ascii="宋体"/>
          <w:color w:val="auto"/>
          <w:sz w:val="24"/>
          <w:highlight w:val="none"/>
        </w:rPr>
      </w:pPr>
      <w:r>
        <w:rPr>
          <w:rFonts w:hint="eastAsia" w:ascii="宋体" w:hAnsi="宋体"/>
          <w:color w:val="auto"/>
          <w:sz w:val="24"/>
          <w:highlight w:val="none"/>
        </w:rPr>
        <w:t>注：</w:t>
      </w:r>
    </w:p>
    <w:p w14:paraId="0C396CF2">
      <w:pPr>
        <w:spacing w:line="360" w:lineRule="auto"/>
        <w:ind w:firstLine="480" w:firstLineChars="200"/>
        <w:contextualSpacing/>
        <w:jc w:val="left"/>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管理关系：是指不具有出资持股关系的其他单位之间存在的管理与被管理关系，如一些上下级关系的事业单位和团体组织。</w:t>
      </w:r>
    </w:p>
    <w:p w14:paraId="121547A0">
      <w:pPr>
        <w:spacing w:line="360" w:lineRule="auto"/>
        <w:ind w:firstLine="480" w:firstLineChars="200"/>
        <w:contextualSpacing/>
        <w:jc w:val="left"/>
        <w:rPr>
          <w:rFonts w:ascii="宋体"/>
          <w:color w:val="auto"/>
          <w:sz w:val="24"/>
          <w:highlight w:val="none"/>
        </w:rPr>
      </w:pPr>
      <w:r>
        <w:rPr>
          <w:rFonts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55697215">
      <w:pPr>
        <w:spacing w:line="360" w:lineRule="auto"/>
        <w:ind w:firstLine="480" w:firstLineChars="200"/>
        <w:contextualSpacing/>
        <w:jc w:val="left"/>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供应商不存在直接管理关系的，则在“直接管理关系单位名称”填“无”。</w:t>
      </w:r>
    </w:p>
    <w:p w14:paraId="494A68DE">
      <w:pPr>
        <w:spacing w:line="360" w:lineRule="auto"/>
        <w:contextualSpacing/>
        <w:jc w:val="left"/>
        <w:rPr>
          <w:rFonts w:ascii="宋体"/>
          <w:color w:val="auto"/>
          <w:sz w:val="28"/>
          <w:szCs w:val="28"/>
          <w:highlight w:val="none"/>
        </w:rPr>
      </w:pPr>
    </w:p>
    <w:p w14:paraId="46A5F34D">
      <w:pPr>
        <w:spacing w:line="360" w:lineRule="auto"/>
        <w:contextualSpacing/>
        <w:jc w:val="left"/>
        <w:rPr>
          <w:rFonts w:ascii="宋体"/>
          <w:color w:val="auto"/>
          <w:sz w:val="28"/>
          <w:szCs w:val="28"/>
          <w:highlight w:val="none"/>
        </w:rPr>
      </w:pPr>
    </w:p>
    <w:p w14:paraId="6773A4F7">
      <w:pPr>
        <w:spacing w:line="360" w:lineRule="auto"/>
        <w:contextualSpacing/>
        <w:jc w:val="left"/>
        <w:rPr>
          <w:color w:val="auto"/>
          <w:sz w:val="28"/>
          <w:szCs w:val="28"/>
          <w:highlight w:val="none"/>
        </w:rPr>
      </w:pPr>
    </w:p>
    <w:p w14:paraId="5A8C8952">
      <w:pPr>
        <w:spacing w:line="360" w:lineRule="auto"/>
        <w:contextualSpacing/>
        <w:jc w:val="left"/>
        <w:rPr>
          <w:color w:val="auto"/>
          <w:sz w:val="28"/>
          <w:szCs w:val="28"/>
          <w:highlight w:val="none"/>
        </w:rPr>
      </w:pPr>
    </w:p>
    <w:p w14:paraId="5C7CF6B7">
      <w:pPr>
        <w:spacing w:line="360" w:lineRule="auto"/>
        <w:contextualSpacing/>
        <w:jc w:val="left"/>
        <w:rPr>
          <w:color w:val="auto"/>
          <w:sz w:val="28"/>
          <w:szCs w:val="28"/>
          <w:highlight w:val="none"/>
        </w:rPr>
      </w:pPr>
    </w:p>
    <w:p w14:paraId="4111A1D9">
      <w:pPr>
        <w:spacing w:line="360" w:lineRule="auto"/>
        <w:contextualSpacing/>
        <w:jc w:val="left"/>
        <w:rPr>
          <w:rFonts w:ascii="宋体"/>
          <w:color w:val="auto"/>
          <w:sz w:val="28"/>
          <w:szCs w:val="28"/>
          <w:highlight w:val="none"/>
        </w:rPr>
      </w:pPr>
    </w:p>
    <w:p w14:paraId="5C7AD3BA">
      <w:pPr>
        <w:spacing w:line="360" w:lineRule="auto"/>
        <w:ind w:right="480"/>
        <w:contextualSpacing/>
        <w:jc w:val="center"/>
        <w:rPr>
          <w:rFonts w:ascii="宋体"/>
          <w:color w:val="auto"/>
          <w:sz w:val="24"/>
          <w:highlight w:val="none"/>
          <w:u w:val="single"/>
        </w:rPr>
      </w:pPr>
      <w:r>
        <w:rPr>
          <w:rFonts w:hint="eastAsia" w:ascii="宋体" w:hAnsi="宋体"/>
          <w:color w:val="auto"/>
          <w:sz w:val="24"/>
          <w:highlight w:val="none"/>
        </w:rPr>
        <w:t>法定代表人或者委托代理人（签字或者电子签名）：</w:t>
      </w:r>
    </w:p>
    <w:p w14:paraId="6F1974DD">
      <w:pPr>
        <w:spacing w:line="360" w:lineRule="auto"/>
        <w:ind w:right="480" w:firstLine="3360" w:firstLineChars="1400"/>
        <w:contextualSpacing/>
        <w:rPr>
          <w:rFonts w:ascii="宋体"/>
          <w:color w:val="auto"/>
          <w:sz w:val="24"/>
          <w:highlight w:val="none"/>
        </w:rPr>
      </w:pPr>
      <w:r>
        <w:rPr>
          <w:rFonts w:hint="eastAsia" w:ascii="宋体" w:hAnsi="宋体"/>
          <w:color w:val="auto"/>
          <w:sz w:val="24"/>
          <w:highlight w:val="none"/>
        </w:rPr>
        <w:t>供应商（电子签章）：</w:t>
      </w:r>
    </w:p>
    <w:p w14:paraId="3EA52A83">
      <w:pPr>
        <w:spacing w:line="360" w:lineRule="auto"/>
        <w:ind w:right="480" w:firstLine="240" w:firstLineChars="100"/>
        <w:contextualSpacing/>
        <w:jc w:val="center"/>
        <w:rPr>
          <w:rFonts w:ascii="宋体"/>
          <w:color w:val="auto"/>
          <w:sz w:val="28"/>
          <w:szCs w:val="28"/>
          <w:highlight w:val="none"/>
        </w:rPr>
      </w:pPr>
      <w:r>
        <w:rPr>
          <w:rFonts w:hint="eastAsia" w:ascii="宋体" w:hAnsi="宋体"/>
          <w:color w:val="auto"/>
          <w:sz w:val="24"/>
          <w:highlight w:val="none"/>
        </w:rPr>
        <w:t>年  月  日</w:t>
      </w:r>
    </w:p>
    <w:p w14:paraId="615CB08A">
      <w:pPr>
        <w:spacing w:line="500" w:lineRule="exact"/>
        <w:jc w:val="center"/>
        <w:rPr>
          <w:rFonts w:hint="eastAsia" w:ascii="方正小标宋简体" w:hAnsi="宋体" w:eastAsia="方正小标宋简体"/>
          <w:b/>
          <w:color w:val="auto"/>
          <w:sz w:val="32"/>
          <w:szCs w:val="32"/>
          <w:highlight w:val="none"/>
        </w:rPr>
      </w:pPr>
      <w:r>
        <w:rPr>
          <w:rFonts w:ascii="宋体"/>
          <w:b/>
          <w:color w:val="auto"/>
          <w:sz w:val="32"/>
          <w:szCs w:val="32"/>
          <w:highlight w:val="none"/>
        </w:rPr>
        <w:br w:type="page"/>
      </w:r>
      <w:r>
        <w:rPr>
          <w:rFonts w:hint="eastAsia" w:ascii="方正小标宋简体" w:hAnsi="宋体" w:eastAsia="方正小标宋简体"/>
          <w:b/>
          <w:color w:val="auto"/>
          <w:sz w:val="32"/>
          <w:szCs w:val="32"/>
          <w:highlight w:val="none"/>
        </w:rPr>
        <w:t>竞标声明</w:t>
      </w:r>
    </w:p>
    <w:p w14:paraId="3BED8CE1">
      <w:pPr>
        <w:spacing w:line="320" w:lineRule="exact"/>
        <w:jc w:val="center"/>
        <w:rPr>
          <w:rFonts w:ascii="宋体"/>
          <w:color w:val="auto"/>
          <w:sz w:val="24"/>
          <w:szCs w:val="20"/>
          <w:highlight w:val="none"/>
        </w:rPr>
      </w:pPr>
    </w:p>
    <w:p w14:paraId="2342590D">
      <w:pPr>
        <w:spacing w:line="360" w:lineRule="auto"/>
        <w:contextualSpacing/>
        <w:rPr>
          <w:rFonts w:asci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35EFBDF">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olor w:val="auto"/>
          <w:sz w:val="24"/>
          <w:highlight w:val="none"/>
          <w:u w:val="single"/>
        </w:rPr>
        <w:t xml:space="preserve">                  </w:t>
      </w:r>
      <w:r>
        <w:rPr>
          <w:rFonts w:hint="eastAsia" w:ascii="宋体" w:hAnsi="宋体" w:cs="宋体"/>
          <w:color w:val="auto"/>
          <w:sz w:val="24"/>
          <w:highlight w:val="none"/>
        </w:rPr>
        <w:t>。</w:t>
      </w:r>
    </w:p>
    <w:p w14:paraId="2DF18409">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56327EF">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1.</w:t>
      </w:r>
      <w:r>
        <w:rPr>
          <w:rFonts w:hint="eastAsia" w:ascii="宋体" w:hAnsi="宋体" w:cs="宋体"/>
          <w:color w:val="auto"/>
          <w:sz w:val="24"/>
          <w:highlight w:val="none"/>
        </w:rPr>
        <w:t>我方向贵方提交的所有响应文件、资料都是准确的和真实的。</w:t>
      </w:r>
    </w:p>
    <w:p w14:paraId="67FFCD6B">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5B787AA7">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在此，我方宣布同意如下：</w:t>
      </w:r>
    </w:p>
    <w:p w14:paraId="38065161">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）将按谈判文件的约定履行合同责任和义务；</w:t>
      </w:r>
    </w:p>
    <w:p w14:paraId="656CC19D">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）已详细审查全部谈判文件，包括补遗文件（如有）；</w:t>
      </w:r>
    </w:p>
    <w:p w14:paraId="184C99E6">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）同意提供按照贵方可能要求的与谈判有关的一切数据或者资料；</w:t>
      </w:r>
    </w:p>
    <w:p w14:paraId="4DB8DBAE">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）响应谈判文件规定的竞标有效期。</w:t>
      </w:r>
    </w:p>
    <w:p w14:paraId="47D074DB">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我方承诺符合《中华人民共和国政府采购法》第二十二条规定：</w:t>
      </w:r>
    </w:p>
    <w:p w14:paraId="231FDCD0">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）具有独立承担民事责任的能力；</w:t>
      </w:r>
    </w:p>
    <w:p w14:paraId="1866D694">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）具有良好的商业信誉和健全的财务会计制度；</w:t>
      </w:r>
    </w:p>
    <w:p w14:paraId="3C42BC64">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）具有履行合同所必需的设备和专业技术能力；</w:t>
      </w:r>
    </w:p>
    <w:p w14:paraId="67420CE3">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）有依法缴纳税收和社会保障资金的良好记录；</w:t>
      </w:r>
    </w:p>
    <w:p w14:paraId="6BF54205">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）参加政府采购活动前三年内，在经营活动中没有重大违法记录；</w:t>
      </w:r>
    </w:p>
    <w:p w14:paraId="3AF2A6B0">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）法律、行政法规规定的其他条件。</w:t>
      </w:r>
    </w:p>
    <w:p w14:paraId="09F184EF">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18573E2">
      <w:pPr>
        <w:spacing w:line="360" w:lineRule="auto"/>
        <w:ind w:firstLine="480" w:firstLineChars="200"/>
        <w:contextualSpacing/>
        <w:rPr>
          <w:rFonts w:asci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47BB5B46">
      <w:pPr>
        <w:spacing w:line="360" w:lineRule="auto"/>
        <w:ind w:firstLine="480" w:firstLineChars="200"/>
        <w:contextualSpacing/>
        <w:rPr>
          <w:rFonts w:asci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9A972C7">
      <w:pPr>
        <w:spacing w:line="360" w:lineRule="auto"/>
        <w:ind w:firstLine="480" w:firstLineChars="200"/>
        <w:contextualSpacing/>
        <w:rPr>
          <w:rFonts w:hint="eastAsia" w:ascii="宋体" w:hAnsi="宋体" w:cs="宋体"/>
          <w:color w:val="auto"/>
          <w:kern w:val="0"/>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4A541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 如我方成交：</w:t>
      </w:r>
    </w:p>
    <w:p w14:paraId="02C0DDDF">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 xml:space="preserve">（1）我方承诺，若我方成交，保证在获取成交通知书前，按本项目谈判文件的规定标准向贵单位一次性足额支付采购代理服务费。采购代理服务费发票我方选择开具：□增值税普通发票、□增值税专用发票。              </w:t>
      </w:r>
    </w:p>
    <w:p w14:paraId="3C0C54C2">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rPr>
        <w:t>8</w:t>
      </w:r>
      <w:r>
        <w:rPr>
          <w:rFonts w:hAnsi="宋体" w:cs="宋体"/>
          <w:color w:val="auto"/>
          <w:sz w:val="24"/>
          <w:szCs w:val="24"/>
          <w:highlight w:val="none"/>
        </w:rPr>
        <w:t>.</w:t>
      </w:r>
      <w:r>
        <w:rPr>
          <w:rFonts w:hint="eastAsia" w:hAnsi="宋体" w:cs="宋体"/>
          <w:color w:val="auto"/>
          <w:sz w:val="24"/>
          <w:szCs w:val="24"/>
          <w:highlight w:val="none"/>
        </w:rPr>
        <w:t>与本谈判有关的一切正式往来信函请寄：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邮政编号：</w:t>
      </w:r>
      <w:r>
        <w:rPr>
          <w:rFonts w:hint="eastAsia" w:hAnsi="宋体"/>
          <w:color w:val="auto"/>
          <w:sz w:val="24"/>
          <w:highlight w:val="none"/>
          <w:u w:val="single"/>
        </w:rPr>
        <w:t xml:space="preserve">                  </w:t>
      </w:r>
    </w:p>
    <w:p w14:paraId="401C586B">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w:t>
      </w:r>
      <w:r>
        <w:rPr>
          <w:rFonts w:hAnsi="宋体" w:cs="宋体"/>
          <w:color w:val="auto"/>
          <w:sz w:val="24"/>
          <w:szCs w:val="24"/>
          <w:highlight w:val="none"/>
        </w:rPr>
        <w:t>/</w:t>
      </w:r>
      <w:r>
        <w:rPr>
          <w:rFonts w:hint="eastAsia" w:hAnsi="宋体" w:cs="宋体"/>
          <w:color w:val="auto"/>
          <w:sz w:val="24"/>
          <w:szCs w:val="24"/>
          <w:highlight w:val="none"/>
        </w:rPr>
        <w:t>传真：</w:t>
      </w:r>
      <w:r>
        <w:rPr>
          <w:rFonts w:hint="eastAsia" w:hAnsi="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olor w:val="auto"/>
          <w:sz w:val="24"/>
          <w:highlight w:val="none"/>
          <w:u w:val="single"/>
        </w:rPr>
        <w:t xml:space="preserve">                  </w:t>
      </w:r>
    </w:p>
    <w:p w14:paraId="1A78C55C">
      <w:pPr>
        <w:pStyle w:val="13"/>
        <w:tabs>
          <w:tab w:val="left" w:pos="939"/>
        </w:tabs>
        <w:spacing w:line="360" w:lineRule="auto"/>
        <w:ind w:left="141" w:leftChars="67" w:firstLine="360" w:firstLineChars="150"/>
        <w:rPr>
          <w:rFonts w:asci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color w:val="auto"/>
          <w:sz w:val="24"/>
          <w:highlight w:val="none"/>
          <w:u w:val="single"/>
        </w:rPr>
        <w:t xml:space="preserve">                  </w:t>
      </w:r>
      <w:r>
        <w:rPr>
          <w:rFonts w:hint="eastAsia" w:ascii="宋体" w:hAnsi="宋体" w:cs="宋体"/>
          <w:color w:val="auto"/>
          <w:sz w:val="24"/>
          <w:highlight w:val="none"/>
        </w:rPr>
        <w:t xml:space="preserve">      账号</w:t>
      </w:r>
      <w:r>
        <w:rPr>
          <w:rFonts w:ascii="宋体" w:hAnsi="宋体" w:cs="宋体"/>
          <w:color w:val="auto"/>
          <w:sz w:val="24"/>
          <w:highlight w:val="none"/>
        </w:rPr>
        <w:t>/</w:t>
      </w:r>
      <w:r>
        <w:rPr>
          <w:rFonts w:hint="eastAsia" w:ascii="宋体" w:hAnsi="宋体" w:cs="宋体"/>
          <w:color w:val="auto"/>
          <w:sz w:val="24"/>
          <w:highlight w:val="none"/>
        </w:rPr>
        <w:t>行号：</w:t>
      </w:r>
      <w:r>
        <w:rPr>
          <w:rFonts w:hint="eastAsia" w:ascii="宋体" w:hAnsi="宋体"/>
          <w:color w:val="auto"/>
          <w:sz w:val="24"/>
          <w:highlight w:val="none"/>
          <w:u w:val="single"/>
        </w:rPr>
        <w:t xml:space="preserve">                  </w:t>
      </w:r>
    </w:p>
    <w:p w14:paraId="26380EA6">
      <w:pPr>
        <w:pStyle w:val="13"/>
        <w:tabs>
          <w:tab w:val="left" w:pos="939"/>
        </w:tabs>
        <w:spacing w:line="360" w:lineRule="auto"/>
        <w:ind w:left="141" w:leftChars="67" w:firstLine="360" w:firstLineChars="150"/>
        <w:rPr>
          <w:rFonts w:ascii="宋体" w:cs="宋体"/>
          <w:color w:val="auto"/>
          <w:sz w:val="24"/>
          <w:highlight w:val="none"/>
        </w:rPr>
      </w:pPr>
      <w:r>
        <w:rPr>
          <w:rFonts w:hint="eastAsia" w:ascii="宋体" w:hAnsi="宋体" w:cs="宋体"/>
          <w:color w:val="auto"/>
          <w:sz w:val="24"/>
          <w:highlight w:val="none"/>
        </w:rPr>
        <w:t>9</w:t>
      </w:r>
      <w:r>
        <w:rPr>
          <w:rFonts w:ascii="宋体" w:hAnsi="宋体" w:cs="宋体"/>
          <w:color w:val="auto"/>
          <w:sz w:val="24"/>
          <w:highlight w:val="none"/>
        </w:rPr>
        <w:t>.</w:t>
      </w:r>
      <w:r>
        <w:rPr>
          <w:rFonts w:hint="eastAsia" w:ascii="宋体" w:hAnsi="宋体" w:cs="宋体"/>
          <w:color w:val="auto"/>
          <w:sz w:val="24"/>
          <w:highlight w:val="none"/>
        </w:rPr>
        <w:t>以上事项如有虚假或者隐瞒，我方愿意承担一切后果，并不再寻求任何旨在减轻或者免除法律责任的辩解。</w:t>
      </w:r>
    </w:p>
    <w:p w14:paraId="4F96C0EF">
      <w:pPr>
        <w:pStyle w:val="13"/>
        <w:tabs>
          <w:tab w:val="left" w:pos="939"/>
        </w:tabs>
        <w:spacing w:line="360" w:lineRule="auto"/>
        <w:ind w:left="141" w:leftChars="67" w:firstLine="360" w:firstLineChars="150"/>
        <w:rPr>
          <w:rFonts w:ascii="宋体" w:cs="宋体"/>
          <w:color w:val="auto"/>
          <w:szCs w:val="21"/>
          <w:highlight w:val="none"/>
        </w:rPr>
      </w:pPr>
      <w:r>
        <w:rPr>
          <w:rFonts w:hint="eastAsia" w:ascii="宋体" w:hAnsi="宋体" w:cs="宋体"/>
          <w:color w:val="auto"/>
          <w:sz w:val="24"/>
          <w:highlight w:val="none"/>
        </w:rPr>
        <w:t>特此承诺。</w:t>
      </w:r>
    </w:p>
    <w:p w14:paraId="6574675D">
      <w:pPr>
        <w:spacing w:line="360" w:lineRule="auto"/>
        <w:contextualSpacing/>
        <w:jc w:val="left"/>
        <w:rPr>
          <w:rFonts w:ascii="宋体"/>
          <w:b/>
          <w:color w:val="auto"/>
          <w:sz w:val="24"/>
          <w:highlight w:val="none"/>
        </w:rPr>
      </w:pPr>
      <w:r>
        <w:rPr>
          <w:rFonts w:hint="eastAsia" w:ascii="宋体" w:hAnsi="宋体"/>
          <w:b/>
          <w:color w:val="auto"/>
          <w:sz w:val="24"/>
          <w:highlight w:val="none"/>
        </w:rPr>
        <w:t>注：如为联合体竞标，盖章处须加盖联合体牵头人电子签章并由联合体牵头人法定代表人分别签字或者电子签名，否则响应文件按无效处理。</w:t>
      </w:r>
    </w:p>
    <w:p w14:paraId="3DAE531F">
      <w:pPr>
        <w:spacing w:line="360" w:lineRule="auto"/>
        <w:contextualSpacing/>
        <w:jc w:val="left"/>
        <w:rPr>
          <w:rFonts w:ascii="宋体" w:cs="宋体"/>
          <w:color w:val="auto"/>
          <w:szCs w:val="21"/>
          <w:highlight w:val="none"/>
        </w:rPr>
      </w:pPr>
    </w:p>
    <w:p w14:paraId="63B79B29">
      <w:pPr>
        <w:spacing w:line="360" w:lineRule="auto"/>
        <w:ind w:firstLine="1800" w:firstLineChars="750"/>
        <w:contextualSpacing/>
        <w:rPr>
          <w:color w:val="auto"/>
          <w:sz w:val="24"/>
          <w:highlight w:val="none"/>
        </w:rPr>
      </w:pPr>
      <w:r>
        <w:rPr>
          <w:rFonts w:hint="eastAsia"/>
          <w:color w:val="auto"/>
          <w:sz w:val="24"/>
          <w:highlight w:val="none"/>
        </w:rPr>
        <w:t>法定代表人（签字或者电子签名）：</w:t>
      </w:r>
    </w:p>
    <w:p w14:paraId="15C85800">
      <w:pPr>
        <w:spacing w:line="360" w:lineRule="auto"/>
        <w:ind w:firstLine="1800" w:firstLineChars="750"/>
        <w:contextualSpacing/>
        <w:rPr>
          <w:rFonts w:ascii="宋体" w:cs="宋体"/>
          <w:color w:val="auto"/>
          <w:sz w:val="24"/>
          <w:highlight w:val="none"/>
          <w:u w:val="single"/>
        </w:rPr>
      </w:pPr>
      <w:r>
        <w:rPr>
          <w:rFonts w:hint="eastAsia"/>
          <w:color w:val="auto"/>
          <w:sz w:val="24"/>
          <w:highlight w:val="none"/>
        </w:rPr>
        <w:t>供应商（电子签章）：</w:t>
      </w:r>
    </w:p>
    <w:p w14:paraId="41E4C540">
      <w:pPr>
        <w:spacing w:line="360" w:lineRule="auto"/>
        <w:ind w:right="482" w:firstLine="240" w:firstLineChars="100"/>
        <w:contextualSpacing/>
        <w:jc w:val="center"/>
        <w:rPr>
          <w:rFonts w:ascii="宋体"/>
          <w:color w:val="auto"/>
          <w:sz w:val="24"/>
          <w:highlight w:val="none"/>
        </w:rPr>
      </w:pPr>
      <w:r>
        <w:rPr>
          <w:rFonts w:hint="eastAsia"/>
          <w:color w:val="auto"/>
          <w:sz w:val="24"/>
          <w:highlight w:val="none"/>
        </w:rPr>
        <w:t>年  月  日</w:t>
      </w:r>
    </w:p>
    <w:p w14:paraId="00700C82">
      <w:pPr>
        <w:pStyle w:val="6"/>
        <w:overflowPunct w:val="0"/>
        <w:spacing w:line="520" w:lineRule="exact"/>
        <w:ind w:firstLine="0"/>
        <w:jc w:val="center"/>
        <w:rPr>
          <w:rFonts w:hint="eastAsia" w:ascii="方正小标宋简体" w:hAnsi="方正小标宋简体" w:eastAsia="方正小标宋简体" w:cs="方正小标宋简体"/>
          <w:color w:val="auto"/>
          <w:sz w:val="32"/>
          <w:szCs w:val="32"/>
          <w:highlight w:val="none"/>
        </w:rPr>
      </w:pPr>
      <w:r>
        <w:rPr>
          <w:rFonts w:ascii="方正小标宋简体" w:hAnsi="方正小标宋简体" w:eastAsia="方正小标宋简体" w:cs="方正小标宋简体"/>
          <w:color w:val="auto"/>
          <w:sz w:val="32"/>
          <w:szCs w:val="32"/>
          <w:highlight w:val="none"/>
        </w:rPr>
        <w:br w:type="page"/>
      </w:r>
      <w:r>
        <w:rPr>
          <w:rFonts w:hint="eastAsia" w:ascii="方正小标宋简体" w:hAnsi="方正小标宋简体" w:eastAsia="方正小标宋简体" w:cs="方正小标宋简体"/>
          <w:color w:val="auto"/>
          <w:sz w:val="32"/>
          <w:szCs w:val="32"/>
          <w:highlight w:val="none"/>
        </w:rPr>
        <w:t>联合体竞标协议书（如有）</w:t>
      </w:r>
    </w:p>
    <w:p w14:paraId="659C8C0D">
      <w:pPr>
        <w:pStyle w:val="6"/>
        <w:overflowPunct w:val="0"/>
        <w:spacing w:line="360" w:lineRule="auto"/>
        <w:ind w:firstLine="0"/>
        <w:contextualSpacing/>
        <w:rPr>
          <w:rFonts w:ascii="宋体"/>
          <w:color w:val="auto"/>
          <w:sz w:val="24"/>
          <w:szCs w:val="24"/>
          <w:highlight w:val="none"/>
        </w:rPr>
      </w:pPr>
    </w:p>
    <w:p w14:paraId="41B5AABC">
      <w:pPr>
        <w:pStyle w:val="6"/>
        <w:overflowPunct w:val="0"/>
        <w:spacing w:line="360" w:lineRule="auto"/>
        <w:ind w:firstLine="480" w:firstLineChars="200"/>
        <w:contextualSpacing/>
        <w:rPr>
          <w:rFonts w:ascii="宋体" w:cs="仿宋_GB2312"/>
          <w:color w:val="auto"/>
          <w:sz w:val="24"/>
          <w:szCs w:val="24"/>
          <w:highlight w:val="none"/>
        </w:rPr>
      </w:pPr>
      <w:r>
        <w:rPr>
          <w:rFonts w:hint="eastAsia" w:ascii="宋体" w:hAnsi="宋体"/>
          <w:color w:val="auto"/>
          <w:sz w:val="24"/>
          <w:highlight w:val="none"/>
          <w:u w:val="single"/>
        </w:rPr>
        <w:t xml:space="preserve">                  </w:t>
      </w:r>
      <w:r>
        <w:rPr>
          <w:rFonts w:hint="eastAsia" w:ascii="宋体" w:hAnsi="宋体" w:cs="仿宋_GB2312"/>
          <w:color w:val="auto"/>
          <w:sz w:val="24"/>
          <w:szCs w:val="24"/>
          <w:highlight w:val="none"/>
        </w:rPr>
        <w:t>（所有成员单位名称）自愿组成</w:t>
      </w:r>
      <w:r>
        <w:rPr>
          <w:rFonts w:hint="eastAsia" w:ascii="宋体" w:hAnsi="宋体"/>
          <w:color w:val="auto"/>
          <w:sz w:val="24"/>
          <w:highlight w:val="none"/>
          <w:u w:val="single"/>
        </w:rPr>
        <w:t xml:space="preserve">                  </w:t>
      </w:r>
      <w:r>
        <w:rPr>
          <w:rFonts w:hint="eastAsia" w:ascii="宋体" w:hAnsi="宋体" w:cs="仿宋_GB2312"/>
          <w:color w:val="auto"/>
          <w:sz w:val="24"/>
          <w:szCs w:val="24"/>
          <w:highlight w:val="none"/>
        </w:rPr>
        <w:t>（联合体名称）联合体，共同参加</w:t>
      </w:r>
      <w:r>
        <w:rPr>
          <w:rFonts w:hint="eastAsia" w:ascii="宋体" w:hAnsi="宋体"/>
          <w:color w:val="auto"/>
          <w:sz w:val="24"/>
          <w:highlight w:val="none"/>
          <w:u w:val="single"/>
        </w:rPr>
        <w:t xml:space="preserve">                </w:t>
      </w:r>
      <w:r>
        <w:rPr>
          <w:rFonts w:hint="eastAsia" w:ascii="宋体" w:hAnsi="宋体" w:cs="仿宋_GB2312"/>
          <w:color w:val="auto"/>
          <w:sz w:val="24"/>
          <w:szCs w:val="24"/>
          <w:highlight w:val="none"/>
        </w:rPr>
        <w:t>（项目名称）采购项目竞标。现就联合体竞标事宜订立如下协议。</w:t>
      </w:r>
    </w:p>
    <w:p w14:paraId="7163D5B2">
      <w:pPr>
        <w:pStyle w:val="6"/>
        <w:numPr>
          <w:ilvl w:val="0"/>
          <w:numId w:val="4"/>
        </w:numPr>
        <w:overflowPunct w:val="0"/>
        <w:spacing w:line="360" w:lineRule="auto"/>
        <w:ind w:firstLine="480" w:firstLineChars="200"/>
        <w:contextualSpacing/>
        <w:rPr>
          <w:rFonts w:ascii="宋体" w:cs="仿宋_GB2312"/>
          <w:color w:val="auto"/>
          <w:sz w:val="24"/>
          <w:szCs w:val="24"/>
          <w:highlight w:val="none"/>
        </w:rPr>
      </w:pPr>
      <w:r>
        <w:rPr>
          <w:rFonts w:hint="eastAsia" w:ascii="宋体" w:hAnsi="宋体" w:cs="仿宋_GB2312"/>
          <w:color w:val="auto"/>
          <w:sz w:val="24"/>
          <w:szCs w:val="24"/>
          <w:highlight w:val="none"/>
          <w:u w:val="single"/>
        </w:rPr>
        <w:t xml:space="preserve">                </w:t>
      </w:r>
      <w:r>
        <w:rPr>
          <w:rFonts w:ascii="宋体" w:hAnsi="宋体" w:cs="仿宋_GB2312"/>
          <w:color w:val="auto"/>
          <w:sz w:val="24"/>
          <w:szCs w:val="24"/>
          <w:highlight w:val="none"/>
          <w:u w:val="single"/>
        </w:rPr>
        <w:tab/>
      </w:r>
      <w:r>
        <w:rPr>
          <w:rFonts w:hint="eastAsia" w:ascii="宋体" w:hAnsi="宋体" w:cs="仿宋_GB2312"/>
          <w:color w:val="auto"/>
          <w:sz w:val="24"/>
          <w:szCs w:val="24"/>
          <w:highlight w:val="none"/>
        </w:rPr>
        <w:t>（某成员单位名称）为</w:t>
      </w:r>
      <w:r>
        <w:rPr>
          <w:rFonts w:hint="eastAsia" w:ascii="宋体" w:hAnsi="宋体"/>
          <w:color w:val="auto"/>
          <w:sz w:val="24"/>
          <w:highlight w:val="none"/>
          <w:u w:val="single"/>
        </w:rPr>
        <w:t xml:space="preserve">                  </w:t>
      </w:r>
      <w:r>
        <w:rPr>
          <w:rFonts w:hint="eastAsia" w:ascii="宋体" w:hAnsi="宋体" w:cs="仿宋_GB2312"/>
          <w:color w:val="auto"/>
          <w:sz w:val="24"/>
          <w:szCs w:val="24"/>
          <w:highlight w:val="none"/>
        </w:rPr>
        <w:t>（联合体名称）牵头人。</w:t>
      </w:r>
    </w:p>
    <w:p w14:paraId="1E0A00FB">
      <w:pPr>
        <w:pStyle w:val="6"/>
        <w:overflowPunct w:val="0"/>
        <w:spacing w:line="360" w:lineRule="auto"/>
        <w:ind w:firstLine="480" w:firstLineChars="200"/>
        <w:contextualSpacing/>
        <w:rPr>
          <w:rFonts w:ascii="宋体" w:cs="仿宋_GB2312"/>
          <w:color w:val="auto"/>
          <w:sz w:val="24"/>
          <w:szCs w:val="24"/>
          <w:highlight w:val="none"/>
        </w:rPr>
      </w:pPr>
      <w:r>
        <w:rPr>
          <w:rFonts w:ascii="宋体" w:hAnsi="宋体" w:cs="仿宋_GB2312"/>
          <w:color w:val="auto"/>
          <w:sz w:val="24"/>
          <w:szCs w:val="24"/>
          <w:highlight w:val="none"/>
        </w:rPr>
        <w:t>2.</w:t>
      </w:r>
      <w:r>
        <w:rPr>
          <w:rFonts w:hint="eastAsia" w:ascii="宋体" w:hAnsi="宋体" w:cs="仿宋_GB2312"/>
          <w:color w:val="auto"/>
          <w:sz w:val="24"/>
          <w:szCs w:val="24"/>
          <w:highlight w:val="none"/>
        </w:rPr>
        <w:t>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00D465A5">
      <w:pPr>
        <w:pStyle w:val="6"/>
        <w:overflowPunct w:val="0"/>
        <w:spacing w:line="360" w:lineRule="auto"/>
        <w:ind w:firstLine="480" w:firstLineChars="200"/>
        <w:contextualSpacing/>
        <w:rPr>
          <w:rFonts w:ascii="宋体" w:cs="仿宋_GB2312"/>
          <w:color w:val="auto"/>
          <w:sz w:val="24"/>
          <w:szCs w:val="24"/>
          <w:highlight w:val="none"/>
        </w:rPr>
      </w:pPr>
      <w:r>
        <w:rPr>
          <w:rFonts w:ascii="宋体" w:hAnsi="宋体" w:cs="仿宋_GB2312"/>
          <w:color w:val="auto"/>
          <w:sz w:val="24"/>
          <w:szCs w:val="24"/>
          <w:highlight w:val="none"/>
        </w:rPr>
        <w:t>3.</w:t>
      </w:r>
      <w:r>
        <w:rPr>
          <w:rFonts w:hint="eastAsia" w:ascii="宋体" w:hAnsi="宋体" w:cs="仿宋_GB2312"/>
          <w:color w:val="auto"/>
          <w:sz w:val="24"/>
          <w:szCs w:val="24"/>
          <w:highlight w:val="none"/>
        </w:rPr>
        <w:t>联合体牵头人在本项目中签署和盖章的一切文件和处理的一切事宜，联合体各成员均予以承认。联合体各成员将严格按照谈判文件、响应文件和合同的要求全面履行义务，并向采购人承担连带责任。</w:t>
      </w:r>
    </w:p>
    <w:p w14:paraId="6F4C10DA">
      <w:pPr>
        <w:pStyle w:val="6"/>
        <w:overflowPunct w:val="0"/>
        <w:spacing w:line="360" w:lineRule="auto"/>
        <w:ind w:firstLine="480" w:firstLineChars="200"/>
        <w:contextualSpacing/>
        <w:rPr>
          <w:rFonts w:ascii="宋体" w:cs="仿宋_GB2312"/>
          <w:color w:val="auto"/>
          <w:sz w:val="24"/>
          <w:szCs w:val="24"/>
          <w:highlight w:val="none"/>
        </w:rPr>
      </w:pPr>
      <w:r>
        <w:rPr>
          <w:rFonts w:ascii="宋体" w:hAnsi="宋体" w:cs="仿宋_GB2312"/>
          <w:color w:val="auto"/>
          <w:sz w:val="24"/>
          <w:szCs w:val="24"/>
          <w:highlight w:val="none"/>
        </w:rPr>
        <w:t>4.</w:t>
      </w:r>
      <w:r>
        <w:rPr>
          <w:rFonts w:hint="eastAsia" w:ascii="宋体" w:hAnsi="宋体" w:cs="仿宋_GB2312"/>
          <w:color w:val="auto"/>
          <w:sz w:val="24"/>
          <w:szCs w:val="24"/>
          <w:highlight w:val="none"/>
        </w:rPr>
        <w:t>联合体各成员单位内部的职责分工如下：</w:t>
      </w:r>
      <w:r>
        <w:rPr>
          <w:rFonts w:hint="eastAsia" w:ascii="宋体" w:hAnsi="宋体"/>
          <w:color w:val="auto"/>
          <w:sz w:val="24"/>
          <w:highlight w:val="none"/>
          <w:u w:val="single"/>
        </w:rPr>
        <w:t xml:space="preserve">                  </w:t>
      </w:r>
      <w:r>
        <w:rPr>
          <w:rFonts w:hint="eastAsia" w:ascii="宋体" w:hAnsi="宋体" w:cs="仿宋_GB2312"/>
          <w:color w:val="auto"/>
          <w:sz w:val="24"/>
          <w:szCs w:val="24"/>
          <w:highlight w:val="none"/>
        </w:rPr>
        <w:t>。</w:t>
      </w:r>
    </w:p>
    <w:p w14:paraId="542F77F4">
      <w:pPr>
        <w:pStyle w:val="6"/>
        <w:overflowPunct w:val="0"/>
        <w:spacing w:line="360" w:lineRule="auto"/>
        <w:ind w:firstLine="480" w:firstLineChars="200"/>
        <w:contextualSpacing/>
        <w:rPr>
          <w:rFonts w:ascii="宋体" w:cs="仿宋_GB2312"/>
          <w:color w:val="auto"/>
          <w:sz w:val="24"/>
          <w:szCs w:val="24"/>
          <w:highlight w:val="none"/>
        </w:rPr>
      </w:pPr>
      <w:r>
        <w:rPr>
          <w:rFonts w:ascii="宋体" w:hAnsi="宋体" w:cs="仿宋_GB2312"/>
          <w:color w:val="auto"/>
          <w:sz w:val="24"/>
          <w:szCs w:val="24"/>
          <w:highlight w:val="none"/>
        </w:rPr>
        <w:t>5.</w:t>
      </w:r>
      <w:r>
        <w:rPr>
          <w:rFonts w:hint="eastAsia" w:ascii="宋体" w:hAnsi="宋体" w:cs="仿宋_GB2312"/>
          <w:color w:val="auto"/>
          <w:sz w:val="24"/>
          <w:szCs w:val="24"/>
          <w:highlight w:val="none"/>
        </w:rPr>
        <w:t>本</w:t>
      </w:r>
      <w:r>
        <w:rPr>
          <w:rFonts w:hint="eastAsia" w:ascii="宋体" w:hAnsi="宋体" w:cs="仿宋_GB2312"/>
          <w:color w:val="auto"/>
          <w:spacing w:val="-6"/>
          <w:sz w:val="24"/>
          <w:szCs w:val="24"/>
          <w:highlight w:val="none"/>
        </w:rPr>
        <w:t>协议书自所有成员单位法定代表人或者其委托代理人签字或者盖单位章之日起生效，合同履行完毕后自动失效。</w:t>
      </w:r>
    </w:p>
    <w:p w14:paraId="3C199B4A">
      <w:pPr>
        <w:pStyle w:val="6"/>
        <w:overflowPunct w:val="0"/>
        <w:spacing w:line="360" w:lineRule="auto"/>
        <w:ind w:firstLine="480" w:firstLineChars="200"/>
        <w:contextualSpacing/>
        <w:rPr>
          <w:rFonts w:ascii="宋体" w:cs="仿宋_GB2312"/>
          <w:color w:val="auto"/>
          <w:sz w:val="24"/>
          <w:szCs w:val="24"/>
          <w:highlight w:val="none"/>
        </w:rPr>
      </w:pPr>
      <w:r>
        <w:rPr>
          <w:rFonts w:ascii="宋体" w:hAnsi="宋体" w:cs="仿宋_GB2312"/>
          <w:color w:val="auto"/>
          <w:sz w:val="24"/>
          <w:szCs w:val="24"/>
          <w:highlight w:val="none"/>
        </w:rPr>
        <w:t>6.</w:t>
      </w:r>
      <w:r>
        <w:rPr>
          <w:rFonts w:hint="eastAsia" w:ascii="宋体" w:hAnsi="宋体" w:cs="仿宋_GB2312"/>
          <w:color w:val="auto"/>
          <w:sz w:val="24"/>
          <w:szCs w:val="24"/>
          <w:highlight w:val="none"/>
        </w:rPr>
        <w:t>本协议书一式</w:t>
      </w:r>
      <w:r>
        <w:rPr>
          <w:rFonts w:ascii="宋体" w:hAnsi="宋体" w:cs="仿宋_GB2312"/>
          <w:color w:val="auto"/>
          <w:sz w:val="24"/>
          <w:szCs w:val="24"/>
          <w:highlight w:val="none"/>
          <w:u w:val="single"/>
        </w:rPr>
        <w:tab/>
      </w:r>
      <w:r>
        <w:rPr>
          <w:rFonts w:hint="eastAsia" w:ascii="宋体" w:hAnsi="宋体" w:cs="仿宋_GB2312"/>
          <w:color w:val="auto"/>
          <w:sz w:val="24"/>
          <w:szCs w:val="24"/>
          <w:highlight w:val="none"/>
        </w:rPr>
        <w:t>份，联合体成员和采购人各执一份。</w:t>
      </w:r>
    </w:p>
    <w:p w14:paraId="3D6742F2">
      <w:pPr>
        <w:pStyle w:val="6"/>
        <w:overflowPunct w:val="0"/>
        <w:spacing w:line="360" w:lineRule="auto"/>
        <w:ind w:firstLine="480" w:firstLineChars="200"/>
        <w:contextualSpacing/>
        <w:rPr>
          <w:rFonts w:ascii="宋体" w:cs="仿宋_GB2312"/>
          <w:color w:val="auto"/>
          <w:sz w:val="24"/>
          <w:szCs w:val="24"/>
          <w:highlight w:val="none"/>
        </w:rPr>
      </w:pPr>
      <w:r>
        <w:rPr>
          <w:rFonts w:hint="eastAsia" w:ascii="宋体" w:hAnsi="宋体" w:cs="仿宋_GB2312"/>
          <w:color w:val="auto"/>
          <w:sz w:val="24"/>
          <w:szCs w:val="24"/>
          <w:highlight w:val="none"/>
        </w:rPr>
        <w:t>注：本协议书应附法定代表人身份证明书；有委托代理的，应附授权委托书（格式自拟）。</w:t>
      </w:r>
    </w:p>
    <w:p w14:paraId="3D800851">
      <w:pPr>
        <w:pStyle w:val="6"/>
        <w:overflowPunct w:val="0"/>
        <w:spacing w:line="360" w:lineRule="auto"/>
        <w:ind w:firstLineChars="175"/>
        <w:contextualSpacing/>
        <w:rPr>
          <w:rFonts w:ascii="宋体" w:cs="仿宋_GB2312"/>
          <w:color w:val="auto"/>
          <w:sz w:val="24"/>
          <w:szCs w:val="24"/>
          <w:highlight w:val="none"/>
        </w:rPr>
      </w:pPr>
    </w:p>
    <w:p w14:paraId="73CBF36C">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联合体牵头人名称（电子签章）：</w:t>
      </w:r>
    </w:p>
    <w:p w14:paraId="72467AEE">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14E6F0AD">
      <w:pPr>
        <w:pStyle w:val="6"/>
        <w:overflowPunct w:val="0"/>
        <w:spacing w:line="360" w:lineRule="auto"/>
        <w:ind w:firstLine="0"/>
        <w:contextualSpacing/>
        <w:rPr>
          <w:rFonts w:ascii="宋体" w:cs="仿宋_GB2312"/>
          <w:color w:val="auto"/>
          <w:sz w:val="24"/>
          <w:szCs w:val="24"/>
          <w:highlight w:val="none"/>
        </w:rPr>
      </w:pPr>
    </w:p>
    <w:p w14:paraId="7AABEC32">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309121B7">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4AC74485">
      <w:pPr>
        <w:pStyle w:val="6"/>
        <w:overflowPunct w:val="0"/>
        <w:spacing w:line="360" w:lineRule="auto"/>
        <w:ind w:firstLine="0"/>
        <w:contextualSpacing/>
        <w:rPr>
          <w:rFonts w:ascii="宋体" w:cs="仿宋_GB2312"/>
          <w:color w:val="auto"/>
          <w:sz w:val="24"/>
          <w:szCs w:val="24"/>
          <w:highlight w:val="none"/>
        </w:rPr>
      </w:pPr>
    </w:p>
    <w:p w14:paraId="599C7064">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联合体成员名称（盖公章或者电子签章）：</w:t>
      </w:r>
    </w:p>
    <w:p w14:paraId="61909081">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法定代表人或者其委托代理人（签字或者电子签名）：</w:t>
      </w:r>
    </w:p>
    <w:p w14:paraId="02049F73">
      <w:pPr>
        <w:pStyle w:val="6"/>
        <w:overflowPunct w:val="0"/>
        <w:spacing w:line="360" w:lineRule="auto"/>
        <w:ind w:firstLine="0"/>
        <w:contextualSpacing/>
        <w:rPr>
          <w:rFonts w:ascii="宋体" w:cs="仿宋_GB2312"/>
          <w:color w:val="auto"/>
          <w:sz w:val="24"/>
          <w:szCs w:val="24"/>
          <w:highlight w:val="none"/>
        </w:rPr>
      </w:pPr>
      <w:r>
        <w:rPr>
          <w:rFonts w:hint="eastAsia" w:ascii="宋体" w:hAnsi="宋体" w:cs="仿宋_GB2312"/>
          <w:color w:val="auto"/>
          <w:sz w:val="24"/>
          <w:szCs w:val="24"/>
          <w:highlight w:val="none"/>
        </w:rPr>
        <w:t>……</w:t>
      </w:r>
    </w:p>
    <w:p w14:paraId="0665B88D">
      <w:pPr>
        <w:spacing w:line="360" w:lineRule="auto"/>
        <w:contextualSpacing/>
        <w:jc w:val="right"/>
        <w:rPr>
          <w:rFonts w:ascii="宋体" w:cs="仿宋_GB2312"/>
          <w:color w:val="auto"/>
          <w:sz w:val="24"/>
          <w:highlight w:val="none"/>
        </w:rPr>
      </w:pPr>
      <w:r>
        <w:rPr>
          <w:rFonts w:hint="eastAsia" w:ascii="宋体" w:hAnsi="宋体" w:cs="仿宋_GB2312"/>
          <w:color w:val="auto"/>
          <w:sz w:val="24"/>
          <w:highlight w:val="none"/>
        </w:rPr>
        <w:t>日期：年  月  日</w:t>
      </w:r>
    </w:p>
    <w:p w14:paraId="0765AE6E">
      <w:pPr>
        <w:spacing w:line="360" w:lineRule="auto"/>
        <w:ind w:right="420"/>
        <w:contextualSpacing/>
        <w:jc w:val="left"/>
        <w:rPr>
          <w:rFonts w:ascii="宋体"/>
          <w:b/>
          <w:color w:val="auto"/>
          <w:sz w:val="32"/>
          <w:szCs w:val="32"/>
          <w:highlight w:val="none"/>
        </w:rPr>
      </w:pPr>
      <w:r>
        <w:rPr>
          <w:rFonts w:ascii="宋体"/>
          <w:color w:val="auto"/>
          <w:szCs w:val="21"/>
          <w:highlight w:val="none"/>
        </w:rPr>
        <w:br w:type="page"/>
      </w:r>
      <w:r>
        <w:rPr>
          <w:rFonts w:hint="eastAsia" w:ascii="宋体" w:hAnsi="宋体"/>
          <w:b/>
          <w:bCs/>
          <w:color w:val="auto"/>
          <w:sz w:val="32"/>
          <w:szCs w:val="32"/>
          <w:highlight w:val="none"/>
        </w:rPr>
        <w:t>二、</w:t>
      </w:r>
      <w:r>
        <w:rPr>
          <w:rFonts w:hint="eastAsia" w:ascii="宋体" w:hAnsi="宋体"/>
          <w:b/>
          <w:color w:val="auto"/>
          <w:sz w:val="32"/>
          <w:szCs w:val="32"/>
          <w:highlight w:val="none"/>
        </w:rPr>
        <w:t>报价文件格式</w:t>
      </w:r>
    </w:p>
    <w:p w14:paraId="62E154B7">
      <w:pPr>
        <w:snapToGrid w:val="0"/>
        <w:spacing w:before="120" w:beforeLines="50" w:after="50" w:line="360" w:lineRule="auto"/>
        <w:jc w:val="left"/>
        <w:rPr>
          <w:rFonts w:ascii="宋体"/>
          <w:b/>
          <w:color w:val="auto"/>
          <w:sz w:val="32"/>
          <w:szCs w:val="32"/>
          <w:highlight w:val="none"/>
        </w:rPr>
      </w:pPr>
      <w:r>
        <w:rPr>
          <w:rFonts w:ascii="宋体" w:hAnsi="宋体"/>
          <w:b/>
          <w:color w:val="auto"/>
          <w:sz w:val="32"/>
          <w:szCs w:val="32"/>
          <w:highlight w:val="none"/>
        </w:rPr>
        <w:t>1.</w:t>
      </w:r>
      <w:r>
        <w:rPr>
          <w:rFonts w:hint="eastAsia" w:ascii="宋体" w:hAnsi="宋体"/>
          <w:b/>
          <w:color w:val="auto"/>
          <w:sz w:val="32"/>
          <w:szCs w:val="32"/>
          <w:highlight w:val="none"/>
        </w:rPr>
        <w:t>报价文件封面格式</w:t>
      </w:r>
    </w:p>
    <w:p w14:paraId="797BEC36">
      <w:pPr>
        <w:snapToGrid w:val="0"/>
        <w:spacing w:before="120" w:beforeLines="50" w:after="50"/>
        <w:rPr>
          <w:rFonts w:ascii="宋体"/>
          <w:bCs/>
          <w:color w:val="auto"/>
          <w:sz w:val="32"/>
          <w:szCs w:val="20"/>
          <w:highlight w:val="none"/>
        </w:rPr>
      </w:pPr>
    </w:p>
    <w:p w14:paraId="2221D6F8">
      <w:pPr>
        <w:snapToGrid w:val="0"/>
        <w:spacing w:before="120" w:beforeLines="50" w:after="50"/>
        <w:jc w:val="center"/>
        <w:rPr>
          <w:rFonts w:ascii="宋体"/>
          <w:color w:val="auto"/>
          <w:sz w:val="24"/>
          <w:szCs w:val="20"/>
          <w:highlight w:val="none"/>
        </w:rPr>
      </w:pPr>
      <w:r>
        <w:rPr>
          <w:rFonts w:hint="eastAsia" w:ascii="宋体" w:hAnsi="宋体"/>
          <w:color w:val="auto"/>
          <w:sz w:val="44"/>
          <w:szCs w:val="44"/>
          <w:highlight w:val="none"/>
        </w:rPr>
        <w:t>电子响应文件</w:t>
      </w:r>
    </w:p>
    <w:p w14:paraId="0740AB9C">
      <w:pPr>
        <w:snapToGrid w:val="0"/>
        <w:spacing w:before="120" w:beforeLines="50" w:after="50"/>
        <w:rPr>
          <w:rFonts w:ascii="宋体"/>
          <w:color w:val="auto"/>
          <w:sz w:val="24"/>
          <w:szCs w:val="20"/>
          <w:highlight w:val="none"/>
        </w:rPr>
      </w:pPr>
    </w:p>
    <w:p w14:paraId="57042609">
      <w:pPr>
        <w:snapToGrid w:val="0"/>
        <w:spacing w:before="120" w:beforeLines="50" w:after="50"/>
        <w:rPr>
          <w:rFonts w:ascii="宋体"/>
          <w:color w:val="auto"/>
          <w:sz w:val="24"/>
          <w:szCs w:val="20"/>
          <w:highlight w:val="none"/>
        </w:rPr>
      </w:pPr>
    </w:p>
    <w:p w14:paraId="5534011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报价文件</w:t>
      </w:r>
    </w:p>
    <w:p w14:paraId="471B60D8">
      <w:pPr>
        <w:snapToGrid w:val="0"/>
        <w:spacing w:before="120" w:beforeLines="50" w:after="50"/>
        <w:rPr>
          <w:rFonts w:ascii="宋体"/>
          <w:bCs/>
          <w:color w:val="auto"/>
          <w:sz w:val="24"/>
          <w:szCs w:val="20"/>
          <w:highlight w:val="none"/>
        </w:rPr>
      </w:pPr>
    </w:p>
    <w:p w14:paraId="005F17DD">
      <w:pPr>
        <w:snapToGrid w:val="0"/>
        <w:spacing w:before="120" w:beforeLines="50" w:after="50"/>
        <w:rPr>
          <w:rFonts w:ascii="宋体"/>
          <w:bCs/>
          <w:color w:val="auto"/>
          <w:sz w:val="24"/>
          <w:szCs w:val="20"/>
          <w:highlight w:val="none"/>
        </w:rPr>
      </w:pPr>
    </w:p>
    <w:p w14:paraId="5B232125">
      <w:pPr>
        <w:snapToGrid w:val="0"/>
        <w:spacing w:before="120" w:beforeLines="50" w:after="50"/>
        <w:rPr>
          <w:rFonts w:ascii="宋体"/>
          <w:bCs/>
          <w:color w:val="auto"/>
          <w:sz w:val="24"/>
          <w:szCs w:val="20"/>
          <w:highlight w:val="none"/>
        </w:rPr>
      </w:pPr>
    </w:p>
    <w:p w14:paraId="6DBB7A8E">
      <w:pPr>
        <w:snapToGrid w:val="0"/>
        <w:spacing w:before="120" w:beforeLines="50" w:after="50"/>
        <w:rPr>
          <w:rFonts w:ascii="宋体"/>
          <w:bCs/>
          <w:color w:val="auto"/>
          <w:sz w:val="24"/>
          <w:szCs w:val="20"/>
          <w:highlight w:val="none"/>
        </w:rPr>
      </w:pPr>
    </w:p>
    <w:p w14:paraId="4C599A50">
      <w:pPr>
        <w:snapToGrid w:val="0"/>
        <w:spacing w:before="120" w:beforeLines="50" w:after="50"/>
        <w:rPr>
          <w:rFonts w:ascii="宋体"/>
          <w:bCs/>
          <w:color w:val="auto"/>
          <w:sz w:val="24"/>
          <w:szCs w:val="20"/>
          <w:highlight w:val="none"/>
        </w:rPr>
      </w:pPr>
    </w:p>
    <w:p w14:paraId="2481CB4D">
      <w:pPr>
        <w:snapToGrid w:val="0"/>
        <w:spacing w:before="120" w:beforeLines="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项目名称：</w:t>
      </w:r>
    </w:p>
    <w:p w14:paraId="22611374">
      <w:pPr>
        <w:snapToGrid w:val="0"/>
        <w:spacing w:before="120" w:beforeLines="50" w:after="50"/>
        <w:ind w:firstLine="720" w:firstLineChars="225"/>
        <w:rPr>
          <w:rFonts w:ascii="宋体" w:cs="仿宋_GB2312"/>
          <w:bCs/>
          <w:color w:val="auto"/>
          <w:sz w:val="32"/>
          <w:szCs w:val="32"/>
          <w:highlight w:val="none"/>
        </w:rPr>
      </w:pPr>
    </w:p>
    <w:p w14:paraId="013411C0">
      <w:pPr>
        <w:snapToGrid w:val="0"/>
        <w:spacing w:before="120" w:beforeLines="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项目编号：</w:t>
      </w:r>
    </w:p>
    <w:p w14:paraId="4599A69A">
      <w:pPr>
        <w:snapToGrid w:val="0"/>
        <w:spacing w:before="120" w:beforeLines="50" w:after="50"/>
        <w:ind w:firstLine="720" w:firstLineChars="225"/>
        <w:rPr>
          <w:rFonts w:ascii="宋体" w:cs="仿宋_GB2312"/>
          <w:bCs/>
          <w:color w:val="auto"/>
          <w:sz w:val="32"/>
          <w:szCs w:val="32"/>
          <w:highlight w:val="none"/>
        </w:rPr>
      </w:pPr>
    </w:p>
    <w:p w14:paraId="32993019">
      <w:pPr>
        <w:snapToGrid w:val="0"/>
        <w:spacing w:before="120" w:beforeLines="50" w:after="50"/>
        <w:ind w:firstLine="720" w:firstLineChars="225"/>
        <w:rPr>
          <w:rFonts w:ascii="宋体" w:cs="仿宋_GB2312"/>
          <w:bCs/>
          <w:color w:val="auto"/>
          <w:sz w:val="32"/>
          <w:szCs w:val="32"/>
          <w:highlight w:val="none"/>
        </w:rPr>
      </w:pPr>
    </w:p>
    <w:p w14:paraId="39D6FF55">
      <w:pPr>
        <w:pStyle w:val="6"/>
        <w:snapToGrid w:val="0"/>
        <w:spacing w:before="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080E27F7">
      <w:pPr>
        <w:pStyle w:val="6"/>
        <w:snapToGrid w:val="0"/>
        <w:spacing w:before="50" w:after="50"/>
        <w:ind w:firstLine="640" w:firstLineChars="200"/>
        <w:rPr>
          <w:rFonts w:ascii="宋体" w:cs="仿宋_GB2312"/>
          <w:bCs/>
          <w:color w:val="auto"/>
          <w:sz w:val="32"/>
          <w:szCs w:val="32"/>
          <w:highlight w:val="none"/>
        </w:rPr>
      </w:pPr>
    </w:p>
    <w:p w14:paraId="221FD82B">
      <w:pPr>
        <w:pStyle w:val="6"/>
        <w:snapToGrid w:val="0"/>
        <w:spacing w:before="50" w:after="50"/>
        <w:ind w:firstLine="720" w:firstLineChars="225"/>
        <w:rPr>
          <w:rFonts w:ascii="宋体" w:cs="仿宋_GB2312"/>
          <w:bCs/>
          <w:color w:val="auto"/>
          <w:sz w:val="32"/>
          <w:szCs w:val="32"/>
          <w:highlight w:val="none"/>
        </w:rPr>
      </w:pPr>
    </w:p>
    <w:p w14:paraId="3AB4AE42">
      <w:pPr>
        <w:pStyle w:val="6"/>
        <w:snapToGrid w:val="0"/>
        <w:spacing w:before="50" w:after="50"/>
        <w:ind w:firstLine="0"/>
        <w:rPr>
          <w:rFonts w:ascii="宋体" w:cs="仿宋_GB2312"/>
          <w:bCs/>
          <w:color w:val="auto"/>
          <w:sz w:val="32"/>
          <w:szCs w:val="32"/>
          <w:highlight w:val="none"/>
        </w:rPr>
      </w:pPr>
    </w:p>
    <w:p w14:paraId="408DDC23">
      <w:pPr>
        <w:pStyle w:val="6"/>
        <w:snapToGrid w:val="0"/>
        <w:spacing w:before="50" w:after="50"/>
        <w:ind w:firstLine="1280" w:firstLineChars="400"/>
        <w:rPr>
          <w:rFonts w:ascii="宋体" w:cs="仿宋_GB2312"/>
          <w:bCs/>
          <w:color w:val="auto"/>
          <w:sz w:val="32"/>
          <w:szCs w:val="32"/>
          <w:highlight w:val="none"/>
        </w:rPr>
      </w:pPr>
    </w:p>
    <w:p w14:paraId="1D431378">
      <w:pPr>
        <w:snapToGrid w:val="0"/>
        <w:spacing w:before="120" w:beforeLines="50" w:after="50"/>
        <w:jc w:val="center"/>
        <w:rPr>
          <w:rFonts w:ascii="宋体" w:cs="仿宋_GB2312"/>
          <w:color w:val="auto"/>
          <w:sz w:val="32"/>
          <w:szCs w:val="32"/>
          <w:highlight w:val="none"/>
        </w:rPr>
      </w:pPr>
      <w:r>
        <w:rPr>
          <w:rFonts w:hint="eastAsia" w:ascii="宋体" w:hAnsi="宋体" w:cs="仿宋_GB2312"/>
          <w:color w:val="auto"/>
          <w:sz w:val="32"/>
          <w:szCs w:val="32"/>
          <w:highlight w:val="none"/>
        </w:rPr>
        <w:t>年  月  日</w:t>
      </w:r>
    </w:p>
    <w:p w14:paraId="314E9386">
      <w:pPr>
        <w:snapToGrid w:val="0"/>
        <w:spacing w:before="120" w:beforeLines="50" w:after="50" w:line="360" w:lineRule="auto"/>
        <w:jc w:val="left"/>
        <w:rPr>
          <w:rFonts w:ascii="宋体"/>
          <w:b/>
          <w:bCs/>
          <w:color w:val="auto"/>
          <w:sz w:val="24"/>
          <w:highlight w:val="none"/>
        </w:rPr>
      </w:pPr>
      <w:r>
        <w:rPr>
          <w:rFonts w:ascii="宋体"/>
          <w:color w:val="auto"/>
          <w:szCs w:val="21"/>
          <w:highlight w:val="none"/>
        </w:rPr>
        <w:br w:type="page"/>
      </w:r>
      <w:r>
        <w:rPr>
          <w:rFonts w:ascii="宋体" w:hAnsi="宋体"/>
          <w:b/>
          <w:bCs/>
          <w:color w:val="auto"/>
          <w:sz w:val="32"/>
          <w:szCs w:val="32"/>
          <w:highlight w:val="none"/>
        </w:rPr>
        <w:t>2.</w:t>
      </w:r>
      <w:r>
        <w:rPr>
          <w:rFonts w:hint="eastAsia" w:ascii="宋体" w:hAnsi="宋体"/>
          <w:b/>
          <w:bCs/>
          <w:color w:val="auto"/>
          <w:sz w:val="32"/>
          <w:szCs w:val="32"/>
          <w:highlight w:val="none"/>
        </w:rPr>
        <w:t>报价文件目录</w:t>
      </w:r>
    </w:p>
    <w:p w14:paraId="2E7E469C">
      <w:pPr>
        <w:tabs>
          <w:tab w:val="left" w:pos="3479"/>
        </w:tabs>
        <w:spacing w:line="520" w:lineRule="exact"/>
        <w:jc w:val="left"/>
        <w:rPr>
          <w:rFonts w:asci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3D679AB9">
      <w:pPr>
        <w:tabs>
          <w:tab w:val="left" w:pos="3479"/>
        </w:tabs>
        <w:spacing w:line="520" w:lineRule="exact"/>
        <w:jc w:val="center"/>
        <w:rPr>
          <w:rFonts w:hint="eastAsia" w:ascii="方正小标宋简体" w:hAnsi="方正小标宋简体" w:eastAsia="方正小标宋简体" w:cs="方正小标宋简体"/>
          <w:bCs/>
          <w:color w:val="auto"/>
          <w:sz w:val="32"/>
          <w:szCs w:val="32"/>
          <w:highlight w:val="none"/>
        </w:rPr>
      </w:pPr>
      <w:r>
        <w:rPr>
          <w:rFonts w:ascii="宋体"/>
          <w:color w:val="auto"/>
          <w:szCs w:val="21"/>
          <w:highlight w:val="none"/>
        </w:rPr>
        <w:br w:type="page"/>
      </w:r>
      <w:r>
        <w:rPr>
          <w:rFonts w:hint="eastAsia" w:ascii="方正小标宋简体" w:hAnsi="方正小标宋简体" w:eastAsia="方正小标宋简体" w:cs="方正小标宋简体"/>
          <w:bCs/>
          <w:color w:val="auto"/>
          <w:sz w:val="44"/>
          <w:szCs w:val="44"/>
          <w:highlight w:val="none"/>
        </w:rPr>
        <w:t>竞标报价表</w:t>
      </w:r>
    </w:p>
    <w:p w14:paraId="4AA7930F">
      <w:pPr>
        <w:snapToGrid w:val="0"/>
        <w:spacing w:before="50" w:after="50" w:line="360" w:lineRule="auto"/>
        <w:rPr>
          <w:rFonts w:ascii="宋体" w:cs="仿宋_GB2312"/>
          <w:color w:val="auto"/>
          <w:sz w:val="24"/>
          <w:highlight w:val="none"/>
        </w:rPr>
      </w:pPr>
      <w:r>
        <w:rPr>
          <w:rFonts w:hint="eastAsia" w:ascii="宋体" w:hAnsi="宋体" w:cs="仿宋_GB2312"/>
          <w:color w:val="auto"/>
          <w:sz w:val="24"/>
          <w:highlight w:val="none"/>
        </w:rPr>
        <w:t>项目名称：                                    项目编号：</w:t>
      </w:r>
    </w:p>
    <w:p w14:paraId="19C176DA">
      <w:pPr>
        <w:snapToGrid w:val="0"/>
        <w:spacing w:before="50" w:after="50" w:line="360" w:lineRule="auto"/>
        <w:rPr>
          <w:rFonts w:ascii="宋体" w:cs="仿宋_GB2312"/>
          <w:color w:val="auto"/>
          <w:sz w:val="24"/>
          <w:highlight w:val="none"/>
        </w:rPr>
      </w:pPr>
      <w:r>
        <w:rPr>
          <w:rFonts w:hint="eastAsia" w:ascii="宋体" w:hAnsi="宋体" w:cs="仿宋_GB2312"/>
          <w:color w:val="auto"/>
          <w:sz w:val="24"/>
          <w:highlight w:val="none"/>
        </w:rPr>
        <w:t>供应商名称：</w:t>
      </w:r>
    </w:p>
    <w:p w14:paraId="2DF938DA">
      <w:pPr>
        <w:snapToGrid w:val="0"/>
        <w:spacing w:before="50" w:after="50" w:line="360" w:lineRule="auto"/>
        <w:ind w:firstLine="5520" w:firstLineChars="2300"/>
        <w:rPr>
          <w:rFonts w:ascii="宋体" w:cs="仿宋_GB2312"/>
          <w:color w:val="auto"/>
          <w:sz w:val="24"/>
          <w:highlight w:val="none"/>
        </w:rPr>
      </w:pPr>
      <w:r>
        <w:rPr>
          <w:rFonts w:hint="eastAsia" w:ascii="宋体" w:hAnsi="宋体" w:cs="仿宋_GB2312"/>
          <w:color w:val="auto"/>
          <w:sz w:val="24"/>
          <w:highlight w:val="none"/>
        </w:rPr>
        <w:t>单位：元</w:t>
      </w:r>
    </w:p>
    <w:tbl>
      <w:tblPr>
        <w:tblStyle w:val="25"/>
        <w:tblW w:w="1010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5"/>
        <w:gridCol w:w="1013"/>
        <w:gridCol w:w="1400"/>
        <w:gridCol w:w="619"/>
        <w:gridCol w:w="925"/>
        <w:gridCol w:w="856"/>
        <w:gridCol w:w="967"/>
        <w:gridCol w:w="1094"/>
        <w:gridCol w:w="779"/>
        <w:gridCol w:w="1459"/>
      </w:tblGrid>
      <w:tr w14:paraId="6565FD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995" w:type="dxa"/>
            <w:tcBorders>
              <w:top w:val="single" w:color="auto" w:sz="4" w:space="0"/>
              <w:bottom w:val="single" w:color="auto" w:sz="4" w:space="0"/>
              <w:right w:val="single" w:color="auto" w:sz="4" w:space="0"/>
            </w:tcBorders>
            <w:vAlign w:val="center"/>
          </w:tcPr>
          <w:p w14:paraId="4D06CAC0">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项号</w:t>
            </w:r>
          </w:p>
        </w:tc>
        <w:tc>
          <w:tcPr>
            <w:tcW w:w="1013" w:type="dxa"/>
            <w:tcBorders>
              <w:top w:val="single" w:color="auto" w:sz="4" w:space="0"/>
              <w:left w:val="single" w:color="auto" w:sz="4" w:space="0"/>
              <w:bottom w:val="single" w:color="auto" w:sz="4" w:space="0"/>
              <w:right w:val="single" w:color="auto" w:sz="4" w:space="0"/>
            </w:tcBorders>
            <w:vAlign w:val="center"/>
          </w:tcPr>
          <w:p w14:paraId="189D1380">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标的的名称</w:t>
            </w:r>
          </w:p>
        </w:tc>
        <w:tc>
          <w:tcPr>
            <w:tcW w:w="1400" w:type="dxa"/>
            <w:tcBorders>
              <w:top w:val="single" w:color="auto" w:sz="4" w:space="0"/>
              <w:left w:val="single" w:color="auto" w:sz="4" w:space="0"/>
              <w:bottom w:val="single" w:color="auto" w:sz="4" w:space="0"/>
              <w:right w:val="single" w:color="auto" w:sz="4" w:space="0"/>
            </w:tcBorders>
            <w:vAlign w:val="center"/>
          </w:tcPr>
          <w:p w14:paraId="5D01D09E">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生产厂家（制造商）、产地</w:t>
            </w:r>
          </w:p>
        </w:tc>
        <w:tc>
          <w:tcPr>
            <w:tcW w:w="619" w:type="dxa"/>
            <w:tcBorders>
              <w:top w:val="single" w:color="auto" w:sz="4" w:space="0"/>
              <w:left w:val="single" w:color="auto" w:sz="4" w:space="0"/>
              <w:bottom w:val="single" w:color="auto" w:sz="4" w:space="0"/>
              <w:right w:val="single" w:color="auto" w:sz="4" w:space="0"/>
            </w:tcBorders>
            <w:vAlign w:val="center"/>
          </w:tcPr>
          <w:p w14:paraId="29AD234D">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品牌</w:t>
            </w:r>
          </w:p>
        </w:tc>
        <w:tc>
          <w:tcPr>
            <w:tcW w:w="925" w:type="dxa"/>
            <w:tcBorders>
              <w:top w:val="single" w:color="auto" w:sz="4" w:space="0"/>
              <w:left w:val="single" w:color="auto" w:sz="4" w:space="0"/>
              <w:bottom w:val="single" w:color="auto" w:sz="4" w:space="0"/>
              <w:right w:val="single" w:color="auto" w:sz="4" w:space="0"/>
            </w:tcBorders>
            <w:vAlign w:val="center"/>
          </w:tcPr>
          <w:p w14:paraId="72301C02">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规格型号</w:t>
            </w:r>
          </w:p>
        </w:tc>
        <w:tc>
          <w:tcPr>
            <w:tcW w:w="856" w:type="dxa"/>
            <w:tcBorders>
              <w:top w:val="single" w:color="auto" w:sz="4" w:space="0"/>
              <w:left w:val="single" w:color="auto" w:sz="4" w:space="0"/>
              <w:bottom w:val="single" w:color="auto" w:sz="4" w:space="0"/>
              <w:right w:val="single" w:color="auto" w:sz="4" w:space="0"/>
            </w:tcBorders>
            <w:vAlign w:val="center"/>
          </w:tcPr>
          <w:p w14:paraId="3AAF6D2A">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数量</w:t>
            </w:r>
          </w:p>
          <w:p w14:paraId="76FBC895">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①</w:t>
            </w:r>
          </w:p>
        </w:tc>
        <w:tc>
          <w:tcPr>
            <w:tcW w:w="967" w:type="dxa"/>
            <w:tcBorders>
              <w:top w:val="single" w:color="auto" w:sz="4" w:space="0"/>
              <w:left w:val="single" w:color="auto" w:sz="4" w:space="0"/>
              <w:bottom w:val="single" w:color="auto" w:sz="4" w:space="0"/>
              <w:right w:val="single" w:color="auto" w:sz="4" w:space="0"/>
            </w:tcBorders>
            <w:vAlign w:val="center"/>
          </w:tcPr>
          <w:p w14:paraId="344B04A6">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单位</w:t>
            </w:r>
          </w:p>
        </w:tc>
        <w:tc>
          <w:tcPr>
            <w:tcW w:w="1094" w:type="dxa"/>
            <w:tcBorders>
              <w:top w:val="single" w:color="auto" w:sz="4" w:space="0"/>
              <w:left w:val="single" w:color="auto" w:sz="4" w:space="0"/>
              <w:bottom w:val="single" w:color="auto" w:sz="4" w:space="0"/>
              <w:right w:val="single" w:color="auto" w:sz="4" w:space="0"/>
            </w:tcBorders>
            <w:vAlign w:val="center"/>
          </w:tcPr>
          <w:p w14:paraId="3CFE2C59">
            <w:pPr>
              <w:spacing w:line="360" w:lineRule="auto"/>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技术参数</w:t>
            </w:r>
          </w:p>
        </w:tc>
        <w:tc>
          <w:tcPr>
            <w:tcW w:w="779" w:type="dxa"/>
            <w:tcBorders>
              <w:top w:val="single" w:color="auto" w:sz="4" w:space="0"/>
              <w:left w:val="single" w:color="auto" w:sz="4" w:space="0"/>
              <w:bottom w:val="single" w:color="auto" w:sz="4" w:space="0"/>
              <w:right w:val="single" w:color="auto" w:sz="4" w:space="0"/>
            </w:tcBorders>
            <w:vAlign w:val="center"/>
          </w:tcPr>
          <w:p w14:paraId="7DF81637">
            <w:pPr>
              <w:spacing w:line="360" w:lineRule="auto"/>
              <w:jc w:val="center"/>
              <w:rPr>
                <w:rFonts w:ascii="宋体" w:cs="仿宋_GB2312"/>
                <w:b/>
                <w:bCs/>
                <w:color w:val="auto"/>
                <w:sz w:val="24"/>
                <w:highlight w:val="none"/>
              </w:rPr>
            </w:pPr>
            <w:r>
              <w:rPr>
                <w:rFonts w:hint="eastAsia" w:ascii="宋体" w:hAnsi="宋体" w:cs="仿宋_GB2312"/>
                <w:b/>
                <w:bCs/>
                <w:color w:val="auto"/>
                <w:sz w:val="24"/>
                <w:highlight w:val="none"/>
              </w:rPr>
              <w:t>单价</w:t>
            </w:r>
          </w:p>
          <w:p w14:paraId="31792B8D">
            <w:pPr>
              <w:spacing w:line="360" w:lineRule="auto"/>
              <w:jc w:val="center"/>
              <w:rPr>
                <w:rFonts w:ascii="宋体" w:cs="仿宋_GB2312"/>
                <w:b/>
                <w:bCs/>
                <w:color w:val="auto"/>
                <w:sz w:val="24"/>
                <w:highlight w:val="none"/>
              </w:rPr>
            </w:pPr>
            <w:r>
              <w:rPr>
                <w:rFonts w:hint="eastAsia" w:ascii="宋体" w:hAnsi="宋体" w:cs="仿宋_GB2312"/>
                <w:b/>
                <w:bCs/>
                <w:color w:val="auto"/>
                <w:sz w:val="24"/>
                <w:highlight w:val="none"/>
              </w:rPr>
              <w:t>②</w:t>
            </w:r>
          </w:p>
        </w:tc>
        <w:tc>
          <w:tcPr>
            <w:tcW w:w="1459" w:type="dxa"/>
            <w:tcBorders>
              <w:top w:val="single" w:color="auto" w:sz="4" w:space="0"/>
              <w:left w:val="single" w:color="auto" w:sz="4" w:space="0"/>
              <w:bottom w:val="single" w:color="auto" w:sz="4" w:space="0"/>
            </w:tcBorders>
            <w:vAlign w:val="center"/>
          </w:tcPr>
          <w:p w14:paraId="10888589">
            <w:pPr>
              <w:spacing w:line="360" w:lineRule="auto"/>
              <w:jc w:val="center"/>
              <w:rPr>
                <w:rFonts w:ascii="宋体" w:cs="仿宋_GB2312"/>
                <w:b/>
                <w:bCs/>
                <w:color w:val="auto"/>
                <w:sz w:val="24"/>
                <w:highlight w:val="none"/>
              </w:rPr>
            </w:pPr>
            <w:r>
              <w:rPr>
                <w:rFonts w:hint="eastAsia" w:ascii="宋体" w:hAnsi="宋体" w:cs="仿宋_GB2312"/>
                <w:b/>
                <w:bCs/>
                <w:color w:val="auto"/>
                <w:sz w:val="24"/>
                <w:highlight w:val="none"/>
              </w:rPr>
              <w:t>小计</w:t>
            </w:r>
          </w:p>
          <w:p w14:paraId="60778CEB">
            <w:pPr>
              <w:spacing w:line="360" w:lineRule="auto"/>
              <w:jc w:val="center"/>
              <w:rPr>
                <w:rFonts w:ascii="宋体" w:cs="仿宋_GB2312"/>
                <w:b/>
                <w:bCs/>
                <w:color w:val="auto"/>
                <w:sz w:val="24"/>
                <w:highlight w:val="none"/>
              </w:rPr>
            </w:pPr>
            <w:r>
              <w:rPr>
                <w:rFonts w:hint="eastAsia" w:ascii="宋体" w:hAnsi="宋体" w:cs="仿宋_GB2312"/>
                <w:b/>
                <w:bCs/>
                <w:color w:val="auto"/>
                <w:sz w:val="24"/>
                <w:highlight w:val="none"/>
              </w:rPr>
              <w:t>③</w:t>
            </w:r>
            <w:r>
              <w:rPr>
                <w:rFonts w:ascii="宋体" w:hAnsi="宋体" w:cs="仿宋_GB2312"/>
                <w:b/>
                <w:bCs/>
                <w:color w:val="auto"/>
                <w:sz w:val="24"/>
                <w:highlight w:val="none"/>
              </w:rPr>
              <w:t>=</w:t>
            </w:r>
            <w:r>
              <w:rPr>
                <w:rFonts w:hint="eastAsia" w:ascii="宋体" w:hAnsi="宋体" w:cs="仿宋_GB2312"/>
                <w:b/>
                <w:bCs/>
                <w:color w:val="auto"/>
                <w:sz w:val="24"/>
                <w:highlight w:val="none"/>
              </w:rPr>
              <w:t>①×②</w:t>
            </w:r>
          </w:p>
        </w:tc>
      </w:tr>
      <w:tr w14:paraId="5D340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95" w:type="dxa"/>
            <w:tcBorders>
              <w:top w:val="single" w:color="auto" w:sz="4" w:space="0"/>
              <w:bottom w:val="single" w:color="auto" w:sz="4" w:space="0"/>
              <w:right w:val="single" w:color="auto" w:sz="4" w:space="0"/>
            </w:tcBorders>
            <w:vAlign w:val="center"/>
          </w:tcPr>
          <w:p w14:paraId="14B6E65C">
            <w:pPr>
              <w:snapToGrid w:val="0"/>
              <w:spacing w:line="320" w:lineRule="exact"/>
              <w:jc w:val="center"/>
              <w:rPr>
                <w:rFonts w:hint="eastAsia" w:ascii="宋体" w:hAnsi="宋体"/>
                <w:b/>
                <w:color w:val="auto"/>
                <w:sz w:val="24"/>
                <w:highlight w:val="none"/>
              </w:rPr>
            </w:pPr>
            <w:r>
              <w:rPr>
                <w:rFonts w:hint="eastAsia" w:ascii="宋体" w:hAnsi="宋体"/>
                <w:b/>
                <w:color w:val="auto"/>
                <w:sz w:val="24"/>
                <w:highlight w:val="none"/>
              </w:rPr>
              <w:t>1</w:t>
            </w:r>
          </w:p>
        </w:tc>
        <w:tc>
          <w:tcPr>
            <w:tcW w:w="1013" w:type="dxa"/>
            <w:tcBorders>
              <w:top w:val="single" w:color="auto" w:sz="4" w:space="0"/>
              <w:left w:val="single" w:color="auto" w:sz="4" w:space="0"/>
              <w:bottom w:val="single" w:color="auto" w:sz="4" w:space="0"/>
              <w:right w:val="single" w:color="auto" w:sz="4" w:space="0"/>
            </w:tcBorders>
            <w:vAlign w:val="center"/>
          </w:tcPr>
          <w:p w14:paraId="47B002A8">
            <w:pPr>
              <w:snapToGrid w:val="0"/>
              <w:spacing w:line="320" w:lineRule="exact"/>
              <w:jc w:val="center"/>
              <w:rPr>
                <w:rFonts w:hint="eastAsia" w:ascii="宋体" w:hAnsi="宋体"/>
                <w:b/>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4662B974">
            <w:pPr>
              <w:snapToGrid w:val="0"/>
              <w:spacing w:line="320" w:lineRule="exact"/>
              <w:jc w:val="center"/>
              <w:rPr>
                <w:rFonts w:hint="eastAsia" w:ascii="宋体" w:hAnsi="宋体"/>
                <w:b/>
                <w:color w:val="auto"/>
                <w:sz w:val="24"/>
                <w:highlight w:val="none"/>
              </w:rPr>
            </w:pPr>
          </w:p>
        </w:tc>
        <w:tc>
          <w:tcPr>
            <w:tcW w:w="619" w:type="dxa"/>
            <w:tcBorders>
              <w:top w:val="single" w:color="auto" w:sz="4" w:space="0"/>
              <w:left w:val="single" w:color="auto" w:sz="4" w:space="0"/>
              <w:bottom w:val="single" w:color="auto" w:sz="4" w:space="0"/>
              <w:right w:val="single" w:color="auto" w:sz="4" w:space="0"/>
            </w:tcBorders>
            <w:vAlign w:val="center"/>
          </w:tcPr>
          <w:p w14:paraId="5471697C">
            <w:pPr>
              <w:snapToGrid w:val="0"/>
              <w:spacing w:line="320" w:lineRule="exact"/>
              <w:jc w:val="center"/>
              <w:rPr>
                <w:rFonts w:ascii="宋体" w:cs="仿宋_GB2312"/>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DE8ABCA">
            <w:pPr>
              <w:snapToGrid w:val="0"/>
              <w:spacing w:line="320" w:lineRule="exact"/>
              <w:jc w:val="center"/>
              <w:rPr>
                <w:rFonts w:ascii="宋体" w:cs="仿宋_GB2312"/>
                <w:color w:val="auto"/>
                <w:sz w:val="24"/>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021333E3">
            <w:pPr>
              <w:snapToGrid w:val="0"/>
              <w:spacing w:line="320" w:lineRule="exact"/>
              <w:jc w:val="center"/>
              <w:rPr>
                <w:rFonts w:ascii="宋体" w:cs="仿宋_GB2312"/>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35BA343A">
            <w:pPr>
              <w:snapToGrid w:val="0"/>
              <w:spacing w:line="320" w:lineRule="exact"/>
              <w:jc w:val="center"/>
              <w:rPr>
                <w:rFonts w:ascii="宋体" w:cs="仿宋_GB2312"/>
                <w:color w:val="auto"/>
                <w:sz w:val="24"/>
                <w:highlight w:val="none"/>
              </w:rPr>
            </w:pPr>
          </w:p>
        </w:tc>
        <w:tc>
          <w:tcPr>
            <w:tcW w:w="1094" w:type="dxa"/>
            <w:vMerge w:val="restart"/>
            <w:tcBorders>
              <w:top w:val="single" w:color="auto" w:sz="4" w:space="0"/>
              <w:left w:val="single" w:color="auto" w:sz="4" w:space="0"/>
              <w:right w:val="single" w:color="auto" w:sz="4" w:space="0"/>
            </w:tcBorders>
            <w:vAlign w:val="center"/>
          </w:tcPr>
          <w:p w14:paraId="437267B8">
            <w:pPr>
              <w:spacing w:line="360" w:lineRule="exact"/>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技术参数详见“技术</w:t>
            </w:r>
          </w:p>
          <w:p w14:paraId="1701D5BD">
            <w:pPr>
              <w:spacing w:line="360" w:lineRule="exact"/>
              <w:jc w:val="center"/>
              <w:rPr>
                <w:rFonts w:hint="eastAsia" w:ascii="宋体" w:hAnsi="宋体" w:cs="仿宋_GB2312"/>
                <w:b/>
                <w:bCs/>
                <w:color w:val="auto"/>
                <w:sz w:val="24"/>
                <w:highlight w:val="none"/>
              </w:rPr>
            </w:pPr>
            <w:r>
              <w:rPr>
                <w:rFonts w:hint="eastAsia" w:ascii="宋体" w:hAnsi="宋体" w:cs="仿宋_GB2312"/>
                <w:b/>
                <w:bCs/>
                <w:color w:val="auto"/>
                <w:sz w:val="24"/>
                <w:highlight w:val="none"/>
              </w:rPr>
              <w:t>响应承诺书”</w:t>
            </w:r>
          </w:p>
        </w:tc>
        <w:tc>
          <w:tcPr>
            <w:tcW w:w="779" w:type="dxa"/>
            <w:tcBorders>
              <w:top w:val="single" w:color="auto" w:sz="4" w:space="0"/>
              <w:left w:val="single" w:color="auto" w:sz="4" w:space="0"/>
              <w:bottom w:val="single" w:color="auto" w:sz="4" w:space="0"/>
              <w:right w:val="single" w:color="auto" w:sz="4" w:space="0"/>
            </w:tcBorders>
            <w:vAlign w:val="center"/>
          </w:tcPr>
          <w:p w14:paraId="3C71699C">
            <w:pPr>
              <w:spacing w:line="360" w:lineRule="auto"/>
              <w:jc w:val="center"/>
              <w:rPr>
                <w:rFonts w:ascii="宋体" w:cs="仿宋_GB2312"/>
                <w:color w:val="auto"/>
                <w:sz w:val="24"/>
                <w:highlight w:val="none"/>
              </w:rPr>
            </w:pPr>
          </w:p>
        </w:tc>
        <w:tc>
          <w:tcPr>
            <w:tcW w:w="1459" w:type="dxa"/>
            <w:tcBorders>
              <w:top w:val="single" w:color="auto" w:sz="4" w:space="0"/>
              <w:left w:val="single" w:color="auto" w:sz="4" w:space="0"/>
              <w:bottom w:val="single" w:color="auto" w:sz="4" w:space="0"/>
            </w:tcBorders>
            <w:vAlign w:val="center"/>
          </w:tcPr>
          <w:p w14:paraId="65ED571E">
            <w:pPr>
              <w:spacing w:line="360" w:lineRule="auto"/>
              <w:jc w:val="center"/>
              <w:rPr>
                <w:rFonts w:ascii="宋体" w:cs="仿宋_GB2312"/>
                <w:color w:val="auto"/>
                <w:sz w:val="24"/>
                <w:highlight w:val="none"/>
              </w:rPr>
            </w:pPr>
          </w:p>
        </w:tc>
      </w:tr>
      <w:tr w14:paraId="29E39F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95" w:type="dxa"/>
            <w:tcBorders>
              <w:top w:val="single" w:color="auto" w:sz="4" w:space="0"/>
              <w:bottom w:val="single" w:color="auto" w:sz="4" w:space="0"/>
              <w:right w:val="single" w:color="auto" w:sz="4" w:space="0"/>
            </w:tcBorders>
            <w:vAlign w:val="center"/>
          </w:tcPr>
          <w:p w14:paraId="2FA6EDFA">
            <w:pPr>
              <w:snapToGrid w:val="0"/>
              <w:spacing w:line="320" w:lineRule="exact"/>
              <w:jc w:val="center"/>
              <w:rPr>
                <w:rFonts w:hint="eastAsia" w:ascii="宋体" w:hAnsi="宋体"/>
                <w:b/>
                <w:color w:val="auto"/>
                <w:sz w:val="24"/>
                <w:highlight w:val="none"/>
              </w:rPr>
            </w:pPr>
            <w:r>
              <w:rPr>
                <w:rFonts w:hint="eastAsia" w:ascii="宋体" w:hAnsi="宋体"/>
                <w:b/>
                <w:color w:val="auto"/>
                <w:sz w:val="24"/>
                <w:highlight w:val="none"/>
              </w:rPr>
              <w:t>2</w:t>
            </w:r>
          </w:p>
        </w:tc>
        <w:tc>
          <w:tcPr>
            <w:tcW w:w="1013" w:type="dxa"/>
            <w:tcBorders>
              <w:top w:val="single" w:color="auto" w:sz="4" w:space="0"/>
              <w:left w:val="single" w:color="auto" w:sz="4" w:space="0"/>
              <w:bottom w:val="single" w:color="auto" w:sz="4" w:space="0"/>
              <w:right w:val="single" w:color="auto" w:sz="4" w:space="0"/>
            </w:tcBorders>
            <w:vAlign w:val="center"/>
          </w:tcPr>
          <w:p w14:paraId="32045A73">
            <w:pPr>
              <w:snapToGrid w:val="0"/>
              <w:spacing w:line="320" w:lineRule="exact"/>
              <w:jc w:val="center"/>
              <w:rPr>
                <w:rFonts w:hint="eastAsia" w:ascii="宋体" w:hAnsi="宋体"/>
                <w:b/>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6C0EC451">
            <w:pPr>
              <w:snapToGrid w:val="0"/>
              <w:spacing w:line="320" w:lineRule="exact"/>
              <w:jc w:val="center"/>
              <w:rPr>
                <w:rFonts w:hint="eastAsia" w:ascii="宋体" w:hAnsi="宋体"/>
                <w:b/>
                <w:color w:val="auto"/>
                <w:sz w:val="24"/>
                <w:highlight w:val="none"/>
              </w:rPr>
            </w:pPr>
          </w:p>
        </w:tc>
        <w:tc>
          <w:tcPr>
            <w:tcW w:w="619" w:type="dxa"/>
            <w:tcBorders>
              <w:top w:val="single" w:color="auto" w:sz="4" w:space="0"/>
              <w:left w:val="single" w:color="auto" w:sz="4" w:space="0"/>
              <w:bottom w:val="single" w:color="auto" w:sz="4" w:space="0"/>
              <w:right w:val="single" w:color="auto" w:sz="4" w:space="0"/>
            </w:tcBorders>
            <w:vAlign w:val="center"/>
          </w:tcPr>
          <w:p w14:paraId="0D8E4FC4">
            <w:pPr>
              <w:snapToGrid w:val="0"/>
              <w:spacing w:line="320" w:lineRule="exact"/>
              <w:jc w:val="center"/>
              <w:rPr>
                <w:rFonts w:ascii="宋体" w:cs="仿宋_GB2312"/>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796BAE4">
            <w:pPr>
              <w:snapToGrid w:val="0"/>
              <w:spacing w:line="320" w:lineRule="exact"/>
              <w:jc w:val="center"/>
              <w:rPr>
                <w:rFonts w:ascii="宋体" w:cs="仿宋_GB2312"/>
                <w:color w:val="auto"/>
                <w:sz w:val="24"/>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5C8C8881">
            <w:pPr>
              <w:snapToGrid w:val="0"/>
              <w:spacing w:line="320" w:lineRule="exact"/>
              <w:jc w:val="center"/>
              <w:rPr>
                <w:rFonts w:ascii="宋体" w:cs="仿宋_GB2312"/>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165DA83D">
            <w:pPr>
              <w:snapToGrid w:val="0"/>
              <w:spacing w:line="320" w:lineRule="exact"/>
              <w:jc w:val="center"/>
              <w:rPr>
                <w:rFonts w:ascii="宋体" w:cs="仿宋_GB2312"/>
                <w:color w:val="auto"/>
                <w:sz w:val="24"/>
                <w:highlight w:val="none"/>
              </w:rPr>
            </w:pPr>
          </w:p>
        </w:tc>
        <w:tc>
          <w:tcPr>
            <w:tcW w:w="1094" w:type="dxa"/>
            <w:vMerge w:val="continue"/>
            <w:tcBorders>
              <w:left w:val="single" w:color="auto" w:sz="4" w:space="0"/>
              <w:right w:val="single" w:color="auto" w:sz="4" w:space="0"/>
            </w:tcBorders>
            <w:vAlign w:val="center"/>
          </w:tcPr>
          <w:p w14:paraId="220BEACD">
            <w:pPr>
              <w:spacing w:line="360" w:lineRule="exact"/>
              <w:jc w:val="center"/>
              <w:rPr>
                <w:rFonts w:hint="eastAsia" w:ascii="宋体" w:hAnsi="宋体" w:cs="仿宋_GB2312"/>
                <w:b/>
                <w:bCs/>
                <w:color w:val="auto"/>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3E3B8E9E">
            <w:pPr>
              <w:spacing w:line="360" w:lineRule="auto"/>
              <w:jc w:val="center"/>
              <w:rPr>
                <w:rFonts w:ascii="宋体" w:cs="仿宋_GB2312"/>
                <w:color w:val="auto"/>
                <w:sz w:val="24"/>
                <w:highlight w:val="none"/>
              </w:rPr>
            </w:pPr>
          </w:p>
        </w:tc>
        <w:tc>
          <w:tcPr>
            <w:tcW w:w="1459" w:type="dxa"/>
            <w:tcBorders>
              <w:top w:val="single" w:color="auto" w:sz="4" w:space="0"/>
              <w:left w:val="single" w:color="auto" w:sz="4" w:space="0"/>
              <w:bottom w:val="single" w:color="auto" w:sz="4" w:space="0"/>
            </w:tcBorders>
            <w:vAlign w:val="center"/>
          </w:tcPr>
          <w:p w14:paraId="0DDB1C91">
            <w:pPr>
              <w:spacing w:line="360" w:lineRule="auto"/>
              <w:jc w:val="center"/>
              <w:rPr>
                <w:rFonts w:ascii="宋体" w:cs="仿宋_GB2312"/>
                <w:color w:val="auto"/>
                <w:sz w:val="24"/>
                <w:highlight w:val="none"/>
              </w:rPr>
            </w:pPr>
          </w:p>
        </w:tc>
      </w:tr>
      <w:tr w14:paraId="3CCED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995" w:type="dxa"/>
            <w:tcBorders>
              <w:top w:val="single" w:color="auto" w:sz="4" w:space="0"/>
              <w:bottom w:val="single" w:color="auto" w:sz="4" w:space="0"/>
              <w:right w:val="single" w:color="auto" w:sz="4" w:space="0"/>
            </w:tcBorders>
            <w:vAlign w:val="center"/>
          </w:tcPr>
          <w:p w14:paraId="1C7DD1C1">
            <w:pPr>
              <w:snapToGrid w:val="0"/>
              <w:spacing w:line="320" w:lineRule="exact"/>
              <w:jc w:val="center"/>
              <w:rPr>
                <w:rFonts w:hint="eastAsia" w:ascii="宋体" w:hAnsi="宋体"/>
                <w:b/>
                <w:color w:val="auto"/>
                <w:sz w:val="24"/>
                <w:highlight w:val="none"/>
              </w:rPr>
            </w:pPr>
            <w:r>
              <w:rPr>
                <w:rFonts w:hint="eastAsia" w:ascii="宋体" w:hAnsi="宋体"/>
                <w:b/>
                <w:color w:val="auto"/>
                <w:sz w:val="24"/>
                <w:highlight w:val="none"/>
              </w:rPr>
              <w:t>......</w:t>
            </w:r>
          </w:p>
        </w:tc>
        <w:tc>
          <w:tcPr>
            <w:tcW w:w="1013" w:type="dxa"/>
            <w:tcBorders>
              <w:top w:val="single" w:color="auto" w:sz="4" w:space="0"/>
              <w:left w:val="single" w:color="auto" w:sz="4" w:space="0"/>
              <w:bottom w:val="single" w:color="auto" w:sz="4" w:space="0"/>
              <w:right w:val="single" w:color="auto" w:sz="4" w:space="0"/>
            </w:tcBorders>
            <w:vAlign w:val="center"/>
          </w:tcPr>
          <w:p w14:paraId="21E4A3F8">
            <w:pPr>
              <w:snapToGrid w:val="0"/>
              <w:spacing w:line="320" w:lineRule="exact"/>
              <w:jc w:val="center"/>
              <w:rPr>
                <w:rFonts w:hint="eastAsia" w:ascii="宋体" w:hAnsi="宋体"/>
                <w:b/>
                <w:color w:val="auto"/>
                <w:sz w:val="24"/>
                <w:highlight w:val="none"/>
              </w:rPr>
            </w:pPr>
          </w:p>
        </w:tc>
        <w:tc>
          <w:tcPr>
            <w:tcW w:w="1400" w:type="dxa"/>
            <w:tcBorders>
              <w:top w:val="single" w:color="auto" w:sz="4" w:space="0"/>
              <w:left w:val="single" w:color="auto" w:sz="4" w:space="0"/>
              <w:bottom w:val="single" w:color="auto" w:sz="4" w:space="0"/>
              <w:right w:val="single" w:color="auto" w:sz="4" w:space="0"/>
            </w:tcBorders>
            <w:vAlign w:val="center"/>
          </w:tcPr>
          <w:p w14:paraId="5B73262D">
            <w:pPr>
              <w:snapToGrid w:val="0"/>
              <w:spacing w:line="320" w:lineRule="exact"/>
              <w:jc w:val="center"/>
              <w:rPr>
                <w:rFonts w:hint="eastAsia" w:ascii="宋体" w:hAnsi="宋体"/>
                <w:b/>
                <w:color w:val="auto"/>
                <w:sz w:val="24"/>
                <w:highlight w:val="none"/>
              </w:rPr>
            </w:pPr>
          </w:p>
        </w:tc>
        <w:tc>
          <w:tcPr>
            <w:tcW w:w="619" w:type="dxa"/>
            <w:tcBorders>
              <w:top w:val="single" w:color="auto" w:sz="4" w:space="0"/>
              <w:left w:val="single" w:color="auto" w:sz="4" w:space="0"/>
              <w:bottom w:val="single" w:color="auto" w:sz="4" w:space="0"/>
              <w:right w:val="single" w:color="auto" w:sz="4" w:space="0"/>
            </w:tcBorders>
            <w:vAlign w:val="center"/>
          </w:tcPr>
          <w:p w14:paraId="6B8C7851">
            <w:pPr>
              <w:snapToGrid w:val="0"/>
              <w:spacing w:line="320" w:lineRule="exact"/>
              <w:jc w:val="center"/>
              <w:rPr>
                <w:rFonts w:ascii="宋体" w:cs="仿宋_GB2312"/>
                <w:color w:val="auto"/>
                <w:sz w:val="24"/>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6F0B1D1">
            <w:pPr>
              <w:snapToGrid w:val="0"/>
              <w:spacing w:line="320" w:lineRule="exact"/>
              <w:jc w:val="center"/>
              <w:rPr>
                <w:rFonts w:ascii="宋体" w:cs="仿宋_GB2312"/>
                <w:color w:val="auto"/>
                <w:sz w:val="24"/>
                <w:highlight w:val="none"/>
              </w:rPr>
            </w:pPr>
          </w:p>
        </w:tc>
        <w:tc>
          <w:tcPr>
            <w:tcW w:w="856" w:type="dxa"/>
            <w:tcBorders>
              <w:top w:val="single" w:color="auto" w:sz="4" w:space="0"/>
              <w:left w:val="single" w:color="auto" w:sz="4" w:space="0"/>
              <w:bottom w:val="single" w:color="auto" w:sz="4" w:space="0"/>
              <w:right w:val="single" w:color="auto" w:sz="4" w:space="0"/>
            </w:tcBorders>
            <w:vAlign w:val="center"/>
          </w:tcPr>
          <w:p w14:paraId="5AE2521A">
            <w:pPr>
              <w:snapToGrid w:val="0"/>
              <w:spacing w:line="320" w:lineRule="exact"/>
              <w:jc w:val="center"/>
              <w:rPr>
                <w:rFonts w:ascii="宋体" w:cs="仿宋_GB2312"/>
                <w:color w:val="auto"/>
                <w:sz w:val="24"/>
                <w:highlight w:val="none"/>
              </w:rPr>
            </w:pPr>
          </w:p>
        </w:tc>
        <w:tc>
          <w:tcPr>
            <w:tcW w:w="967" w:type="dxa"/>
            <w:tcBorders>
              <w:top w:val="single" w:color="auto" w:sz="4" w:space="0"/>
              <w:left w:val="single" w:color="auto" w:sz="4" w:space="0"/>
              <w:bottom w:val="single" w:color="auto" w:sz="4" w:space="0"/>
              <w:right w:val="single" w:color="auto" w:sz="4" w:space="0"/>
            </w:tcBorders>
            <w:vAlign w:val="center"/>
          </w:tcPr>
          <w:p w14:paraId="37748B9C">
            <w:pPr>
              <w:snapToGrid w:val="0"/>
              <w:spacing w:line="320" w:lineRule="exact"/>
              <w:jc w:val="center"/>
              <w:rPr>
                <w:rFonts w:ascii="宋体" w:cs="仿宋_GB2312"/>
                <w:color w:val="auto"/>
                <w:sz w:val="24"/>
                <w:highlight w:val="none"/>
              </w:rPr>
            </w:pPr>
          </w:p>
        </w:tc>
        <w:tc>
          <w:tcPr>
            <w:tcW w:w="1094" w:type="dxa"/>
            <w:vMerge w:val="continue"/>
            <w:tcBorders>
              <w:left w:val="single" w:color="auto" w:sz="4" w:space="0"/>
              <w:right w:val="single" w:color="auto" w:sz="4" w:space="0"/>
            </w:tcBorders>
            <w:vAlign w:val="center"/>
          </w:tcPr>
          <w:p w14:paraId="0D1CA330">
            <w:pPr>
              <w:spacing w:line="360" w:lineRule="exact"/>
              <w:jc w:val="center"/>
              <w:rPr>
                <w:rFonts w:hint="eastAsia" w:ascii="宋体" w:hAnsi="宋体" w:cs="仿宋_GB2312"/>
                <w:b/>
                <w:bCs/>
                <w:color w:val="auto"/>
                <w:sz w:val="24"/>
                <w:highlight w:val="none"/>
              </w:rPr>
            </w:pPr>
          </w:p>
        </w:tc>
        <w:tc>
          <w:tcPr>
            <w:tcW w:w="779" w:type="dxa"/>
            <w:tcBorders>
              <w:top w:val="single" w:color="auto" w:sz="4" w:space="0"/>
              <w:left w:val="single" w:color="auto" w:sz="4" w:space="0"/>
              <w:bottom w:val="single" w:color="auto" w:sz="4" w:space="0"/>
              <w:right w:val="single" w:color="auto" w:sz="4" w:space="0"/>
            </w:tcBorders>
            <w:vAlign w:val="center"/>
          </w:tcPr>
          <w:p w14:paraId="1EAD0ECE">
            <w:pPr>
              <w:spacing w:line="360" w:lineRule="auto"/>
              <w:jc w:val="center"/>
              <w:rPr>
                <w:rFonts w:ascii="宋体" w:cs="仿宋_GB2312"/>
                <w:color w:val="auto"/>
                <w:sz w:val="24"/>
                <w:highlight w:val="none"/>
              </w:rPr>
            </w:pPr>
          </w:p>
        </w:tc>
        <w:tc>
          <w:tcPr>
            <w:tcW w:w="1459" w:type="dxa"/>
            <w:tcBorders>
              <w:top w:val="single" w:color="auto" w:sz="4" w:space="0"/>
              <w:left w:val="single" w:color="auto" w:sz="4" w:space="0"/>
              <w:bottom w:val="single" w:color="auto" w:sz="4" w:space="0"/>
            </w:tcBorders>
            <w:vAlign w:val="center"/>
          </w:tcPr>
          <w:p w14:paraId="701DA84F">
            <w:pPr>
              <w:spacing w:line="360" w:lineRule="auto"/>
              <w:jc w:val="center"/>
              <w:rPr>
                <w:rFonts w:ascii="宋体" w:cs="仿宋_GB2312"/>
                <w:color w:val="auto"/>
                <w:sz w:val="24"/>
                <w:highlight w:val="none"/>
              </w:rPr>
            </w:pPr>
          </w:p>
        </w:tc>
      </w:tr>
      <w:tr w14:paraId="25CFBB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107" w:type="dxa"/>
            <w:gridSpan w:val="10"/>
            <w:tcBorders>
              <w:top w:val="single" w:color="auto" w:sz="4" w:space="0"/>
              <w:bottom w:val="single" w:color="auto" w:sz="4" w:space="0"/>
            </w:tcBorders>
          </w:tcPr>
          <w:p w14:paraId="6610C3D6">
            <w:pPr>
              <w:snapToGrid w:val="0"/>
              <w:spacing w:before="50" w:after="50" w:line="360" w:lineRule="auto"/>
              <w:rPr>
                <w:rFonts w:ascii="宋体" w:cs="仿宋_GB2312"/>
                <w:color w:val="auto"/>
                <w:sz w:val="24"/>
                <w:highlight w:val="none"/>
              </w:rPr>
            </w:pPr>
            <w:r>
              <w:rPr>
                <w:rFonts w:hint="eastAsia" w:ascii="宋体" w:hAnsi="宋体" w:cs="仿宋_GB2312"/>
                <w:color w:val="auto"/>
                <w:sz w:val="24"/>
                <w:highlight w:val="none"/>
              </w:rPr>
              <w:t>竞标报价合计金额大写：人民币</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元整 （¥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p w14:paraId="2C35C4E8">
            <w:pPr>
              <w:snapToGrid w:val="0"/>
              <w:spacing w:before="50" w:after="50" w:line="360" w:lineRule="auto"/>
              <w:rPr>
                <w:rFonts w:ascii="宋体" w:cs="仿宋_GB2312"/>
                <w:color w:val="auto"/>
                <w:sz w:val="24"/>
                <w:highlight w:val="none"/>
                <w:u w:val="single"/>
              </w:rPr>
            </w:pPr>
            <w:r>
              <w:rPr>
                <w:rFonts w:hint="eastAsia" w:ascii="宋体" w:hAnsi="宋体" w:cs="仿宋_GB2312"/>
                <w:color w:val="auto"/>
                <w:sz w:val="24"/>
                <w:highlight w:val="none"/>
              </w:rPr>
              <w:t>竞标货物中，</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属于优先采购节能产品总值为¥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（具体明细详见附表，附表格式自拟），占本竞标报价的比例为</w:t>
            </w:r>
            <w:r>
              <w:rPr>
                <w:rFonts w:ascii="宋体" w:hAnsi="宋体" w:cs="仿宋_GB2312"/>
                <w:color w:val="auto"/>
                <w:sz w:val="24"/>
                <w:highlight w:val="none"/>
                <w:u w:val="single"/>
              </w:rPr>
              <w:t xml:space="preserve">    %</w:t>
            </w:r>
            <w:r>
              <w:rPr>
                <w:rFonts w:hint="eastAsia"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属于优先采购环境标志产品总值为¥</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（具体明细详见附表，附表格式自拟），占本次竞标报价的比例为</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 xml:space="preserve">  </w:t>
            </w:r>
            <w:r>
              <w:rPr>
                <w:rFonts w:ascii="宋体" w:hAnsi="宋体" w:cs="仿宋_GB2312"/>
                <w:color w:val="auto"/>
                <w:sz w:val="24"/>
                <w:highlight w:val="none"/>
                <w:u w:val="single"/>
              </w:rPr>
              <w:t xml:space="preserve">  %</w:t>
            </w:r>
            <w:r>
              <w:rPr>
                <w:rFonts w:hint="eastAsia" w:ascii="宋体" w:hAnsi="宋体" w:cs="仿宋_GB2312"/>
                <w:color w:val="auto"/>
                <w:sz w:val="24"/>
                <w:highlight w:val="none"/>
                <w:u w:val="single"/>
              </w:rPr>
              <w:t>。</w:t>
            </w:r>
          </w:p>
        </w:tc>
      </w:tr>
    </w:tbl>
    <w:p w14:paraId="2D642779">
      <w:pPr>
        <w:spacing w:line="340" w:lineRule="exact"/>
        <w:contextualSpacing/>
        <w:jc w:val="left"/>
        <w:rPr>
          <w:rFonts w:ascii="宋体" w:cs="仿宋_GB2312"/>
          <w:color w:val="auto"/>
          <w:sz w:val="24"/>
          <w:highlight w:val="none"/>
        </w:rPr>
      </w:pPr>
      <w:r>
        <w:rPr>
          <w:rFonts w:hint="eastAsia" w:ascii="宋体" w:hAnsi="宋体" w:cs="仿宋_GB2312"/>
          <w:color w:val="auto"/>
          <w:sz w:val="24"/>
          <w:highlight w:val="none"/>
        </w:rPr>
        <w:t>注：</w:t>
      </w:r>
      <w:r>
        <w:rPr>
          <w:rFonts w:ascii="宋体" w:hAnsi="宋体" w:cs="仿宋_GB2312"/>
          <w:color w:val="auto"/>
          <w:sz w:val="24"/>
          <w:highlight w:val="none"/>
        </w:rPr>
        <w:t xml:space="preserve"> </w:t>
      </w:r>
      <w:r>
        <w:rPr>
          <w:rFonts w:hint="eastAsia" w:ascii="宋体" w:hAnsi="宋体" w:cs="仿宋_GB2312"/>
          <w:color w:val="auto"/>
          <w:sz w:val="24"/>
          <w:highlight w:val="none"/>
        </w:rPr>
        <w:t>1</w:t>
      </w:r>
      <w:r>
        <w:rPr>
          <w:rFonts w:ascii="宋体" w:cs="仿宋_GB2312"/>
          <w:color w:val="auto"/>
          <w:sz w:val="24"/>
          <w:highlight w:val="none"/>
        </w:rPr>
        <w:t>.</w:t>
      </w:r>
      <w:r>
        <w:rPr>
          <w:rFonts w:hint="eastAsia" w:ascii="宋体" w:hAnsi="宋体" w:cs="仿宋_GB2312"/>
          <w:color w:val="auto"/>
          <w:sz w:val="24"/>
          <w:highlight w:val="none"/>
        </w:rPr>
        <w:t>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64B26CB">
      <w:pPr>
        <w:spacing w:line="340" w:lineRule="exact"/>
        <w:ind w:firstLine="480" w:firstLineChars="200"/>
        <w:contextualSpacing/>
        <w:jc w:val="left"/>
        <w:rPr>
          <w:rFonts w:ascii="宋体" w:cs="仿宋_GB2312"/>
          <w:b/>
          <w:color w:val="auto"/>
          <w:sz w:val="24"/>
          <w:highlight w:val="none"/>
        </w:rPr>
      </w:pPr>
      <w:r>
        <w:rPr>
          <w:rFonts w:hint="eastAsia" w:ascii="宋体" w:hAnsi="宋体" w:cs="仿宋_GB2312"/>
          <w:bCs/>
          <w:color w:val="auto"/>
          <w:sz w:val="24"/>
          <w:highlight w:val="none"/>
        </w:rPr>
        <w:t>2</w:t>
      </w:r>
      <w:r>
        <w:rPr>
          <w:rFonts w:ascii="宋体" w:cs="仿宋_GB2312"/>
          <w:bCs/>
          <w:color w:val="auto"/>
          <w:sz w:val="24"/>
          <w:highlight w:val="none"/>
        </w:rPr>
        <w:t>.</w:t>
      </w:r>
      <w:r>
        <w:rPr>
          <w:rFonts w:hint="eastAsia" w:ascii="宋体" w:hAnsi="宋体" w:cs="仿宋_GB2312"/>
          <w:color w:val="auto"/>
          <w:sz w:val="24"/>
          <w:highlight w:val="none"/>
        </w:rPr>
        <w:t>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3C1C31C8">
      <w:pPr>
        <w:spacing w:line="340" w:lineRule="exact"/>
        <w:ind w:firstLine="480" w:firstLineChars="200"/>
        <w:contextualSpacing/>
        <w:jc w:val="left"/>
        <w:rPr>
          <w:rFonts w:ascii="宋体" w:cs="仿宋_GB2312"/>
          <w:color w:val="auto"/>
          <w:sz w:val="24"/>
          <w:highlight w:val="none"/>
        </w:rPr>
      </w:pPr>
      <w:r>
        <w:rPr>
          <w:rFonts w:hint="eastAsia" w:ascii="宋体" w:hAnsi="宋体" w:cs="仿宋_GB2312"/>
          <w:color w:val="auto"/>
          <w:sz w:val="24"/>
          <w:highlight w:val="none"/>
        </w:rPr>
        <w:t>3</w:t>
      </w:r>
      <w:r>
        <w:rPr>
          <w:rFonts w:ascii="宋体" w:cs="仿宋_GB2312"/>
          <w:color w:val="auto"/>
          <w:sz w:val="24"/>
          <w:highlight w:val="none"/>
        </w:rPr>
        <w:t>.</w:t>
      </w:r>
      <w:r>
        <w:rPr>
          <w:rFonts w:hint="eastAsia" w:ascii="宋体" w:hAnsi="宋体" w:cs="仿宋_GB2312"/>
          <w:color w:val="auto"/>
          <w:sz w:val="24"/>
          <w:highlight w:val="none"/>
        </w:rPr>
        <w:t>谈判文件中列明采购专用耗材的，应按谈判文件规定的耗材量或者按耗材的常规使用量提供报价。</w:t>
      </w:r>
    </w:p>
    <w:p w14:paraId="20AE9F33">
      <w:pPr>
        <w:spacing w:line="340" w:lineRule="exact"/>
        <w:ind w:firstLine="480" w:firstLineChars="200"/>
        <w:contextualSpacing/>
        <w:jc w:val="left"/>
        <w:rPr>
          <w:rFonts w:hint="eastAsia" w:ascii="宋体" w:hAnsi="宋体" w:cs="仿宋_GB2312"/>
          <w:b/>
          <w:color w:val="auto"/>
          <w:sz w:val="24"/>
          <w:highlight w:val="none"/>
        </w:rPr>
      </w:pPr>
      <w:r>
        <w:rPr>
          <w:rFonts w:hint="eastAsia" w:ascii="宋体" w:hAnsi="宋体" w:cs="仿宋_GB2312"/>
          <w:color w:val="auto"/>
          <w:sz w:val="24"/>
          <w:highlight w:val="none"/>
        </w:rPr>
        <w:t>4.竞标报价表中标的的“标的的名称；生产厂家（制造商）、产地；品牌；规格型号；技术参数；单价；竞标报价”必须如实填写完整，</w:t>
      </w:r>
      <w:r>
        <w:rPr>
          <w:rFonts w:hint="eastAsia" w:ascii="宋体" w:hAnsi="宋体" w:cs="仿宋_GB2312"/>
          <w:b/>
          <w:color w:val="auto"/>
          <w:sz w:val="24"/>
          <w:highlight w:val="none"/>
        </w:rPr>
        <w:t>填写有缺漏的，其响应文件按无效处理。</w:t>
      </w:r>
    </w:p>
    <w:p w14:paraId="661E1D53">
      <w:pPr>
        <w:spacing w:line="360" w:lineRule="auto"/>
        <w:ind w:right="-817" w:rightChars="-389" w:firstLine="2640" w:firstLineChars="1100"/>
        <w:contextualSpacing/>
        <w:rPr>
          <w:rFonts w:asci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2C57E307">
      <w:pPr>
        <w:spacing w:line="360" w:lineRule="auto"/>
        <w:ind w:right="-817" w:rightChars="-389" w:firstLine="2640" w:firstLineChars="1100"/>
        <w:contextualSpacing/>
        <w:rPr>
          <w:rFonts w:ascii="宋体" w:cs="仿宋_GB2312"/>
          <w:color w:val="auto"/>
          <w:sz w:val="24"/>
          <w:highlight w:val="none"/>
        </w:rPr>
      </w:pPr>
      <w:r>
        <w:rPr>
          <w:rFonts w:hint="eastAsia" w:ascii="宋体" w:hAnsi="宋体" w:cs="仿宋_GB2312"/>
          <w:color w:val="auto"/>
          <w:sz w:val="24"/>
          <w:highlight w:val="none"/>
        </w:rPr>
        <w:t>供应商（电子签章）：</w:t>
      </w:r>
    </w:p>
    <w:p w14:paraId="42AD5045">
      <w:pPr>
        <w:spacing w:line="360" w:lineRule="auto"/>
        <w:ind w:right="-817" w:rightChars="-389"/>
        <w:contextualSpacing/>
        <w:rPr>
          <w:rFonts w:hint="eastAsia" w:ascii="宋体" w:hAnsi="宋体"/>
          <w:b/>
          <w:bCs/>
          <w:color w:val="auto"/>
          <w:sz w:val="32"/>
          <w:szCs w:val="32"/>
          <w:highlight w:val="none"/>
        </w:rPr>
      </w:pPr>
      <w:r>
        <w:rPr>
          <w:rFonts w:hint="eastAsia" w:ascii="宋体" w:hAnsi="宋体" w:cs="仿宋_GB2312"/>
          <w:color w:val="auto"/>
          <w:sz w:val="24"/>
          <w:highlight w:val="none"/>
        </w:rPr>
        <w:t xml:space="preserve">                                         日期：年  月  日</w:t>
      </w:r>
      <w:r>
        <w:rPr>
          <w:rFonts w:ascii="宋体" w:hAnsi="宋体"/>
          <w:b/>
          <w:bCs/>
          <w:color w:val="auto"/>
          <w:sz w:val="32"/>
          <w:szCs w:val="32"/>
          <w:highlight w:val="none"/>
        </w:rPr>
        <w:br w:type="page"/>
      </w:r>
    </w:p>
    <w:p w14:paraId="0DED40E9">
      <w:pPr>
        <w:spacing w:line="360" w:lineRule="auto"/>
        <w:ind w:right="420"/>
        <w:contextualSpacing/>
        <w:jc w:val="left"/>
        <w:rPr>
          <w:rFonts w:asci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1DFD5F4">
      <w:pPr>
        <w:snapToGrid w:val="0"/>
        <w:spacing w:before="120" w:beforeLines="50" w:after="50" w:line="360" w:lineRule="auto"/>
        <w:jc w:val="left"/>
        <w:rPr>
          <w:rFonts w:ascii="宋体"/>
          <w:b/>
          <w:color w:val="auto"/>
          <w:sz w:val="32"/>
          <w:szCs w:val="32"/>
          <w:highlight w:val="none"/>
        </w:rPr>
      </w:pPr>
      <w:r>
        <w:rPr>
          <w:rFonts w:ascii="宋体" w:hAnsi="宋体"/>
          <w:b/>
          <w:color w:val="auto"/>
          <w:sz w:val="32"/>
          <w:szCs w:val="32"/>
          <w:highlight w:val="none"/>
        </w:rPr>
        <w:t>1.</w:t>
      </w:r>
      <w:r>
        <w:rPr>
          <w:rFonts w:hint="eastAsia" w:ascii="宋体" w:hAnsi="宋体"/>
          <w:b/>
          <w:color w:val="auto"/>
          <w:sz w:val="32"/>
          <w:szCs w:val="32"/>
          <w:highlight w:val="none"/>
        </w:rPr>
        <w:t>商务技术文件封面格式</w:t>
      </w:r>
    </w:p>
    <w:p w14:paraId="631FCB07">
      <w:pPr>
        <w:snapToGrid w:val="0"/>
        <w:spacing w:before="120" w:beforeLines="50" w:after="50"/>
        <w:rPr>
          <w:rFonts w:ascii="宋体"/>
          <w:bCs/>
          <w:color w:val="auto"/>
          <w:sz w:val="32"/>
          <w:szCs w:val="20"/>
          <w:highlight w:val="none"/>
        </w:rPr>
      </w:pPr>
    </w:p>
    <w:p w14:paraId="55BCC021">
      <w:pPr>
        <w:snapToGrid w:val="0"/>
        <w:spacing w:before="120" w:beforeLines="50" w:after="50"/>
        <w:jc w:val="center"/>
        <w:rPr>
          <w:rFonts w:ascii="宋体"/>
          <w:color w:val="auto"/>
          <w:sz w:val="24"/>
          <w:szCs w:val="20"/>
          <w:highlight w:val="none"/>
        </w:rPr>
      </w:pPr>
      <w:r>
        <w:rPr>
          <w:rFonts w:hint="eastAsia" w:ascii="宋体" w:hAnsi="宋体"/>
          <w:color w:val="auto"/>
          <w:sz w:val="44"/>
          <w:szCs w:val="44"/>
          <w:highlight w:val="none"/>
        </w:rPr>
        <w:t>电子响应文件</w:t>
      </w:r>
    </w:p>
    <w:p w14:paraId="4523A41B">
      <w:pPr>
        <w:snapToGrid w:val="0"/>
        <w:spacing w:before="120" w:beforeLines="50" w:after="50"/>
        <w:rPr>
          <w:rFonts w:ascii="宋体"/>
          <w:color w:val="auto"/>
          <w:sz w:val="24"/>
          <w:szCs w:val="20"/>
          <w:highlight w:val="none"/>
        </w:rPr>
      </w:pPr>
    </w:p>
    <w:p w14:paraId="035B6BCA">
      <w:pPr>
        <w:snapToGrid w:val="0"/>
        <w:spacing w:before="120" w:beforeLines="50" w:after="50"/>
        <w:rPr>
          <w:rFonts w:ascii="宋体"/>
          <w:color w:val="auto"/>
          <w:sz w:val="24"/>
          <w:szCs w:val="20"/>
          <w:highlight w:val="none"/>
        </w:rPr>
      </w:pPr>
    </w:p>
    <w:p w14:paraId="6542DEE6">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商务技术文件</w:t>
      </w:r>
    </w:p>
    <w:p w14:paraId="516E1870">
      <w:pPr>
        <w:snapToGrid w:val="0"/>
        <w:spacing w:before="120" w:beforeLines="50" w:after="50"/>
        <w:rPr>
          <w:rFonts w:ascii="宋体"/>
          <w:bCs/>
          <w:color w:val="auto"/>
          <w:sz w:val="24"/>
          <w:szCs w:val="20"/>
          <w:highlight w:val="none"/>
        </w:rPr>
      </w:pPr>
    </w:p>
    <w:p w14:paraId="07AC5656">
      <w:pPr>
        <w:snapToGrid w:val="0"/>
        <w:spacing w:before="120" w:beforeLines="50" w:after="50"/>
        <w:rPr>
          <w:rFonts w:ascii="宋体"/>
          <w:bCs/>
          <w:color w:val="auto"/>
          <w:sz w:val="24"/>
          <w:szCs w:val="20"/>
          <w:highlight w:val="none"/>
        </w:rPr>
      </w:pPr>
    </w:p>
    <w:p w14:paraId="7978C5F4">
      <w:pPr>
        <w:snapToGrid w:val="0"/>
        <w:spacing w:before="120" w:beforeLines="50" w:after="50"/>
        <w:rPr>
          <w:rFonts w:ascii="宋体"/>
          <w:bCs/>
          <w:color w:val="auto"/>
          <w:sz w:val="24"/>
          <w:szCs w:val="20"/>
          <w:highlight w:val="none"/>
        </w:rPr>
      </w:pPr>
    </w:p>
    <w:p w14:paraId="294F21FF">
      <w:pPr>
        <w:snapToGrid w:val="0"/>
        <w:spacing w:before="120" w:beforeLines="50" w:after="50"/>
        <w:rPr>
          <w:rFonts w:ascii="宋体"/>
          <w:bCs/>
          <w:color w:val="auto"/>
          <w:sz w:val="24"/>
          <w:szCs w:val="20"/>
          <w:highlight w:val="none"/>
        </w:rPr>
      </w:pPr>
    </w:p>
    <w:p w14:paraId="5BD7ECF5">
      <w:pPr>
        <w:snapToGrid w:val="0"/>
        <w:spacing w:before="120" w:beforeLines="50" w:after="50"/>
        <w:rPr>
          <w:rFonts w:ascii="宋体"/>
          <w:bCs/>
          <w:color w:val="auto"/>
          <w:sz w:val="24"/>
          <w:szCs w:val="20"/>
          <w:highlight w:val="none"/>
        </w:rPr>
      </w:pPr>
    </w:p>
    <w:p w14:paraId="05AA4B20">
      <w:pPr>
        <w:snapToGrid w:val="0"/>
        <w:spacing w:before="120" w:beforeLines="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项目名称：</w:t>
      </w:r>
    </w:p>
    <w:p w14:paraId="7110AF1D">
      <w:pPr>
        <w:snapToGrid w:val="0"/>
        <w:spacing w:before="120" w:beforeLines="50" w:after="50"/>
        <w:ind w:firstLine="720" w:firstLineChars="225"/>
        <w:rPr>
          <w:rFonts w:ascii="宋体" w:cs="仿宋_GB2312"/>
          <w:bCs/>
          <w:color w:val="auto"/>
          <w:sz w:val="32"/>
          <w:szCs w:val="32"/>
          <w:highlight w:val="none"/>
        </w:rPr>
      </w:pPr>
    </w:p>
    <w:p w14:paraId="281AD6FC">
      <w:pPr>
        <w:snapToGrid w:val="0"/>
        <w:spacing w:before="120" w:beforeLines="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项目编号：</w:t>
      </w:r>
    </w:p>
    <w:p w14:paraId="28B6474F">
      <w:pPr>
        <w:snapToGrid w:val="0"/>
        <w:spacing w:before="120" w:beforeLines="50" w:after="50"/>
        <w:ind w:firstLine="720" w:firstLineChars="225"/>
        <w:rPr>
          <w:rFonts w:ascii="宋体" w:cs="仿宋_GB2312"/>
          <w:bCs/>
          <w:color w:val="auto"/>
          <w:sz w:val="32"/>
          <w:szCs w:val="32"/>
          <w:highlight w:val="none"/>
        </w:rPr>
      </w:pPr>
    </w:p>
    <w:p w14:paraId="73DA594B">
      <w:pPr>
        <w:snapToGrid w:val="0"/>
        <w:spacing w:before="120" w:beforeLines="50" w:after="50"/>
        <w:ind w:firstLine="720" w:firstLineChars="225"/>
        <w:rPr>
          <w:rFonts w:ascii="宋体" w:cs="仿宋_GB2312"/>
          <w:bCs/>
          <w:color w:val="auto"/>
          <w:sz w:val="32"/>
          <w:szCs w:val="32"/>
          <w:highlight w:val="none"/>
        </w:rPr>
      </w:pPr>
    </w:p>
    <w:p w14:paraId="1AA089E9">
      <w:pPr>
        <w:pStyle w:val="6"/>
        <w:snapToGrid w:val="0"/>
        <w:spacing w:before="50" w:after="50"/>
        <w:ind w:firstLine="640" w:firstLineChars="200"/>
        <w:rPr>
          <w:rFonts w:asci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BD76645">
      <w:pPr>
        <w:pStyle w:val="6"/>
        <w:snapToGrid w:val="0"/>
        <w:spacing w:before="50" w:after="50"/>
        <w:ind w:firstLine="640" w:firstLineChars="200"/>
        <w:rPr>
          <w:rFonts w:ascii="宋体" w:cs="仿宋_GB2312"/>
          <w:bCs/>
          <w:color w:val="auto"/>
          <w:sz w:val="32"/>
          <w:szCs w:val="32"/>
          <w:highlight w:val="none"/>
        </w:rPr>
      </w:pPr>
    </w:p>
    <w:p w14:paraId="317B2881">
      <w:pPr>
        <w:pStyle w:val="6"/>
        <w:snapToGrid w:val="0"/>
        <w:spacing w:before="50" w:after="50"/>
        <w:ind w:firstLine="720" w:firstLineChars="225"/>
        <w:rPr>
          <w:rFonts w:ascii="宋体" w:cs="仿宋_GB2312"/>
          <w:bCs/>
          <w:color w:val="auto"/>
          <w:sz w:val="32"/>
          <w:szCs w:val="32"/>
          <w:highlight w:val="none"/>
        </w:rPr>
      </w:pPr>
    </w:p>
    <w:p w14:paraId="5CCDA29F">
      <w:pPr>
        <w:pStyle w:val="6"/>
        <w:snapToGrid w:val="0"/>
        <w:spacing w:before="50" w:after="50"/>
        <w:ind w:firstLine="0"/>
        <w:rPr>
          <w:rFonts w:ascii="宋体" w:cs="仿宋_GB2312"/>
          <w:bCs/>
          <w:color w:val="auto"/>
          <w:sz w:val="32"/>
          <w:szCs w:val="32"/>
          <w:highlight w:val="none"/>
        </w:rPr>
      </w:pPr>
    </w:p>
    <w:p w14:paraId="57E48BB8">
      <w:pPr>
        <w:pStyle w:val="6"/>
        <w:snapToGrid w:val="0"/>
        <w:spacing w:before="50" w:after="50"/>
        <w:ind w:firstLine="1280" w:firstLineChars="400"/>
        <w:rPr>
          <w:rFonts w:ascii="宋体" w:cs="仿宋_GB2312"/>
          <w:bCs/>
          <w:color w:val="auto"/>
          <w:sz w:val="32"/>
          <w:szCs w:val="32"/>
          <w:highlight w:val="none"/>
        </w:rPr>
      </w:pPr>
    </w:p>
    <w:p w14:paraId="75D10980">
      <w:pPr>
        <w:snapToGrid w:val="0"/>
        <w:spacing w:before="120" w:beforeLines="50" w:after="50"/>
        <w:jc w:val="center"/>
        <w:rPr>
          <w:rFonts w:ascii="宋体" w:cs="仿宋_GB2312"/>
          <w:color w:val="auto"/>
          <w:sz w:val="32"/>
          <w:szCs w:val="32"/>
          <w:highlight w:val="none"/>
        </w:rPr>
      </w:pPr>
      <w:r>
        <w:rPr>
          <w:rFonts w:hint="eastAsia" w:ascii="宋体" w:hAnsi="宋体" w:cs="仿宋_GB2312"/>
          <w:color w:val="auto"/>
          <w:sz w:val="32"/>
          <w:szCs w:val="32"/>
          <w:highlight w:val="none"/>
        </w:rPr>
        <w:t>年  月  日</w:t>
      </w:r>
    </w:p>
    <w:p w14:paraId="6F6676C6">
      <w:pPr>
        <w:snapToGrid w:val="0"/>
        <w:spacing w:before="120" w:beforeLines="50" w:after="50" w:line="360" w:lineRule="auto"/>
        <w:ind w:left="142"/>
        <w:jc w:val="left"/>
        <w:rPr>
          <w:rFonts w:ascii="宋体"/>
          <w:b/>
          <w:bCs/>
          <w:color w:val="auto"/>
          <w:sz w:val="24"/>
          <w:highlight w:val="none"/>
        </w:rPr>
      </w:pPr>
      <w:r>
        <w:rPr>
          <w:rFonts w:ascii="宋体"/>
          <w:color w:val="auto"/>
          <w:sz w:val="24"/>
          <w:highlight w:val="none"/>
        </w:rPr>
        <w:br w:type="page"/>
      </w:r>
      <w:r>
        <w:rPr>
          <w:rFonts w:ascii="宋体" w:hAnsi="宋体"/>
          <w:b/>
          <w:bCs/>
          <w:color w:val="auto"/>
          <w:sz w:val="32"/>
          <w:szCs w:val="32"/>
          <w:highlight w:val="none"/>
        </w:rPr>
        <w:t>2.</w:t>
      </w:r>
      <w:r>
        <w:rPr>
          <w:rFonts w:hint="eastAsia" w:ascii="宋体" w:hAnsi="宋体"/>
          <w:b/>
          <w:bCs/>
          <w:color w:val="auto"/>
          <w:sz w:val="32"/>
          <w:szCs w:val="32"/>
          <w:highlight w:val="none"/>
        </w:rPr>
        <w:t>商务技术文件目录</w:t>
      </w:r>
    </w:p>
    <w:p w14:paraId="48E76CC3">
      <w:pPr>
        <w:snapToGrid w:val="0"/>
        <w:spacing w:before="120" w:beforeLines="50" w:after="50" w:line="360" w:lineRule="auto"/>
        <w:rPr>
          <w:rFonts w:ascii="宋体"/>
          <w:color w:val="auto"/>
          <w:sz w:val="32"/>
          <w:szCs w:val="32"/>
          <w:highlight w:val="none"/>
        </w:rPr>
      </w:pPr>
      <w:r>
        <w:rPr>
          <w:rFonts w:hint="eastAsia" w:ascii="宋体" w:hAnsi="宋体"/>
          <w:color w:val="auto"/>
          <w:sz w:val="32"/>
          <w:szCs w:val="32"/>
          <w:highlight w:val="none"/>
        </w:rPr>
        <w:t>根据谈判文件规定及供应商提供的材料自行编写目录（部分格式后附）。</w:t>
      </w:r>
    </w:p>
    <w:p w14:paraId="71443ECB">
      <w:pPr>
        <w:spacing w:line="400" w:lineRule="exact"/>
        <w:rPr>
          <w:rFonts w:hint="eastAsia" w:ascii="仿宋_GB2312" w:hAnsi="仿宋_GB2312" w:eastAsia="仿宋_GB2312" w:cs="仿宋_GB2312"/>
          <w:color w:val="auto"/>
          <w:sz w:val="32"/>
          <w:szCs w:val="32"/>
          <w:highlight w:val="none"/>
        </w:rPr>
      </w:pPr>
    </w:p>
    <w:p w14:paraId="6229D64C">
      <w:pPr>
        <w:spacing w:line="520" w:lineRule="exact"/>
        <w:jc w:val="center"/>
        <w:rPr>
          <w:rFonts w:hint="eastAsia" w:ascii="仿宋_GB2312" w:hAnsi="仿宋_GB2312" w:eastAsia="仿宋_GB2312" w:cs="仿宋_GB2312"/>
          <w:color w:val="auto"/>
          <w:sz w:val="32"/>
          <w:szCs w:val="32"/>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7A0F18D1">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303809C1">
      <w:pPr>
        <w:spacing w:line="360" w:lineRule="auto"/>
        <w:ind w:firstLine="482" w:firstLineChars="200"/>
        <w:contextualSpacing/>
        <w:rPr>
          <w:rFonts w:asci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70DB0674">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不同供应商的响应文件由同一单位或者个人编制；</w:t>
      </w:r>
    </w:p>
    <w:p w14:paraId="1D938C13">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不同供应商委托同一单位或者个人办理竞标事宜；</w:t>
      </w:r>
    </w:p>
    <w:p w14:paraId="4071792A">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不同的供应商的响应文件载明的项目管理员为同一个人；</w:t>
      </w:r>
    </w:p>
    <w:p w14:paraId="5C4205F1">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不</w:t>
      </w:r>
      <w:r>
        <w:rPr>
          <w:rFonts w:hint="eastAsia" w:ascii="宋体" w:hAnsi="宋体" w:cs="仿宋_GB2312"/>
          <w:color w:val="auto"/>
          <w:spacing w:val="-6"/>
          <w:sz w:val="24"/>
          <w:highlight w:val="none"/>
        </w:rPr>
        <w:t>同供应商的响应文件异常一致或者竞标报价呈规律性差异；</w:t>
      </w:r>
    </w:p>
    <w:p w14:paraId="6BEAC58A">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不同供应商的响应文件相互混装；</w:t>
      </w:r>
    </w:p>
    <w:p w14:paraId="28A93AEB">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不同供应商的竞标保证金从同一单位或者个人账户转出。</w:t>
      </w:r>
    </w:p>
    <w:p w14:paraId="7F45FF8A">
      <w:pPr>
        <w:spacing w:line="360" w:lineRule="auto"/>
        <w:ind w:firstLine="482" w:firstLineChars="200"/>
        <w:contextualSpacing/>
        <w:rPr>
          <w:rFonts w:asci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3B695DD9">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供应商直接或者间接从采购人或者采购代理机构处获得其他供应商的相关信息并修改其响应文件；</w:t>
      </w:r>
    </w:p>
    <w:p w14:paraId="54422C77">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供应商按照采购人或者采购代理机构的授意撤换、修改响应文件；</w:t>
      </w:r>
    </w:p>
    <w:p w14:paraId="09B0BAE2">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供</w:t>
      </w:r>
      <w:r>
        <w:rPr>
          <w:rFonts w:hint="eastAsia" w:ascii="宋体" w:hAnsi="宋体" w:cs="仿宋_GB2312"/>
          <w:color w:val="auto"/>
          <w:spacing w:val="-6"/>
          <w:sz w:val="24"/>
          <w:highlight w:val="none"/>
        </w:rPr>
        <w:t>应商之间协商报价、技术方案等响应文件的实质性内容；</w:t>
      </w:r>
    </w:p>
    <w:p w14:paraId="5BFE27EC">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属于同一集团、协会、商会等组织成员的供应商按照该组织要求协同参加政府采购活动；</w:t>
      </w:r>
    </w:p>
    <w:p w14:paraId="404E6EF0">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供应商之间事先约定一致抬高或者压低竞标报价，或者在竞争性谈判项目中事先约定轮流以高价位或者低价位成交，或者事先约定由某一特定供应商成交，然后再参加竞标；</w:t>
      </w:r>
    </w:p>
    <w:p w14:paraId="1C02BDBD">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6.</w:t>
      </w:r>
      <w:r>
        <w:rPr>
          <w:rFonts w:hint="eastAsia" w:ascii="宋体" w:hAnsi="宋体" w:cs="仿宋_GB2312"/>
          <w:color w:val="auto"/>
          <w:sz w:val="24"/>
          <w:highlight w:val="none"/>
        </w:rPr>
        <w:t>供应商之间商定部分供应商放弃参加政府采购活动或者放弃成交；</w:t>
      </w:r>
    </w:p>
    <w:p w14:paraId="3035B941">
      <w:pPr>
        <w:spacing w:line="360" w:lineRule="auto"/>
        <w:ind w:firstLine="480" w:firstLineChars="200"/>
        <w:contextualSpacing/>
        <w:rPr>
          <w:rFonts w:ascii="宋体" w:cs="仿宋_GB2312"/>
          <w:color w:val="auto"/>
          <w:sz w:val="24"/>
          <w:highlight w:val="none"/>
        </w:rPr>
      </w:pPr>
      <w:r>
        <w:rPr>
          <w:rFonts w:ascii="宋体" w:hAnsi="宋体" w:cs="仿宋_GB2312"/>
          <w:color w:val="auto"/>
          <w:sz w:val="24"/>
          <w:highlight w:val="none"/>
        </w:rPr>
        <w:t>7.</w:t>
      </w:r>
      <w:r>
        <w:rPr>
          <w:rFonts w:hint="eastAsia" w:ascii="宋体" w:hAnsi="宋体" w:cs="仿宋_GB2312"/>
          <w:color w:val="auto"/>
          <w:sz w:val="24"/>
          <w:highlight w:val="none"/>
        </w:rPr>
        <w:t>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1810B1EE">
      <w:pPr>
        <w:spacing w:line="360" w:lineRule="auto"/>
        <w:ind w:firstLine="480" w:firstLineChars="200"/>
        <w:contextualSpacing/>
        <w:rPr>
          <w:rFonts w:ascii="宋体" w:cs="仿宋_GB2312"/>
          <w:color w:val="auto"/>
          <w:sz w:val="24"/>
          <w:highlight w:val="none"/>
        </w:rPr>
      </w:pPr>
    </w:p>
    <w:p w14:paraId="5386BD98">
      <w:pPr>
        <w:spacing w:line="360" w:lineRule="auto"/>
        <w:ind w:firstLine="482" w:firstLineChars="200"/>
        <w:contextualSpacing/>
        <w:rPr>
          <w:rFonts w:asci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73244AA8">
      <w:pPr>
        <w:spacing w:line="360" w:lineRule="auto"/>
        <w:ind w:firstLine="480" w:firstLineChars="200"/>
        <w:contextualSpacing/>
        <w:rPr>
          <w:rFonts w:ascii="宋体" w:cs="仿宋_GB2312"/>
          <w:color w:val="auto"/>
          <w:sz w:val="24"/>
          <w:highlight w:val="none"/>
        </w:rPr>
      </w:pPr>
    </w:p>
    <w:p w14:paraId="5250F216">
      <w:pPr>
        <w:spacing w:line="360" w:lineRule="auto"/>
        <w:contextualSpacing/>
        <w:rPr>
          <w:rFonts w:ascii="宋体" w:cs="仿宋_GB2312"/>
          <w:color w:val="auto"/>
          <w:sz w:val="24"/>
          <w:highlight w:val="none"/>
        </w:rPr>
      </w:pPr>
    </w:p>
    <w:p w14:paraId="066414EE">
      <w:pPr>
        <w:spacing w:line="360" w:lineRule="auto"/>
        <w:ind w:firstLine="3600" w:firstLineChars="1500"/>
        <w:contextualSpacing/>
        <w:rPr>
          <w:rFonts w:ascii="宋体" w:cs="仿宋_GB2312"/>
          <w:color w:val="auto"/>
          <w:sz w:val="24"/>
          <w:highlight w:val="none"/>
        </w:rPr>
      </w:pPr>
      <w:r>
        <w:rPr>
          <w:rFonts w:hint="eastAsia" w:ascii="宋体" w:hAnsi="宋体" w:cs="仿宋_GB2312"/>
          <w:color w:val="auto"/>
          <w:sz w:val="24"/>
          <w:highlight w:val="none"/>
        </w:rPr>
        <w:t>供应商（电子签章）：</w:t>
      </w:r>
    </w:p>
    <w:p w14:paraId="4883A742">
      <w:pPr>
        <w:spacing w:line="360" w:lineRule="auto"/>
        <w:ind w:firstLine="480" w:firstLineChars="200"/>
        <w:contextualSpacing/>
        <w:jc w:val="center"/>
        <w:rPr>
          <w:rFonts w:ascii="宋体" w:cs="仿宋_GB2312"/>
          <w:color w:val="auto"/>
          <w:sz w:val="24"/>
          <w:highlight w:val="none"/>
        </w:rPr>
      </w:pPr>
      <w:r>
        <w:rPr>
          <w:rFonts w:hint="eastAsia" w:ascii="宋体" w:hAnsi="宋体" w:cs="仿宋_GB2312"/>
          <w:color w:val="auto"/>
          <w:sz w:val="24"/>
          <w:highlight w:val="none"/>
        </w:rPr>
        <w:t>年  月  日</w:t>
      </w:r>
    </w:p>
    <w:p w14:paraId="7DB45CAC">
      <w:pPr>
        <w:spacing w:line="360" w:lineRule="auto"/>
        <w:ind w:firstLine="640" w:firstLineChars="200"/>
        <w:contextualSpacing/>
        <w:jc w:val="center"/>
        <w:rPr>
          <w:rFonts w:ascii="宋体" w:cs="仿宋_GB2312"/>
          <w:color w:val="auto"/>
          <w:sz w:val="32"/>
          <w:szCs w:val="32"/>
          <w:highlight w:val="none"/>
        </w:rPr>
      </w:pPr>
    </w:p>
    <w:p w14:paraId="0B54408D">
      <w:pPr>
        <w:spacing w:before="240" w:beforeLines="100" w:after="120" w:afterLines="50" w:line="520" w:lineRule="exact"/>
        <w:ind w:left="540"/>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法定代表人证明书</w:t>
      </w:r>
    </w:p>
    <w:p w14:paraId="3A3D23AF">
      <w:pPr>
        <w:spacing w:line="360" w:lineRule="auto"/>
        <w:ind w:left="540"/>
        <w:contextualSpacing/>
        <w:rPr>
          <w:rFonts w:hint="eastAsia" w:ascii="仿宋_GB2312" w:hAnsi="仿宋_GB2312" w:eastAsia="仿宋_GB2312" w:cs="仿宋_GB2312"/>
          <w:color w:val="auto"/>
          <w:sz w:val="32"/>
          <w:szCs w:val="32"/>
          <w:highlight w:val="none"/>
        </w:rPr>
      </w:pPr>
    </w:p>
    <w:p w14:paraId="568ECED5">
      <w:pPr>
        <w:spacing w:line="360" w:lineRule="auto"/>
        <w:ind w:left="540"/>
        <w:contextualSpacing/>
        <w:rPr>
          <w:rFonts w:ascii="宋体" w:cs="仿宋_GB2312"/>
          <w:color w:val="auto"/>
          <w:sz w:val="24"/>
          <w:highlight w:val="none"/>
          <w:u w:val="singl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3FA1AE8D">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地址：</w:t>
      </w:r>
      <w:r>
        <w:rPr>
          <w:rFonts w:hint="eastAsia" w:ascii="宋体" w:hAnsi="宋体" w:cs="仿宋_GB2312"/>
          <w:color w:val="auto"/>
          <w:sz w:val="24"/>
          <w:highlight w:val="none"/>
          <w:u w:val="single"/>
        </w:rPr>
        <w:t xml:space="preserve">               </w:t>
      </w:r>
    </w:p>
    <w:p w14:paraId="38B223A6">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姓名：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性别：</w:t>
      </w:r>
      <w:r>
        <w:rPr>
          <w:rFonts w:hint="eastAsia" w:ascii="宋体" w:hAnsi="宋体" w:cs="仿宋_GB2312"/>
          <w:color w:val="auto"/>
          <w:sz w:val="24"/>
          <w:highlight w:val="none"/>
          <w:u w:val="single"/>
        </w:rPr>
        <w:t xml:space="preserve">               </w:t>
      </w:r>
    </w:p>
    <w:p w14:paraId="250E7BA3">
      <w:pPr>
        <w:spacing w:line="360" w:lineRule="auto"/>
        <w:ind w:left="540"/>
        <w:contextualSpacing/>
        <w:rPr>
          <w:rFonts w:ascii="宋体" w:cs="仿宋_GB2312"/>
          <w:color w:val="auto"/>
          <w:sz w:val="24"/>
          <w:highlight w:val="none"/>
          <w:u w:val="single"/>
        </w:rPr>
      </w:pPr>
      <w:r>
        <w:rPr>
          <w:rFonts w:hint="eastAsia" w:ascii="宋体" w:hAnsi="宋体" w:cs="仿宋_GB2312"/>
          <w:color w:val="auto"/>
          <w:sz w:val="24"/>
          <w:highlight w:val="none"/>
        </w:rPr>
        <w:t xml:space="preserve">年龄： </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职务：</w:t>
      </w:r>
      <w:r>
        <w:rPr>
          <w:rFonts w:hint="eastAsia" w:ascii="宋体" w:hAnsi="宋体" w:cs="仿宋_GB2312"/>
          <w:color w:val="auto"/>
          <w:sz w:val="24"/>
          <w:highlight w:val="none"/>
          <w:u w:val="single"/>
        </w:rPr>
        <w:t xml:space="preserve">               </w:t>
      </w:r>
    </w:p>
    <w:p w14:paraId="37A9D802">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9D09C9F">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231535B6">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特此证明。</w:t>
      </w:r>
    </w:p>
    <w:p w14:paraId="7FBA5890">
      <w:pPr>
        <w:spacing w:line="360" w:lineRule="auto"/>
        <w:ind w:left="540"/>
        <w:contextualSpacing/>
        <w:rPr>
          <w:rFonts w:ascii="宋体" w:cs="仿宋_GB2312"/>
          <w:color w:val="auto"/>
          <w:sz w:val="24"/>
          <w:highlight w:val="none"/>
        </w:rPr>
      </w:pPr>
    </w:p>
    <w:p w14:paraId="2AE47729">
      <w:pPr>
        <w:spacing w:line="360" w:lineRule="auto"/>
        <w:ind w:left="540"/>
        <w:contextualSpacing/>
        <w:rPr>
          <w:rFonts w:ascii="宋体" w:cs="仿宋_GB2312"/>
          <w:color w:val="auto"/>
          <w:sz w:val="24"/>
          <w:highlight w:val="none"/>
        </w:rPr>
      </w:pPr>
    </w:p>
    <w:p w14:paraId="19BC3AA3">
      <w:pPr>
        <w:spacing w:line="360" w:lineRule="auto"/>
        <w:ind w:left="540"/>
        <w:contextualSpacing/>
        <w:rPr>
          <w:rFonts w:ascii="宋体" w:cs="仿宋_GB2312"/>
          <w:color w:val="auto"/>
          <w:sz w:val="24"/>
          <w:highlight w:val="none"/>
        </w:rPr>
      </w:pPr>
    </w:p>
    <w:p w14:paraId="6522316A">
      <w:pPr>
        <w:spacing w:line="360" w:lineRule="auto"/>
        <w:ind w:left="540"/>
        <w:contextualSpacing/>
        <w:rPr>
          <w:rFonts w:asci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6BCEA42B">
      <w:pPr>
        <w:spacing w:line="360" w:lineRule="auto"/>
        <w:ind w:left="540"/>
        <w:contextualSpacing/>
        <w:jc w:val="right"/>
        <w:rPr>
          <w:rFonts w:ascii="宋体" w:cs="仿宋_GB2312"/>
          <w:color w:val="auto"/>
          <w:sz w:val="24"/>
          <w:highlight w:val="none"/>
        </w:rPr>
      </w:pPr>
    </w:p>
    <w:p w14:paraId="717CFEB4">
      <w:pPr>
        <w:spacing w:line="360" w:lineRule="auto"/>
        <w:ind w:left="540"/>
        <w:contextualSpacing/>
        <w:jc w:val="right"/>
        <w:rPr>
          <w:rFonts w:ascii="宋体" w:cs="仿宋_GB2312"/>
          <w:color w:val="auto"/>
          <w:sz w:val="24"/>
          <w:highlight w:val="none"/>
        </w:rPr>
      </w:pPr>
      <w:r>
        <w:rPr>
          <w:rFonts w:hint="eastAsia" w:ascii="宋体" w:hAnsi="宋体" w:cs="仿宋_GB2312"/>
          <w:color w:val="auto"/>
          <w:sz w:val="24"/>
          <w:highlight w:val="none"/>
        </w:rPr>
        <w:t>供应商（电子签章）：</w:t>
      </w:r>
    </w:p>
    <w:p w14:paraId="63442D9C">
      <w:pPr>
        <w:spacing w:line="360" w:lineRule="auto"/>
        <w:ind w:firstLine="4080" w:firstLineChars="1700"/>
        <w:contextualSpacing/>
        <w:jc w:val="right"/>
        <w:rPr>
          <w:rFonts w:ascii="宋体" w:cs="仿宋_GB2312"/>
          <w:color w:val="auto"/>
          <w:sz w:val="24"/>
          <w:highlight w:val="none"/>
        </w:rPr>
      </w:pPr>
      <w:r>
        <w:rPr>
          <w:rFonts w:hint="eastAsia" w:ascii="宋体" w:hAnsi="宋体" w:cs="仿宋_GB2312"/>
          <w:color w:val="auto"/>
          <w:sz w:val="24"/>
          <w:highlight w:val="none"/>
        </w:rPr>
        <w:t>年  月  日</w:t>
      </w:r>
    </w:p>
    <w:p w14:paraId="49969B01">
      <w:pPr>
        <w:spacing w:line="360" w:lineRule="auto"/>
        <w:contextualSpacing/>
        <w:jc w:val="center"/>
        <w:rPr>
          <w:rFonts w:ascii="宋体" w:cs="仿宋_GB2312"/>
          <w:b/>
          <w:color w:val="auto"/>
          <w:sz w:val="24"/>
          <w:highlight w:val="none"/>
        </w:rPr>
      </w:pPr>
    </w:p>
    <w:p w14:paraId="31C54D55">
      <w:pPr>
        <w:spacing w:line="360" w:lineRule="auto"/>
        <w:contextualSpacing/>
        <w:jc w:val="left"/>
        <w:rPr>
          <w:rFonts w:asci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793472CB">
      <w:pPr>
        <w:adjustRightInd w:val="0"/>
        <w:snapToGrid w:val="0"/>
        <w:spacing w:line="300" w:lineRule="auto"/>
        <w:jc w:val="left"/>
        <w:rPr>
          <w:rFonts w:ascii="宋体"/>
          <w:b/>
          <w:color w:val="auto"/>
          <w:szCs w:val="21"/>
          <w:highlight w:val="none"/>
        </w:rPr>
      </w:pPr>
    </w:p>
    <w:p w14:paraId="6C24C96F">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ascii="方正小标宋简体" w:hAnsi="方正小标宋简体" w:eastAsia="方正小标宋简体" w:cs="方正小标宋简体"/>
          <w:color w:val="auto"/>
          <w:sz w:val="44"/>
          <w:szCs w:val="44"/>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5A50928C">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（非联合体竞标格式）</w:t>
      </w:r>
    </w:p>
    <w:p w14:paraId="6012DC00">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4E8ECF5B">
      <w:pPr>
        <w:spacing w:line="360" w:lineRule="auto"/>
        <w:contextualSpacing/>
        <w:rPr>
          <w:rFonts w:hint="eastAsia" w:ascii="仿宋_GB2312" w:hAnsi="仿宋_GB2312" w:eastAsia="仿宋_GB2312" w:cs="仿宋_GB2312"/>
          <w:color w:val="auto"/>
          <w:sz w:val="32"/>
          <w:szCs w:val="32"/>
          <w:highlight w:val="none"/>
        </w:rPr>
      </w:pPr>
    </w:p>
    <w:p w14:paraId="57B5AA5A">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6F5525CB">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w:t>
      </w:r>
      <w:r>
        <w:rPr>
          <w:rFonts w:hint="eastAsia" w:ascii="宋体" w:hAnsi="Wingdings 2" w:cs="仿宋_GB2312"/>
          <w:color w:val="auto"/>
          <w:sz w:val="24"/>
          <w:highlight w:val="none"/>
          <w:u w:val="single"/>
        </w:rPr>
        <w:sym w:font="Wingdings 2" w:char="F0A3"/>
      </w:r>
      <w:r>
        <w:rPr>
          <w:rFonts w:hint="eastAsia" w:ascii="宋体" w:hAnsi="宋体" w:cs="仿宋_GB2312"/>
          <w:color w:val="auto"/>
          <w:sz w:val="24"/>
          <w:highlight w:val="none"/>
          <w:u w:val="single"/>
        </w:rPr>
        <w:t>法定代表人</w:t>
      </w:r>
      <w:r>
        <w:rPr>
          <w:rFonts w:ascii="宋体" w:hAnsi="宋体" w:cs="仿宋_GB2312"/>
          <w:color w:val="auto"/>
          <w:sz w:val="24"/>
          <w:highlight w:val="none"/>
          <w:u w:val="single"/>
        </w:rPr>
        <w:t>/</w:t>
      </w:r>
      <w:r>
        <w:rPr>
          <w:rFonts w:hint="eastAsia" w:ascii="宋体" w:hAnsi="宋体" w:cs="仿宋_GB2312"/>
          <w:color w:val="auto"/>
          <w:sz w:val="24"/>
          <w:highlight w:val="none"/>
          <w:u w:val="single"/>
        </w:rPr>
        <w:t>□负责人</w:t>
      </w:r>
      <w:r>
        <w:rPr>
          <w:rFonts w:ascii="宋体" w:hAnsi="宋体" w:cs="仿宋_GB2312"/>
          <w:color w:val="auto"/>
          <w:sz w:val="24"/>
          <w:highlight w:val="none"/>
          <w:u w:val="single"/>
        </w:rPr>
        <w:t>/</w:t>
      </w:r>
      <w:r>
        <w:rPr>
          <w:rFonts w:hint="eastAsia" w:ascii="宋体" w:hAnsi="宋体" w:cs="仿宋_GB2312"/>
          <w:color w:val="auto"/>
          <w:sz w:val="24"/>
          <w:highlight w:val="none"/>
          <w:u w:val="single"/>
        </w:rPr>
        <w:t>□自然人本人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（姓名）</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3097DA8D">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4CA82C29">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AB31209">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委托代理人无转委托权，特此委托。</w:t>
      </w:r>
    </w:p>
    <w:p w14:paraId="72C7C7BF">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7546DA7A">
      <w:pPr>
        <w:spacing w:line="360" w:lineRule="auto"/>
        <w:contextualSpacing/>
        <w:rPr>
          <w:rFonts w:ascii="宋体" w:cs="仿宋_GB2312"/>
          <w:color w:val="auto"/>
          <w:sz w:val="24"/>
          <w:highlight w:val="none"/>
        </w:rPr>
      </w:pPr>
    </w:p>
    <w:p w14:paraId="3A387055">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w:t>
      </w:r>
    </w:p>
    <w:p w14:paraId="223A4A04">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法定代表人（签字或者盖章或者电子签名）：</w:t>
      </w:r>
    </w:p>
    <w:p w14:paraId="31364CD4">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委托代理人身份证号码：</w:t>
      </w:r>
    </w:p>
    <w:p w14:paraId="0B2E1E89">
      <w:pPr>
        <w:spacing w:line="360" w:lineRule="auto"/>
        <w:contextualSpacing/>
        <w:rPr>
          <w:rFonts w:ascii="宋体" w:cs="仿宋_GB2312"/>
          <w:color w:val="auto"/>
          <w:sz w:val="24"/>
          <w:highlight w:val="none"/>
        </w:rPr>
      </w:pPr>
    </w:p>
    <w:p w14:paraId="0356261F">
      <w:pPr>
        <w:spacing w:line="360" w:lineRule="auto"/>
        <w:contextualSpacing/>
        <w:jc w:val="right"/>
        <w:rPr>
          <w:rFonts w:ascii="宋体" w:cs="仿宋_GB2312"/>
          <w:color w:val="auto"/>
          <w:sz w:val="24"/>
          <w:highlight w:val="none"/>
        </w:rPr>
      </w:pPr>
      <w:r>
        <w:rPr>
          <w:rFonts w:hint="eastAsia" w:ascii="宋体" w:hAnsi="宋体" w:cs="仿宋_GB2312"/>
          <w:color w:val="auto"/>
          <w:sz w:val="24"/>
          <w:highlight w:val="none"/>
        </w:rPr>
        <w:t>供应商（电子签章）：</w:t>
      </w:r>
    </w:p>
    <w:p w14:paraId="1B011728">
      <w:pPr>
        <w:spacing w:line="360" w:lineRule="auto"/>
        <w:contextualSpacing/>
        <w:jc w:val="right"/>
        <w:rPr>
          <w:rFonts w:ascii="宋体" w:cs="仿宋_GB2312"/>
          <w:color w:val="auto"/>
          <w:sz w:val="24"/>
          <w:highlight w:val="none"/>
        </w:rPr>
      </w:pPr>
      <w:r>
        <w:rPr>
          <w:rFonts w:hint="eastAsia" w:ascii="宋体" w:hAnsi="宋体" w:cs="仿宋_GB2312"/>
          <w:color w:val="auto"/>
          <w:sz w:val="24"/>
          <w:highlight w:val="none"/>
        </w:rPr>
        <w:t xml:space="preserve">    年  月  日</w:t>
      </w:r>
    </w:p>
    <w:p w14:paraId="13E20D3C">
      <w:pPr>
        <w:spacing w:line="360" w:lineRule="auto"/>
        <w:contextualSpacing/>
        <w:jc w:val="right"/>
        <w:rPr>
          <w:rFonts w:ascii="宋体" w:cs="仿宋_GB2312"/>
          <w:color w:val="auto"/>
          <w:sz w:val="24"/>
          <w:highlight w:val="none"/>
        </w:rPr>
      </w:pPr>
    </w:p>
    <w:p w14:paraId="62227702">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注：</w:t>
      </w:r>
      <w:r>
        <w:rPr>
          <w:rFonts w:ascii="宋体" w:hAnsi="宋体" w:cs="仿宋_GB2312"/>
          <w:color w:val="auto"/>
          <w:sz w:val="24"/>
          <w:highlight w:val="none"/>
        </w:rPr>
        <w:t>1.</w:t>
      </w:r>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5F3C7B1D">
      <w:pPr>
        <w:spacing w:line="360" w:lineRule="auto"/>
        <w:ind w:firstLine="480" w:firstLineChars="200"/>
        <w:contextualSpacing/>
        <w:jc w:val="left"/>
        <w:rPr>
          <w:rFonts w:asci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2E4BFD40">
      <w:pPr>
        <w:spacing w:line="360" w:lineRule="auto"/>
        <w:ind w:firstLine="420" w:firstLineChars="200"/>
        <w:contextualSpacing/>
        <w:jc w:val="left"/>
        <w:rPr>
          <w:rFonts w:hint="eastAsia" w:ascii="仿宋_GB2312" w:hAnsi="仿宋_GB2312" w:eastAsia="仿宋_GB2312" w:cs="仿宋_GB2312"/>
          <w:color w:val="auto"/>
          <w:szCs w:val="21"/>
          <w:highlight w:val="none"/>
        </w:rPr>
      </w:pPr>
    </w:p>
    <w:p w14:paraId="343F4170">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ascii="仿宋_GB2312" w:hAnsi="仿宋_GB2312" w:eastAsia="仿宋_GB2312" w:cs="仿宋_GB2312"/>
          <w:color w:val="auto"/>
          <w:szCs w:val="21"/>
          <w:highlight w:val="none"/>
        </w:rPr>
        <w:br w:type="page"/>
      </w:r>
      <w:r>
        <w:rPr>
          <w:rFonts w:hint="eastAsia" w:ascii="方正小标宋简体" w:hAnsi="方正小标宋简体" w:eastAsia="方正小标宋简体" w:cs="方正小标宋简体"/>
          <w:color w:val="auto"/>
          <w:sz w:val="44"/>
          <w:szCs w:val="44"/>
          <w:highlight w:val="none"/>
        </w:rPr>
        <w:t>授权委托书</w:t>
      </w:r>
    </w:p>
    <w:p w14:paraId="79BE4093">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（联合体竞标格式）</w:t>
      </w:r>
    </w:p>
    <w:p w14:paraId="12C02DE8">
      <w:pPr>
        <w:spacing w:line="520" w:lineRule="exact"/>
        <w:contextualSpacing/>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（如有委托时）</w:t>
      </w:r>
    </w:p>
    <w:p w14:paraId="71ADE356">
      <w:pPr>
        <w:spacing w:line="360" w:lineRule="auto"/>
        <w:contextualSpacing/>
        <w:rPr>
          <w:rFonts w:hint="eastAsia" w:ascii="仿宋_GB2312" w:hAnsi="仿宋_GB2312" w:eastAsia="仿宋_GB2312" w:cs="仿宋_GB2312"/>
          <w:color w:val="auto"/>
          <w:sz w:val="32"/>
          <w:szCs w:val="32"/>
          <w:highlight w:val="none"/>
        </w:rPr>
      </w:pPr>
    </w:p>
    <w:p w14:paraId="36F75414">
      <w:pPr>
        <w:spacing w:line="360" w:lineRule="auto"/>
        <w:ind w:firstLine="480" w:firstLineChars="200"/>
        <w:contextualSpacing/>
        <w:jc w:val="left"/>
        <w:rPr>
          <w:rFonts w:ascii="宋体" w:cs="仿宋_GB2312"/>
          <w:color w:val="auto"/>
          <w:sz w:val="24"/>
          <w:highlight w:val="none"/>
        </w:rPr>
      </w:pPr>
      <w:r>
        <w:rPr>
          <w:rFonts w:hint="eastAsia" w:ascii="宋体" w:hAnsi="宋体" w:cs="仿宋_GB2312"/>
          <w:color w:val="auto"/>
          <w:sz w:val="24"/>
          <w:highlight w:val="none"/>
        </w:rPr>
        <w:t>本授权委托书声明：根据</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（牵头人名称）与</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（联合体其他成员名称）签订的《联合体竞标协议书》的内容，</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（牵头人名称）的法定代表人</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（姓名）现</w:t>
      </w:r>
      <w:r>
        <w:rPr>
          <w:rFonts w:hint="eastAsia" w:ascii="宋体" w:hAnsi="宋体"/>
          <w:color w:val="auto"/>
          <w:sz w:val="24"/>
          <w:highlight w:val="none"/>
          <w:u w:val="single"/>
        </w:rPr>
        <w:t xml:space="preserve">                  </w:t>
      </w:r>
      <w:r>
        <w:rPr>
          <w:rFonts w:hint="eastAsia" w:ascii="宋体" w:hAnsi="宋体" w:cs="仿宋_GB2312"/>
          <w:color w:val="auto"/>
          <w:sz w:val="24"/>
          <w:highlight w:val="none"/>
        </w:rPr>
        <w:t>授权（姓名）为联合委托代理人，并代表我方全权办理针对上述项目的所有采购程序和环节的具体事务和签署相关文件。</w:t>
      </w:r>
    </w:p>
    <w:p w14:paraId="4961443A">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我方对委托代理人的</w:t>
      </w:r>
      <w:r>
        <w:rPr>
          <w:rFonts w:hint="eastAsia" w:ascii="宋体" w:hAnsi="宋体"/>
          <w:color w:val="auto"/>
          <w:sz w:val="24"/>
          <w:highlight w:val="none"/>
        </w:rPr>
        <w:t>签字或者电子签名</w:t>
      </w:r>
      <w:r>
        <w:rPr>
          <w:rFonts w:hint="eastAsia" w:ascii="宋体" w:hAnsi="宋体" w:cs="仿宋_GB2312"/>
          <w:color w:val="auto"/>
          <w:sz w:val="24"/>
          <w:highlight w:val="none"/>
        </w:rPr>
        <w:t>事项负全部责任。</w:t>
      </w:r>
    </w:p>
    <w:p w14:paraId="3383516B">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FD7425F">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委托代理人无转委托权，特此委托。</w:t>
      </w:r>
    </w:p>
    <w:p w14:paraId="101A21D0">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558FE03C">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牵头人法定代表人（签字或者盖章或者电子签名）：</w:t>
      </w:r>
    </w:p>
    <w:p w14:paraId="0B9A3611">
      <w:pPr>
        <w:spacing w:line="360" w:lineRule="auto"/>
        <w:ind w:firstLine="3120" w:firstLineChars="1300"/>
        <w:contextualSpacing/>
        <w:rPr>
          <w:rFonts w:ascii="宋体" w:cs="仿宋_GB2312"/>
          <w:color w:val="auto"/>
          <w:sz w:val="24"/>
          <w:highlight w:val="none"/>
        </w:rPr>
      </w:pPr>
      <w:r>
        <w:rPr>
          <w:rFonts w:hint="eastAsia" w:ascii="宋体" w:hAnsi="宋体" w:cs="仿宋_GB2312"/>
          <w:color w:val="auto"/>
          <w:sz w:val="24"/>
          <w:highlight w:val="none"/>
        </w:rPr>
        <w:t>牵头人（电子签章）：</w:t>
      </w:r>
    </w:p>
    <w:p w14:paraId="3618DC9A">
      <w:pPr>
        <w:spacing w:line="360" w:lineRule="auto"/>
        <w:ind w:firstLine="3840" w:firstLineChars="1600"/>
        <w:contextualSpacing/>
        <w:rPr>
          <w:rFonts w:ascii="宋体" w:cs="仿宋_GB2312"/>
          <w:color w:val="auto"/>
          <w:sz w:val="24"/>
          <w:highlight w:val="none"/>
        </w:rPr>
      </w:pPr>
      <w:r>
        <w:rPr>
          <w:rFonts w:hint="eastAsia" w:ascii="宋体" w:hAnsi="宋体" w:cs="仿宋_GB2312"/>
          <w:color w:val="auto"/>
          <w:sz w:val="24"/>
          <w:highlight w:val="none"/>
        </w:rPr>
        <w:t>日期：  年  月  日</w:t>
      </w:r>
    </w:p>
    <w:p w14:paraId="72D3E326">
      <w:pPr>
        <w:spacing w:line="360" w:lineRule="auto"/>
        <w:contextualSpacing/>
        <w:rPr>
          <w:rFonts w:ascii="宋体" w:cs="仿宋_GB2312"/>
          <w:color w:val="auto"/>
          <w:sz w:val="24"/>
          <w:highlight w:val="none"/>
        </w:rPr>
      </w:pPr>
    </w:p>
    <w:p w14:paraId="45BE1587">
      <w:pPr>
        <w:spacing w:line="360" w:lineRule="auto"/>
        <w:ind w:firstLine="3120" w:firstLineChars="1300"/>
        <w:contextualSpacing/>
        <w:rPr>
          <w:rFonts w:ascii="宋体" w:cs="仿宋_GB2312"/>
          <w:color w:val="auto"/>
          <w:sz w:val="24"/>
          <w:highlight w:val="none"/>
        </w:rPr>
      </w:pPr>
      <w:r>
        <w:rPr>
          <w:rFonts w:hint="eastAsia" w:ascii="宋体" w:hAnsi="宋体" w:cs="仿宋_GB2312"/>
          <w:color w:val="auto"/>
          <w:sz w:val="24"/>
          <w:highlight w:val="none"/>
        </w:rPr>
        <w:t>被授权人（签字或者电子签名）：</w:t>
      </w:r>
    </w:p>
    <w:p w14:paraId="284CA51A">
      <w:pPr>
        <w:spacing w:line="360" w:lineRule="auto"/>
        <w:ind w:firstLine="3840" w:firstLineChars="1600"/>
        <w:contextualSpacing/>
        <w:rPr>
          <w:rFonts w:ascii="宋体" w:cs="仿宋_GB2312"/>
          <w:color w:val="auto"/>
          <w:sz w:val="24"/>
          <w:highlight w:val="none"/>
        </w:rPr>
      </w:pPr>
      <w:r>
        <w:rPr>
          <w:rFonts w:hint="eastAsia" w:ascii="宋体" w:hAnsi="宋体" w:cs="仿宋_GB2312"/>
          <w:color w:val="auto"/>
          <w:sz w:val="24"/>
          <w:highlight w:val="none"/>
        </w:rPr>
        <w:t>日期：  年  月  日</w:t>
      </w:r>
    </w:p>
    <w:p w14:paraId="1F668DBF">
      <w:pPr>
        <w:spacing w:line="360" w:lineRule="auto"/>
        <w:contextualSpacing/>
        <w:rPr>
          <w:rFonts w:ascii="宋体" w:cs="仿宋_GB2312"/>
          <w:color w:val="auto"/>
          <w:sz w:val="24"/>
          <w:highlight w:val="none"/>
        </w:rPr>
      </w:pPr>
    </w:p>
    <w:p w14:paraId="3C588DD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w:t>
      </w:r>
    </w:p>
    <w:p w14:paraId="2C452B99">
      <w:pPr>
        <w:spacing w:line="360" w:lineRule="auto"/>
        <w:contextualSpacing/>
        <w:rPr>
          <w:rFonts w:ascii="宋体" w:cs="仿宋_GB2312"/>
          <w:color w:val="auto"/>
          <w:sz w:val="24"/>
          <w:highlight w:val="none"/>
        </w:rPr>
      </w:pPr>
      <w:r>
        <w:rPr>
          <w:rFonts w:ascii="宋体" w:hAnsi="宋体" w:cs="仿宋_GB2312"/>
          <w:color w:val="auto"/>
          <w:sz w:val="24"/>
          <w:highlight w:val="none"/>
        </w:rPr>
        <w:t>1.</w:t>
      </w:r>
      <w:r>
        <w:rPr>
          <w:rFonts w:hint="eastAsia" w:ascii="宋体" w:hAnsi="宋体" w:cs="仿宋_GB2312"/>
          <w:color w:val="auto"/>
          <w:sz w:val="24"/>
          <w:highlight w:val="none"/>
        </w:rPr>
        <w:t>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74A6478C">
      <w:pPr>
        <w:spacing w:line="500" w:lineRule="exact"/>
        <w:jc w:val="left"/>
        <w:rPr>
          <w:rFonts w:ascii="宋体" w:cs="仿宋_GB2312"/>
          <w:color w:val="auto"/>
          <w:sz w:val="24"/>
          <w:highlight w:val="none"/>
        </w:rPr>
      </w:pPr>
      <w:r>
        <w:rPr>
          <w:rFonts w:ascii="宋体" w:hAnsi="宋体" w:cs="仿宋_GB2312"/>
          <w:color w:val="auto"/>
          <w:sz w:val="24"/>
          <w:highlight w:val="none"/>
        </w:rPr>
        <w:t>2.</w:t>
      </w:r>
      <w:r>
        <w:rPr>
          <w:rFonts w:hint="eastAsia" w:ascii="宋体" w:hAnsi="宋体" w:cs="仿宋_GB2312"/>
          <w:color w:val="auto"/>
          <w:sz w:val="24"/>
          <w:highlight w:val="none"/>
        </w:rPr>
        <w:t>法人、其他组织竞标时“我方”是指“我单位”，自然人竞标时“我方”是指“本人”。</w:t>
      </w:r>
    </w:p>
    <w:p w14:paraId="2A13C431">
      <w:pPr>
        <w:spacing w:line="500" w:lineRule="exact"/>
        <w:jc w:val="center"/>
        <w:rPr>
          <w:rFonts w:hint="eastAsia" w:ascii="方正小标宋简体" w:hAnsi="方正小标宋简体" w:eastAsia="方正小标宋简体" w:cs="方正小标宋简体"/>
          <w:bCs/>
          <w:color w:val="auto"/>
          <w:sz w:val="44"/>
          <w:szCs w:val="44"/>
          <w:highlight w:val="none"/>
        </w:rPr>
      </w:pPr>
      <w:r>
        <w:rPr>
          <w:rFonts w:ascii="仿宋_GB2312" w:hAnsi="仿宋_GB2312" w:eastAsia="仿宋_GB2312" w:cs="仿宋_GB2312"/>
          <w:color w:val="auto"/>
          <w:sz w:val="32"/>
          <w:szCs w:val="32"/>
          <w:highlight w:val="none"/>
        </w:rPr>
        <w:br w:type="page"/>
      </w:r>
      <w:r>
        <w:rPr>
          <w:rFonts w:hint="eastAsia" w:ascii="方正小标宋简体" w:hAnsi="方正小标宋简体" w:eastAsia="方正小标宋简体" w:cs="方正小标宋简体"/>
          <w:bCs/>
          <w:color w:val="auto"/>
          <w:sz w:val="44"/>
          <w:szCs w:val="44"/>
          <w:highlight w:val="none"/>
        </w:rPr>
        <w:t>商务要求响应承诺表</w:t>
      </w:r>
    </w:p>
    <w:p w14:paraId="535A48DE">
      <w:pPr>
        <w:spacing w:line="500" w:lineRule="exact"/>
        <w:jc w:val="center"/>
        <w:rPr>
          <w:rFonts w:ascii="宋体"/>
          <w:b/>
          <w:i/>
          <w:color w:val="auto"/>
          <w:sz w:val="32"/>
          <w:szCs w:val="32"/>
          <w:highlight w:val="none"/>
        </w:rPr>
      </w:pPr>
    </w:p>
    <w:p w14:paraId="49AA47E9">
      <w:pPr>
        <w:snapToGrid w:val="0"/>
        <w:spacing w:before="50"/>
        <w:jc w:val="left"/>
        <w:rPr>
          <w:rFonts w:ascii="宋体"/>
          <w:color w:val="auto"/>
          <w:sz w:val="24"/>
          <w:highlight w:val="none"/>
        </w:rPr>
      </w:pPr>
    </w:p>
    <w:tbl>
      <w:tblPr>
        <w:tblStyle w:val="25"/>
        <w:tblpPr w:leftFromText="180" w:rightFromText="180" w:vertAnchor="text" w:horzAnchor="margin" w:tblpY="311"/>
        <w:tblOverlap w:val="never"/>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13"/>
        <w:gridCol w:w="6542"/>
      </w:tblGrid>
      <w:tr w14:paraId="014337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2213" w:type="dxa"/>
            <w:tcBorders>
              <w:top w:val="single" w:color="auto" w:sz="4" w:space="0"/>
              <w:bottom w:val="single" w:color="auto" w:sz="4" w:space="0"/>
              <w:right w:val="single" w:color="auto" w:sz="4" w:space="0"/>
            </w:tcBorders>
            <w:vAlign w:val="center"/>
          </w:tcPr>
          <w:p w14:paraId="249598A0">
            <w:pPr>
              <w:snapToGrid w:val="0"/>
              <w:spacing w:before="120" w:beforeLines="50" w:line="360" w:lineRule="auto"/>
              <w:jc w:val="center"/>
              <w:rPr>
                <w:rFonts w:ascii="宋体" w:cs="仿宋_GB2312"/>
                <w:color w:val="auto"/>
                <w:sz w:val="24"/>
                <w:highlight w:val="none"/>
              </w:rPr>
            </w:pPr>
            <w:r>
              <w:rPr>
                <w:rFonts w:hint="eastAsia" w:ascii="宋体" w:hAnsi="宋体" w:cs="仿宋_GB2312"/>
                <w:color w:val="auto"/>
                <w:sz w:val="24"/>
                <w:highlight w:val="none"/>
              </w:rPr>
              <w:t>项目</w:t>
            </w:r>
          </w:p>
        </w:tc>
        <w:tc>
          <w:tcPr>
            <w:tcW w:w="6542" w:type="dxa"/>
            <w:tcBorders>
              <w:top w:val="single" w:color="auto" w:sz="4" w:space="0"/>
              <w:left w:val="single" w:color="auto" w:sz="4" w:space="0"/>
              <w:bottom w:val="single" w:color="auto" w:sz="4" w:space="0"/>
            </w:tcBorders>
            <w:vAlign w:val="center"/>
          </w:tcPr>
          <w:p w14:paraId="1A0D09F2">
            <w:pPr>
              <w:snapToGrid w:val="0"/>
              <w:spacing w:before="120" w:beforeLines="50" w:line="360" w:lineRule="auto"/>
              <w:jc w:val="center"/>
              <w:rPr>
                <w:rFonts w:ascii="宋体" w:cs="仿宋_GB2312"/>
                <w:color w:val="auto"/>
                <w:sz w:val="24"/>
                <w:highlight w:val="none"/>
              </w:rPr>
            </w:pPr>
            <w:r>
              <w:rPr>
                <w:rFonts w:hint="eastAsia" w:ascii="宋体" w:hAnsi="宋体" w:cs="宋体"/>
                <w:color w:val="auto"/>
                <w:sz w:val="24"/>
                <w:highlight w:val="none"/>
              </w:rPr>
              <w:t>对应“商务要求”， 供应商的详细商务响应承诺</w:t>
            </w:r>
          </w:p>
        </w:tc>
      </w:tr>
      <w:tr w14:paraId="1434C8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94" w:hRule="atLeast"/>
        </w:trPr>
        <w:tc>
          <w:tcPr>
            <w:tcW w:w="2213" w:type="dxa"/>
            <w:tcBorders>
              <w:top w:val="single" w:color="auto" w:sz="4" w:space="0"/>
              <w:bottom w:val="single" w:color="auto" w:sz="4" w:space="0"/>
              <w:right w:val="single" w:color="auto" w:sz="4" w:space="0"/>
            </w:tcBorders>
            <w:vAlign w:val="center"/>
          </w:tcPr>
          <w:p w14:paraId="0AC421C3">
            <w:pPr>
              <w:spacing w:line="340" w:lineRule="exact"/>
              <w:jc w:val="center"/>
              <w:rPr>
                <w:rFonts w:hint="eastAsia" w:ascii="宋体" w:hAnsi="宋体" w:cs="仿宋_GB2312"/>
                <w:color w:val="auto"/>
                <w:sz w:val="24"/>
                <w:highlight w:val="none"/>
              </w:rPr>
            </w:pPr>
            <w:r>
              <w:rPr>
                <w:rFonts w:hint="eastAsia" w:asciiTheme="majorEastAsia" w:hAnsiTheme="majorEastAsia" w:eastAsiaTheme="majorEastAsia" w:cstheme="majorEastAsia"/>
                <w:b/>
                <w:color w:val="auto"/>
                <w:szCs w:val="21"/>
                <w:highlight w:val="none"/>
              </w:rPr>
              <w:t>1.交付时间和地点</w:t>
            </w:r>
          </w:p>
        </w:tc>
        <w:tc>
          <w:tcPr>
            <w:tcW w:w="6542" w:type="dxa"/>
            <w:tcBorders>
              <w:top w:val="single" w:color="auto" w:sz="4" w:space="0"/>
              <w:left w:val="single" w:color="auto" w:sz="4" w:space="0"/>
              <w:bottom w:val="single" w:color="auto" w:sz="4" w:space="0"/>
            </w:tcBorders>
            <w:vAlign w:val="center"/>
          </w:tcPr>
          <w:p w14:paraId="214FF9F4">
            <w:pPr>
              <w:spacing w:line="360" w:lineRule="exact"/>
              <w:rPr>
                <w:rFonts w:ascii="宋体"/>
                <w:color w:val="auto"/>
                <w:sz w:val="24"/>
                <w:highlight w:val="none"/>
              </w:rPr>
            </w:pPr>
          </w:p>
        </w:tc>
      </w:tr>
      <w:tr w14:paraId="5DCE3B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213" w:type="dxa"/>
            <w:tcBorders>
              <w:top w:val="single" w:color="auto" w:sz="4" w:space="0"/>
              <w:bottom w:val="single" w:color="auto" w:sz="4" w:space="0"/>
              <w:right w:val="single" w:color="auto" w:sz="4" w:space="0"/>
            </w:tcBorders>
            <w:vAlign w:val="center"/>
          </w:tcPr>
          <w:p w14:paraId="480B9A59">
            <w:pPr>
              <w:spacing w:line="340" w:lineRule="exact"/>
              <w:jc w:val="center"/>
              <w:rPr>
                <w:rFonts w:hint="eastAsia" w:ascii="宋体" w:hAnsi="宋体" w:cs="仿宋_GB2312"/>
                <w:color w:val="auto"/>
                <w:sz w:val="24"/>
                <w:highlight w:val="none"/>
              </w:rPr>
            </w:pPr>
            <w:r>
              <w:rPr>
                <w:rFonts w:hint="eastAsia" w:asciiTheme="majorEastAsia" w:hAnsiTheme="majorEastAsia" w:eastAsiaTheme="majorEastAsia" w:cstheme="majorEastAsia"/>
                <w:b/>
                <w:color w:val="auto"/>
                <w:szCs w:val="21"/>
                <w:highlight w:val="none"/>
              </w:rPr>
              <w:t>2.合同签订时间</w:t>
            </w:r>
          </w:p>
        </w:tc>
        <w:tc>
          <w:tcPr>
            <w:tcW w:w="6542" w:type="dxa"/>
            <w:tcBorders>
              <w:top w:val="single" w:color="auto" w:sz="4" w:space="0"/>
              <w:left w:val="single" w:color="auto" w:sz="4" w:space="0"/>
              <w:bottom w:val="single" w:color="auto" w:sz="4" w:space="0"/>
            </w:tcBorders>
            <w:vAlign w:val="center"/>
          </w:tcPr>
          <w:p w14:paraId="002D1D6B">
            <w:pPr>
              <w:spacing w:line="360" w:lineRule="exact"/>
              <w:rPr>
                <w:rFonts w:ascii="宋体"/>
                <w:color w:val="auto"/>
                <w:sz w:val="24"/>
                <w:highlight w:val="none"/>
              </w:rPr>
            </w:pPr>
          </w:p>
        </w:tc>
      </w:tr>
      <w:tr w14:paraId="05093B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13" w:type="dxa"/>
            <w:tcBorders>
              <w:top w:val="single" w:color="auto" w:sz="4" w:space="0"/>
              <w:bottom w:val="single" w:color="auto" w:sz="4" w:space="0"/>
              <w:right w:val="single" w:color="auto" w:sz="4" w:space="0"/>
            </w:tcBorders>
            <w:vAlign w:val="center"/>
          </w:tcPr>
          <w:p w14:paraId="4BDA296E">
            <w:pPr>
              <w:spacing w:line="340" w:lineRule="exact"/>
              <w:jc w:val="center"/>
              <w:rPr>
                <w:rFonts w:hint="eastAsia" w:ascii="宋体" w:hAnsi="宋体" w:cs="仿宋_GB2312"/>
                <w:color w:val="auto"/>
                <w:sz w:val="24"/>
                <w:highlight w:val="none"/>
              </w:rPr>
            </w:pPr>
            <w:r>
              <w:rPr>
                <w:rFonts w:hint="eastAsia" w:asciiTheme="majorEastAsia" w:hAnsiTheme="majorEastAsia" w:eastAsiaTheme="majorEastAsia" w:cstheme="majorEastAsia"/>
                <w:b/>
                <w:color w:val="auto"/>
                <w:szCs w:val="21"/>
                <w:highlight w:val="none"/>
              </w:rPr>
              <w:t>3.付款条件（进度和方式）</w:t>
            </w:r>
          </w:p>
        </w:tc>
        <w:tc>
          <w:tcPr>
            <w:tcW w:w="6542" w:type="dxa"/>
            <w:tcBorders>
              <w:top w:val="single" w:color="auto" w:sz="4" w:space="0"/>
              <w:left w:val="single" w:color="auto" w:sz="4" w:space="0"/>
              <w:bottom w:val="single" w:color="auto" w:sz="4" w:space="0"/>
            </w:tcBorders>
            <w:vAlign w:val="center"/>
          </w:tcPr>
          <w:p w14:paraId="0B743B07">
            <w:pPr>
              <w:spacing w:line="360" w:lineRule="exact"/>
              <w:rPr>
                <w:rFonts w:ascii="宋体"/>
                <w:color w:val="auto"/>
                <w:sz w:val="24"/>
                <w:highlight w:val="none"/>
              </w:rPr>
            </w:pPr>
          </w:p>
        </w:tc>
      </w:tr>
      <w:tr w14:paraId="49E351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13" w:type="dxa"/>
            <w:tcBorders>
              <w:top w:val="single" w:color="auto" w:sz="4" w:space="0"/>
              <w:bottom w:val="single" w:color="auto" w:sz="4" w:space="0"/>
              <w:right w:val="single" w:color="auto" w:sz="4" w:space="0"/>
            </w:tcBorders>
            <w:vAlign w:val="center"/>
          </w:tcPr>
          <w:p w14:paraId="4E464E81">
            <w:pPr>
              <w:spacing w:line="340" w:lineRule="exact"/>
              <w:jc w:val="center"/>
              <w:rPr>
                <w:rFonts w:hint="eastAsia" w:ascii="宋体" w:hAnsi="宋体" w:cs="仿宋_GB2312"/>
                <w:color w:val="auto"/>
                <w:sz w:val="24"/>
                <w:highlight w:val="none"/>
              </w:rPr>
            </w:pPr>
            <w:r>
              <w:rPr>
                <w:rFonts w:hint="eastAsia" w:asciiTheme="majorEastAsia" w:hAnsiTheme="majorEastAsia" w:eastAsiaTheme="majorEastAsia" w:cstheme="majorEastAsia"/>
                <w:b/>
                <w:color w:val="auto"/>
                <w:szCs w:val="21"/>
                <w:highlight w:val="none"/>
              </w:rPr>
              <w:t>4.包装和运输</w:t>
            </w:r>
          </w:p>
        </w:tc>
        <w:tc>
          <w:tcPr>
            <w:tcW w:w="6542" w:type="dxa"/>
            <w:tcBorders>
              <w:top w:val="single" w:color="auto" w:sz="4" w:space="0"/>
              <w:left w:val="single" w:color="auto" w:sz="4" w:space="0"/>
              <w:bottom w:val="single" w:color="auto" w:sz="4" w:space="0"/>
            </w:tcBorders>
            <w:vAlign w:val="center"/>
          </w:tcPr>
          <w:p w14:paraId="7A3E7A36">
            <w:pPr>
              <w:spacing w:line="360" w:lineRule="exact"/>
              <w:rPr>
                <w:rFonts w:ascii="宋体"/>
                <w:color w:val="auto"/>
                <w:sz w:val="24"/>
                <w:highlight w:val="none"/>
              </w:rPr>
            </w:pPr>
          </w:p>
        </w:tc>
      </w:tr>
      <w:tr w14:paraId="21DA1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13" w:type="dxa"/>
            <w:tcBorders>
              <w:top w:val="single" w:color="auto" w:sz="4" w:space="0"/>
              <w:bottom w:val="single" w:color="auto" w:sz="4" w:space="0"/>
              <w:right w:val="single" w:color="auto" w:sz="4" w:space="0"/>
            </w:tcBorders>
            <w:vAlign w:val="center"/>
          </w:tcPr>
          <w:p w14:paraId="30ADB9A9">
            <w:pPr>
              <w:adjustRightInd w:val="0"/>
              <w:snapToGrid w:val="0"/>
              <w:spacing w:line="360" w:lineRule="exact"/>
              <w:jc w:val="center"/>
              <w:rPr>
                <w:rFonts w:hint="eastAsia" w:ascii="宋体" w:hAnsi="宋体" w:cs="仿宋_GB2312"/>
                <w:color w:val="auto"/>
                <w:sz w:val="24"/>
                <w:highlight w:val="none"/>
              </w:rPr>
            </w:pPr>
            <w:r>
              <w:rPr>
                <w:rFonts w:hint="eastAsia" w:cs="宋体" w:asciiTheme="majorEastAsia" w:hAnsiTheme="majorEastAsia" w:eastAsiaTheme="majorEastAsia"/>
                <w:b/>
                <w:color w:val="auto"/>
                <w:szCs w:val="21"/>
                <w:highlight w:val="none"/>
              </w:rPr>
              <w:t>5.保险</w:t>
            </w:r>
          </w:p>
        </w:tc>
        <w:tc>
          <w:tcPr>
            <w:tcW w:w="6542" w:type="dxa"/>
            <w:tcBorders>
              <w:top w:val="single" w:color="auto" w:sz="4" w:space="0"/>
              <w:left w:val="single" w:color="auto" w:sz="4" w:space="0"/>
              <w:bottom w:val="single" w:color="auto" w:sz="4" w:space="0"/>
            </w:tcBorders>
            <w:vAlign w:val="center"/>
          </w:tcPr>
          <w:p w14:paraId="13B85679">
            <w:pPr>
              <w:spacing w:line="360" w:lineRule="exact"/>
              <w:rPr>
                <w:rFonts w:ascii="宋体"/>
                <w:color w:val="auto"/>
                <w:sz w:val="24"/>
                <w:highlight w:val="none"/>
              </w:rPr>
            </w:pPr>
          </w:p>
        </w:tc>
      </w:tr>
      <w:tr w14:paraId="5E3E90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13" w:type="dxa"/>
            <w:tcBorders>
              <w:top w:val="single" w:color="auto" w:sz="4" w:space="0"/>
              <w:bottom w:val="single" w:color="auto" w:sz="4" w:space="0"/>
              <w:right w:val="single" w:color="auto" w:sz="4" w:space="0"/>
            </w:tcBorders>
            <w:vAlign w:val="center"/>
          </w:tcPr>
          <w:p w14:paraId="47B50926">
            <w:pPr>
              <w:spacing w:line="340" w:lineRule="exact"/>
              <w:jc w:val="center"/>
              <w:rPr>
                <w:rFonts w:hint="eastAsia" w:ascii="宋体" w:hAnsi="宋体" w:cs="仿宋_GB2312"/>
                <w:color w:val="auto"/>
                <w:sz w:val="24"/>
                <w:highlight w:val="none"/>
              </w:rPr>
            </w:pPr>
            <w:r>
              <w:rPr>
                <w:rFonts w:hint="eastAsia" w:asciiTheme="majorEastAsia" w:hAnsiTheme="majorEastAsia" w:eastAsiaTheme="majorEastAsia" w:cstheme="majorEastAsia"/>
                <w:b/>
                <w:color w:val="auto"/>
                <w:szCs w:val="21"/>
                <w:highlight w:val="none"/>
              </w:rPr>
              <w:t>6.验收标准、要求</w:t>
            </w:r>
          </w:p>
        </w:tc>
        <w:tc>
          <w:tcPr>
            <w:tcW w:w="6542" w:type="dxa"/>
            <w:tcBorders>
              <w:top w:val="single" w:color="auto" w:sz="4" w:space="0"/>
              <w:left w:val="single" w:color="auto" w:sz="4" w:space="0"/>
              <w:bottom w:val="single" w:color="auto" w:sz="4" w:space="0"/>
            </w:tcBorders>
            <w:vAlign w:val="center"/>
          </w:tcPr>
          <w:p w14:paraId="072CD6F1">
            <w:pPr>
              <w:spacing w:line="360" w:lineRule="exact"/>
              <w:rPr>
                <w:rFonts w:ascii="宋体"/>
                <w:color w:val="auto"/>
                <w:sz w:val="24"/>
                <w:highlight w:val="none"/>
              </w:rPr>
            </w:pPr>
          </w:p>
        </w:tc>
      </w:tr>
      <w:tr w14:paraId="0FC3B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2213" w:type="dxa"/>
            <w:tcBorders>
              <w:top w:val="single" w:color="auto" w:sz="4" w:space="0"/>
              <w:bottom w:val="single" w:color="auto" w:sz="4" w:space="0"/>
              <w:right w:val="single" w:color="auto" w:sz="4" w:space="0"/>
            </w:tcBorders>
            <w:vAlign w:val="center"/>
          </w:tcPr>
          <w:p w14:paraId="2143EE3E">
            <w:pPr>
              <w:spacing w:line="360" w:lineRule="exact"/>
              <w:jc w:val="center"/>
              <w:rPr>
                <w:rFonts w:hint="eastAsia" w:ascii="宋体" w:hAnsi="宋体" w:cs="仿宋_GB2312"/>
                <w:color w:val="auto"/>
                <w:sz w:val="24"/>
                <w:highlight w:val="none"/>
              </w:rPr>
            </w:pPr>
            <w:r>
              <w:rPr>
                <w:rFonts w:hint="eastAsia" w:eastAsiaTheme="majorEastAsia"/>
                <w:b/>
                <w:color w:val="auto"/>
                <w:szCs w:val="21"/>
                <w:highlight w:val="none"/>
              </w:rPr>
              <w:t>7.知识产权要求</w:t>
            </w:r>
          </w:p>
        </w:tc>
        <w:tc>
          <w:tcPr>
            <w:tcW w:w="6542" w:type="dxa"/>
            <w:tcBorders>
              <w:top w:val="single" w:color="auto" w:sz="4" w:space="0"/>
              <w:left w:val="single" w:color="auto" w:sz="4" w:space="0"/>
              <w:bottom w:val="single" w:color="auto" w:sz="4" w:space="0"/>
            </w:tcBorders>
            <w:vAlign w:val="center"/>
          </w:tcPr>
          <w:p w14:paraId="461787DB">
            <w:pPr>
              <w:spacing w:line="360" w:lineRule="exact"/>
              <w:rPr>
                <w:rFonts w:ascii="宋体"/>
                <w:color w:val="auto"/>
                <w:sz w:val="24"/>
                <w:highlight w:val="none"/>
              </w:rPr>
            </w:pPr>
          </w:p>
        </w:tc>
      </w:tr>
    </w:tbl>
    <w:p w14:paraId="61C63DE6">
      <w:pPr>
        <w:pStyle w:val="10"/>
        <w:spacing w:after="0" w:line="360" w:lineRule="auto"/>
        <w:contextualSpacing/>
        <w:rPr>
          <w:rFonts w:hint="eastAsia" w:ascii="宋体" w:hAnsi="宋体"/>
          <w:color w:val="auto"/>
          <w:kern w:val="0"/>
          <w:sz w:val="24"/>
          <w:szCs w:val="24"/>
          <w:highlight w:val="none"/>
        </w:rPr>
      </w:pPr>
    </w:p>
    <w:p w14:paraId="0D418556">
      <w:pPr>
        <w:pStyle w:val="10"/>
        <w:spacing w:after="0" w:line="360" w:lineRule="auto"/>
        <w:contextualSpacing/>
        <w:rPr>
          <w:rFonts w:ascii="宋体"/>
          <w:color w:val="auto"/>
          <w:kern w:val="0"/>
          <w:sz w:val="24"/>
          <w:szCs w:val="24"/>
          <w:highlight w:val="none"/>
        </w:rPr>
      </w:pPr>
      <w:r>
        <w:rPr>
          <w:rFonts w:hint="eastAsia" w:ascii="宋体" w:hAnsi="宋体"/>
          <w:color w:val="auto"/>
          <w:kern w:val="0"/>
          <w:sz w:val="24"/>
          <w:szCs w:val="24"/>
          <w:highlight w:val="none"/>
        </w:rPr>
        <w:t xml:space="preserve">  说明：应对照谈判文件“第三章采购需求”中的商务要求逐条明确响应承诺。</w:t>
      </w:r>
    </w:p>
    <w:p w14:paraId="25A4F37C">
      <w:pPr>
        <w:spacing w:line="360" w:lineRule="auto"/>
        <w:ind w:right="-817" w:rightChars="-389" w:firstLine="2880" w:firstLineChars="1200"/>
        <w:contextualSpacing/>
        <w:rPr>
          <w:rFonts w:hint="eastAsia" w:ascii="宋体" w:hAnsi="宋体" w:cs="仿宋_GB2312"/>
          <w:color w:val="auto"/>
          <w:sz w:val="24"/>
          <w:highlight w:val="none"/>
        </w:rPr>
      </w:pPr>
    </w:p>
    <w:p w14:paraId="441D9B36">
      <w:pPr>
        <w:spacing w:line="360" w:lineRule="auto"/>
        <w:ind w:right="-817" w:rightChars="-389" w:firstLine="2880" w:firstLineChars="1200"/>
        <w:contextualSpacing/>
        <w:rPr>
          <w:rFonts w:hint="eastAsia" w:ascii="宋体" w:hAnsi="宋体" w:cs="仿宋_GB2312"/>
          <w:color w:val="auto"/>
          <w:sz w:val="24"/>
          <w:highlight w:val="none"/>
        </w:rPr>
      </w:pPr>
    </w:p>
    <w:p w14:paraId="3ED8452D">
      <w:pPr>
        <w:spacing w:line="360" w:lineRule="auto"/>
        <w:ind w:right="-817" w:rightChars="-389" w:firstLine="2880" w:firstLineChars="1200"/>
        <w:contextualSpacing/>
        <w:rPr>
          <w:rFonts w:hint="eastAsia" w:ascii="宋体" w:hAnsi="宋体" w:cs="仿宋_GB2312"/>
          <w:color w:val="auto"/>
          <w:sz w:val="24"/>
          <w:highlight w:val="none"/>
        </w:rPr>
      </w:pPr>
    </w:p>
    <w:p w14:paraId="09E2B208">
      <w:pPr>
        <w:spacing w:line="360" w:lineRule="auto"/>
        <w:ind w:right="-817" w:rightChars="-389"/>
        <w:contextualSpacing/>
        <w:jc w:val="center"/>
        <w:rPr>
          <w:rFonts w:hint="eastAsia" w:ascii="宋体" w:hAns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8D498D9">
      <w:pPr>
        <w:spacing w:line="360" w:lineRule="auto"/>
        <w:ind w:right="-817" w:rightChars="-389"/>
        <w:contextualSpacing/>
        <w:jc w:val="center"/>
        <w:rPr>
          <w:rFonts w:ascii="宋体" w:cs="仿宋_GB2312"/>
          <w:color w:val="auto"/>
          <w:sz w:val="24"/>
          <w:highlight w:val="none"/>
        </w:rPr>
      </w:pPr>
      <w:r>
        <w:rPr>
          <w:rFonts w:hint="eastAsia" w:ascii="宋体" w:hAnsi="宋体" w:cs="仿宋_GB2312"/>
          <w:color w:val="auto"/>
          <w:sz w:val="24"/>
          <w:highlight w:val="none"/>
        </w:rPr>
        <w:t>供应商（电子签章）：</w:t>
      </w:r>
    </w:p>
    <w:p w14:paraId="6EF8A2A8">
      <w:pPr>
        <w:spacing w:line="360" w:lineRule="auto"/>
        <w:ind w:right="-817" w:rightChars="-389" w:firstLine="3600" w:firstLineChars="150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3850177">
      <w:pPr>
        <w:widowControl/>
        <w:jc w:val="left"/>
        <w:rPr>
          <w:rFonts w:hint="eastAsia" w:ascii="宋体" w:hAnsi="宋体" w:cs="仿宋_GB2312"/>
          <w:color w:val="auto"/>
          <w:sz w:val="24"/>
          <w:highlight w:val="none"/>
        </w:rPr>
      </w:pPr>
      <w:r>
        <w:rPr>
          <w:rFonts w:ascii="宋体" w:hAnsi="宋体" w:cs="仿宋_GB2312"/>
          <w:color w:val="auto"/>
          <w:sz w:val="24"/>
          <w:highlight w:val="none"/>
        </w:rPr>
        <w:br w:type="page"/>
      </w:r>
    </w:p>
    <w:p w14:paraId="30960494">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售后服务承诺书</w:t>
      </w:r>
    </w:p>
    <w:p w14:paraId="063A6D26">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A79F3F2">
      <w:pPr>
        <w:spacing w:line="380" w:lineRule="exact"/>
        <w:rPr>
          <w:rFonts w:hint="eastAsia" w:ascii="宋体" w:hAnsi="宋体" w:cs="宋体"/>
          <w:b/>
          <w:bCs/>
          <w:color w:val="auto"/>
          <w:szCs w:val="21"/>
          <w:highlight w:val="none"/>
        </w:rPr>
      </w:pPr>
      <w:r>
        <w:rPr>
          <w:rFonts w:hint="eastAsia" w:ascii="宋体" w:hAnsi="宋体" w:cs="宋体"/>
          <w:b/>
          <w:bCs/>
          <w:color w:val="auto"/>
          <w:szCs w:val="21"/>
          <w:highlight w:val="none"/>
        </w:rPr>
        <w:t>1.保修期内售后服务要求承诺</w:t>
      </w:r>
    </w:p>
    <w:p w14:paraId="039033AE">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我方按提供的以下售后服务所产生的相关费用均包含在竞标报价中，采购人不再另行支付相关费用，具体要求如下：</w:t>
      </w:r>
    </w:p>
    <w:p w14:paraId="4E1B467E">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（1）保修期：按国家有关产品“三包”规定执行“三包”，保修期</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年。保修期从设备验收合格之日起计算，“技术要求”中有特别注明的除外。保修期内负责上门维修，更换零部件，不另收取维修费和元器件费。保修期届满后，提供终身保修（维护）服务，且维修时只收取所需维修部件的成本费，服务内容与保修期内的要求相一致。</w:t>
      </w:r>
    </w:p>
    <w:p w14:paraId="076C3707">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采购范围内的货物提供送货上门，在采购人指定的时间内完成货物的安装、调试。提供技术培训，保证使用人员独立正常操作设备的各种功能，同时能掌握常规故障的判断与常规处理及日常维护保养的方法。若设备自带软件，则在保修期内提供升级服务；如厂家有更优承诺的，按厂家承诺进行。</w:t>
      </w:r>
    </w:p>
    <w:p w14:paraId="5D87C68E">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（3）保修期内，供应商须在出现故障</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小时内响应，</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小时内必须到达故障设备现场排除故障并维修。一般问题应在</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小时内解决，对于保修期内不能修复的设备或部件，供应商应在</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小时内更换备品备件。如果需要更换配件的，要求更换的配件应跟被更换的品牌、类型相一致或者是同类同档次的替代品，后者需征得采购人管理人员同意。</w:t>
      </w:r>
    </w:p>
    <w:p w14:paraId="3CD92C93">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（4）定期回访并对设备进行维护：每年</w:t>
      </w:r>
      <w:r>
        <w:rPr>
          <w:rFonts w:hint="eastAsia" w:ascii="宋体" w:hAnsi="宋体" w:cs="宋体"/>
          <w:b/>
          <w:bCs/>
          <w:color w:val="auto"/>
          <w:szCs w:val="21"/>
          <w:highlight w:val="none"/>
          <w:u w:val="single"/>
        </w:rPr>
        <w:t xml:space="preserve">    </w:t>
      </w:r>
      <w:r>
        <w:rPr>
          <w:rFonts w:hint="eastAsia" w:ascii="宋体" w:hAnsi="宋体" w:cs="宋体"/>
          <w:b/>
          <w:bCs/>
          <w:color w:val="auto"/>
          <w:szCs w:val="21"/>
          <w:highlight w:val="none"/>
        </w:rPr>
        <w:t>次。</w:t>
      </w:r>
    </w:p>
    <w:p w14:paraId="728FC7F5">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2.我公司提供保修期外维修方案如下：</w:t>
      </w:r>
    </w:p>
    <w:p w14:paraId="10F709ED">
      <w:pPr>
        <w:pStyle w:val="33"/>
        <w:ind w:firstLine="422" w:firstLineChars="200"/>
        <w:rPr>
          <w:rFonts w:hint="eastAsia" w:ascii="宋体" w:hAnsi="宋体" w:cs="宋体"/>
          <w:b/>
          <w:bCs/>
          <w:color w:val="auto"/>
          <w:szCs w:val="21"/>
          <w:highlight w:val="none"/>
        </w:rPr>
      </w:pPr>
    </w:p>
    <w:p w14:paraId="70448FC1">
      <w:pPr>
        <w:pStyle w:val="33"/>
        <w:ind w:firstLine="422" w:firstLineChars="200"/>
        <w:rPr>
          <w:color w:val="auto"/>
          <w:highlight w:val="none"/>
        </w:rPr>
      </w:pPr>
      <w:r>
        <w:rPr>
          <w:rFonts w:hint="eastAsia" w:ascii="宋体" w:hAnsi="宋体" w:cs="宋体"/>
          <w:b/>
          <w:bCs/>
          <w:color w:val="auto"/>
          <w:szCs w:val="21"/>
          <w:highlight w:val="none"/>
        </w:rPr>
        <w:t>······</w:t>
      </w:r>
    </w:p>
    <w:p w14:paraId="114BC3F8">
      <w:pPr>
        <w:pStyle w:val="11"/>
        <w:rPr>
          <w:color w:val="auto"/>
          <w:highlight w:val="none"/>
        </w:rPr>
      </w:pPr>
    </w:p>
    <w:p w14:paraId="22A9C774">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6655761E">
      <w:pPr>
        <w:spacing w:line="360" w:lineRule="auto"/>
        <w:ind w:right="-817" w:rightChars="-389"/>
        <w:contextualSpacing/>
        <w:jc w:val="center"/>
        <w:rPr>
          <w:rFonts w:asci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77A159F3">
      <w:pPr>
        <w:spacing w:line="360" w:lineRule="auto"/>
        <w:ind w:right="-817" w:rightChars="-389" w:firstLine="2880" w:firstLineChars="1200"/>
        <w:contextualSpacing/>
        <w:rPr>
          <w:rFonts w:ascii="宋体" w:cs="仿宋_GB2312"/>
          <w:color w:val="auto"/>
          <w:sz w:val="24"/>
          <w:highlight w:val="none"/>
        </w:rPr>
      </w:pPr>
      <w:r>
        <w:rPr>
          <w:rFonts w:hint="eastAsia" w:ascii="宋体" w:hAnsi="宋体" w:cs="仿宋_GB2312"/>
          <w:color w:val="auto"/>
          <w:sz w:val="24"/>
          <w:highlight w:val="none"/>
        </w:rPr>
        <w:t>供应商（电子签章）：</w:t>
      </w:r>
    </w:p>
    <w:p w14:paraId="0404C58E">
      <w:pPr>
        <w:adjustRightInd w:val="0"/>
        <w:snapToGrid w:val="0"/>
        <w:spacing w:line="520" w:lineRule="exact"/>
        <w:jc w:val="center"/>
        <w:rPr>
          <w:rFonts w:ascii="宋体" w:cs="仿宋_GB2312"/>
          <w:color w:val="auto"/>
          <w:sz w:val="24"/>
          <w:highlight w:val="none"/>
        </w:rPr>
      </w:pPr>
      <w:r>
        <w:rPr>
          <w:rFonts w:hint="eastAsia" w:ascii="宋体" w:hAnsi="宋体" w:cs="仿宋_GB2312"/>
          <w:color w:val="auto"/>
          <w:sz w:val="24"/>
          <w:highlight w:val="none"/>
        </w:rPr>
        <w:t>日期：  年  月  日</w:t>
      </w:r>
    </w:p>
    <w:p w14:paraId="461B78E1">
      <w:pPr>
        <w:widowControl/>
        <w:jc w:val="left"/>
        <w:rPr>
          <w:rFonts w:ascii="宋体" w:cs="仿宋_GB2312"/>
          <w:color w:val="auto"/>
          <w:sz w:val="24"/>
          <w:highlight w:val="none"/>
        </w:rPr>
      </w:pPr>
      <w:r>
        <w:rPr>
          <w:rFonts w:ascii="宋体" w:cs="仿宋_GB2312"/>
          <w:color w:val="auto"/>
          <w:sz w:val="24"/>
          <w:highlight w:val="none"/>
        </w:rPr>
        <w:br w:type="page"/>
      </w:r>
    </w:p>
    <w:p w14:paraId="26F93498">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技术要求响应承诺表</w:t>
      </w:r>
    </w:p>
    <w:p w14:paraId="4163716D">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1F034402">
      <w:pPr>
        <w:spacing w:line="520" w:lineRule="exact"/>
        <w:rPr>
          <w:rFonts w:hint="eastAsia" w:ascii="仿宋_GB2312" w:hAnsi="仿宋_GB2312" w:eastAsia="仿宋_GB2312" w:cs="仿宋_GB2312"/>
          <w:color w:val="auto"/>
          <w:sz w:val="32"/>
          <w:szCs w:val="32"/>
          <w:highlight w:val="none"/>
        </w:rPr>
      </w:pPr>
    </w:p>
    <w:tbl>
      <w:tblPr>
        <w:tblStyle w:val="25"/>
        <w:tblW w:w="759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0"/>
        <w:gridCol w:w="1464"/>
        <w:gridCol w:w="5145"/>
      </w:tblGrid>
      <w:tr w14:paraId="22BEA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61" w:hRule="atLeast"/>
          <w:jc w:val="center"/>
        </w:trPr>
        <w:tc>
          <w:tcPr>
            <w:tcW w:w="990" w:type="dxa"/>
            <w:tcBorders>
              <w:top w:val="single" w:color="auto" w:sz="4" w:space="0"/>
              <w:right w:val="single" w:color="auto" w:sz="4" w:space="0"/>
            </w:tcBorders>
            <w:vAlign w:val="center"/>
          </w:tcPr>
          <w:p w14:paraId="5B54B94C">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项号</w:t>
            </w:r>
          </w:p>
        </w:tc>
        <w:tc>
          <w:tcPr>
            <w:tcW w:w="1464" w:type="dxa"/>
            <w:tcBorders>
              <w:top w:val="single" w:color="auto" w:sz="4" w:space="0"/>
              <w:left w:val="single" w:color="auto" w:sz="4" w:space="0"/>
            </w:tcBorders>
            <w:vAlign w:val="center"/>
          </w:tcPr>
          <w:p w14:paraId="5C5577C4">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标的的名称</w:t>
            </w:r>
          </w:p>
        </w:tc>
        <w:tc>
          <w:tcPr>
            <w:tcW w:w="5145" w:type="dxa"/>
            <w:tcBorders>
              <w:top w:val="single" w:color="auto" w:sz="4" w:space="0"/>
            </w:tcBorders>
            <w:vAlign w:val="center"/>
          </w:tcPr>
          <w:p w14:paraId="55E08E44">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对应竞争谈判文件“第三章 采购需求”中“技术要求”，供应商的详细技术响应承诺</w:t>
            </w:r>
          </w:p>
        </w:tc>
      </w:tr>
      <w:tr w14:paraId="59A8F07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70" w:hRule="atLeast"/>
          <w:jc w:val="center"/>
        </w:trPr>
        <w:tc>
          <w:tcPr>
            <w:tcW w:w="990" w:type="dxa"/>
            <w:tcBorders>
              <w:right w:val="single" w:color="auto" w:sz="4" w:space="0"/>
            </w:tcBorders>
            <w:vAlign w:val="center"/>
          </w:tcPr>
          <w:p w14:paraId="08358E3F">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1</w:t>
            </w:r>
          </w:p>
        </w:tc>
        <w:tc>
          <w:tcPr>
            <w:tcW w:w="1464" w:type="dxa"/>
            <w:tcBorders>
              <w:left w:val="single" w:color="auto" w:sz="4" w:space="0"/>
            </w:tcBorders>
            <w:vAlign w:val="center"/>
          </w:tcPr>
          <w:p w14:paraId="099EBEC9">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c>
          <w:tcPr>
            <w:tcW w:w="5145" w:type="dxa"/>
            <w:vAlign w:val="center"/>
          </w:tcPr>
          <w:p w14:paraId="2A09EBD4">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r>
      <w:tr w14:paraId="5FD814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70" w:hRule="atLeast"/>
          <w:jc w:val="center"/>
        </w:trPr>
        <w:tc>
          <w:tcPr>
            <w:tcW w:w="990" w:type="dxa"/>
            <w:tcBorders>
              <w:right w:val="single" w:color="auto" w:sz="4" w:space="0"/>
            </w:tcBorders>
            <w:vAlign w:val="center"/>
          </w:tcPr>
          <w:p w14:paraId="411D0361">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2</w:t>
            </w:r>
          </w:p>
        </w:tc>
        <w:tc>
          <w:tcPr>
            <w:tcW w:w="1464" w:type="dxa"/>
            <w:tcBorders>
              <w:left w:val="single" w:color="auto" w:sz="4" w:space="0"/>
            </w:tcBorders>
            <w:vAlign w:val="center"/>
          </w:tcPr>
          <w:p w14:paraId="11178266">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c>
          <w:tcPr>
            <w:tcW w:w="5145" w:type="dxa"/>
            <w:vAlign w:val="center"/>
          </w:tcPr>
          <w:p w14:paraId="4DF23495">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r>
      <w:tr w14:paraId="24B745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384" w:hRule="atLeast"/>
          <w:jc w:val="center"/>
        </w:trPr>
        <w:tc>
          <w:tcPr>
            <w:tcW w:w="990" w:type="dxa"/>
            <w:tcBorders>
              <w:right w:val="single" w:color="auto" w:sz="4" w:space="0"/>
            </w:tcBorders>
            <w:vAlign w:val="center"/>
          </w:tcPr>
          <w:p w14:paraId="7F95047F">
            <w:pPr>
              <w:pStyle w:val="12"/>
              <w:spacing w:line="360" w:lineRule="auto"/>
              <w:ind w:firstLine="0" w:firstLineChars="0"/>
              <w:jc w:val="center"/>
              <w:rPr>
                <w:rFonts w:hint="eastAsia" w:asciiTheme="majorEastAsia" w:hAnsiTheme="majorEastAsia" w:eastAsiaTheme="majorEastAsia"/>
                <w:color w:val="auto"/>
                <w:kern w:val="2"/>
                <w:sz w:val="24"/>
                <w:highlight w:val="none"/>
              </w:rPr>
            </w:pPr>
            <w:r>
              <w:rPr>
                <w:rFonts w:hint="eastAsia" w:asciiTheme="majorEastAsia" w:hAnsiTheme="majorEastAsia" w:eastAsiaTheme="majorEastAsia"/>
                <w:color w:val="auto"/>
                <w:kern w:val="2"/>
                <w:sz w:val="24"/>
                <w:highlight w:val="none"/>
              </w:rPr>
              <w:t>……</w:t>
            </w:r>
          </w:p>
        </w:tc>
        <w:tc>
          <w:tcPr>
            <w:tcW w:w="1464" w:type="dxa"/>
            <w:tcBorders>
              <w:left w:val="single" w:color="auto" w:sz="4" w:space="0"/>
            </w:tcBorders>
            <w:vAlign w:val="center"/>
          </w:tcPr>
          <w:p w14:paraId="12DA66FD">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c>
          <w:tcPr>
            <w:tcW w:w="5145" w:type="dxa"/>
            <w:vAlign w:val="center"/>
          </w:tcPr>
          <w:p w14:paraId="5FADAC49">
            <w:pPr>
              <w:pStyle w:val="12"/>
              <w:spacing w:line="360" w:lineRule="auto"/>
              <w:ind w:firstLine="0" w:firstLineChars="0"/>
              <w:jc w:val="center"/>
              <w:rPr>
                <w:rFonts w:hint="eastAsia" w:asciiTheme="majorEastAsia" w:hAnsiTheme="majorEastAsia" w:eastAsiaTheme="majorEastAsia"/>
                <w:color w:val="auto"/>
                <w:kern w:val="2"/>
                <w:sz w:val="24"/>
                <w:highlight w:val="none"/>
              </w:rPr>
            </w:pPr>
          </w:p>
        </w:tc>
      </w:tr>
    </w:tbl>
    <w:p w14:paraId="25E22B4B">
      <w:pPr>
        <w:spacing w:line="360" w:lineRule="auto"/>
        <w:ind w:right="-817" w:rightChars="-389"/>
        <w:contextualSpacing/>
        <w:rPr>
          <w:rFonts w:ascii="宋体" w:cs="仿宋_GB2312"/>
          <w:color w:val="auto"/>
          <w:sz w:val="24"/>
          <w:highlight w:val="none"/>
        </w:rPr>
      </w:pPr>
    </w:p>
    <w:p w14:paraId="70A3AEF7">
      <w:pPr>
        <w:spacing w:line="360" w:lineRule="auto"/>
        <w:ind w:right="-817" w:rightChars="-389"/>
        <w:contextualSpacing/>
        <w:jc w:val="center"/>
        <w:rPr>
          <w:rFonts w:asci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527C27F3">
      <w:pPr>
        <w:spacing w:line="360" w:lineRule="auto"/>
        <w:ind w:right="-817" w:rightChars="-389" w:firstLine="2880" w:firstLineChars="1200"/>
        <w:contextualSpacing/>
        <w:rPr>
          <w:rFonts w:ascii="宋体" w:cs="仿宋_GB2312"/>
          <w:color w:val="auto"/>
          <w:sz w:val="24"/>
          <w:highlight w:val="none"/>
        </w:rPr>
      </w:pPr>
      <w:r>
        <w:rPr>
          <w:rFonts w:hint="eastAsia" w:ascii="宋体" w:hAnsi="宋体" w:cs="仿宋_GB2312"/>
          <w:color w:val="auto"/>
          <w:sz w:val="24"/>
          <w:highlight w:val="none"/>
        </w:rPr>
        <w:t>供应商（电子签章）：</w:t>
      </w:r>
    </w:p>
    <w:p w14:paraId="0015769D">
      <w:pPr>
        <w:spacing w:line="360" w:lineRule="auto"/>
        <w:ind w:right="-817" w:rightChars="-389" w:firstLine="2880" w:firstLineChars="1200"/>
        <w:contextualSpacing/>
        <w:rPr>
          <w:rFonts w:ascii="宋体" w:cs="仿宋_GB2312"/>
          <w:color w:val="auto"/>
          <w:sz w:val="24"/>
          <w:highlight w:val="none"/>
        </w:rPr>
      </w:pPr>
      <w:r>
        <w:rPr>
          <w:rFonts w:hint="eastAsia" w:ascii="宋体" w:hAnsi="宋体" w:cs="仿宋_GB2312"/>
          <w:color w:val="auto"/>
          <w:sz w:val="24"/>
          <w:highlight w:val="none"/>
        </w:rPr>
        <w:t>日期：  年  月  日</w:t>
      </w:r>
    </w:p>
    <w:p w14:paraId="527416A3">
      <w:pPr>
        <w:spacing w:line="360" w:lineRule="auto"/>
        <w:ind w:right="-817" w:rightChars="-389" w:firstLine="2880" w:firstLineChars="1200"/>
        <w:contextualSpacing/>
        <w:rPr>
          <w:rFonts w:ascii="宋体" w:cs="仿宋_GB2312"/>
          <w:color w:val="auto"/>
          <w:sz w:val="24"/>
          <w:highlight w:val="none"/>
        </w:rPr>
      </w:pPr>
    </w:p>
    <w:p w14:paraId="4A954E7F">
      <w:pPr>
        <w:spacing w:line="360" w:lineRule="auto"/>
        <w:ind w:right="-817" w:rightChars="-389" w:firstLine="2880" w:firstLineChars="1200"/>
        <w:contextualSpacing/>
        <w:rPr>
          <w:rFonts w:ascii="宋体" w:cs="仿宋_GB2312"/>
          <w:color w:val="auto"/>
          <w:sz w:val="24"/>
          <w:highlight w:val="none"/>
        </w:rPr>
      </w:pPr>
    </w:p>
    <w:p w14:paraId="5CF13919">
      <w:pPr>
        <w:spacing w:line="360" w:lineRule="auto"/>
        <w:ind w:right="-817" w:rightChars="-389" w:firstLine="2880" w:firstLineChars="1200"/>
        <w:contextualSpacing/>
        <w:rPr>
          <w:rFonts w:ascii="宋体" w:cs="仿宋_GB2312"/>
          <w:color w:val="auto"/>
          <w:sz w:val="24"/>
          <w:highlight w:val="none"/>
        </w:rPr>
      </w:pPr>
    </w:p>
    <w:p w14:paraId="2D28618E">
      <w:pPr>
        <w:spacing w:line="360" w:lineRule="auto"/>
        <w:ind w:right="-817" w:rightChars="-389" w:firstLine="2880" w:firstLineChars="1200"/>
        <w:contextualSpacing/>
        <w:rPr>
          <w:rFonts w:ascii="宋体" w:cs="仿宋_GB2312"/>
          <w:color w:val="auto"/>
          <w:sz w:val="24"/>
          <w:highlight w:val="none"/>
        </w:rPr>
      </w:pPr>
    </w:p>
    <w:p w14:paraId="01334687">
      <w:pPr>
        <w:spacing w:line="360" w:lineRule="auto"/>
        <w:ind w:right="-817" w:rightChars="-389" w:firstLine="2880" w:firstLineChars="1200"/>
        <w:contextualSpacing/>
        <w:rPr>
          <w:rFonts w:ascii="宋体" w:cs="仿宋_GB2312"/>
          <w:color w:val="auto"/>
          <w:sz w:val="24"/>
          <w:highlight w:val="none"/>
        </w:rPr>
      </w:pPr>
    </w:p>
    <w:p w14:paraId="27255687">
      <w:pPr>
        <w:spacing w:line="360" w:lineRule="auto"/>
        <w:ind w:right="-817" w:rightChars="-389" w:firstLine="2880" w:firstLineChars="1200"/>
        <w:contextualSpacing/>
        <w:rPr>
          <w:rFonts w:ascii="宋体" w:cs="仿宋_GB2312"/>
          <w:color w:val="auto"/>
          <w:sz w:val="24"/>
          <w:highlight w:val="none"/>
        </w:rPr>
      </w:pPr>
    </w:p>
    <w:p w14:paraId="5E753655">
      <w:pPr>
        <w:spacing w:line="360" w:lineRule="auto"/>
        <w:ind w:right="-817" w:rightChars="-389" w:firstLine="2880" w:firstLineChars="1200"/>
        <w:contextualSpacing/>
        <w:rPr>
          <w:rFonts w:ascii="宋体" w:cs="仿宋_GB2312"/>
          <w:color w:val="auto"/>
          <w:sz w:val="24"/>
          <w:highlight w:val="none"/>
        </w:rPr>
      </w:pPr>
    </w:p>
    <w:p w14:paraId="51B2568C">
      <w:pPr>
        <w:widowControl/>
        <w:jc w:val="left"/>
        <w:rPr>
          <w:rFonts w:hint="eastAsia"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41AF1E2A">
      <w:pPr>
        <w:adjustRightInd w:val="0"/>
        <w:snapToGrid w:val="0"/>
        <w:spacing w:line="520" w:lineRule="exact"/>
        <w:jc w:val="center"/>
        <w:rPr>
          <w:rFonts w:ascii="宋体"/>
          <w:b/>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t>货物配置清单格式</w:t>
      </w:r>
    </w:p>
    <w:p w14:paraId="7624FAE9">
      <w:pPr>
        <w:spacing w:line="300" w:lineRule="auto"/>
        <w:rPr>
          <w:rFonts w:ascii="宋体"/>
          <w:color w:val="auto"/>
          <w:szCs w:val="21"/>
          <w:highlight w:val="none"/>
        </w:rPr>
      </w:pPr>
    </w:p>
    <w:p w14:paraId="03BAABB1">
      <w:pPr>
        <w:spacing w:line="360" w:lineRule="auto"/>
        <w:rPr>
          <w:rFonts w:ascii="宋体" w:cs="仿宋_GB2312"/>
          <w:color w:val="auto"/>
          <w:sz w:val="24"/>
          <w:highlight w:val="none"/>
        </w:rPr>
      </w:pPr>
      <w:r>
        <w:rPr>
          <w:rFonts w:hint="eastAsia" w:ascii="宋体" w:hAnsi="宋体" w:cs="仿宋_GB2312"/>
          <w:color w:val="auto"/>
          <w:sz w:val="24"/>
          <w:highlight w:val="none"/>
        </w:rPr>
        <w:t>项目编号：</w:t>
      </w:r>
    </w:p>
    <w:p w14:paraId="2B596045">
      <w:pPr>
        <w:spacing w:line="360" w:lineRule="auto"/>
        <w:rPr>
          <w:rFonts w:ascii="宋体" w:cs="仿宋_GB2312"/>
          <w:color w:val="auto"/>
          <w:sz w:val="24"/>
          <w:highlight w:val="none"/>
        </w:rPr>
      </w:pPr>
      <w:r>
        <w:rPr>
          <w:rFonts w:hint="eastAsia" w:ascii="宋体" w:hAnsi="宋体" w:cs="仿宋_GB2312"/>
          <w:color w:val="auto"/>
          <w:sz w:val="24"/>
          <w:highlight w:val="none"/>
        </w:rPr>
        <w:t>项目名称：</w:t>
      </w:r>
    </w:p>
    <w:tbl>
      <w:tblPr>
        <w:tblStyle w:val="25"/>
        <w:tblW w:w="88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4"/>
        <w:gridCol w:w="1382"/>
        <w:gridCol w:w="1105"/>
        <w:gridCol w:w="622"/>
        <w:gridCol w:w="1505"/>
        <w:gridCol w:w="1050"/>
        <w:gridCol w:w="913"/>
        <w:gridCol w:w="1470"/>
      </w:tblGrid>
      <w:tr w14:paraId="1C1DB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6" w:hRule="atLeast"/>
          <w:jc w:val="center"/>
        </w:trPr>
        <w:tc>
          <w:tcPr>
            <w:tcW w:w="764" w:type="dxa"/>
            <w:tcBorders>
              <w:top w:val="single" w:color="auto" w:sz="4" w:space="0"/>
              <w:bottom w:val="single" w:color="auto" w:sz="4" w:space="0"/>
              <w:right w:val="single" w:color="auto" w:sz="4" w:space="0"/>
            </w:tcBorders>
            <w:vAlign w:val="center"/>
          </w:tcPr>
          <w:p w14:paraId="1ECF0F09">
            <w:pPr>
              <w:snapToGrid w:val="0"/>
              <w:spacing w:before="50" w:after="50"/>
              <w:jc w:val="center"/>
              <w:rPr>
                <w:rFonts w:ascii="宋体"/>
                <w:color w:val="auto"/>
                <w:sz w:val="24"/>
                <w:highlight w:val="none"/>
              </w:rPr>
            </w:pPr>
            <w:r>
              <w:rPr>
                <w:rFonts w:hint="eastAsia" w:ascii="宋体"/>
                <w:color w:val="auto"/>
                <w:sz w:val="24"/>
                <w:highlight w:val="none"/>
              </w:rPr>
              <w:t>项号</w:t>
            </w:r>
          </w:p>
        </w:tc>
        <w:tc>
          <w:tcPr>
            <w:tcW w:w="1382" w:type="dxa"/>
            <w:tcBorders>
              <w:top w:val="single" w:color="auto" w:sz="4" w:space="0"/>
              <w:bottom w:val="single" w:color="auto" w:sz="4" w:space="0"/>
              <w:right w:val="single" w:color="auto" w:sz="4" w:space="0"/>
            </w:tcBorders>
            <w:vAlign w:val="center"/>
          </w:tcPr>
          <w:p w14:paraId="08808931">
            <w:pPr>
              <w:snapToGrid w:val="0"/>
              <w:spacing w:before="50" w:after="50"/>
              <w:jc w:val="center"/>
              <w:rPr>
                <w:rFonts w:hint="eastAsia" w:ascii="宋体" w:hAnsi="宋体"/>
                <w:color w:val="auto"/>
                <w:sz w:val="24"/>
                <w:highlight w:val="none"/>
              </w:rPr>
            </w:pPr>
            <w:r>
              <w:rPr>
                <w:rFonts w:hint="eastAsia" w:ascii="宋体" w:hAnsi="宋体"/>
                <w:color w:val="auto"/>
                <w:sz w:val="24"/>
                <w:highlight w:val="none"/>
              </w:rPr>
              <w:t>标的的名称</w:t>
            </w:r>
          </w:p>
        </w:tc>
        <w:tc>
          <w:tcPr>
            <w:tcW w:w="1105" w:type="dxa"/>
            <w:tcBorders>
              <w:top w:val="single" w:color="auto" w:sz="4" w:space="0"/>
              <w:left w:val="single" w:color="auto" w:sz="4" w:space="0"/>
              <w:bottom w:val="single" w:color="auto" w:sz="4" w:space="0"/>
              <w:right w:val="single" w:color="auto" w:sz="4" w:space="0"/>
            </w:tcBorders>
            <w:vAlign w:val="center"/>
          </w:tcPr>
          <w:p w14:paraId="461BC3C3">
            <w:pPr>
              <w:snapToGrid w:val="0"/>
              <w:spacing w:before="50" w:after="50"/>
              <w:jc w:val="center"/>
              <w:rPr>
                <w:rFonts w:ascii="宋体"/>
                <w:color w:val="auto"/>
                <w:sz w:val="24"/>
                <w:highlight w:val="none"/>
              </w:rPr>
            </w:pPr>
            <w:r>
              <w:rPr>
                <w:rFonts w:hint="eastAsia" w:ascii="宋体" w:hAnsi="宋体"/>
                <w:color w:val="auto"/>
                <w:sz w:val="24"/>
                <w:highlight w:val="none"/>
              </w:rPr>
              <w:t>数量及单位</w:t>
            </w:r>
          </w:p>
        </w:tc>
        <w:tc>
          <w:tcPr>
            <w:tcW w:w="622" w:type="dxa"/>
            <w:tcBorders>
              <w:top w:val="single" w:color="auto" w:sz="4" w:space="0"/>
              <w:left w:val="single" w:color="auto" w:sz="4" w:space="0"/>
              <w:bottom w:val="single" w:color="auto" w:sz="4" w:space="0"/>
              <w:right w:val="single" w:color="auto" w:sz="4" w:space="0"/>
            </w:tcBorders>
            <w:vAlign w:val="center"/>
          </w:tcPr>
          <w:p w14:paraId="3231FB10">
            <w:pPr>
              <w:snapToGrid w:val="0"/>
              <w:spacing w:before="50" w:after="50"/>
              <w:jc w:val="center"/>
              <w:rPr>
                <w:rFonts w:ascii="宋体"/>
                <w:color w:val="auto"/>
                <w:sz w:val="24"/>
                <w:highlight w:val="none"/>
              </w:rPr>
            </w:pPr>
            <w:r>
              <w:rPr>
                <w:rFonts w:hint="eastAsia" w:ascii="宋体" w:hAnsi="宋体"/>
                <w:color w:val="auto"/>
                <w:sz w:val="24"/>
                <w:highlight w:val="none"/>
              </w:rPr>
              <w:t>品牌</w:t>
            </w:r>
          </w:p>
        </w:tc>
        <w:tc>
          <w:tcPr>
            <w:tcW w:w="1505" w:type="dxa"/>
            <w:tcBorders>
              <w:top w:val="single" w:color="auto" w:sz="4" w:space="0"/>
              <w:left w:val="single" w:color="auto" w:sz="4" w:space="0"/>
              <w:bottom w:val="single" w:color="auto" w:sz="4" w:space="0"/>
              <w:right w:val="single" w:color="auto" w:sz="4" w:space="0"/>
            </w:tcBorders>
            <w:vAlign w:val="center"/>
          </w:tcPr>
          <w:p w14:paraId="42796BE1">
            <w:pPr>
              <w:snapToGrid w:val="0"/>
              <w:spacing w:before="50" w:after="50"/>
              <w:jc w:val="center"/>
              <w:rPr>
                <w:rFonts w:ascii="宋体"/>
                <w:color w:val="auto"/>
                <w:sz w:val="24"/>
                <w:highlight w:val="none"/>
              </w:rPr>
            </w:pPr>
            <w:r>
              <w:rPr>
                <w:rFonts w:hint="eastAsia" w:ascii="宋体" w:hAnsi="宋体"/>
                <w:color w:val="auto"/>
                <w:sz w:val="24"/>
                <w:highlight w:val="none"/>
              </w:rPr>
              <w:t>规格型号</w:t>
            </w:r>
          </w:p>
        </w:tc>
        <w:tc>
          <w:tcPr>
            <w:tcW w:w="1050" w:type="dxa"/>
            <w:tcBorders>
              <w:top w:val="single" w:color="auto" w:sz="4" w:space="0"/>
              <w:left w:val="single" w:color="auto" w:sz="4" w:space="0"/>
              <w:bottom w:val="single" w:color="auto" w:sz="4" w:space="0"/>
              <w:right w:val="single" w:color="auto" w:sz="4" w:space="0"/>
            </w:tcBorders>
            <w:vAlign w:val="center"/>
          </w:tcPr>
          <w:p w14:paraId="472C7320">
            <w:pPr>
              <w:snapToGrid w:val="0"/>
              <w:spacing w:before="50" w:after="50"/>
              <w:jc w:val="center"/>
              <w:rPr>
                <w:rFonts w:ascii="宋体"/>
                <w:color w:val="auto"/>
                <w:sz w:val="24"/>
                <w:highlight w:val="none"/>
              </w:rPr>
            </w:pPr>
            <w:r>
              <w:rPr>
                <w:rFonts w:hint="eastAsia" w:ascii="宋体" w:hAnsi="宋体"/>
                <w:color w:val="auto"/>
                <w:sz w:val="24"/>
                <w:highlight w:val="none"/>
              </w:rPr>
              <w:t>制造商</w:t>
            </w:r>
          </w:p>
        </w:tc>
        <w:tc>
          <w:tcPr>
            <w:tcW w:w="913" w:type="dxa"/>
            <w:tcBorders>
              <w:top w:val="single" w:color="auto" w:sz="4" w:space="0"/>
              <w:left w:val="single" w:color="auto" w:sz="4" w:space="0"/>
              <w:bottom w:val="single" w:color="auto" w:sz="4" w:space="0"/>
              <w:right w:val="single" w:color="auto" w:sz="4" w:space="0"/>
            </w:tcBorders>
            <w:vAlign w:val="center"/>
          </w:tcPr>
          <w:p w14:paraId="0F496B0B">
            <w:pPr>
              <w:snapToGrid w:val="0"/>
              <w:spacing w:before="50" w:after="50"/>
              <w:jc w:val="center"/>
              <w:rPr>
                <w:rFonts w:ascii="宋体"/>
                <w:color w:val="auto"/>
                <w:sz w:val="24"/>
                <w:highlight w:val="none"/>
              </w:rPr>
            </w:pPr>
            <w:r>
              <w:rPr>
                <w:rFonts w:hint="eastAsia" w:ascii="宋体" w:hAnsi="宋体"/>
                <w:color w:val="auto"/>
                <w:sz w:val="24"/>
                <w:highlight w:val="none"/>
              </w:rPr>
              <w:t>原产地</w:t>
            </w:r>
          </w:p>
        </w:tc>
        <w:tc>
          <w:tcPr>
            <w:tcW w:w="1470" w:type="dxa"/>
            <w:tcBorders>
              <w:top w:val="single" w:color="auto" w:sz="4" w:space="0"/>
              <w:left w:val="single" w:color="auto" w:sz="4" w:space="0"/>
              <w:bottom w:val="single" w:color="auto" w:sz="4" w:space="0"/>
            </w:tcBorders>
            <w:vAlign w:val="center"/>
          </w:tcPr>
          <w:p w14:paraId="0E9C455D">
            <w:pPr>
              <w:snapToGrid w:val="0"/>
              <w:spacing w:before="50" w:after="50"/>
              <w:jc w:val="center"/>
              <w:rPr>
                <w:rFonts w:ascii="宋体"/>
                <w:color w:val="auto"/>
                <w:sz w:val="24"/>
                <w:highlight w:val="none"/>
              </w:rPr>
            </w:pPr>
            <w:r>
              <w:rPr>
                <w:rFonts w:hint="eastAsia" w:ascii="宋体" w:hAnsi="宋体"/>
                <w:color w:val="auto"/>
                <w:sz w:val="24"/>
                <w:highlight w:val="none"/>
              </w:rPr>
              <w:t>参数性能、指标及配置</w:t>
            </w:r>
          </w:p>
        </w:tc>
      </w:tr>
      <w:tr w14:paraId="7AE54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64" w:type="dxa"/>
            <w:tcBorders>
              <w:top w:val="single" w:color="auto" w:sz="4" w:space="0"/>
              <w:bottom w:val="single" w:color="auto" w:sz="4" w:space="0"/>
              <w:right w:val="single" w:color="auto" w:sz="4" w:space="0"/>
            </w:tcBorders>
            <w:vAlign w:val="center"/>
          </w:tcPr>
          <w:p w14:paraId="3AC45E13">
            <w:pPr>
              <w:snapToGrid w:val="0"/>
              <w:spacing w:before="50" w:after="50"/>
              <w:jc w:val="center"/>
              <w:rPr>
                <w:rFonts w:ascii="宋体"/>
                <w:color w:val="auto"/>
                <w:sz w:val="24"/>
                <w:highlight w:val="none"/>
              </w:rPr>
            </w:pPr>
          </w:p>
        </w:tc>
        <w:tc>
          <w:tcPr>
            <w:tcW w:w="1382" w:type="dxa"/>
            <w:tcBorders>
              <w:top w:val="single" w:color="auto" w:sz="4" w:space="0"/>
              <w:bottom w:val="single" w:color="auto" w:sz="4" w:space="0"/>
              <w:right w:val="single" w:color="auto" w:sz="4" w:space="0"/>
            </w:tcBorders>
            <w:vAlign w:val="center"/>
          </w:tcPr>
          <w:p w14:paraId="1A59C0D8">
            <w:pPr>
              <w:snapToGrid w:val="0"/>
              <w:spacing w:before="50" w:after="50"/>
              <w:jc w:val="center"/>
              <w:rPr>
                <w:rFonts w:ascii="宋体"/>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0047CBF4">
            <w:pPr>
              <w:snapToGrid w:val="0"/>
              <w:spacing w:before="50" w:after="50"/>
              <w:jc w:val="center"/>
              <w:rPr>
                <w:rFonts w:ascii="宋体"/>
                <w:color w:val="auto"/>
                <w:sz w:val="24"/>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5D680CEE">
            <w:pPr>
              <w:snapToGrid w:val="0"/>
              <w:spacing w:before="50" w:after="50"/>
              <w:jc w:val="center"/>
              <w:rPr>
                <w:rFonts w:ascii="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7BC4F6A0">
            <w:pPr>
              <w:snapToGrid w:val="0"/>
              <w:spacing w:before="50" w:after="50"/>
              <w:jc w:val="center"/>
              <w:rPr>
                <w:rFonts w:asci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E36637E">
            <w:pPr>
              <w:snapToGrid w:val="0"/>
              <w:spacing w:before="50" w:after="50"/>
              <w:jc w:val="center"/>
              <w:rPr>
                <w:rFonts w:asci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1793ACEC">
            <w:pPr>
              <w:snapToGrid w:val="0"/>
              <w:spacing w:before="50" w:after="50"/>
              <w:jc w:val="center"/>
              <w:rPr>
                <w:rFonts w:ascii="宋体"/>
                <w:color w:val="auto"/>
                <w:sz w:val="24"/>
                <w:highlight w:val="none"/>
              </w:rPr>
            </w:pPr>
          </w:p>
        </w:tc>
        <w:tc>
          <w:tcPr>
            <w:tcW w:w="1470" w:type="dxa"/>
            <w:tcBorders>
              <w:top w:val="single" w:color="auto" w:sz="4" w:space="0"/>
              <w:left w:val="single" w:color="auto" w:sz="4" w:space="0"/>
              <w:bottom w:val="single" w:color="auto" w:sz="4" w:space="0"/>
            </w:tcBorders>
            <w:vAlign w:val="center"/>
          </w:tcPr>
          <w:p w14:paraId="175D8C8A">
            <w:pPr>
              <w:snapToGrid w:val="0"/>
              <w:spacing w:before="50" w:after="50"/>
              <w:jc w:val="center"/>
              <w:rPr>
                <w:rFonts w:ascii="宋体"/>
                <w:color w:val="auto"/>
                <w:sz w:val="24"/>
                <w:highlight w:val="none"/>
              </w:rPr>
            </w:pPr>
          </w:p>
        </w:tc>
      </w:tr>
      <w:tr w14:paraId="56EF2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64" w:type="dxa"/>
            <w:tcBorders>
              <w:top w:val="single" w:color="auto" w:sz="4" w:space="0"/>
              <w:bottom w:val="single" w:color="auto" w:sz="4" w:space="0"/>
              <w:right w:val="single" w:color="auto" w:sz="4" w:space="0"/>
            </w:tcBorders>
            <w:vAlign w:val="center"/>
          </w:tcPr>
          <w:p w14:paraId="48599142">
            <w:pPr>
              <w:snapToGrid w:val="0"/>
              <w:spacing w:before="50" w:after="50"/>
              <w:jc w:val="center"/>
              <w:rPr>
                <w:rFonts w:ascii="宋体"/>
                <w:color w:val="auto"/>
                <w:sz w:val="24"/>
                <w:highlight w:val="none"/>
              </w:rPr>
            </w:pPr>
          </w:p>
        </w:tc>
        <w:tc>
          <w:tcPr>
            <w:tcW w:w="1382" w:type="dxa"/>
            <w:tcBorders>
              <w:top w:val="single" w:color="auto" w:sz="4" w:space="0"/>
              <w:bottom w:val="single" w:color="auto" w:sz="4" w:space="0"/>
              <w:right w:val="single" w:color="auto" w:sz="4" w:space="0"/>
            </w:tcBorders>
            <w:vAlign w:val="center"/>
          </w:tcPr>
          <w:p w14:paraId="2F265BD5">
            <w:pPr>
              <w:snapToGrid w:val="0"/>
              <w:spacing w:before="50" w:after="50"/>
              <w:jc w:val="center"/>
              <w:rPr>
                <w:rFonts w:ascii="宋体"/>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6D9DBF76">
            <w:pPr>
              <w:snapToGrid w:val="0"/>
              <w:spacing w:before="50" w:after="50"/>
              <w:jc w:val="center"/>
              <w:rPr>
                <w:rFonts w:ascii="宋体"/>
                <w:color w:val="auto"/>
                <w:sz w:val="24"/>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57C6FDD6">
            <w:pPr>
              <w:snapToGrid w:val="0"/>
              <w:spacing w:before="50" w:after="50"/>
              <w:jc w:val="center"/>
              <w:rPr>
                <w:rFonts w:ascii="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0804F135">
            <w:pPr>
              <w:snapToGrid w:val="0"/>
              <w:spacing w:before="50" w:after="50"/>
              <w:jc w:val="center"/>
              <w:rPr>
                <w:rFonts w:asci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40A63866">
            <w:pPr>
              <w:snapToGrid w:val="0"/>
              <w:spacing w:before="50" w:after="50"/>
              <w:jc w:val="center"/>
              <w:rPr>
                <w:rFonts w:asci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43CE7918">
            <w:pPr>
              <w:snapToGrid w:val="0"/>
              <w:spacing w:before="50" w:after="50"/>
              <w:jc w:val="center"/>
              <w:rPr>
                <w:rFonts w:ascii="宋体"/>
                <w:color w:val="auto"/>
                <w:sz w:val="24"/>
                <w:highlight w:val="none"/>
              </w:rPr>
            </w:pPr>
          </w:p>
        </w:tc>
        <w:tc>
          <w:tcPr>
            <w:tcW w:w="1470" w:type="dxa"/>
            <w:tcBorders>
              <w:top w:val="single" w:color="auto" w:sz="4" w:space="0"/>
              <w:left w:val="single" w:color="auto" w:sz="4" w:space="0"/>
              <w:bottom w:val="single" w:color="auto" w:sz="4" w:space="0"/>
            </w:tcBorders>
            <w:vAlign w:val="center"/>
          </w:tcPr>
          <w:p w14:paraId="630877F7">
            <w:pPr>
              <w:snapToGrid w:val="0"/>
              <w:spacing w:before="50" w:after="50"/>
              <w:jc w:val="center"/>
              <w:rPr>
                <w:rFonts w:ascii="宋体"/>
                <w:color w:val="auto"/>
                <w:sz w:val="24"/>
                <w:highlight w:val="none"/>
              </w:rPr>
            </w:pPr>
          </w:p>
        </w:tc>
      </w:tr>
      <w:tr w14:paraId="343D65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2" w:hRule="atLeast"/>
          <w:jc w:val="center"/>
        </w:trPr>
        <w:tc>
          <w:tcPr>
            <w:tcW w:w="764" w:type="dxa"/>
            <w:tcBorders>
              <w:top w:val="single" w:color="auto" w:sz="4" w:space="0"/>
              <w:bottom w:val="single" w:color="auto" w:sz="4" w:space="0"/>
              <w:right w:val="single" w:color="auto" w:sz="4" w:space="0"/>
            </w:tcBorders>
            <w:vAlign w:val="center"/>
          </w:tcPr>
          <w:p w14:paraId="30D00535">
            <w:pPr>
              <w:snapToGrid w:val="0"/>
              <w:spacing w:before="50" w:after="50"/>
              <w:jc w:val="center"/>
              <w:rPr>
                <w:rFonts w:ascii="宋体"/>
                <w:color w:val="auto"/>
                <w:sz w:val="24"/>
                <w:highlight w:val="none"/>
              </w:rPr>
            </w:pPr>
          </w:p>
        </w:tc>
        <w:tc>
          <w:tcPr>
            <w:tcW w:w="1382" w:type="dxa"/>
            <w:tcBorders>
              <w:top w:val="single" w:color="auto" w:sz="4" w:space="0"/>
              <w:bottom w:val="single" w:color="auto" w:sz="4" w:space="0"/>
              <w:right w:val="single" w:color="auto" w:sz="4" w:space="0"/>
            </w:tcBorders>
            <w:vAlign w:val="center"/>
          </w:tcPr>
          <w:p w14:paraId="376495CD">
            <w:pPr>
              <w:snapToGrid w:val="0"/>
              <w:spacing w:before="50" w:after="50"/>
              <w:jc w:val="center"/>
              <w:rPr>
                <w:rFonts w:ascii="宋体"/>
                <w:color w:val="auto"/>
                <w:sz w:val="24"/>
                <w:highlight w:val="none"/>
              </w:rPr>
            </w:pPr>
          </w:p>
        </w:tc>
        <w:tc>
          <w:tcPr>
            <w:tcW w:w="1105" w:type="dxa"/>
            <w:tcBorders>
              <w:top w:val="single" w:color="auto" w:sz="4" w:space="0"/>
              <w:left w:val="single" w:color="auto" w:sz="4" w:space="0"/>
              <w:bottom w:val="single" w:color="auto" w:sz="4" w:space="0"/>
              <w:right w:val="single" w:color="auto" w:sz="4" w:space="0"/>
            </w:tcBorders>
            <w:vAlign w:val="center"/>
          </w:tcPr>
          <w:p w14:paraId="28D3A141">
            <w:pPr>
              <w:snapToGrid w:val="0"/>
              <w:spacing w:before="50" w:after="50"/>
              <w:jc w:val="center"/>
              <w:rPr>
                <w:rFonts w:ascii="宋体"/>
                <w:color w:val="auto"/>
                <w:sz w:val="24"/>
                <w:highlight w:val="none"/>
              </w:rPr>
            </w:pPr>
          </w:p>
        </w:tc>
        <w:tc>
          <w:tcPr>
            <w:tcW w:w="622" w:type="dxa"/>
            <w:tcBorders>
              <w:top w:val="single" w:color="auto" w:sz="4" w:space="0"/>
              <w:left w:val="single" w:color="auto" w:sz="4" w:space="0"/>
              <w:bottom w:val="single" w:color="auto" w:sz="4" w:space="0"/>
              <w:right w:val="single" w:color="auto" w:sz="4" w:space="0"/>
            </w:tcBorders>
            <w:vAlign w:val="center"/>
          </w:tcPr>
          <w:p w14:paraId="59DE14E7">
            <w:pPr>
              <w:snapToGrid w:val="0"/>
              <w:spacing w:before="50" w:after="50"/>
              <w:jc w:val="center"/>
              <w:rPr>
                <w:rFonts w:ascii="宋体"/>
                <w:color w:val="auto"/>
                <w:sz w:val="24"/>
                <w:highlight w:val="none"/>
              </w:rPr>
            </w:pPr>
          </w:p>
        </w:tc>
        <w:tc>
          <w:tcPr>
            <w:tcW w:w="1505" w:type="dxa"/>
            <w:tcBorders>
              <w:top w:val="single" w:color="auto" w:sz="4" w:space="0"/>
              <w:left w:val="single" w:color="auto" w:sz="4" w:space="0"/>
              <w:bottom w:val="single" w:color="auto" w:sz="4" w:space="0"/>
              <w:right w:val="single" w:color="auto" w:sz="4" w:space="0"/>
            </w:tcBorders>
            <w:vAlign w:val="center"/>
          </w:tcPr>
          <w:p w14:paraId="37D4B70A">
            <w:pPr>
              <w:snapToGrid w:val="0"/>
              <w:spacing w:before="50" w:after="50"/>
              <w:jc w:val="center"/>
              <w:rPr>
                <w:rFonts w:ascii="宋体"/>
                <w:color w:val="auto"/>
                <w:sz w:val="24"/>
                <w:highlight w:val="none"/>
              </w:rPr>
            </w:pPr>
          </w:p>
        </w:tc>
        <w:tc>
          <w:tcPr>
            <w:tcW w:w="1050" w:type="dxa"/>
            <w:tcBorders>
              <w:top w:val="single" w:color="auto" w:sz="4" w:space="0"/>
              <w:left w:val="single" w:color="auto" w:sz="4" w:space="0"/>
              <w:bottom w:val="single" w:color="auto" w:sz="4" w:space="0"/>
              <w:right w:val="single" w:color="auto" w:sz="4" w:space="0"/>
            </w:tcBorders>
            <w:vAlign w:val="center"/>
          </w:tcPr>
          <w:p w14:paraId="767EBB4B">
            <w:pPr>
              <w:snapToGrid w:val="0"/>
              <w:spacing w:before="50" w:after="50"/>
              <w:jc w:val="center"/>
              <w:rPr>
                <w:rFonts w:ascii="宋体"/>
                <w:color w:val="auto"/>
                <w:sz w:val="24"/>
                <w:highlight w:val="none"/>
              </w:rPr>
            </w:pPr>
          </w:p>
        </w:tc>
        <w:tc>
          <w:tcPr>
            <w:tcW w:w="913" w:type="dxa"/>
            <w:tcBorders>
              <w:top w:val="single" w:color="auto" w:sz="4" w:space="0"/>
              <w:left w:val="single" w:color="auto" w:sz="4" w:space="0"/>
              <w:bottom w:val="single" w:color="auto" w:sz="4" w:space="0"/>
              <w:right w:val="single" w:color="auto" w:sz="4" w:space="0"/>
            </w:tcBorders>
            <w:vAlign w:val="center"/>
          </w:tcPr>
          <w:p w14:paraId="76E42314">
            <w:pPr>
              <w:snapToGrid w:val="0"/>
              <w:spacing w:before="50" w:after="50"/>
              <w:jc w:val="center"/>
              <w:rPr>
                <w:rFonts w:ascii="宋体"/>
                <w:color w:val="auto"/>
                <w:sz w:val="24"/>
                <w:highlight w:val="none"/>
              </w:rPr>
            </w:pPr>
          </w:p>
        </w:tc>
        <w:tc>
          <w:tcPr>
            <w:tcW w:w="1470" w:type="dxa"/>
            <w:tcBorders>
              <w:top w:val="single" w:color="auto" w:sz="4" w:space="0"/>
              <w:left w:val="single" w:color="auto" w:sz="4" w:space="0"/>
              <w:bottom w:val="single" w:color="auto" w:sz="4" w:space="0"/>
            </w:tcBorders>
            <w:vAlign w:val="center"/>
          </w:tcPr>
          <w:p w14:paraId="2922B9C4">
            <w:pPr>
              <w:snapToGrid w:val="0"/>
              <w:spacing w:before="50" w:after="50"/>
              <w:jc w:val="center"/>
              <w:rPr>
                <w:rFonts w:ascii="宋体"/>
                <w:color w:val="auto"/>
                <w:sz w:val="24"/>
                <w:highlight w:val="none"/>
              </w:rPr>
            </w:pPr>
          </w:p>
        </w:tc>
      </w:tr>
    </w:tbl>
    <w:p w14:paraId="32717C27">
      <w:pPr>
        <w:spacing w:line="360" w:lineRule="auto"/>
        <w:contextualSpacing/>
        <w:rPr>
          <w:rFonts w:ascii="宋体"/>
          <w:b/>
          <w:color w:val="auto"/>
          <w:sz w:val="24"/>
          <w:highlight w:val="none"/>
        </w:rPr>
      </w:pPr>
      <w:r>
        <w:rPr>
          <w:rFonts w:hint="eastAsia" w:ascii="宋体" w:hAnsi="宋体"/>
          <w:b/>
          <w:color w:val="auto"/>
          <w:sz w:val="24"/>
          <w:highlight w:val="none"/>
        </w:rPr>
        <w:t>备注：</w:t>
      </w:r>
    </w:p>
    <w:p w14:paraId="46B4BEC2">
      <w:pPr>
        <w:tabs>
          <w:tab w:val="left" w:pos="1065"/>
        </w:tabs>
        <w:adjustRightInd w:val="0"/>
        <w:spacing w:line="360" w:lineRule="auto"/>
        <w:contextualSpacing/>
        <w:rPr>
          <w:rFonts w:ascii="宋体" w:cs="仿宋_GB2312"/>
          <w:color w:val="auto"/>
          <w:sz w:val="24"/>
          <w:highlight w:val="none"/>
        </w:rPr>
      </w:pPr>
      <w:r>
        <w:rPr>
          <w:rFonts w:hint="eastAsia" w:ascii="宋体" w:hAnsi="宋体"/>
          <w:b/>
          <w:bCs/>
          <w:color w:val="auto"/>
          <w:sz w:val="24"/>
          <w:highlight w:val="none"/>
        </w:rPr>
        <w:t>以上货物配置清单中“标的的名称、数量及单位、品牌、规格型号、制造商、原产地、参数性能、指标及配置”应如实填写完整</w:t>
      </w:r>
      <w:r>
        <w:rPr>
          <w:rFonts w:hint="eastAsia" w:ascii="宋体" w:hAnsi="宋体"/>
          <w:b/>
          <w:color w:val="auto"/>
          <w:sz w:val="24"/>
          <w:highlight w:val="none"/>
        </w:rPr>
        <w:t>。</w:t>
      </w:r>
      <w:r>
        <w:rPr>
          <w:rFonts w:ascii="宋体" w:cs="仿宋_GB2312"/>
          <w:color w:val="auto"/>
          <w:sz w:val="24"/>
          <w:highlight w:val="none"/>
        </w:rPr>
        <w:tab/>
      </w:r>
    </w:p>
    <w:p w14:paraId="1F06E31C">
      <w:pPr>
        <w:adjustRightInd w:val="0"/>
        <w:spacing w:line="360" w:lineRule="auto"/>
        <w:contextualSpacing/>
        <w:jc w:val="left"/>
        <w:rPr>
          <w:rFonts w:ascii="宋体" w:cs="仿宋_GB2312"/>
          <w:color w:val="auto"/>
          <w:sz w:val="24"/>
          <w:highlight w:val="none"/>
        </w:rPr>
      </w:pPr>
    </w:p>
    <w:p w14:paraId="66435959">
      <w:pPr>
        <w:adjustRightInd w:val="0"/>
        <w:spacing w:line="360" w:lineRule="auto"/>
        <w:contextualSpacing/>
        <w:jc w:val="left"/>
        <w:rPr>
          <w:rFonts w:ascii="宋体" w:cs="仿宋_GB2312"/>
          <w:color w:val="auto"/>
          <w:sz w:val="24"/>
          <w:highlight w:val="none"/>
        </w:rPr>
      </w:pPr>
    </w:p>
    <w:p w14:paraId="40C7A3AB">
      <w:pPr>
        <w:adjustRightInd w:val="0"/>
        <w:spacing w:line="360" w:lineRule="auto"/>
        <w:contextualSpacing/>
        <w:jc w:val="left"/>
        <w:rPr>
          <w:rFonts w:ascii="宋体" w:cs="仿宋_GB2312"/>
          <w:color w:val="auto"/>
          <w:sz w:val="24"/>
          <w:highlight w:val="none"/>
        </w:rPr>
      </w:pPr>
    </w:p>
    <w:p w14:paraId="45DEA605">
      <w:pPr>
        <w:spacing w:line="360" w:lineRule="auto"/>
        <w:ind w:right="-817" w:rightChars="-389"/>
        <w:contextualSpacing/>
        <w:jc w:val="center"/>
        <w:rPr>
          <w:rFonts w:ascii="宋体" w:cs="仿宋_GB2312"/>
          <w:color w:val="auto"/>
          <w:sz w:val="24"/>
          <w:highlight w:val="none"/>
        </w:rPr>
      </w:pPr>
      <w:r>
        <w:rPr>
          <w:rFonts w:hint="eastAsia" w:ascii="宋体" w:hAnsi="宋体" w:cs="仿宋_GB2312"/>
          <w:color w:val="auto"/>
          <w:sz w:val="24"/>
          <w:highlight w:val="none"/>
        </w:rPr>
        <w:t>法定代表人或者委托代理人（签字或者电子签名）：</w:t>
      </w:r>
    </w:p>
    <w:p w14:paraId="0993F1ED">
      <w:pPr>
        <w:spacing w:line="360" w:lineRule="auto"/>
        <w:ind w:right="-817" w:rightChars="-389" w:firstLine="2880" w:firstLineChars="1200"/>
        <w:contextualSpacing/>
        <w:rPr>
          <w:rFonts w:ascii="宋体" w:cs="仿宋_GB2312"/>
          <w:color w:val="auto"/>
          <w:sz w:val="24"/>
          <w:highlight w:val="none"/>
        </w:rPr>
      </w:pPr>
      <w:r>
        <w:rPr>
          <w:rFonts w:hint="eastAsia" w:ascii="宋体" w:hAnsi="宋体" w:cs="仿宋_GB2312"/>
          <w:color w:val="auto"/>
          <w:sz w:val="24"/>
          <w:highlight w:val="none"/>
        </w:rPr>
        <w:t>供应商（电子签章）：</w:t>
      </w:r>
    </w:p>
    <w:p w14:paraId="0BB4B7FD">
      <w:pPr>
        <w:spacing w:line="360" w:lineRule="auto"/>
        <w:ind w:right="-817" w:rightChars="-389" w:firstLine="2880" w:firstLineChars="1200"/>
        <w:contextualSpacing/>
        <w:rPr>
          <w:rFonts w:ascii="宋体" w:cs="仿宋_GB2312"/>
          <w:color w:val="auto"/>
          <w:sz w:val="24"/>
          <w:highlight w:val="none"/>
        </w:rPr>
      </w:pPr>
      <w:r>
        <w:rPr>
          <w:rFonts w:hint="eastAsia" w:ascii="宋体" w:hAnsi="宋体" w:cs="仿宋_GB2312"/>
          <w:color w:val="auto"/>
          <w:sz w:val="24"/>
          <w:highlight w:val="none"/>
        </w:rPr>
        <w:t>日期：    年  月  日</w:t>
      </w:r>
    </w:p>
    <w:p w14:paraId="2F0322CD">
      <w:pPr>
        <w:spacing w:line="360" w:lineRule="auto"/>
        <w:ind w:right="-817" w:rightChars="-389" w:firstLine="2880" w:firstLineChars="1200"/>
        <w:contextualSpacing/>
        <w:rPr>
          <w:rFonts w:ascii="宋体" w:cs="仿宋_GB2312"/>
          <w:color w:val="auto"/>
          <w:sz w:val="24"/>
          <w:highlight w:val="none"/>
        </w:rPr>
      </w:pPr>
    </w:p>
    <w:p w14:paraId="265AEDAA">
      <w:pPr>
        <w:spacing w:line="360" w:lineRule="auto"/>
        <w:ind w:right="-817" w:rightChars="-389" w:firstLine="2880" w:firstLineChars="1200"/>
        <w:contextualSpacing/>
        <w:rPr>
          <w:rFonts w:ascii="宋体" w:cs="仿宋_GB2312"/>
          <w:color w:val="auto"/>
          <w:sz w:val="24"/>
          <w:highlight w:val="none"/>
        </w:rPr>
      </w:pPr>
    </w:p>
    <w:p w14:paraId="095C4869">
      <w:pPr>
        <w:spacing w:line="360" w:lineRule="auto"/>
        <w:ind w:right="-817" w:rightChars="-389" w:firstLine="2880" w:firstLineChars="1200"/>
        <w:contextualSpacing/>
        <w:rPr>
          <w:rFonts w:ascii="宋体" w:cs="仿宋_GB2312"/>
          <w:color w:val="auto"/>
          <w:sz w:val="24"/>
          <w:highlight w:val="none"/>
        </w:rPr>
      </w:pPr>
    </w:p>
    <w:p w14:paraId="345299B8">
      <w:pPr>
        <w:spacing w:line="360" w:lineRule="auto"/>
        <w:ind w:right="-817" w:rightChars="-389" w:firstLine="2880" w:firstLineChars="1200"/>
        <w:contextualSpacing/>
        <w:rPr>
          <w:rFonts w:ascii="宋体" w:cs="仿宋_GB2312"/>
          <w:color w:val="auto"/>
          <w:sz w:val="24"/>
          <w:highlight w:val="none"/>
        </w:rPr>
      </w:pPr>
    </w:p>
    <w:p w14:paraId="5FDFFCD0">
      <w:pPr>
        <w:spacing w:line="360" w:lineRule="auto"/>
        <w:ind w:right="-817" w:rightChars="-389" w:firstLine="2880" w:firstLineChars="1200"/>
        <w:contextualSpacing/>
        <w:rPr>
          <w:rFonts w:ascii="宋体" w:cs="仿宋_GB2312"/>
          <w:color w:val="auto"/>
          <w:sz w:val="24"/>
          <w:highlight w:val="none"/>
        </w:rPr>
      </w:pPr>
    </w:p>
    <w:p w14:paraId="2EF290A7">
      <w:pPr>
        <w:spacing w:line="360" w:lineRule="auto"/>
        <w:ind w:right="-817" w:rightChars="-389" w:firstLine="2880" w:firstLineChars="1200"/>
        <w:contextualSpacing/>
        <w:rPr>
          <w:rFonts w:ascii="宋体" w:cs="仿宋_GB2312"/>
          <w:color w:val="auto"/>
          <w:sz w:val="24"/>
          <w:highlight w:val="none"/>
        </w:rPr>
      </w:pPr>
    </w:p>
    <w:p w14:paraId="2AA42F62">
      <w:pPr>
        <w:spacing w:line="360" w:lineRule="auto"/>
        <w:ind w:right="-817" w:rightChars="-389" w:firstLine="3840" w:firstLineChars="1200"/>
        <w:contextualSpacing/>
        <w:rPr>
          <w:rFonts w:hint="eastAsia" w:ascii="仿宋_GB2312" w:hAnsi="仿宋_GB2312" w:eastAsia="仿宋_GB2312" w:cs="仿宋_GB2312"/>
          <w:color w:val="auto"/>
          <w:sz w:val="32"/>
          <w:szCs w:val="32"/>
          <w:highlight w:val="none"/>
        </w:rPr>
      </w:pPr>
    </w:p>
    <w:p w14:paraId="77BA9ED6">
      <w:pPr>
        <w:spacing w:line="300" w:lineRule="auto"/>
        <w:rPr>
          <w:rFonts w:ascii="宋体"/>
          <w:color w:val="auto"/>
          <w:szCs w:val="21"/>
          <w:highlight w:val="none"/>
        </w:rPr>
      </w:pPr>
      <w:r>
        <w:rPr>
          <w:rFonts w:ascii="宋体"/>
          <w:b/>
          <w:bCs/>
          <w:color w:val="auto"/>
          <w:sz w:val="24"/>
          <w:highlight w:val="none"/>
        </w:rPr>
        <w:br w:type="page"/>
      </w:r>
      <w:r>
        <w:rPr>
          <w:rFonts w:hint="eastAsia" w:ascii="宋体" w:hAnsi="宋体"/>
          <w:b/>
          <w:bCs/>
          <w:color w:val="auto"/>
          <w:sz w:val="24"/>
          <w:highlight w:val="none"/>
        </w:rPr>
        <w:t>其他文书、文件格式</w:t>
      </w:r>
    </w:p>
    <w:p w14:paraId="4D6C6895">
      <w:pPr>
        <w:adjustRightInd w:val="0"/>
        <w:snapToGrid w:val="0"/>
        <w:spacing w:line="300" w:lineRule="auto"/>
        <w:jc w:val="center"/>
        <w:rPr>
          <w:rFonts w:hint="eastAsia" w:ascii="方正小标宋简体" w:hAnsi="方正小标宋简体" w:eastAsia="方正小标宋简体" w:cs="方正小标宋简体"/>
          <w:bCs/>
          <w:color w:val="auto"/>
          <w:sz w:val="44"/>
          <w:szCs w:val="44"/>
          <w:highlight w:val="none"/>
        </w:rPr>
      </w:pPr>
      <w:bookmarkStart w:id="79" w:name="_Toc71365383"/>
      <w:bookmarkStart w:id="80" w:name="_Toc71366061"/>
      <w:r>
        <w:rPr>
          <w:rFonts w:hint="eastAsia" w:ascii="方正小标宋简体" w:hAnsi="方正小标宋简体" w:eastAsia="方正小标宋简体" w:cs="方正小标宋简体"/>
          <w:bCs/>
          <w:color w:val="auto"/>
          <w:sz w:val="44"/>
          <w:szCs w:val="44"/>
          <w:highlight w:val="none"/>
        </w:rPr>
        <w:t>中小企业声明函（货物）</w:t>
      </w:r>
      <w:bookmarkEnd w:id="79"/>
      <w:bookmarkEnd w:id="80"/>
    </w:p>
    <w:p w14:paraId="52F50B3F">
      <w:pPr>
        <w:rPr>
          <w:color w:val="auto"/>
          <w:highlight w:val="none"/>
        </w:rPr>
      </w:pPr>
    </w:p>
    <w:p w14:paraId="1DBD580A">
      <w:pPr>
        <w:pStyle w:val="11"/>
        <w:spacing w:after="0" w:line="360" w:lineRule="auto"/>
        <w:ind w:left="-426" w:right="142" w:firstLine="640"/>
        <w:contextualSpacing/>
        <w:rPr>
          <w:rFonts w:ascii="宋体"/>
          <w:color w:val="auto"/>
          <w:sz w:val="24"/>
          <w:highlight w:val="none"/>
        </w:rPr>
      </w:pPr>
      <w:r>
        <w:rPr>
          <w:rFonts w:hint="eastAsia" w:ascii="宋体" w:hAnsi="宋体"/>
          <w:color w:val="auto"/>
          <w:sz w:val="24"/>
          <w:highlight w:val="none"/>
        </w:rPr>
        <w:t>本公司（联合体）郑重声明，根据《政府采购促进中小企业发展管理办法》（财库﹝</w:t>
      </w:r>
      <w:r>
        <w:rPr>
          <w:rFonts w:ascii="宋体" w:hAnsi="宋体"/>
          <w:color w:val="auto"/>
          <w:sz w:val="24"/>
          <w:highlight w:val="none"/>
        </w:rPr>
        <w:t>2020</w:t>
      </w:r>
      <w:r>
        <w:rPr>
          <w:rFonts w:hint="eastAsia" w:ascii="宋体" w:hAnsi="宋体"/>
          <w:color w:val="auto"/>
          <w:sz w:val="24"/>
          <w:highlight w:val="none"/>
        </w:rPr>
        <w:t>﹞</w:t>
      </w:r>
      <w:r>
        <w:rPr>
          <w:rFonts w:ascii="宋体" w:hAnsi="宋体"/>
          <w:color w:val="auto"/>
          <w:sz w:val="24"/>
          <w:highlight w:val="none"/>
        </w:rPr>
        <w:t>46</w:t>
      </w:r>
      <w:r>
        <w:rPr>
          <w:rFonts w:hint="eastAsia" w:ascii="宋体" w:hAnsi="宋体"/>
          <w:color w:val="auto"/>
          <w:sz w:val="24"/>
          <w:highlight w:val="none"/>
        </w:rPr>
        <w:t>号）的规定，本公司（联合体）参加</w:t>
      </w:r>
      <w:r>
        <w:rPr>
          <w:rFonts w:hint="eastAsia" w:ascii="宋体" w:hAnsi="宋体"/>
          <w:color w:val="auto"/>
          <w:sz w:val="24"/>
          <w:highlight w:val="none"/>
          <w:u w:val="single"/>
        </w:rPr>
        <w:t>（单位名称）</w:t>
      </w:r>
      <w:r>
        <w:rPr>
          <w:rFonts w:hint="eastAsia" w:ascii="宋体" w:hAnsi="宋体"/>
          <w:color w:val="auto"/>
          <w:sz w:val="24"/>
          <w:highlight w:val="none"/>
        </w:rPr>
        <w:t>的</w:t>
      </w:r>
      <w:r>
        <w:rPr>
          <w:rFonts w:hint="eastAsia" w:ascii="宋体" w:hAnsi="宋体"/>
          <w:color w:val="auto"/>
          <w:sz w:val="24"/>
          <w:highlight w:val="none"/>
          <w:u w:val="single"/>
        </w:rPr>
        <w:t>（项目名称）</w:t>
      </w:r>
      <w:r>
        <w:rPr>
          <w:rFonts w:hint="eastAsia" w:ascii="宋体" w:hAnsi="宋体"/>
          <w:color w:val="auto"/>
          <w:sz w:val="24"/>
          <w:highlight w:val="none"/>
        </w:rPr>
        <w:t>采购活动，提供的货物全部由符合政策要求的中小企业制造。相关企业（含联合体中的中小企业、签订分包意向协议的中小企业）的具体情况如下：</w:t>
      </w:r>
    </w:p>
    <w:p w14:paraId="03E73D8B">
      <w:pPr>
        <w:tabs>
          <w:tab w:val="left" w:pos="1384"/>
          <w:tab w:val="left" w:pos="4562"/>
          <w:tab w:val="left" w:pos="6803"/>
        </w:tabs>
        <w:spacing w:line="360" w:lineRule="auto"/>
        <w:ind w:right="-58" w:firstLine="480" w:firstLineChars="200"/>
        <w:contextualSpacing/>
        <w:rPr>
          <w:rFonts w:ascii="宋体"/>
          <w:color w:val="auto"/>
          <w:sz w:val="24"/>
          <w:highlight w:val="none"/>
        </w:rPr>
      </w:pPr>
      <w:r>
        <w:rPr>
          <w:rFonts w:hint="eastAsia" w:ascii="宋体" w:hAnsi="宋体"/>
          <w:color w:val="auto"/>
          <w:sz w:val="24"/>
          <w:highlight w:val="none"/>
          <w:u w:val="single"/>
        </w:rPr>
        <w:t>1.（标的名称）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 xml:space="preserve">； </w:t>
      </w:r>
    </w:p>
    <w:p w14:paraId="5930C307">
      <w:pPr>
        <w:tabs>
          <w:tab w:val="left" w:pos="1384"/>
          <w:tab w:val="left" w:pos="4562"/>
          <w:tab w:val="left" w:pos="6803"/>
        </w:tabs>
        <w:spacing w:line="360" w:lineRule="auto"/>
        <w:ind w:right="-58" w:firstLine="480" w:firstLineChars="200"/>
        <w:contextualSpacing/>
        <w:rPr>
          <w:rFonts w:ascii="宋体"/>
          <w:color w:val="auto"/>
          <w:sz w:val="24"/>
          <w:highlight w:val="none"/>
        </w:rPr>
      </w:pPr>
      <w:r>
        <w:rPr>
          <w:rFonts w:hint="eastAsia" w:ascii="宋体" w:hAnsi="宋体"/>
          <w:color w:val="auto"/>
          <w:sz w:val="24"/>
          <w:highlight w:val="none"/>
          <w:u w:val="single"/>
        </w:rPr>
        <w:t>2.（标的名称）</w:t>
      </w:r>
      <w:r>
        <w:rPr>
          <w:rFonts w:hint="eastAsia" w:ascii="宋体" w:hAnsi="宋体"/>
          <w:color w:val="auto"/>
          <w:sz w:val="24"/>
          <w:highlight w:val="none"/>
        </w:rPr>
        <w:t>，属于</w:t>
      </w:r>
      <w:r>
        <w:rPr>
          <w:rFonts w:hint="eastAsia" w:ascii="宋体" w:hAnsi="宋体"/>
          <w:color w:val="auto"/>
          <w:sz w:val="24"/>
          <w:highlight w:val="none"/>
          <w:u w:val="single"/>
        </w:rPr>
        <w:t>（采购文件中明确的所属行业）</w:t>
      </w:r>
      <w:r>
        <w:rPr>
          <w:rFonts w:hint="eastAsia" w:ascii="宋体" w:hAnsi="宋体"/>
          <w:color w:val="auto"/>
          <w:sz w:val="24"/>
          <w:highlight w:val="none"/>
        </w:rPr>
        <w:t>行业；制造商为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，从业人员人，营业收入为万元，资产总额为万元，属于</w:t>
      </w:r>
      <w:r>
        <w:rPr>
          <w:rFonts w:hint="eastAsia" w:ascii="宋体" w:hAnsi="宋体"/>
          <w:color w:val="auto"/>
          <w:sz w:val="24"/>
          <w:highlight w:val="none"/>
          <w:u w:val="single"/>
        </w:rPr>
        <w:t>（中型企业、小型企业、微型企业）</w:t>
      </w:r>
      <w:r>
        <w:rPr>
          <w:rFonts w:hint="eastAsia" w:ascii="宋体" w:hAnsi="宋体"/>
          <w:color w:val="auto"/>
          <w:sz w:val="24"/>
          <w:highlight w:val="none"/>
        </w:rPr>
        <w:t>；</w:t>
      </w:r>
    </w:p>
    <w:p w14:paraId="3EB6D2F6">
      <w:pPr>
        <w:pStyle w:val="11"/>
        <w:spacing w:after="0" w:line="360" w:lineRule="auto"/>
        <w:ind w:left="142" w:right="142"/>
        <w:contextualSpacing/>
        <w:rPr>
          <w:rFonts w:ascii="宋体"/>
          <w:color w:val="auto"/>
          <w:sz w:val="24"/>
          <w:highlight w:val="none"/>
        </w:rPr>
      </w:pPr>
      <w:r>
        <w:rPr>
          <w:rFonts w:hint="eastAsia" w:ascii="宋体"/>
          <w:color w:val="auto"/>
          <w:sz w:val="24"/>
          <w:highlight w:val="none"/>
        </w:rPr>
        <w:t>……</w:t>
      </w:r>
    </w:p>
    <w:p w14:paraId="06C80508">
      <w:pPr>
        <w:pStyle w:val="11"/>
        <w:spacing w:after="0" w:line="360" w:lineRule="auto"/>
        <w:ind w:left="-405" w:leftChars="-193" w:right="142" w:firstLine="453" w:firstLineChars="189"/>
        <w:contextualSpacing/>
        <w:rPr>
          <w:rFonts w:ascii="宋体"/>
          <w:color w:val="auto"/>
          <w:sz w:val="24"/>
          <w:highlight w:val="none"/>
        </w:rPr>
      </w:pPr>
      <w:r>
        <w:rPr>
          <w:rFonts w:hint="eastAsia" w:ascii="宋体" w:hAnsi="宋体"/>
          <w:color w:val="auto"/>
          <w:sz w:val="24"/>
          <w:highlight w:val="none"/>
        </w:rPr>
        <w:t>以上企业，不属于大企业的分支机构，不存在控股股东为大企业的情形，也不存在与大企业的负责人为同一人的情形。</w:t>
      </w:r>
    </w:p>
    <w:p w14:paraId="4275B955">
      <w:pPr>
        <w:pStyle w:val="11"/>
        <w:spacing w:after="0" w:line="360" w:lineRule="auto"/>
        <w:ind w:left="-426" w:right="142" w:firstLine="567"/>
        <w:contextualSpacing/>
        <w:rPr>
          <w:rFonts w:ascii="宋体"/>
          <w:color w:val="auto"/>
          <w:sz w:val="24"/>
          <w:highlight w:val="none"/>
        </w:rPr>
      </w:pPr>
      <w:r>
        <w:rPr>
          <w:rFonts w:hint="eastAsia" w:ascii="宋体" w:hAnsi="宋体"/>
          <w:color w:val="auto"/>
          <w:sz w:val="24"/>
          <w:highlight w:val="none"/>
        </w:rPr>
        <w:t>本企业对上述声明内容的真实性负责。如有虚假，将依法承担相应责任。</w:t>
      </w:r>
    </w:p>
    <w:p w14:paraId="3953B8E9">
      <w:pPr>
        <w:pStyle w:val="11"/>
        <w:spacing w:after="0" w:line="360" w:lineRule="auto"/>
        <w:ind w:left="3960" w:right="1808"/>
        <w:contextualSpacing/>
        <w:rPr>
          <w:rFonts w:ascii="宋体"/>
          <w:color w:val="auto"/>
          <w:sz w:val="24"/>
          <w:highlight w:val="none"/>
        </w:rPr>
      </w:pPr>
    </w:p>
    <w:p w14:paraId="5BE9A3FA">
      <w:pPr>
        <w:pStyle w:val="11"/>
        <w:spacing w:after="0" w:line="360" w:lineRule="auto"/>
        <w:ind w:left="3960" w:right="1808"/>
        <w:contextualSpacing/>
        <w:rPr>
          <w:rFonts w:ascii="宋体"/>
          <w:color w:val="auto"/>
          <w:sz w:val="24"/>
          <w:highlight w:val="none"/>
        </w:rPr>
      </w:pPr>
      <w:r>
        <w:rPr>
          <w:rFonts w:hint="eastAsia" w:ascii="宋体" w:hAnsi="宋体"/>
          <w:color w:val="auto"/>
          <w:sz w:val="24"/>
          <w:highlight w:val="none"/>
        </w:rPr>
        <w:t>企业名称（电子签章）：</w:t>
      </w:r>
    </w:p>
    <w:p w14:paraId="2D4485CA">
      <w:pPr>
        <w:pStyle w:val="11"/>
        <w:spacing w:after="0" w:line="360" w:lineRule="auto"/>
        <w:ind w:left="3960" w:right="1808"/>
        <w:contextualSpacing/>
        <w:rPr>
          <w:rFonts w:ascii="宋体"/>
          <w:color w:val="auto"/>
          <w:sz w:val="24"/>
          <w:highlight w:val="none"/>
        </w:rPr>
      </w:pPr>
      <w:r>
        <w:rPr>
          <w:rFonts w:hint="eastAsia" w:ascii="宋体" w:hAnsi="宋体"/>
          <w:color w:val="auto"/>
          <w:sz w:val="24"/>
          <w:highlight w:val="none"/>
        </w:rPr>
        <w:t>日期：</w:t>
      </w:r>
    </w:p>
    <w:p w14:paraId="38CD534D">
      <w:pPr>
        <w:pStyle w:val="11"/>
        <w:spacing w:after="0" w:line="360" w:lineRule="auto"/>
        <w:ind w:left="3960" w:right="1808"/>
        <w:contextualSpacing/>
        <w:rPr>
          <w:color w:val="auto"/>
          <w:highlight w:val="none"/>
        </w:rPr>
      </w:pPr>
    </w:p>
    <w:p w14:paraId="38017E4D">
      <w:pPr>
        <w:spacing w:line="360" w:lineRule="auto"/>
        <w:contextualSpacing/>
        <w:jc w:val="left"/>
        <w:rPr>
          <w:rFonts w:ascii="宋体" w:cs="仿宋_GB2312"/>
          <w:color w:val="auto"/>
          <w:sz w:val="24"/>
          <w:highlight w:val="none"/>
        </w:rPr>
      </w:pPr>
      <w:r>
        <w:rPr>
          <w:rFonts w:hint="eastAsia" w:ascii="宋体" w:hAnsi="宋体" w:cs="仿宋_GB2312"/>
          <w:color w:val="auto"/>
          <w:sz w:val="24"/>
          <w:highlight w:val="none"/>
        </w:rPr>
        <w:t>注：享受《政府采购促进中小企业发展管理办法》（财库〔</w:t>
      </w:r>
      <w:r>
        <w:rPr>
          <w:rFonts w:ascii="宋体" w:hAnsi="宋体" w:cs="仿宋_GB2312"/>
          <w:color w:val="auto"/>
          <w:sz w:val="24"/>
          <w:highlight w:val="none"/>
        </w:rPr>
        <w:t>2020</w:t>
      </w:r>
      <w:r>
        <w:rPr>
          <w:rFonts w:hint="eastAsia" w:ascii="宋体" w:hAnsi="宋体" w:cs="仿宋_GB2312"/>
          <w:color w:val="auto"/>
          <w:sz w:val="24"/>
          <w:highlight w:val="none"/>
        </w:rPr>
        <w:t>〕</w:t>
      </w:r>
      <w:r>
        <w:rPr>
          <w:rFonts w:ascii="宋体" w:hAnsi="宋体" w:cs="仿宋_GB2312"/>
          <w:color w:val="auto"/>
          <w:sz w:val="24"/>
          <w:highlight w:val="none"/>
        </w:rPr>
        <w:t>46</w:t>
      </w:r>
      <w:r>
        <w:rPr>
          <w:rFonts w:hint="eastAsia" w:ascii="宋体" w:hAnsi="宋体" w:cs="仿宋_GB2312"/>
          <w:color w:val="auto"/>
          <w:sz w:val="24"/>
          <w:highlight w:val="none"/>
        </w:rPr>
        <w:t>号）规定的中小企业扶持政策的，采购人、采购代理机构应当随成交结果公开成交供应商的《中小企业声明函》。从业人员、营业收入、资产总额填报上一年度数据，无上一年度数据的新成立企业可不填报。</w:t>
      </w:r>
    </w:p>
    <w:p w14:paraId="2C5714D5">
      <w:pPr>
        <w:spacing w:line="360" w:lineRule="auto"/>
        <w:contextualSpacing/>
        <w:jc w:val="center"/>
        <w:rPr>
          <w:rFonts w:hint="eastAsia" w:ascii="仿宋_GB2312" w:hAnsi="仿宋_GB2312" w:eastAsia="仿宋_GB2312" w:cs="仿宋_GB2312"/>
          <w:color w:val="auto"/>
          <w:sz w:val="32"/>
          <w:szCs w:val="32"/>
          <w:highlight w:val="none"/>
        </w:rPr>
      </w:pPr>
      <w:r>
        <w:rPr>
          <w:rFonts w:ascii="宋体"/>
          <w:color w:val="auto"/>
          <w:sz w:val="24"/>
          <w:highlight w:val="none"/>
        </w:rPr>
        <w:br w:type="page"/>
      </w:r>
      <w:r>
        <w:rPr>
          <w:rFonts w:hint="eastAsia" w:ascii="方正小标宋简体" w:hAnsi="方正小标宋简体" w:eastAsia="方正小标宋简体" w:cs="方正小标宋简体"/>
          <w:color w:val="auto"/>
          <w:sz w:val="44"/>
          <w:szCs w:val="44"/>
          <w:highlight w:val="none"/>
        </w:rPr>
        <w:t>残疾人福利性单位声明函</w:t>
      </w:r>
    </w:p>
    <w:p w14:paraId="23C70673">
      <w:pPr>
        <w:spacing w:line="520" w:lineRule="exact"/>
        <w:rPr>
          <w:rFonts w:hint="eastAsia" w:ascii="仿宋_GB2312" w:hAnsi="仿宋_GB2312" w:eastAsia="仿宋_GB2312" w:cs="仿宋_GB2312"/>
          <w:color w:val="auto"/>
          <w:sz w:val="32"/>
          <w:szCs w:val="32"/>
          <w:highlight w:val="none"/>
        </w:rPr>
      </w:pPr>
    </w:p>
    <w:p w14:paraId="254F1FCD">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本单位郑重声明，根据《财政部民政部中国残疾人联合会关于促进残疾人就业政府采购政策的通知》（财库〔</w:t>
      </w:r>
      <w:r>
        <w:rPr>
          <w:rFonts w:ascii="宋体" w:hAnsi="宋体" w:cs="仿宋_GB2312"/>
          <w:color w:val="auto"/>
          <w:sz w:val="24"/>
          <w:highlight w:val="none"/>
        </w:rPr>
        <w:t>2017</w:t>
      </w:r>
      <w:r>
        <w:rPr>
          <w:rFonts w:hint="eastAsia" w:ascii="宋体" w:hAnsi="宋体" w:cs="仿宋_GB2312"/>
          <w:color w:val="auto"/>
          <w:sz w:val="24"/>
          <w:highlight w:val="none"/>
        </w:rPr>
        <w:t>〕</w:t>
      </w:r>
      <w:r>
        <w:rPr>
          <w:rFonts w:ascii="宋体" w:hAnsi="宋体" w:cs="仿宋_GB2312"/>
          <w:color w:val="auto"/>
          <w:sz w:val="24"/>
          <w:highlight w:val="none"/>
        </w:rPr>
        <w:t>141</w:t>
      </w:r>
      <w:r>
        <w:rPr>
          <w:rFonts w:hint="eastAsia" w:ascii="宋体" w:hAnsi="宋体" w:cs="仿宋_GB2312"/>
          <w:color w:val="auto"/>
          <w:sz w:val="24"/>
          <w:highlight w:val="none"/>
        </w:rPr>
        <w:t>号）的规定，本单位为符合条件的残疾人福利性单位，且本单位参加单位的项目采购活动提供本单位制造的货物（由本单位承担工程</w:t>
      </w:r>
      <w:r>
        <w:rPr>
          <w:rFonts w:ascii="宋体" w:hAnsi="宋体" w:cs="仿宋_GB2312"/>
          <w:color w:val="auto"/>
          <w:sz w:val="24"/>
          <w:highlight w:val="none"/>
        </w:rPr>
        <w:t>/</w:t>
      </w:r>
      <w:r>
        <w:rPr>
          <w:rFonts w:hint="eastAsia" w:ascii="宋体" w:hAnsi="宋体" w:cs="仿宋_GB2312"/>
          <w:color w:val="auto"/>
          <w:sz w:val="24"/>
          <w:highlight w:val="none"/>
        </w:rPr>
        <w:t>提供服务），或者提供其他残疾人福利性单位制造的货物（不包括使用非残疾人福利性单位注册商标的货物）。</w:t>
      </w:r>
    </w:p>
    <w:p w14:paraId="6783D3E3">
      <w:pPr>
        <w:spacing w:line="360" w:lineRule="auto"/>
        <w:ind w:firstLine="480" w:firstLineChars="200"/>
        <w:contextualSpacing/>
        <w:rPr>
          <w:rFonts w:asci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47649231">
      <w:pPr>
        <w:spacing w:line="360" w:lineRule="auto"/>
        <w:contextualSpacing/>
        <w:rPr>
          <w:rFonts w:ascii="宋体" w:cs="仿宋_GB2312"/>
          <w:color w:val="auto"/>
          <w:sz w:val="24"/>
          <w:highlight w:val="none"/>
        </w:rPr>
      </w:pPr>
    </w:p>
    <w:p w14:paraId="78493CC3">
      <w:pPr>
        <w:spacing w:line="360" w:lineRule="auto"/>
        <w:contextualSpacing/>
        <w:rPr>
          <w:rFonts w:ascii="宋体" w:cs="仿宋_GB2312"/>
          <w:color w:val="auto"/>
          <w:sz w:val="24"/>
          <w:highlight w:val="none"/>
        </w:rPr>
      </w:pPr>
    </w:p>
    <w:p w14:paraId="2CACF250">
      <w:pPr>
        <w:spacing w:line="360" w:lineRule="auto"/>
        <w:contextualSpacing/>
        <w:rPr>
          <w:rFonts w:ascii="宋体" w:cs="仿宋_GB2312"/>
          <w:color w:val="auto"/>
          <w:sz w:val="24"/>
          <w:highlight w:val="none"/>
        </w:rPr>
      </w:pPr>
    </w:p>
    <w:p w14:paraId="01D8A914">
      <w:pPr>
        <w:spacing w:line="360" w:lineRule="auto"/>
        <w:ind w:firstLine="2400" w:firstLineChars="1000"/>
        <w:contextualSpacing/>
        <w:rPr>
          <w:rFonts w:ascii="宋体" w:cs="仿宋_GB2312"/>
          <w:color w:val="auto"/>
          <w:sz w:val="24"/>
          <w:highlight w:val="none"/>
        </w:rPr>
      </w:pPr>
      <w:r>
        <w:rPr>
          <w:rFonts w:hint="eastAsia" w:ascii="宋体" w:hAnsi="宋体" w:cs="仿宋_GB2312"/>
          <w:color w:val="auto"/>
          <w:sz w:val="24"/>
          <w:highlight w:val="none"/>
        </w:rPr>
        <w:t>单位名称（电子签章）：</w:t>
      </w:r>
    </w:p>
    <w:p w14:paraId="6FDB18B6">
      <w:pPr>
        <w:spacing w:line="360" w:lineRule="auto"/>
        <w:ind w:firstLine="3600" w:firstLineChars="1500"/>
        <w:contextualSpacing/>
        <w:rPr>
          <w:rFonts w:ascii="宋体" w:cs="仿宋_GB2312"/>
          <w:color w:val="auto"/>
          <w:sz w:val="24"/>
          <w:highlight w:val="none"/>
        </w:rPr>
      </w:pPr>
      <w:r>
        <w:rPr>
          <w:rFonts w:hint="eastAsia" w:ascii="宋体" w:hAnsi="宋体" w:cs="仿宋_GB2312"/>
          <w:color w:val="auto"/>
          <w:sz w:val="24"/>
          <w:highlight w:val="none"/>
        </w:rPr>
        <w:t>日期：</w:t>
      </w:r>
    </w:p>
    <w:p w14:paraId="43500404">
      <w:pPr>
        <w:spacing w:line="360" w:lineRule="auto"/>
        <w:contextualSpacing/>
        <w:rPr>
          <w:rFonts w:ascii="宋体" w:cs="仿宋_GB2312"/>
          <w:color w:val="auto"/>
          <w:sz w:val="24"/>
          <w:highlight w:val="none"/>
        </w:rPr>
      </w:pPr>
    </w:p>
    <w:p w14:paraId="6FB6EEA2">
      <w:pPr>
        <w:spacing w:line="360" w:lineRule="auto"/>
        <w:contextualSpacing/>
        <w:rPr>
          <w:rFonts w:ascii="宋体" w:cs="仿宋_GB2312"/>
          <w:color w:val="auto"/>
          <w:sz w:val="24"/>
          <w:highlight w:val="none"/>
        </w:rPr>
      </w:pPr>
    </w:p>
    <w:p w14:paraId="57EDAD3E">
      <w:pPr>
        <w:spacing w:line="360" w:lineRule="auto"/>
        <w:contextualSpacing/>
        <w:rPr>
          <w:rFonts w:ascii="宋体" w:cs="仿宋_GB2312"/>
          <w:color w:val="auto"/>
          <w:sz w:val="24"/>
          <w:highlight w:val="none"/>
        </w:rPr>
      </w:pPr>
    </w:p>
    <w:p w14:paraId="541C0F0B">
      <w:pPr>
        <w:spacing w:line="360" w:lineRule="auto"/>
        <w:contextualSpacing/>
        <w:rPr>
          <w:rFonts w:asci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37A0BEF">
      <w:pPr>
        <w:spacing w:line="360" w:lineRule="auto"/>
        <w:jc w:val="center"/>
        <w:rPr>
          <w:rFonts w:ascii="宋体"/>
          <w:b/>
          <w:bCs/>
          <w:color w:val="auto"/>
          <w:sz w:val="32"/>
          <w:szCs w:val="32"/>
          <w:highlight w:val="none"/>
        </w:rPr>
      </w:pPr>
      <w:r>
        <w:rPr>
          <w:rFonts w:ascii="宋体" w:cs="仿宋_GB2312"/>
          <w:color w:val="auto"/>
          <w:sz w:val="24"/>
          <w:highlight w:val="none"/>
        </w:rPr>
        <w:br w:type="page"/>
      </w:r>
      <w:r>
        <w:rPr>
          <w:rFonts w:hint="eastAsia" w:ascii="方正小标宋简体" w:hAnsi="方正小标宋简体" w:eastAsia="方正小标宋简体" w:cs="方正小标宋简体"/>
          <w:color w:val="auto"/>
          <w:sz w:val="44"/>
          <w:szCs w:val="44"/>
          <w:highlight w:val="none"/>
        </w:rPr>
        <w:t>质疑函（格式）</w:t>
      </w:r>
    </w:p>
    <w:p w14:paraId="0C28C218">
      <w:pPr>
        <w:spacing w:line="360" w:lineRule="auto"/>
        <w:jc w:val="center"/>
        <w:rPr>
          <w:rFonts w:ascii="宋体"/>
          <w:b/>
          <w:bCs/>
          <w:color w:val="auto"/>
          <w:sz w:val="32"/>
          <w:szCs w:val="32"/>
          <w:highlight w:val="none"/>
        </w:rPr>
      </w:pPr>
    </w:p>
    <w:p w14:paraId="12AAC646">
      <w:pPr>
        <w:pStyle w:val="1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3C851DB5">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质疑供应商：</w:t>
      </w:r>
      <w:r>
        <w:rPr>
          <w:rFonts w:hint="eastAsia" w:hAnsi="宋体"/>
          <w:bCs/>
          <w:color w:val="auto"/>
          <w:sz w:val="24"/>
          <w:szCs w:val="24"/>
          <w:highlight w:val="none"/>
          <w:u w:val="single"/>
        </w:rPr>
        <w:t xml:space="preserve">                         </w:t>
      </w:r>
      <w:r>
        <w:rPr>
          <w:rFonts w:hint="eastAsia" w:hAnsi="宋体"/>
          <w:bCs/>
          <w:color w:val="auto"/>
          <w:sz w:val="24"/>
          <w:szCs w:val="24"/>
          <w:highlight w:val="none"/>
        </w:rPr>
        <w:t xml:space="preserve">  </w:t>
      </w:r>
    </w:p>
    <w:p w14:paraId="59D17E05">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54DC7AC7">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295F12E4">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p>
    <w:p w14:paraId="3F646C33">
      <w:pPr>
        <w:pStyle w:val="15"/>
        <w:spacing w:line="360" w:lineRule="auto"/>
        <w:ind w:firstLine="480" w:firstLineChars="200"/>
        <w:contextualSpacing/>
        <w:rPr>
          <w:rFonts w:hint="eastAsia" w:hAnsi="宋体"/>
          <w:bCs/>
          <w:color w:val="auto"/>
          <w:sz w:val="24"/>
          <w:szCs w:val="24"/>
          <w:highlight w:val="none"/>
          <w:u w:val="singl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0A97C349">
      <w:pPr>
        <w:pStyle w:val="15"/>
        <w:spacing w:line="360" w:lineRule="auto"/>
        <w:ind w:firstLine="480" w:firstLineChars="200"/>
        <w:contextualSpacing/>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7B2B8A6D">
      <w:pPr>
        <w:pStyle w:val="15"/>
        <w:spacing w:line="360" w:lineRule="auto"/>
        <w:ind w:firstLine="482" w:firstLineChars="200"/>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506A7FAB">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20B09791">
      <w:pPr>
        <w:pStyle w:val="15"/>
        <w:spacing w:line="360" w:lineRule="auto"/>
        <w:ind w:left="25" w:leftChars="12" w:firstLine="472" w:firstLineChars="197"/>
        <w:contextualSpacing/>
        <w:rPr>
          <w:rFonts w:hint="eastAsia" w:hAnsi="宋体"/>
          <w:color w:val="auto"/>
          <w:sz w:val="24"/>
          <w:szCs w:val="24"/>
          <w:highlight w:val="none"/>
          <w:u w:val="single"/>
        </w:rPr>
      </w:pPr>
      <w:r>
        <w:rPr>
          <w:rFonts w:hint="eastAsia" w:hAnsi="宋体"/>
          <w:bCs/>
          <w:color w:val="auto"/>
          <w:sz w:val="24"/>
          <w:szCs w:val="24"/>
          <w:highlight w:val="none"/>
        </w:rPr>
        <w:t>质疑</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31B3645A">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4A1D9FE5">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r>
        <w:rPr>
          <w:rFonts w:hint="eastAsia" w:hAnsi="宋体"/>
          <w:bCs/>
          <w:color w:val="auto"/>
          <w:sz w:val="24"/>
          <w:szCs w:val="24"/>
          <w:highlight w:val="none"/>
          <w:u w:val="single"/>
        </w:rPr>
        <w:t xml:space="preserve">                         </w:t>
      </w:r>
    </w:p>
    <w:p w14:paraId="6D8BEDCE">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□谈判文件        谈判文件获取日期：</w:t>
      </w:r>
      <w:r>
        <w:rPr>
          <w:rFonts w:hint="eastAsia" w:hAnsi="宋体"/>
          <w:bCs/>
          <w:color w:val="auto"/>
          <w:sz w:val="24"/>
          <w:szCs w:val="24"/>
          <w:highlight w:val="none"/>
          <w:u w:val="single"/>
        </w:rPr>
        <w:t xml:space="preserve">                         </w:t>
      </w:r>
    </w:p>
    <w:p w14:paraId="2C2EDAF8">
      <w:pPr>
        <w:pStyle w:val="15"/>
        <w:spacing w:line="360" w:lineRule="auto"/>
        <w:ind w:left="25" w:leftChars="12" w:firstLine="352" w:firstLineChars="147"/>
        <w:contextualSpacing/>
        <w:rPr>
          <w:rFonts w:hint="eastAsia" w:hAnsi="宋体"/>
          <w:color w:val="auto"/>
          <w:sz w:val="24"/>
          <w:szCs w:val="24"/>
          <w:highlight w:val="none"/>
        </w:rPr>
      </w:pPr>
      <w:r>
        <w:rPr>
          <w:rFonts w:hint="eastAsia" w:hAnsi="宋体"/>
          <w:color w:val="auto"/>
          <w:sz w:val="24"/>
          <w:szCs w:val="24"/>
          <w:highlight w:val="none"/>
        </w:rPr>
        <w:t>□采购过程</w:t>
      </w:r>
    </w:p>
    <w:p w14:paraId="1C931B8F">
      <w:pPr>
        <w:pStyle w:val="15"/>
        <w:spacing w:line="360" w:lineRule="auto"/>
        <w:ind w:left="25" w:leftChars="12" w:firstLine="352" w:firstLineChars="147"/>
        <w:contextualSpacing/>
        <w:rPr>
          <w:rFonts w:hint="eastAsia" w:hAnsi="宋体"/>
          <w:bCs/>
          <w:color w:val="auto"/>
          <w:sz w:val="24"/>
          <w:szCs w:val="24"/>
          <w:highlight w:val="none"/>
          <w:u w:val="single"/>
        </w:rPr>
      </w:pPr>
      <w:r>
        <w:rPr>
          <w:rFonts w:hint="eastAsia" w:hAnsi="宋体"/>
          <w:color w:val="auto"/>
          <w:sz w:val="24"/>
          <w:szCs w:val="24"/>
          <w:highlight w:val="none"/>
        </w:rPr>
        <w:t>□成交结果</w:t>
      </w:r>
    </w:p>
    <w:p w14:paraId="52951105">
      <w:pPr>
        <w:pStyle w:val="15"/>
        <w:spacing w:line="360" w:lineRule="auto"/>
        <w:ind w:left="25" w:leftChars="12" w:firstLine="472" w:firstLineChars="196"/>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3BBABF03">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r>
        <w:rPr>
          <w:rFonts w:hAnsi="宋体"/>
          <w:color w:val="auto"/>
          <w:sz w:val="24"/>
          <w:szCs w:val="24"/>
          <w:highlight w:val="none"/>
        </w:rPr>
        <w:t>1</w:t>
      </w:r>
      <w:r>
        <w:rPr>
          <w:rFonts w:hint="eastAsia" w:hAnsi="宋体"/>
          <w:color w:val="auto"/>
          <w:sz w:val="24"/>
          <w:szCs w:val="24"/>
          <w:highlight w:val="none"/>
        </w:rPr>
        <w:t>：</w:t>
      </w:r>
      <w:r>
        <w:rPr>
          <w:rFonts w:hint="eastAsia" w:hAnsi="宋体"/>
          <w:bCs/>
          <w:color w:val="auto"/>
          <w:sz w:val="24"/>
          <w:szCs w:val="24"/>
          <w:highlight w:val="none"/>
          <w:u w:val="single"/>
        </w:rPr>
        <w:t xml:space="preserve">                         </w:t>
      </w:r>
    </w:p>
    <w:p w14:paraId="063EB9E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事实依据：</w:t>
      </w:r>
      <w:r>
        <w:rPr>
          <w:rFonts w:hint="eastAsia" w:hAnsi="宋体"/>
          <w:bCs/>
          <w:color w:val="auto"/>
          <w:sz w:val="24"/>
          <w:szCs w:val="24"/>
          <w:highlight w:val="none"/>
          <w:u w:val="single"/>
        </w:rPr>
        <w:t xml:space="preserve">                         </w:t>
      </w:r>
    </w:p>
    <w:p w14:paraId="2F6E5DEF">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法律依据：</w:t>
      </w:r>
      <w:r>
        <w:rPr>
          <w:rFonts w:hint="eastAsia" w:hAnsi="宋体"/>
          <w:bCs/>
          <w:color w:val="auto"/>
          <w:sz w:val="24"/>
          <w:szCs w:val="24"/>
          <w:highlight w:val="none"/>
          <w:u w:val="single"/>
        </w:rPr>
        <w:t xml:space="preserve">                         </w:t>
      </w:r>
    </w:p>
    <w:p w14:paraId="38166833">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质疑事项</w:t>
      </w:r>
      <w:r>
        <w:rPr>
          <w:rFonts w:hAnsi="宋体"/>
          <w:color w:val="auto"/>
          <w:sz w:val="24"/>
          <w:szCs w:val="24"/>
          <w:highlight w:val="none"/>
        </w:rPr>
        <w:t>2</w:t>
      </w:r>
    </w:p>
    <w:p w14:paraId="4EA84637">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w:t>
      </w:r>
    </w:p>
    <w:p w14:paraId="289A9615">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4D7C5EE6">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请求：</w:t>
      </w:r>
      <w:r>
        <w:rPr>
          <w:rFonts w:hint="eastAsia" w:hAnsi="宋体"/>
          <w:bCs/>
          <w:color w:val="auto"/>
          <w:sz w:val="24"/>
          <w:szCs w:val="24"/>
          <w:highlight w:val="none"/>
          <w:u w:val="single"/>
        </w:rPr>
        <w:t xml:space="preserve">                         </w:t>
      </w:r>
    </w:p>
    <w:p w14:paraId="37516B08">
      <w:pPr>
        <w:pStyle w:val="15"/>
        <w:spacing w:line="360" w:lineRule="auto"/>
        <w:ind w:left="25" w:leftChars="12" w:firstLine="352" w:firstLineChars="147"/>
        <w:contextualSpacing/>
        <w:rPr>
          <w:rFonts w:hint="eastAsia" w:hAnsi="宋体"/>
          <w:color w:val="auto"/>
          <w:sz w:val="24"/>
          <w:szCs w:val="24"/>
          <w:highlight w:val="none"/>
        </w:rPr>
      </w:pPr>
    </w:p>
    <w:p w14:paraId="4983E4B4">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63E99C37">
      <w:pPr>
        <w:pStyle w:val="15"/>
        <w:spacing w:line="360" w:lineRule="auto"/>
        <w:ind w:left="25" w:leftChars="12" w:firstLine="352" w:firstLineChars="147"/>
        <w:contextualSpacing/>
        <w:rPr>
          <w:rFonts w:hint="eastAsia" w:hAnsi="宋体"/>
          <w:color w:val="auto"/>
          <w:sz w:val="24"/>
          <w:szCs w:val="24"/>
          <w:highlight w:val="none"/>
        </w:rPr>
      </w:pPr>
    </w:p>
    <w:p w14:paraId="141AC71F">
      <w:pPr>
        <w:pStyle w:val="15"/>
        <w:spacing w:line="360" w:lineRule="auto"/>
        <w:ind w:left="25" w:leftChars="12" w:firstLine="472" w:firstLineChars="197"/>
        <w:contextualSpacing/>
        <w:rPr>
          <w:rFonts w:hint="eastAsia" w:hAnsi="宋体"/>
          <w:color w:val="auto"/>
          <w:sz w:val="24"/>
          <w:szCs w:val="24"/>
          <w:highlight w:val="none"/>
        </w:rPr>
      </w:pPr>
      <w:r>
        <w:rPr>
          <w:rFonts w:hint="eastAsia" w:hAnsi="宋体"/>
          <w:color w:val="auto"/>
          <w:sz w:val="24"/>
          <w:szCs w:val="24"/>
          <w:highlight w:val="none"/>
        </w:rPr>
        <w:t>日期：</w:t>
      </w:r>
    </w:p>
    <w:p w14:paraId="62559B45">
      <w:pPr>
        <w:pStyle w:val="15"/>
        <w:spacing w:line="360" w:lineRule="auto"/>
        <w:contextualSpacing/>
        <w:rPr>
          <w:rFonts w:hint="eastAsia" w:hAnsi="宋体"/>
          <w:b/>
          <w:color w:val="auto"/>
          <w:sz w:val="24"/>
          <w:szCs w:val="24"/>
          <w:highlight w:val="none"/>
        </w:rPr>
      </w:pPr>
    </w:p>
    <w:p w14:paraId="093289F3">
      <w:pPr>
        <w:pStyle w:val="1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72E2E79F">
      <w:pPr>
        <w:pStyle w:val="15"/>
        <w:spacing w:line="360" w:lineRule="auto"/>
        <w:ind w:left="25" w:leftChars="12" w:firstLine="354" w:firstLineChars="147"/>
        <w:contextualSpacing/>
        <w:rPr>
          <w:rFonts w:hint="eastAsia" w:hAnsi="宋体"/>
          <w:b/>
          <w:bCs/>
          <w:color w:val="auto"/>
          <w:sz w:val="24"/>
          <w:szCs w:val="24"/>
          <w:highlight w:val="none"/>
        </w:rPr>
      </w:pPr>
      <w:r>
        <w:rPr>
          <w:rFonts w:hAnsi="宋体"/>
          <w:b/>
          <w:color w:val="auto"/>
          <w:sz w:val="24"/>
          <w:szCs w:val="24"/>
          <w:highlight w:val="none"/>
        </w:rPr>
        <w:t>1.</w:t>
      </w:r>
      <w:r>
        <w:rPr>
          <w:rFonts w:hint="eastAsia" w:hAnsi="宋体"/>
          <w:b/>
          <w:color w:val="auto"/>
          <w:sz w:val="24"/>
          <w:szCs w:val="24"/>
          <w:highlight w:val="none"/>
        </w:rPr>
        <w:t>供应商提出质疑时，应提交质疑函和必要的证明材料</w:t>
      </w:r>
      <w:r>
        <w:rPr>
          <w:rFonts w:hint="eastAsia" w:hAnsi="宋体"/>
          <w:b/>
          <w:bCs/>
          <w:color w:val="auto"/>
          <w:sz w:val="24"/>
          <w:szCs w:val="24"/>
          <w:highlight w:val="none"/>
        </w:rPr>
        <w:t>。</w:t>
      </w:r>
    </w:p>
    <w:p w14:paraId="05DCAF62">
      <w:pPr>
        <w:pStyle w:val="15"/>
        <w:spacing w:line="360" w:lineRule="auto"/>
        <w:ind w:left="25" w:leftChars="12" w:firstLine="354" w:firstLineChars="147"/>
        <w:contextualSpacing/>
        <w:rPr>
          <w:rFonts w:hint="eastAsia" w:hAnsi="宋体"/>
          <w:b/>
          <w:color w:val="auto"/>
          <w:sz w:val="24"/>
          <w:szCs w:val="24"/>
          <w:highlight w:val="none"/>
        </w:rPr>
      </w:pPr>
      <w:r>
        <w:rPr>
          <w:rFonts w:hAnsi="宋体"/>
          <w:b/>
          <w:color w:val="auto"/>
          <w:sz w:val="24"/>
          <w:szCs w:val="24"/>
          <w:highlight w:val="none"/>
        </w:rPr>
        <w:t>2.</w:t>
      </w:r>
      <w:r>
        <w:rPr>
          <w:rFonts w:hint="eastAsia" w:hAnsi="宋体"/>
          <w:b/>
          <w:color w:val="auto"/>
          <w:sz w:val="24"/>
          <w:szCs w:val="24"/>
          <w:highlight w:val="none"/>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40F660">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3</w:t>
      </w:r>
      <w:r>
        <w:rPr>
          <w:rFonts w:hAnsi="宋体"/>
          <w:b/>
          <w:color w:val="auto"/>
          <w:sz w:val="24"/>
          <w:szCs w:val="24"/>
          <w:highlight w:val="none"/>
        </w:rPr>
        <w:t>.</w:t>
      </w:r>
      <w:r>
        <w:rPr>
          <w:rFonts w:hint="eastAsia" w:hAnsi="宋体"/>
          <w:b/>
          <w:color w:val="auto"/>
          <w:sz w:val="24"/>
          <w:szCs w:val="24"/>
          <w:highlight w:val="none"/>
        </w:rPr>
        <w:t>质疑函的质疑事项应具体、明确，并有必要的事实依据和法律依据。</w:t>
      </w:r>
    </w:p>
    <w:p w14:paraId="1D38AE6C">
      <w:pPr>
        <w:pStyle w:val="15"/>
        <w:spacing w:line="360" w:lineRule="auto"/>
        <w:ind w:left="25" w:leftChars="12" w:firstLine="354" w:firstLineChars="147"/>
        <w:contextualSpacing/>
        <w:rPr>
          <w:rFonts w:hint="eastAsia" w:hAnsi="宋体"/>
          <w:b/>
          <w:color w:val="auto"/>
          <w:sz w:val="24"/>
          <w:szCs w:val="24"/>
          <w:highlight w:val="none"/>
        </w:rPr>
      </w:pPr>
      <w:r>
        <w:rPr>
          <w:rFonts w:hint="eastAsia" w:hAnsi="宋体"/>
          <w:b/>
          <w:color w:val="auto"/>
          <w:sz w:val="24"/>
          <w:szCs w:val="24"/>
          <w:highlight w:val="none"/>
        </w:rPr>
        <w:t>4</w:t>
      </w:r>
      <w:r>
        <w:rPr>
          <w:rFonts w:hAnsi="宋体"/>
          <w:b/>
          <w:color w:val="auto"/>
          <w:sz w:val="24"/>
          <w:szCs w:val="24"/>
          <w:highlight w:val="none"/>
        </w:rPr>
        <w:t>.</w:t>
      </w:r>
      <w:r>
        <w:rPr>
          <w:rFonts w:hint="eastAsia" w:hAnsi="宋体"/>
          <w:b/>
          <w:color w:val="auto"/>
          <w:sz w:val="24"/>
          <w:szCs w:val="24"/>
          <w:highlight w:val="none"/>
        </w:rPr>
        <w:t>质疑函的质疑请求应与质疑事项相关。</w:t>
      </w:r>
    </w:p>
    <w:p w14:paraId="22882E4B">
      <w:pPr>
        <w:pStyle w:val="15"/>
        <w:spacing w:line="360" w:lineRule="auto"/>
        <w:ind w:left="25" w:leftChars="12" w:firstLine="354" w:firstLineChars="147"/>
        <w:contextualSpacing/>
        <w:rPr>
          <w:rFonts w:hint="eastAsia" w:hAnsi="宋体"/>
          <w:b/>
          <w:color w:val="auto"/>
          <w:highlight w:val="none"/>
        </w:rPr>
      </w:pPr>
      <w:r>
        <w:rPr>
          <w:rFonts w:hint="eastAsia" w:hAnsi="宋体"/>
          <w:b/>
          <w:color w:val="auto"/>
          <w:sz w:val="24"/>
          <w:szCs w:val="24"/>
          <w:highlight w:val="none"/>
        </w:rPr>
        <w:t>5</w:t>
      </w:r>
      <w:r>
        <w:rPr>
          <w:rFonts w:hAnsi="宋体"/>
          <w:b/>
          <w:color w:val="auto"/>
          <w:sz w:val="24"/>
          <w:szCs w:val="24"/>
          <w:highlight w:val="none"/>
        </w:rPr>
        <w:t>.</w:t>
      </w:r>
      <w:r>
        <w:rPr>
          <w:rFonts w:hint="eastAsia" w:hAnsi="宋体"/>
          <w:b/>
          <w:color w:val="auto"/>
          <w:sz w:val="24"/>
          <w:szCs w:val="24"/>
          <w:highlight w:val="none"/>
        </w:rPr>
        <w:t>质疑供应商为法人或者其他组织的，质疑函应由法定代表人、主要负责人，或者其授权代表签字或者盖章，并加盖公章。</w:t>
      </w:r>
    </w:p>
    <w:p w14:paraId="5D64AA8B">
      <w:pPr>
        <w:pStyle w:val="15"/>
        <w:snapToGrid w:val="0"/>
        <w:rPr>
          <w:b/>
          <w:color w:val="auto"/>
          <w:sz w:val="24"/>
          <w:szCs w:val="24"/>
          <w:highlight w:val="none"/>
        </w:rPr>
      </w:pPr>
    </w:p>
    <w:p w14:paraId="79EF7248">
      <w:pPr>
        <w:rPr>
          <w:color w:val="auto"/>
          <w:highlight w:val="none"/>
        </w:rPr>
      </w:pPr>
      <w:r>
        <w:rPr>
          <w:color w:val="auto"/>
          <w:highlight w:val="none"/>
        </w:rPr>
        <w:br w:type="page"/>
      </w:r>
    </w:p>
    <w:p w14:paraId="7200218C">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0A13FF8F">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3C3FC2A1">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供应商：</w:t>
      </w:r>
      <w:r>
        <w:rPr>
          <w:rFonts w:hint="eastAsia" w:hAnsi="宋体"/>
          <w:bCs/>
          <w:color w:val="auto"/>
          <w:sz w:val="24"/>
          <w:szCs w:val="24"/>
          <w:highlight w:val="none"/>
          <w:u w:val="single"/>
        </w:rPr>
        <w:t xml:space="preserve">                         </w:t>
      </w:r>
    </w:p>
    <w:p w14:paraId="751A5E5F">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0FA35215">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法定代表人</w:t>
      </w:r>
      <w:r>
        <w:rPr>
          <w:rFonts w:hAnsi="宋体"/>
          <w:bCs/>
          <w:color w:val="auto"/>
          <w:sz w:val="24"/>
          <w:szCs w:val="24"/>
          <w:highlight w:val="none"/>
        </w:rPr>
        <w:t>/</w:t>
      </w:r>
      <w:r>
        <w:rPr>
          <w:rFonts w:hint="eastAsia" w:hAnsi="宋体"/>
          <w:bCs/>
          <w:color w:val="auto"/>
          <w:sz w:val="24"/>
          <w:szCs w:val="24"/>
          <w:highlight w:val="none"/>
        </w:rPr>
        <w:t>主要负责人：</w:t>
      </w:r>
      <w:r>
        <w:rPr>
          <w:rFonts w:hint="eastAsia" w:hAnsi="宋体"/>
          <w:bCs/>
          <w:color w:val="auto"/>
          <w:sz w:val="24"/>
          <w:szCs w:val="24"/>
          <w:highlight w:val="none"/>
          <w:u w:val="single"/>
        </w:rPr>
        <w:t xml:space="preserve">                         </w:t>
      </w:r>
    </w:p>
    <w:p w14:paraId="0790B4F1">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557A35B3">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4C6AFE0D">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3FA11363">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21718E90">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w:t>
      </w:r>
      <w:r>
        <w:rPr>
          <w:rFonts w:hAnsi="宋体"/>
          <w:bCs/>
          <w:color w:val="auto"/>
          <w:sz w:val="24"/>
          <w:szCs w:val="24"/>
          <w:highlight w:val="none"/>
        </w:rPr>
        <w:t>1</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1C76FCBC">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p>
    <w:p w14:paraId="1BCA8AA5">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4435A752">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5960C449">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被投诉人</w:t>
      </w:r>
      <w:r>
        <w:rPr>
          <w:rFonts w:hAnsi="宋体"/>
          <w:bCs/>
          <w:color w:val="auto"/>
          <w:sz w:val="24"/>
          <w:szCs w:val="24"/>
          <w:highlight w:val="none"/>
        </w:rPr>
        <w:t>2</w:t>
      </w:r>
      <w:r>
        <w:rPr>
          <w:rFonts w:hint="eastAsia" w:hAnsi="宋体"/>
          <w:bCs/>
          <w:color w:val="auto"/>
          <w:sz w:val="24"/>
          <w:szCs w:val="24"/>
          <w:highlight w:val="none"/>
        </w:rPr>
        <w:t>：</w:t>
      </w:r>
      <w:r>
        <w:rPr>
          <w:rFonts w:hint="eastAsia" w:hAnsi="宋体"/>
          <w:bCs/>
          <w:color w:val="auto"/>
          <w:sz w:val="24"/>
          <w:szCs w:val="24"/>
          <w:highlight w:val="none"/>
          <w:u w:val="single"/>
        </w:rPr>
        <w:t xml:space="preserve">                         </w:t>
      </w:r>
    </w:p>
    <w:p w14:paraId="70571A01">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w:t>
      </w:r>
    </w:p>
    <w:p w14:paraId="588D915F">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相关供应商：</w:t>
      </w:r>
      <w:r>
        <w:rPr>
          <w:rFonts w:hint="eastAsia" w:hAnsi="宋体"/>
          <w:bCs/>
          <w:color w:val="auto"/>
          <w:sz w:val="24"/>
          <w:szCs w:val="24"/>
          <w:highlight w:val="none"/>
          <w:u w:val="single"/>
        </w:rPr>
        <w:t xml:space="preserve">                         </w:t>
      </w:r>
    </w:p>
    <w:p w14:paraId="4A0ED0D6">
      <w:pPr>
        <w:pStyle w:val="15"/>
        <w:snapToGrid w:val="0"/>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地址：</w:t>
      </w:r>
      <w:r>
        <w:rPr>
          <w:rFonts w:hint="eastAsia" w:hAnsi="宋体"/>
          <w:bCs/>
          <w:color w:val="auto"/>
          <w:sz w:val="24"/>
          <w:szCs w:val="24"/>
          <w:highlight w:val="none"/>
          <w:u w:val="single"/>
        </w:rPr>
        <w:t xml:space="preserve">                           </w:t>
      </w:r>
      <w:r>
        <w:rPr>
          <w:rFonts w:hint="eastAsia" w:hAnsi="宋体"/>
          <w:bCs/>
          <w:color w:val="auto"/>
          <w:sz w:val="24"/>
          <w:szCs w:val="24"/>
          <w:highlight w:val="none"/>
        </w:rPr>
        <w:t>邮编：</w:t>
      </w:r>
      <w:r>
        <w:rPr>
          <w:rFonts w:hint="eastAsia" w:hAnsi="宋体"/>
          <w:bCs/>
          <w:color w:val="auto"/>
          <w:sz w:val="24"/>
          <w:szCs w:val="24"/>
          <w:highlight w:val="none"/>
          <w:u w:val="single"/>
        </w:rPr>
        <w:t xml:space="preserve">                         </w:t>
      </w:r>
    </w:p>
    <w:p w14:paraId="356E8E17">
      <w:pPr>
        <w:pStyle w:val="15"/>
        <w:snapToGrid w:val="0"/>
        <w:spacing w:line="360" w:lineRule="auto"/>
        <w:ind w:firstLine="480" w:firstLineChars="200"/>
        <w:rPr>
          <w:rFonts w:hint="eastAsia" w:hAnsi="宋体"/>
          <w:bCs/>
          <w:color w:val="auto"/>
          <w:sz w:val="24"/>
          <w:szCs w:val="24"/>
          <w:highlight w:val="none"/>
        </w:rPr>
      </w:pPr>
      <w:r>
        <w:rPr>
          <w:rFonts w:hint="eastAsia" w:hAnsi="宋体"/>
          <w:bCs/>
          <w:color w:val="auto"/>
          <w:sz w:val="24"/>
          <w:szCs w:val="24"/>
          <w:highlight w:val="none"/>
        </w:rPr>
        <w:t>联系人：</w:t>
      </w:r>
      <w:r>
        <w:rPr>
          <w:rFonts w:hint="eastAsia" w:hAnsi="宋体"/>
          <w:bCs/>
          <w:color w:val="auto"/>
          <w:sz w:val="24"/>
          <w:szCs w:val="24"/>
          <w:highlight w:val="none"/>
          <w:u w:val="single"/>
        </w:rPr>
        <w:t xml:space="preserve">                         </w:t>
      </w:r>
      <w:r>
        <w:rPr>
          <w:rFonts w:hint="eastAsia" w:hAnsi="宋体"/>
          <w:bCs/>
          <w:color w:val="auto"/>
          <w:sz w:val="24"/>
          <w:szCs w:val="24"/>
          <w:highlight w:val="none"/>
        </w:rPr>
        <w:t>联系电话：</w:t>
      </w:r>
      <w:r>
        <w:rPr>
          <w:rFonts w:hint="eastAsia" w:hAnsi="宋体"/>
          <w:bCs/>
          <w:color w:val="auto"/>
          <w:sz w:val="24"/>
          <w:szCs w:val="24"/>
          <w:highlight w:val="none"/>
          <w:u w:val="single"/>
        </w:rPr>
        <w:t xml:space="preserve">                     </w:t>
      </w:r>
    </w:p>
    <w:p w14:paraId="6D4DD4DB">
      <w:pPr>
        <w:pStyle w:val="15"/>
        <w:snapToGrid w:val="0"/>
        <w:spacing w:line="360" w:lineRule="auto"/>
        <w:ind w:firstLine="482" w:firstLineChars="200"/>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5DEBC0DB">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r>
        <w:rPr>
          <w:rFonts w:hint="eastAsia" w:hAnsi="宋体"/>
          <w:bCs/>
          <w:color w:val="auto"/>
          <w:sz w:val="24"/>
          <w:szCs w:val="24"/>
          <w:highlight w:val="none"/>
          <w:u w:val="single"/>
        </w:rPr>
        <w:t xml:space="preserve">                         </w:t>
      </w:r>
    </w:p>
    <w:p w14:paraId="38526F98">
      <w:pPr>
        <w:pStyle w:val="15"/>
        <w:spacing w:line="360" w:lineRule="auto"/>
        <w:ind w:left="25" w:leftChars="12" w:firstLine="472" w:firstLineChars="197"/>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r>
        <w:rPr>
          <w:rFonts w:hint="eastAsia" w:hAnsi="宋体"/>
          <w:bCs/>
          <w:color w:val="auto"/>
          <w:sz w:val="24"/>
          <w:szCs w:val="24"/>
          <w:highlight w:val="none"/>
          <w:u w:val="single"/>
        </w:rPr>
        <w:t xml:space="preserve">                         </w:t>
      </w:r>
    </w:p>
    <w:p w14:paraId="4D8FF27C">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采购人名称：</w:t>
      </w:r>
      <w:r>
        <w:rPr>
          <w:rFonts w:hint="eastAsia" w:hAnsi="宋体"/>
          <w:bCs/>
          <w:color w:val="auto"/>
          <w:sz w:val="24"/>
          <w:szCs w:val="24"/>
          <w:highlight w:val="none"/>
          <w:u w:val="single"/>
        </w:rPr>
        <w:t xml:space="preserve">                         </w:t>
      </w:r>
    </w:p>
    <w:p w14:paraId="265657D7">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代理机构名称：</w:t>
      </w:r>
      <w:r>
        <w:rPr>
          <w:rFonts w:hint="eastAsia" w:hAnsi="宋体"/>
          <w:bCs/>
          <w:color w:val="auto"/>
          <w:sz w:val="24"/>
          <w:szCs w:val="24"/>
          <w:highlight w:val="none"/>
          <w:u w:val="single"/>
        </w:rPr>
        <w:t xml:space="preserve">                         </w:t>
      </w:r>
    </w:p>
    <w:p w14:paraId="59748FF2">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w:t>
      </w:r>
      <w:r>
        <w:rPr>
          <w:rFonts w:hAnsi="宋体"/>
          <w:bCs/>
          <w:color w:val="auto"/>
          <w:sz w:val="24"/>
          <w:szCs w:val="24"/>
          <w:highlight w:val="none"/>
          <w:u w:val="single"/>
        </w:rPr>
        <w:t>/</w:t>
      </w:r>
      <w:r>
        <w:rPr>
          <w:rFonts w:hint="eastAsia" w:hAnsi="宋体"/>
          <w:bCs/>
          <w:color w:val="auto"/>
          <w:sz w:val="24"/>
          <w:szCs w:val="24"/>
          <w:highlight w:val="none"/>
          <w:u w:val="single"/>
        </w:rPr>
        <w:t>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67C323A2">
      <w:pPr>
        <w:pStyle w:val="15"/>
        <w:spacing w:line="360" w:lineRule="auto"/>
        <w:ind w:left="25" w:leftChars="12" w:firstLine="472" w:firstLineChars="197"/>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w:t>
      </w:r>
      <w:r>
        <w:rPr>
          <w:rFonts w:hAnsi="宋体"/>
          <w:bCs/>
          <w:color w:val="auto"/>
          <w:sz w:val="24"/>
          <w:szCs w:val="24"/>
          <w:highlight w:val="none"/>
          <w:u w:val="single"/>
        </w:rPr>
        <w:t>/</w:t>
      </w:r>
      <w:r>
        <w:rPr>
          <w:rFonts w:hint="eastAsia" w:hAnsi="宋体"/>
          <w:bCs/>
          <w:color w:val="auto"/>
          <w:sz w:val="24"/>
          <w:szCs w:val="24"/>
          <w:highlight w:val="none"/>
          <w:u w:val="single"/>
        </w:rPr>
        <w:t>否</w:t>
      </w:r>
      <w:r>
        <w:rPr>
          <w:rFonts w:hint="eastAsia" w:hAnsi="宋体"/>
          <w:bCs/>
          <w:color w:val="auto"/>
          <w:sz w:val="24"/>
          <w:szCs w:val="24"/>
          <w:highlight w:val="none"/>
        </w:rPr>
        <w:t>公告期限：</w:t>
      </w:r>
      <w:r>
        <w:rPr>
          <w:rFonts w:hint="eastAsia" w:hAnsi="宋体"/>
          <w:bCs/>
          <w:color w:val="auto"/>
          <w:sz w:val="24"/>
          <w:szCs w:val="24"/>
          <w:highlight w:val="none"/>
          <w:u w:val="single"/>
        </w:rPr>
        <w:t xml:space="preserve">                         </w:t>
      </w:r>
    </w:p>
    <w:p w14:paraId="443AED32">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三、质疑基本情况</w:t>
      </w:r>
    </w:p>
    <w:p w14:paraId="23AA6DDC">
      <w:pPr>
        <w:pStyle w:val="15"/>
        <w:spacing w:line="360" w:lineRule="auto"/>
        <w:ind w:left="23" w:leftChars="11" w:firstLine="540" w:firstLineChars="225"/>
        <w:rPr>
          <w:rFonts w:hint="eastAsia" w:hAnsi="宋体"/>
          <w:color w:val="auto"/>
          <w:sz w:val="24"/>
          <w:szCs w:val="24"/>
          <w:highlight w:val="none"/>
        </w:rPr>
      </w:pPr>
      <w:r>
        <w:rPr>
          <w:rFonts w:hint="eastAsia" w:hAnsi="宋体"/>
          <w:color w:val="auto"/>
          <w:sz w:val="24"/>
          <w:szCs w:val="24"/>
          <w:highlight w:val="none"/>
        </w:rPr>
        <w:t>投诉人于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日，向</w:t>
      </w:r>
      <w:r>
        <w:rPr>
          <w:rFonts w:hint="eastAsia" w:hAnsi="宋体"/>
          <w:bCs/>
          <w:color w:val="auto"/>
          <w:sz w:val="24"/>
          <w:szCs w:val="24"/>
          <w:highlight w:val="none"/>
          <w:u w:val="single"/>
        </w:rPr>
        <w:t xml:space="preserve">               </w:t>
      </w:r>
      <w:r>
        <w:rPr>
          <w:rFonts w:hint="eastAsia" w:hAnsi="宋体"/>
          <w:color w:val="auto"/>
          <w:sz w:val="24"/>
          <w:szCs w:val="24"/>
          <w:highlight w:val="none"/>
        </w:rPr>
        <w:t>提出质疑，质疑事项为：</w:t>
      </w:r>
      <w:r>
        <w:rPr>
          <w:rFonts w:hint="eastAsia" w:hAnsi="宋体"/>
          <w:bCs/>
          <w:color w:val="auto"/>
          <w:sz w:val="24"/>
          <w:szCs w:val="24"/>
          <w:highlight w:val="none"/>
          <w:u w:val="single"/>
        </w:rPr>
        <w:t xml:space="preserve">                                                                                      </w:t>
      </w:r>
    </w:p>
    <w:p w14:paraId="5C454A77">
      <w:pPr>
        <w:pStyle w:val="15"/>
        <w:spacing w:line="360" w:lineRule="auto"/>
        <w:ind w:left="23" w:leftChars="11" w:firstLine="540" w:firstLineChars="225"/>
        <w:rPr>
          <w:rFonts w:hint="eastAsia" w:hAnsi="宋体"/>
          <w:color w:val="auto"/>
          <w:sz w:val="24"/>
          <w:szCs w:val="24"/>
          <w:highlight w:val="none"/>
        </w:rPr>
      </w:pPr>
      <w:r>
        <w:rPr>
          <w:rFonts w:hint="eastAsia" w:ascii="Times New Roman" w:hAnsi="宋体"/>
          <w:bCs/>
          <w:color w:val="auto"/>
          <w:kern w:val="2"/>
          <w:sz w:val="24"/>
          <w:szCs w:val="24"/>
          <w:highlight w:val="none"/>
          <w:u w:val="single"/>
        </w:rPr>
        <w:t xml:space="preserve">                                                               </w:t>
      </w:r>
      <w:r>
        <w:rPr>
          <w:rFonts w:hint="eastAsia" w:hAnsi="宋体"/>
          <w:bCs/>
          <w:color w:val="auto"/>
          <w:sz w:val="24"/>
          <w:szCs w:val="24"/>
          <w:highlight w:val="none"/>
          <w:u w:val="single"/>
        </w:rPr>
        <w:t xml:space="preserve">                  </w:t>
      </w:r>
    </w:p>
    <w:p w14:paraId="6946A440">
      <w:pPr>
        <w:pStyle w:val="15"/>
        <w:spacing w:line="360" w:lineRule="auto"/>
        <w:ind w:left="23" w:leftChars="11" w:firstLine="540" w:firstLineChars="225"/>
        <w:rPr>
          <w:rFonts w:hint="eastAsia" w:hAnsi="宋体"/>
          <w:bCs/>
          <w:color w:val="auto"/>
          <w:sz w:val="24"/>
          <w:szCs w:val="24"/>
          <w:highlight w:val="none"/>
          <w:u w:val="single"/>
        </w:rPr>
      </w:pPr>
    </w:p>
    <w:p w14:paraId="5618101A">
      <w:pPr>
        <w:pStyle w:val="15"/>
        <w:spacing w:line="360" w:lineRule="auto"/>
        <w:ind w:left="23" w:leftChars="11" w:firstLine="540" w:firstLineChars="225"/>
        <w:rPr>
          <w:rFonts w:hint="eastAsia" w:hAnsi="宋体"/>
          <w:bCs/>
          <w:color w:val="auto"/>
          <w:sz w:val="24"/>
          <w:szCs w:val="24"/>
          <w:highlight w:val="none"/>
          <w:u w:val="single"/>
        </w:rPr>
      </w:pPr>
    </w:p>
    <w:p w14:paraId="742EA203">
      <w:pPr>
        <w:pStyle w:val="15"/>
        <w:spacing w:line="360" w:lineRule="auto"/>
        <w:ind w:left="23" w:leftChars="11" w:firstLine="540" w:firstLineChars="225"/>
        <w:rPr>
          <w:rFonts w:hint="eastAsia" w:hAnsi="宋体"/>
          <w:color w:val="auto"/>
          <w:sz w:val="24"/>
          <w:szCs w:val="24"/>
          <w:highlight w:val="none"/>
        </w:rPr>
      </w:pPr>
      <w:r>
        <w:rPr>
          <w:rFonts w:hint="eastAsia" w:hAnsi="宋体"/>
          <w:bCs/>
          <w:color w:val="auto"/>
          <w:sz w:val="24"/>
          <w:szCs w:val="24"/>
          <w:highlight w:val="none"/>
          <w:u w:val="single"/>
        </w:rPr>
        <w:t>采购人</w:t>
      </w:r>
      <w:r>
        <w:rPr>
          <w:rFonts w:hAnsi="宋体"/>
          <w:bCs/>
          <w:color w:val="auto"/>
          <w:sz w:val="24"/>
          <w:szCs w:val="24"/>
          <w:highlight w:val="none"/>
          <w:u w:val="single"/>
        </w:rPr>
        <w:t>/</w:t>
      </w:r>
      <w:r>
        <w:rPr>
          <w:rFonts w:hint="eastAsia" w:hAnsi="宋体"/>
          <w:bCs/>
          <w:color w:val="auto"/>
          <w:sz w:val="24"/>
          <w:szCs w:val="24"/>
          <w:highlight w:val="none"/>
          <w:u w:val="single"/>
        </w:rPr>
        <w:t>代理机构</w:t>
      </w:r>
      <w:r>
        <w:rPr>
          <w:rFonts w:hint="eastAsia" w:hAnsi="宋体"/>
          <w:bCs/>
          <w:color w:val="auto"/>
          <w:sz w:val="24"/>
          <w:szCs w:val="24"/>
          <w:highlight w:val="none"/>
        </w:rPr>
        <w:t>于</w:t>
      </w:r>
      <w:r>
        <w:rPr>
          <w:rFonts w:hint="eastAsia" w:hAnsi="宋体"/>
          <w:bCs/>
          <w:color w:val="auto"/>
          <w:sz w:val="24"/>
          <w:szCs w:val="24"/>
          <w:highlight w:val="none"/>
          <w:u w:val="single"/>
        </w:rPr>
        <w:t xml:space="preserve">    </w:t>
      </w:r>
      <w:r>
        <w:rPr>
          <w:rFonts w:hint="eastAsia" w:hAnsi="宋体"/>
          <w:color w:val="auto"/>
          <w:sz w:val="24"/>
          <w:szCs w:val="24"/>
          <w:highlight w:val="none"/>
        </w:rPr>
        <w:t>年</w:t>
      </w:r>
      <w:r>
        <w:rPr>
          <w:rFonts w:hint="eastAsia" w:hAnsi="宋体"/>
          <w:bCs/>
          <w:color w:val="auto"/>
          <w:sz w:val="24"/>
          <w:szCs w:val="24"/>
          <w:highlight w:val="none"/>
          <w:u w:val="single"/>
        </w:rPr>
        <w:t xml:space="preserve">    </w:t>
      </w:r>
      <w:r>
        <w:rPr>
          <w:rFonts w:hint="eastAsia" w:hAnsi="宋体"/>
          <w:color w:val="auto"/>
          <w:sz w:val="24"/>
          <w:szCs w:val="24"/>
          <w:highlight w:val="none"/>
        </w:rPr>
        <w:t>月</w:t>
      </w:r>
      <w:r>
        <w:rPr>
          <w:rFonts w:hint="eastAsia" w:hAnsi="宋体"/>
          <w:bCs/>
          <w:color w:val="auto"/>
          <w:sz w:val="24"/>
          <w:szCs w:val="24"/>
          <w:highlight w:val="none"/>
          <w:u w:val="single"/>
        </w:rPr>
        <w:t xml:space="preserve">    </w:t>
      </w:r>
      <w:r>
        <w:rPr>
          <w:rFonts w:hint="eastAsia" w:hAnsi="宋体"/>
          <w:color w:val="auto"/>
          <w:sz w:val="24"/>
          <w:szCs w:val="24"/>
          <w:highlight w:val="none"/>
        </w:rPr>
        <w:t>日，</w:t>
      </w:r>
      <w:r>
        <w:rPr>
          <w:rFonts w:hint="eastAsia" w:hAnsi="宋体"/>
          <w:bCs/>
          <w:color w:val="auto"/>
          <w:sz w:val="24"/>
          <w:szCs w:val="24"/>
          <w:highlight w:val="none"/>
        </w:rPr>
        <w:t>就质疑事项作出了答复</w:t>
      </w:r>
      <w:r>
        <w:rPr>
          <w:rFonts w:hAnsi="宋体"/>
          <w:bCs/>
          <w:color w:val="auto"/>
          <w:sz w:val="24"/>
          <w:szCs w:val="24"/>
          <w:highlight w:val="none"/>
        </w:rPr>
        <w:t>/</w:t>
      </w:r>
      <w:r>
        <w:rPr>
          <w:rFonts w:hint="eastAsia" w:hAnsi="宋体"/>
          <w:bCs/>
          <w:color w:val="auto"/>
          <w:sz w:val="24"/>
          <w:szCs w:val="24"/>
          <w:highlight w:val="none"/>
        </w:rPr>
        <w:t>没有在法定期限内作出答复。</w:t>
      </w:r>
    </w:p>
    <w:p w14:paraId="3C0A54DC">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四、投诉事项具体内容</w:t>
      </w:r>
    </w:p>
    <w:p w14:paraId="73665ADA">
      <w:pPr>
        <w:pStyle w:val="15"/>
        <w:spacing w:line="360" w:lineRule="auto"/>
        <w:ind w:left="25" w:leftChars="12" w:firstLine="472" w:firstLineChars="197"/>
        <w:rPr>
          <w:rFonts w:hint="eastAsia" w:hAnsi="宋体"/>
          <w:bCs/>
          <w:color w:val="auto"/>
          <w:sz w:val="24"/>
          <w:szCs w:val="24"/>
          <w:highlight w:val="none"/>
          <w:u w:val="single"/>
        </w:rPr>
      </w:pPr>
      <w:r>
        <w:rPr>
          <w:rFonts w:hint="eastAsia" w:hAnsi="宋体"/>
          <w:color w:val="auto"/>
          <w:sz w:val="24"/>
          <w:szCs w:val="24"/>
          <w:highlight w:val="none"/>
        </w:rPr>
        <w:t>投诉事项</w:t>
      </w:r>
      <w:r>
        <w:rPr>
          <w:rFonts w:hAnsi="宋体"/>
          <w:color w:val="auto"/>
          <w:sz w:val="24"/>
          <w:szCs w:val="24"/>
          <w:highlight w:val="none"/>
        </w:rPr>
        <w:t>1</w:t>
      </w:r>
      <w:r>
        <w:rPr>
          <w:rFonts w:hint="eastAsia" w:hAnsi="宋体"/>
          <w:color w:val="auto"/>
          <w:sz w:val="24"/>
          <w:szCs w:val="24"/>
          <w:highlight w:val="none"/>
        </w:rPr>
        <w:t>：</w:t>
      </w:r>
      <w:r>
        <w:rPr>
          <w:rFonts w:hint="eastAsia" w:hAnsi="宋体"/>
          <w:bCs/>
          <w:color w:val="auto"/>
          <w:sz w:val="24"/>
          <w:szCs w:val="24"/>
          <w:highlight w:val="none"/>
          <w:u w:val="single"/>
        </w:rPr>
        <w:t xml:space="preserve">                                                      </w:t>
      </w:r>
    </w:p>
    <w:p w14:paraId="38B862B8">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事实依据：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14AFFAB2">
      <w:pPr>
        <w:pStyle w:val="15"/>
        <w:spacing w:line="360" w:lineRule="auto"/>
        <w:ind w:firstLine="480" w:firstLineChars="200"/>
        <w:rPr>
          <w:rFonts w:hint="eastAsia" w:hAnsi="宋体"/>
          <w:bCs/>
          <w:color w:val="auto"/>
          <w:sz w:val="24"/>
          <w:szCs w:val="24"/>
          <w:highlight w:val="none"/>
          <w:u w:val="single"/>
        </w:rPr>
      </w:pPr>
      <w:r>
        <w:rPr>
          <w:rFonts w:hint="eastAsia" w:ascii="Times New Roman" w:hAnsi="宋体"/>
          <w:bCs/>
          <w:color w:val="auto"/>
          <w:kern w:val="2"/>
          <w:sz w:val="24"/>
          <w:szCs w:val="24"/>
          <w:highlight w:val="none"/>
          <w:u w:val="single"/>
        </w:rPr>
        <w:t xml:space="preserve">                                                                  </w:t>
      </w:r>
    </w:p>
    <w:p w14:paraId="3E314DF0">
      <w:pPr>
        <w:pStyle w:val="15"/>
        <w:spacing w:line="360" w:lineRule="auto"/>
        <w:ind w:firstLine="480" w:firstLineChars="200"/>
        <w:rPr>
          <w:rFonts w:hint="eastAsia" w:hAnsi="宋体"/>
          <w:bCs/>
          <w:color w:val="auto"/>
          <w:sz w:val="24"/>
          <w:szCs w:val="24"/>
          <w:highlight w:val="none"/>
          <w:u w:val="single"/>
        </w:rPr>
      </w:pPr>
      <w:r>
        <w:rPr>
          <w:rFonts w:hint="eastAsia" w:hAnsi="宋体"/>
          <w:bCs/>
          <w:color w:val="auto"/>
          <w:sz w:val="24"/>
          <w:szCs w:val="24"/>
          <w:highlight w:val="none"/>
        </w:rPr>
        <w:t>法律依据：</w:t>
      </w:r>
      <w:r>
        <w:rPr>
          <w:rFonts w:hint="eastAsia" w:hAnsi="宋体"/>
          <w:color w:val="auto"/>
          <w:sz w:val="24"/>
          <w:szCs w:val="24"/>
          <w:highlight w:val="none"/>
        </w:rPr>
        <w:t xml:space="preserve"> </w:t>
      </w:r>
      <w:r>
        <w:rPr>
          <w:rFonts w:hint="eastAsia" w:hAnsi="宋体"/>
          <w:bCs/>
          <w:color w:val="auto"/>
          <w:sz w:val="24"/>
          <w:szCs w:val="24"/>
          <w:highlight w:val="none"/>
          <w:u w:val="single"/>
        </w:rPr>
        <w:t xml:space="preserve">                                                                                      </w:t>
      </w:r>
    </w:p>
    <w:p w14:paraId="0487D0C6">
      <w:pPr>
        <w:pStyle w:val="15"/>
        <w:spacing w:line="360" w:lineRule="auto"/>
        <w:ind w:firstLine="480" w:firstLineChars="200"/>
        <w:rPr>
          <w:rFonts w:hint="eastAsia" w:hAnsi="宋体"/>
          <w:bCs/>
          <w:color w:val="auto"/>
          <w:sz w:val="24"/>
          <w:szCs w:val="24"/>
          <w:highlight w:val="none"/>
          <w:u w:val="single"/>
        </w:rPr>
      </w:pPr>
      <w:r>
        <w:rPr>
          <w:rFonts w:hint="eastAsia" w:ascii="Times New Roman" w:hAnsi="宋体"/>
          <w:bCs/>
          <w:color w:val="auto"/>
          <w:kern w:val="2"/>
          <w:sz w:val="24"/>
          <w:szCs w:val="24"/>
          <w:highlight w:val="none"/>
          <w:u w:val="single"/>
        </w:rPr>
        <w:t xml:space="preserve">                                                                  </w:t>
      </w:r>
    </w:p>
    <w:p w14:paraId="6960F493">
      <w:pPr>
        <w:pStyle w:val="15"/>
        <w:spacing w:line="360" w:lineRule="auto"/>
        <w:ind w:left="25" w:leftChars="12" w:firstLine="472" w:firstLineChars="197"/>
        <w:rPr>
          <w:rFonts w:hint="eastAsia" w:hAnsi="宋体"/>
          <w:bCs/>
          <w:color w:val="auto"/>
          <w:sz w:val="24"/>
          <w:szCs w:val="24"/>
          <w:highlight w:val="none"/>
        </w:rPr>
      </w:pPr>
      <w:r>
        <w:rPr>
          <w:rFonts w:hint="eastAsia" w:hAnsi="宋体"/>
          <w:color w:val="auto"/>
          <w:sz w:val="24"/>
          <w:szCs w:val="24"/>
          <w:highlight w:val="none"/>
        </w:rPr>
        <w:t>投诉事项</w:t>
      </w:r>
      <w:r>
        <w:rPr>
          <w:rFonts w:hAnsi="宋体"/>
          <w:color w:val="auto"/>
          <w:sz w:val="24"/>
          <w:szCs w:val="24"/>
          <w:highlight w:val="none"/>
        </w:rPr>
        <w:t xml:space="preserve">2  </w:t>
      </w:r>
    </w:p>
    <w:p w14:paraId="47939188">
      <w:pPr>
        <w:pStyle w:val="15"/>
        <w:spacing w:line="360" w:lineRule="auto"/>
        <w:ind w:left="25" w:leftChars="12" w:firstLine="472" w:firstLineChars="197"/>
        <w:rPr>
          <w:rFonts w:hint="eastAsia" w:hAnsi="宋体"/>
          <w:bCs/>
          <w:color w:val="auto"/>
          <w:sz w:val="24"/>
          <w:szCs w:val="24"/>
          <w:highlight w:val="none"/>
        </w:rPr>
      </w:pPr>
      <w:r>
        <w:rPr>
          <w:rFonts w:hint="eastAsia" w:hAnsi="宋体"/>
          <w:bCs/>
          <w:color w:val="auto"/>
          <w:sz w:val="24"/>
          <w:szCs w:val="24"/>
          <w:highlight w:val="none"/>
        </w:rPr>
        <w:t>……</w:t>
      </w:r>
    </w:p>
    <w:p w14:paraId="0342D7FD">
      <w:pPr>
        <w:pStyle w:val="15"/>
        <w:spacing w:line="360" w:lineRule="auto"/>
        <w:ind w:left="25" w:leftChars="12" w:firstLine="472" w:firstLineChars="196"/>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3664C6A0">
      <w:pPr>
        <w:pStyle w:val="15"/>
        <w:spacing w:line="360" w:lineRule="auto"/>
        <w:ind w:firstLine="480" w:firstLineChars="200"/>
        <w:rPr>
          <w:rFonts w:hint="eastAsia" w:hAnsi="宋体"/>
          <w:bCs/>
          <w:color w:val="auto"/>
          <w:sz w:val="24"/>
          <w:szCs w:val="24"/>
          <w:highlight w:val="none"/>
          <w:u w:val="single"/>
        </w:rPr>
      </w:pPr>
      <w:r>
        <w:rPr>
          <w:rFonts w:hint="eastAsia" w:hAnsi="宋体"/>
          <w:color w:val="auto"/>
          <w:sz w:val="24"/>
          <w:szCs w:val="24"/>
          <w:highlight w:val="none"/>
        </w:rPr>
        <w:t xml:space="preserve">请求： </w:t>
      </w:r>
      <w:r>
        <w:rPr>
          <w:rFonts w:hint="eastAsia" w:hAnsi="宋体"/>
          <w:bCs/>
          <w:color w:val="auto"/>
          <w:sz w:val="24"/>
          <w:szCs w:val="24"/>
          <w:highlight w:val="none"/>
          <w:u w:val="single"/>
        </w:rPr>
        <w:t xml:space="preserve">                                                                                      </w:t>
      </w:r>
    </w:p>
    <w:p w14:paraId="5324A711">
      <w:pPr>
        <w:pStyle w:val="15"/>
        <w:spacing w:line="360" w:lineRule="auto"/>
        <w:ind w:left="25" w:leftChars="12" w:firstLine="472" w:firstLineChars="197"/>
        <w:rPr>
          <w:rFonts w:hint="eastAsia" w:hAnsi="宋体"/>
          <w:color w:val="auto"/>
          <w:sz w:val="24"/>
          <w:szCs w:val="24"/>
          <w:highlight w:val="none"/>
        </w:rPr>
      </w:pPr>
      <w:r>
        <w:rPr>
          <w:rFonts w:hint="eastAsia" w:ascii="Times New Roman" w:hAnsi="宋体"/>
          <w:bCs/>
          <w:color w:val="auto"/>
          <w:kern w:val="2"/>
          <w:sz w:val="24"/>
          <w:szCs w:val="24"/>
          <w:highlight w:val="none"/>
          <w:u w:val="single"/>
        </w:rPr>
        <w:t xml:space="preserve">                                                                  </w:t>
      </w:r>
    </w:p>
    <w:p w14:paraId="402A17D5">
      <w:pPr>
        <w:pStyle w:val="15"/>
        <w:spacing w:line="360" w:lineRule="auto"/>
        <w:ind w:left="25" w:leftChars="12" w:firstLine="352" w:firstLineChars="147"/>
        <w:rPr>
          <w:rFonts w:hint="eastAsia" w:hAnsi="宋体"/>
          <w:color w:val="auto"/>
          <w:sz w:val="24"/>
          <w:szCs w:val="24"/>
          <w:highlight w:val="none"/>
        </w:rPr>
      </w:pPr>
    </w:p>
    <w:p w14:paraId="29E12C5C">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签字（签章）：             公章：</w:t>
      </w:r>
    </w:p>
    <w:p w14:paraId="3E6F8111">
      <w:pPr>
        <w:pStyle w:val="15"/>
        <w:spacing w:line="360" w:lineRule="auto"/>
        <w:ind w:left="25" w:leftChars="12" w:firstLine="352" w:firstLineChars="147"/>
        <w:rPr>
          <w:rFonts w:hint="eastAsia" w:hAnsi="宋体"/>
          <w:color w:val="auto"/>
          <w:sz w:val="24"/>
          <w:szCs w:val="24"/>
          <w:highlight w:val="none"/>
        </w:rPr>
      </w:pPr>
    </w:p>
    <w:p w14:paraId="56B73321">
      <w:pPr>
        <w:pStyle w:val="15"/>
        <w:spacing w:line="360" w:lineRule="auto"/>
        <w:ind w:left="25" w:leftChars="12" w:firstLine="472" w:firstLineChars="197"/>
        <w:rPr>
          <w:rFonts w:hint="eastAsia" w:hAnsi="宋体"/>
          <w:color w:val="auto"/>
          <w:sz w:val="24"/>
          <w:szCs w:val="24"/>
          <w:highlight w:val="none"/>
        </w:rPr>
      </w:pPr>
      <w:r>
        <w:rPr>
          <w:rFonts w:hint="eastAsia" w:hAnsi="宋体"/>
          <w:color w:val="auto"/>
          <w:sz w:val="24"/>
          <w:szCs w:val="24"/>
          <w:highlight w:val="none"/>
        </w:rPr>
        <w:t>日期：</w:t>
      </w:r>
    </w:p>
    <w:p w14:paraId="4D315D8B">
      <w:pPr>
        <w:pStyle w:val="15"/>
        <w:spacing w:line="360" w:lineRule="auto"/>
        <w:ind w:left="25" w:leftChars="12" w:firstLine="472" w:firstLineChars="197"/>
        <w:rPr>
          <w:rFonts w:hint="eastAsia" w:hAnsi="宋体"/>
          <w:color w:val="auto"/>
          <w:sz w:val="24"/>
          <w:szCs w:val="24"/>
          <w:highlight w:val="none"/>
        </w:rPr>
      </w:pPr>
    </w:p>
    <w:p w14:paraId="79DE6E31">
      <w:pPr>
        <w:pStyle w:val="15"/>
        <w:snapToGrid w:val="0"/>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65363FB1">
      <w:pPr>
        <w:pStyle w:val="15"/>
        <w:spacing w:line="360" w:lineRule="auto"/>
        <w:ind w:left="25" w:leftChars="12" w:firstLine="354" w:firstLineChars="147"/>
        <w:rPr>
          <w:rFonts w:hint="eastAsia" w:hAnsi="宋体"/>
          <w:b/>
          <w:bCs/>
          <w:color w:val="auto"/>
          <w:sz w:val="24"/>
          <w:szCs w:val="24"/>
          <w:highlight w:val="none"/>
        </w:rPr>
      </w:pPr>
      <w:r>
        <w:rPr>
          <w:rFonts w:hAnsi="宋体"/>
          <w:b/>
          <w:color w:val="auto"/>
          <w:sz w:val="24"/>
          <w:szCs w:val="24"/>
          <w:highlight w:val="none"/>
        </w:rPr>
        <w:t>1.</w:t>
      </w:r>
      <w:r>
        <w:rPr>
          <w:rFonts w:hint="eastAsia" w:hAnsi="宋体"/>
          <w:b/>
          <w:color w:val="auto"/>
          <w:sz w:val="24"/>
          <w:szCs w:val="24"/>
          <w:highlight w:val="none"/>
        </w:rPr>
        <w:t>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D3646BC">
      <w:pPr>
        <w:pStyle w:val="15"/>
        <w:spacing w:line="360" w:lineRule="auto"/>
        <w:ind w:left="25" w:leftChars="12" w:firstLine="354" w:firstLineChars="147"/>
        <w:rPr>
          <w:rFonts w:hint="eastAsia" w:hAnsi="宋体"/>
          <w:b/>
          <w:color w:val="auto"/>
          <w:sz w:val="24"/>
          <w:szCs w:val="24"/>
          <w:highlight w:val="none"/>
        </w:rPr>
      </w:pPr>
      <w:r>
        <w:rPr>
          <w:rFonts w:hAnsi="宋体"/>
          <w:b/>
          <w:color w:val="auto"/>
          <w:sz w:val="24"/>
          <w:szCs w:val="24"/>
          <w:highlight w:val="none"/>
        </w:rPr>
        <w:t>2.</w:t>
      </w:r>
      <w:r>
        <w:rPr>
          <w:rFonts w:hint="eastAsia" w:hAnsi="宋体"/>
          <w:b/>
          <w:color w:val="auto"/>
          <w:sz w:val="24"/>
          <w:szCs w:val="24"/>
          <w:highlight w:val="none"/>
        </w:rPr>
        <w:t>投诉人若委托代理人进行投诉的，投诉书应按要求列明“授权代表”的有关内容，并在附件中提交由投诉人签署的授权委托书。授权委托书应当载明代理人的姓名或者名称、代理事项、具体权限、期限和相关事项。</w:t>
      </w:r>
    </w:p>
    <w:p w14:paraId="5644878B">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3</w:t>
      </w:r>
      <w:r>
        <w:rPr>
          <w:rFonts w:hAnsi="宋体"/>
          <w:b/>
          <w:color w:val="auto"/>
          <w:sz w:val="24"/>
          <w:szCs w:val="24"/>
          <w:highlight w:val="none"/>
        </w:rPr>
        <w:t>.</w:t>
      </w:r>
      <w:r>
        <w:rPr>
          <w:rFonts w:hint="eastAsia" w:hAnsi="宋体"/>
          <w:b/>
          <w:color w:val="auto"/>
          <w:sz w:val="24"/>
          <w:szCs w:val="24"/>
          <w:highlight w:val="none"/>
        </w:rPr>
        <w:t>投诉书应简要列明质疑事项，质疑函、质疑答复等作为附件材料提供。</w:t>
      </w:r>
    </w:p>
    <w:p w14:paraId="1E10B30B">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4</w:t>
      </w:r>
      <w:r>
        <w:rPr>
          <w:rFonts w:hAnsi="宋体"/>
          <w:b/>
          <w:color w:val="auto"/>
          <w:sz w:val="24"/>
          <w:szCs w:val="24"/>
          <w:highlight w:val="none"/>
        </w:rPr>
        <w:t>.</w:t>
      </w:r>
      <w:r>
        <w:rPr>
          <w:rFonts w:hint="eastAsia" w:hAnsi="宋体"/>
          <w:b/>
          <w:color w:val="auto"/>
          <w:sz w:val="24"/>
          <w:szCs w:val="24"/>
          <w:highlight w:val="none"/>
        </w:rPr>
        <w:t>投诉书的投诉事项应具体、明确，并有必要的事实依据和法律依据。</w:t>
      </w:r>
    </w:p>
    <w:p w14:paraId="01B174C8">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5</w:t>
      </w:r>
      <w:r>
        <w:rPr>
          <w:rFonts w:hAnsi="宋体"/>
          <w:b/>
          <w:color w:val="auto"/>
          <w:sz w:val="24"/>
          <w:szCs w:val="24"/>
          <w:highlight w:val="none"/>
        </w:rPr>
        <w:t>.</w:t>
      </w:r>
      <w:r>
        <w:rPr>
          <w:rFonts w:hint="eastAsia" w:hAnsi="宋体"/>
          <w:b/>
          <w:color w:val="auto"/>
          <w:sz w:val="24"/>
          <w:szCs w:val="24"/>
          <w:highlight w:val="none"/>
        </w:rPr>
        <w:t>投诉书的投诉请求应与投诉事项相关。</w:t>
      </w:r>
    </w:p>
    <w:p w14:paraId="0FD9D096">
      <w:pPr>
        <w:pStyle w:val="15"/>
        <w:spacing w:line="360" w:lineRule="auto"/>
        <w:ind w:left="25" w:leftChars="12" w:firstLine="354" w:firstLineChars="147"/>
        <w:rPr>
          <w:rFonts w:hint="eastAsia" w:hAnsi="宋体"/>
          <w:b/>
          <w:color w:val="auto"/>
          <w:sz w:val="24"/>
          <w:szCs w:val="24"/>
          <w:highlight w:val="none"/>
        </w:rPr>
      </w:pPr>
      <w:r>
        <w:rPr>
          <w:rFonts w:hint="eastAsia" w:hAnsi="宋体"/>
          <w:b/>
          <w:color w:val="auto"/>
          <w:sz w:val="24"/>
          <w:szCs w:val="24"/>
          <w:highlight w:val="none"/>
        </w:rPr>
        <w:t>6</w:t>
      </w:r>
      <w:r>
        <w:rPr>
          <w:rFonts w:hAnsi="宋体"/>
          <w:b/>
          <w:color w:val="auto"/>
          <w:sz w:val="24"/>
          <w:szCs w:val="24"/>
          <w:highlight w:val="none"/>
        </w:rPr>
        <w:t>.</w:t>
      </w:r>
      <w:r>
        <w:rPr>
          <w:rFonts w:hint="eastAsia" w:hAnsi="宋体"/>
          <w:b/>
          <w:color w:val="auto"/>
          <w:sz w:val="24"/>
          <w:szCs w:val="24"/>
          <w:highlight w:val="none"/>
        </w:rPr>
        <w:t>投诉人为法人或者其他组织的，投诉书应由法定代表人、主要负责人，或者其授权代表签字或者盖章，并加盖公章。</w:t>
      </w:r>
    </w:p>
    <w:p w14:paraId="3223B940">
      <w:pPr>
        <w:pStyle w:val="2"/>
        <w:spacing w:before="0" w:after="0"/>
        <w:jc w:val="center"/>
        <w:rPr>
          <w:rFonts w:ascii="宋体"/>
          <w:color w:val="auto"/>
          <w:kern w:val="2"/>
          <w:sz w:val="32"/>
          <w:szCs w:val="32"/>
          <w:highlight w:val="none"/>
        </w:rPr>
      </w:pPr>
      <w:r>
        <w:rPr>
          <w:color w:val="auto"/>
          <w:highlight w:val="none"/>
        </w:rPr>
        <w:br w:type="page"/>
      </w:r>
      <w:bookmarkStart w:id="81" w:name="_Toc74322013"/>
      <w:r>
        <w:rPr>
          <w:rFonts w:hint="eastAsia" w:ascii="宋体" w:hAnsi="宋体"/>
          <w:color w:val="auto"/>
          <w:kern w:val="2"/>
          <w:sz w:val="32"/>
          <w:szCs w:val="32"/>
          <w:highlight w:val="none"/>
        </w:rPr>
        <w:t>第六章 合同文本</w:t>
      </w:r>
      <w:bookmarkEnd w:id="81"/>
    </w:p>
    <w:p w14:paraId="1F86A3EB">
      <w:pPr>
        <w:snapToGrid w:val="0"/>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《广西壮族自治区政府采购合同》</w:t>
      </w:r>
    </w:p>
    <w:p w14:paraId="0B4B35C8">
      <w:pPr>
        <w:snapToGrid w:val="0"/>
        <w:spacing w:line="360" w:lineRule="auto"/>
        <w:jc w:val="center"/>
        <w:rPr>
          <w:rFonts w:hint="eastAsia" w:ascii="宋体" w:hAnsi="宋体"/>
          <w:b/>
          <w:bCs/>
          <w:color w:val="auto"/>
          <w:sz w:val="32"/>
          <w:szCs w:val="32"/>
          <w:highlight w:val="none"/>
        </w:rPr>
      </w:pPr>
    </w:p>
    <w:p w14:paraId="5F5AF11A">
      <w:pPr>
        <w:snapToGrid w:val="0"/>
        <w:spacing w:line="360" w:lineRule="auto"/>
        <w:ind w:right="480" w:firstLine="5250" w:firstLineChars="2500"/>
        <w:rPr>
          <w:rFonts w:hint="eastAsia" w:ascii="宋体" w:hAnsi="宋体"/>
          <w:bCs/>
          <w:color w:val="auto"/>
          <w:szCs w:val="21"/>
          <w:highlight w:val="none"/>
          <w:u w:val="single"/>
        </w:rPr>
      </w:pPr>
      <w:r>
        <w:rPr>
          <w:rFonts w:hint="eastAsia" w:ascii="宋体" w:hAnsi="宋体"/>
          <w:bCs/>
          <w:color w:val="auto"/>
          <w:szCs w:val="21"/>
          <w:highlight w:val="none"/>
        </w:rPr>
        <w:t>合同编号：</w:t>
      </w:r>
    </w:p>
    <w:p w14:paraId="3EE05C2B">
      <w:pPr>
        <w:snapToGrid w:val="0"/>
        <w:spacing w:line="360" w:lineRule="auto"/>
        <w:rPr>
          <w:rFonts w:hint="eastAsia" w:ascii="宋体" w:hAnsi="宋体"/>
          <w:color w:val="auto"/>
          <w:szCs w:val="21"/>
          <w:highlight w:val="none"/>
        </w:rPr>
      </w:pPr>
    </w:p>
    <w:p w14:paraId="403CC2C6">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采购人（甲方）：</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76090802">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供应商（乙方）：</w:t>
      </w:r>
      <w:r>
        <w:rPr>
          <w:rFonts w:hint="eastAsia" w:ascii="宋体" w:hAnsi="宋体"/>
          <w:color w:val="auto"/>
          <w:szCs w:val="21"/>
          <w:highlight w:val="none"/>
          <w:u w:val="single"/>
        </w:rPr>
        <w:t xml:space="preserve">                          </w:t>
      </w:r>
    </w:p>
    <w:p w14:paraId="53852C03">
      <w:pPr>
        <w:snapToGrid w:val="0"/>
        <w:spacing w:line="360" w:lineRule="auto"/>
        <w:rPr>
          <w:rFonts w:hint="eastAsia" w:ascii="宋体" w:hAnsi="宋体"/>
          <w:color w:val="auto"/>
          <w:szCs w:val="21"/>
          <w:highlight w:val="none"/>
        </w:rPr>
      </w:pPr>
      <w:r>
        <w:rPr>
          <w:rFonts w:hint="eastAsia" w:ascii="宋体" w:hAnsi="宋体"/>
          <w:color w:val="auto"/>
          <w:spacing w:val="-20"/>
          <w:szCs w:val="21"/>
          <w:highlight w:val="none"/>
        </w:rPr>
        <w:t>采 购 计 划 号：</w:t>
      </w:r>
      <w:r>
        <w:rPr>
          <w:rFonts w:hint="eastAsia" w:ascii="宋体" w:hAnsi="宋体"/>
          <w:color w:val="auto"/>
          <w:szCs w:val="21"/>
          <w:highlight w:val="none"/>
          <w:u w:val="single"/>
        </w:rPr>
        <w:t xml:space="preserve">                         </w:t>
      </w:r>
    </w:p>
    <w:p w14:paraId="36F64F86">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桂林医科大学临床教学培训中心智慧实训室设备采购</w:t>
      </w:r>
    </w:p>
    <w:p w14:paraId="225598C1">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项目编号：</w:t>
      </w:r>
      <w:r>
        <w:rPr>
          <w:rFonts w:hint="eastAsia" w:ascii="宋体" w:hAnsi="宋体"/>
          <w:color w:val="auto"/>
          <w:szCs w:val="21"/>
          <w:highlight w:val="none"/>
          <w:u w:val="single"/>
        </w:rPr>
        <w:t xml:space="preserve">GXZC2025-J1-002937-YZLZ </w:t>
      </w:r>
    </w:p>
    <w:p w14:paraId="48D1EC1F">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合同类型：</w:t>
      </w:r>
      <w:r>
        <w:rPr>
          <w:rFonts w:hint="eastAsia" w:ascii="宋体" w:hAnsi="宋体"/>
          <w:color w:val="auto"/>
          <w:szCs w:val="21"/>
          <w:highlight w:val="none"/>
          <w:u w:val="single"/>
        </w:rPr>
        <w:t>买卖合同</w:t>
      </w:r>
    </w:p>
    <w:p w14:paraId="385C2A18">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本合同为中小企业预留合同：</w:t>
      </w:r>
      <w:r>
        <w:rPr>
          <w:rFonts w:hint="eastAsia" w:ascii="宋体" w:hAnsi="宋体" w:cs="宋体"/>
          <w:i/>
          <w:color w:val="auto"/>
          <w:szCs w:val="21"/>
          <w:highlight w:val="none"/>
          <w:u w:val="single"/>
        </w:rPr>
        <w:t>（是/否）</w:t>
      </w:r>
      <w:r>
        <w:rPr>
          <w:rFonts w:hint="eastAsia" w:ascii="宋体" w:hAnsi="宋体" w:cs="宋体"/>
          <w:color w:val="auto"/>
          <w:szCs w:val="21"/>
          <w:highlight w:val="none"/>
        </w:rPr>
        <w:t>。</w:t>
      </w:r>
    </w:p>
    <w:p w14:paraId="42C7A379">
      <w:pPr>
        <w:pStyle w:val="11"/>
        <w:spacing w:line="360" w:lineRule="auto"/>
        <w:rPr>
          <w:rFonts w:hint="eastAsia" w:ascii="宋体" w:hAnsi="宋体"/>
          <w:color w:val="auto"/>
          <w:szCs w:val="21"/>
          <w:highlight w:val="none"/>
        </w:rPr>
      </w:pPr>
    </w:p>
    <w:p w14:paraId="7FD7411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根据《中华人民共和国政府采购法》《中华人民共和国民法典》等法律、法规规定，按照谈判文件规定条款和乙方响应承诺，甲乙双方签订本合同。</w:t>
      </w:r>
    </w:p>
    <w:p w14:paraId="7FE99514">
      <w:pPr>
        <w:snapToGrid w:val="0"/>
        <w:spacing w:line="400" w:lineRule="exact"/>
        <w:rPr>
          <w:rFonts w:hint="eastAsia" w:ascii="宋体" w:hAnsi="宋体"/>
          <w:b/>
          <w:color w:val="auto"/>
          <w:highlight w:val="none"/>
        </w:rPr>
      </w:pPr>
      <w:r>
        <w:rPr>
          <w:rFonts w:hint="eastAsia" w:ascii="宋体" w:hAnsi="宋体"/>
          <w:b/>
          <w:color w:val="auto"/>
          <w:highlight w:val="none"/>
        </w:rPr>
        <w:t>第一条 合同标的</w:t>
      </w:r>
    </w:p>
    <w:p w14:paraId="3F090C3D">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1.供货一览表</w:t>
      </w:r>
    </w:p>
    <w:tbl>
      <w:tblPr>
        <w:tblStyle w:val="25"/>
        <w:tblW w:w="9498"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850"/>
        <w:gridCol w:w="992"/>
        <w:gridCol w:w="1134"/>
        <w:gridCol w:w="1134"/>
        <w:gridCol w:w="851"/>
        <w:gridCol w:w="708"/>
        <w:gridCol w:w="709"/>
        <w:gridCol w:w="1016"/>
        <w:gridCol w:w="9"/>
        <w:gridCol w:w="1064"/>
      </w:tblGrid>
      <w:tr w14:paraId="3A467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031" w:type="dxa"/>
            <w:tcBorders>
              <w:top w:val="single" w:color="auto" w:sz="4" w:space="0"/>
              <w:left w:val="single" w:color="auto" w:sz="4" w:space="0"/>
              <w:bottom w:val="single" w:color="auto" w:sz="4" w:space="0"/>
              <w:right w:val="single" w:color="auto" w:sz="4" w:space="0"/>
            </w:tcBorders>
            <w:vAlign w:val="center"/>
          </w:tcPr>
          <w:p w14:paraId="59275042">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项号</w:t>
            </w:r>
          </w:p>
        </w:tc>
        <w:tc>
          <w:tcPr>
            <w:tcW w:w="850" w:type="dxa"/>
            <w:tcBorders>
              <w:top w:val="single" w:color="auto" w:sz="4" w:space="0"/>
              <w:left w:val="single" w:color="auto" w:sz="4" w:space="0"/>
              <w:bottom w:val="single" w:color="auto" w:sz="4" w:space="0"/>
              <w:right w:val="single" w:color="auto" w:sz="4" w:space="0"/>
            </w:tcBorders>
            <w:vAlign w:val="center"/>
          </w:tcPr>
          <w:p w14:paraId="543ED47C">
            <w:pPr>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标的的名称</w:t>
            </w:r>
          </w:p>
        </w:tc>
        <w:tc>
          <w:tcPr>
            <w:tcW w:w="992" w:type="dxa"/>
            <w:tcBorders>
              <w:top w:val="single" w:color="auto" w:sz="4" w:space="0"/>
              <w:left w:val="single" w:color="auto" w:sz="4" w:space="0"/>
              <w:bottom w:val="single" w:color="auto" w:sz="4" w:space="0"/>
              <w:right w:val="single" w:color="auto" w:sz="4" w:space="0"/>
            </w:tcBorders>
            <w:vAlign w:val="center"/>
          </w:tcPr>
          <w:p w14:paraId="096A7117">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生产厂家（制造商）、产地</w:t>
            </w:r>
          </w:p>
        </w:tc>
        <w:tc>
          <w:tcPr>
            <w:tcW w:w="1134" w:type="dxa"/>
            <w:tcBorders>
              <w:top w:val="single" w:color="auto" w:sz="4" w:space="0"/>
              <w:left w:val="single" w:color="auto" w:sz="4" w:space="0"/>
              <w:bottom w:val="single" w:color="auto" w:sz="4" w:space="0"/>
              <w:right w:val="single" w:color="auto" w:sz="4" w:space="0"/>
            </w:tcBorders>
            <w:vAlign w:val="center"/>
          </w:tcPr>
          <w:p w14:paraId="5381433D">
            <w:pPr>
              <w:snapToGrid w:val="0"/>
              <w:spacing w:line="360" w:lineRule="exact"/>
              <w:jc w:val="center"/>
              <w:rPr>
                <w:rFonts w:hint="eastAsia" w:ascii="宋体" w:hAnsi="宋体"/>
                <w:color w:val="auto"/>
                <w:highlight w:val="none"/>
              </w:rPr>
            </w:pPr>
            <w:r>
              <w:rPr>
                <w:rFonts w:hint="eastAsia" w:ascii="宋体" w:hAnsi="宋体"/>
                <w:color w:val="auto"/>
                <w:highlight w:val="none"/>
              </w:rPr>
              <w:t>品牌</w:t>
            </w:r>
          </w:p>
        </w:tc>
        <w:tc>
          <w:tcPr>
            <w:tcW w:w="1134" w:type="dxa"/>
            <w:tcBorders>
              <w:top w:val="single" w:color="auto" w:sz="4" w:space="0"/>
              <w:left w:val="single" w:color="auto" w:sz="4" w:space="0"/>
              <w:bottom w:val="single" w:color="auto" w:sz="4" w:space="0"/>
              <w:right w:val="single" w:color="auto" w:sz="4" w:space="0"/>
            </w:tcBorders>
            <w:vAlign w:val="center"/>
          </w:tcPr>
          <w:p w14:paraId="20FD6ABB">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规格型号</w:t>
            </w:r>
          </w:p>
        </w:tc>
        <w:tc>
          <w:tcPr>
            <w:tcW w:w="851" w:type="dxa"/>
            <w:tcBorders>
              <w:top w:val="single" w:color="auto" w:sz="4" w:space="0"/>
              <w:left w:val="single" w:color="auto" w:sz="4" w:space="0"/>
              <w:bottom w:val="single" w:color="auto" w:sz="4" w:space="0"/>
              <w:right w:val="single" w:color="auto" w:sz="4" w:space="0"/>
            </w:tcBorders>
            <w:vAlign w:val="center"/>
          </w:tcPr>
          <w:p w14:paraId="34F44D2B">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技术参数</w:t>
            </w:r>
          </w:p>
        </w:tc>
        <w:tc>
          <w:tcPr>
            <w:tcW w:w="708" w:type="dxa"/>
            <w:tcBorders>
              <w:top w:val="single" w:color="auto" w:sz="4" w:space="0"/>
              <w:left w:val="single" w:color="auto" w:sz="4" w:space="0"/>
              <w:bottom w:val="single" w:color="auto" w:sz="4" w:space="0"/>
              <w:right w:val="single" w:color="auto" w:sz="4" w:space="0"/>
            </w:tcBorders>
            <w:vAlign w:val="center"/>
          </w:tcPr>
          <w:p w14:paraId="1B413E2B">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数量</w:t>
            </w:r>
          </w:p>
          <w:p w14:paraId="30FABF67">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①</w:t>
            </w:r>
          </w:p>
        </w:tc>
        <w:tc>
          <w:tcPr>
            <w:tcW w:w="709" w:type="dxa"/>
            <w:tcBorders>
              <w:top w:val="single" w:color="auto" w:sz="4" w:space="0"/>
              <w:left w:val="single" w:color="auto" w:sz="4" w:space="0"/>
              <w:bottom w:val="single" w:color="auto" w:sz="4" w:space="0"/>
              <w:right w:val="single" w:color="auto" w:sz="4" w:space="0"/>
            </w:tcBorders>
            <w:vAlign w:val="center"/>
          </w:tcPr>
          <w:p w14:paraId="1E8DACB5">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单位</w:t>
            </w:r>
          </w:p>
        </w:tc>
        <w:tc>
          <w:tcPr>
            <w:tcW w:w="1016" w:type="dxa"/>
            <w:tcBorders>
              <w:top w:val="single" w:color="auto" w:sz="4" w:space="0"/>
              <w:left w:val="single" w:color="auto" w:sz="4" w:space="0"/>
              <w:bottom w:val="single" w:color="auto" w:sz="4" w:space="0"/>
              <w:right w:val="single" w:color="auto" w:sz="4" w:space="0"/>
            </w:tcBorders>
            <w:vAlign w:val="center"/>
          </w:tcPr>
          <w:p w14:paraId="3C2770DF">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单价（元）</w:t>
            </w:r>
          </w:p>
          <w:p w14:paraId="5022020A">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②</w:t>
            </w: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43B50A1B">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单项合计金额（元）</w:t>
            </w:r>
          </w:p>
          <w:p w14:paraId="13518ACC">
            <w:pPr>
              <w:snapToGrid w:val="0"/>
              <w:spacing w:line="360" w:lineRule="exact"/>
              <w:jc w:val="center"/>
              <w:rPr>
                <w:rFonts w:hint="eastAsia" w:ascii="宋体" w:hAnsi="宋体"/>
                <w:color w:val="auto"/>
                <w:szCs w:val="21"/>
                <w:highlight w:val="none"/>
              </w:rPr>
            </w:pPr>
            <w:r>
              <w:rPr>
                <w:rFonts w:hint="eastAsia" w:ascii="宋体" w:hAnsi="宋体"/>
                <w:color w:val="auto"/>
                <w:highlight w:val="none"/>
              </w:rPr>
              <w:t>③＝①×②</w:t>
            </w:r>
          </w:p>
        </w:tc>
      </w:tr>
      <w:tr w14:paraId="4D87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tcBorders>
              <w:top w:val="single" w:color="auto" w:sz="4" w:space="0"/>
              <w:left w:val="single" w:color="auto" w:sz="4" w:space="0"/>
              <w:bottom w:val="single" w:color="auto" w:sz="4" w:space="0"/>
              <w:right w:val="single" w:color="auto" w:sz="4" w:space="0"/>
            </w:tcBorders>
            <w:vAlign w:val="center"/>
          </w:tcPr>
          <w:p w14:paraId="3C64FB9E">
            <w:pPr>
              <w:spacing w:line="360" w:lineRule="exact"/>
              <w:jc w:val="center"/>
              <w:rPr>
                <w:rFonts w:hint="eastAsia" w:ascii="宋体" w:hAnsi="宋体"/>
                <w:color w:val="auto"/>
                <w:szCs w:val="21"/>
                <w:highlight w:val="none"/>
              </w:rPr>
            </w:pPr>
            <w:r>
              <w:rPr>
                <w:rFonts w:hint="eastAsia" w:ascii="宋体" w:hAnsi="宋体"/>
                <w:color w:val="auto"/>
                <w:highlight w:val="none"/>
              </w:rPr>
              <w:t>1</w:t>
            </w:r>
          </w:p>
        </w:tc>
        <w:tc>
          <w:tcPr>
            <w:tcW w:w="850" w:type="dxa"/>
            <w:tcBorders>
              <w:top w:val="single" w:color="auto" w:sz="4" w:space="0"/>
              <w:left w:val="single" w:color="auto" w:sz="4" w:space="0"/>
              <w:bottom w:val="single" w:color="auto" w:sz="4" w:space="0"/>
              <w:right w:val="single" w:color="auto" w:sz="4" w:space="0"/>
            </w:tcBorders>
            <w:vAlign w:val="center"/>
          </w:tcPr>
          <w:p w14:paraId="0915BA5D">
            <w:pPr>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19B2CB9">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590F6BC1">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FA5ADF2">
            <w:pPr>
              <w:snapToGrid w:val="0"/>
              <w:spacing w:line="360" w:lineRule="exact"/>
              <w:rPr>
                <w:rFonts w:hint="eastAsia"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520EE6CB">
            <w:pPr>
              <w:snapToGrid w:val="0"/>
              <w:spacing w:line="36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0B8D755">
            <w:pPr>
              <w:spacing w:line="360" w:lineRule="exact"/>
              <w:jc w:val="center"/>
              <w:rPr>
                <w:rFonts w:hint="eastAsia"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6E29ACB2">
            <w:pPr>
              <w:spacing w:line="360" w:lineRule="exact"/>
              <w:jc w:val="center"/>
              <w:rPr>
                <w:rFonts w:hint="eastAsia" w:ascii="宋体"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4FD31A2E">
            <w:pPr>
              <w:snapToGrid w:val="0"/>
              <w:spacing w:line="360" w:lineRule="exact"/>
              <w:rPr>
                <w:rFonts w:hint="eastAsia" w:ascii="宋体" w:hAnsi="宋体"/>
                <w:color w:val="auto"/>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70A037BE">
            <w:pPr>
              <w:snapToGrid w:val="0"/>
              <w:spacing w:line="360" w:lineRule="exact"/>
              <w:rPr>
                <w:rFonts w:hint="eastAsia" w:ascii="宋体" w:hAnsi="宋体"/>
                <w:color w:val="auto"/>
                <w:szCs w:val="21"/>
                <w:highlight w:val="none"/>
              </w:rPr>
            </w:pPr>
          </w:p>
        </w:tc>
      </w:tr>
      <w:tr w14:paraId="018B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tcBorders>
              <w:top w:val="single" w:color="auto" w:sz="4" w:space="0"/>
              <w:left w:val="single" w:color="auto" w:sz="4" w:space="0"/>
              <w:bottom w:val="single" w:color="auto" w:sz="4" w:space="0"/>
              <w:right w:val="single" w:color="auto" w:sz="4" w:space="0"/>
            </w:tcBorders>
            <w:vAlign w:val="center"/>
          </w:tcPr>
          <w:p w14:paraId="5C0D7A3C">
            <w:pPr>
              <w:spacing w:line="360" w:lineRule="exact"/>
              <w:jc w:val="center"/>
              <w:rPr>
                <w:rFonts w:hint="eastAsia" w:ascii="宋体" w:hAnsi="宋体"/>
                <w:color w:val="auto"/>
                <w:szCs w:val="21"/>
                <w:highlight w:val="none"/>
              </w:rPr>
            </w:pPr>
            <w:r>
              <w:rPr>
                <w:rFonts w:hint="eastAsia" w:ascii="宋体" w:hAnsi="宋体"/>
                <w:color w:val="auto"/>
                <w:highlight w:val="none"/>
              </w:rPr>
              <w:t>2</w:t>
            </w:r>
          </w:p>
        </w:tc>
        <w:tc>
          <w:tcPr>
            <w:tcW w:w="850" w:type="dxa"/>
            <w:tcBorders>
              <w:top w:val="single" w:color="auto" w:sz="4" w:space="0"/>
              <w:left w:val="single" w:color="auto" w:sz="4" w:space="0"/>
              <w:bottom w:val="single" w:color="auto" w:sz="4" w:space="0"/>
              <w:right w:val="single" w:color="auto" w:sz="4" w:space="0"/>
            </w:tcBorders>
            <w:vAlign w:val="center"/>
          </w:tcPr>
          <w:p w14:paraId="0C172991">
            <w:pPr>
              <w:spacing w:line="360" w:lineRule="exact"/>
              <w:jc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FA24403">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3F182AF7">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351395">
            <w:pPr>
              <w:snapToGrid w:val="0"/>
              <w:spacing w:line="360" w:lineRule="exact"/>
              <w:rPr>
                <w:rFonts w:hint="eastAsia"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183D0A68">
            <w:pPr>
              <w:snapToGrid w:val="0"/>
              <w:spacing w:line="36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8C4F1FF">
            <w:pPr>
              <w:spacing w:line="360" w:lineRule="exact"/>
              <w:jc w:val="center"/>
              <w:rPr>
                <w:rFonts w:hint="eastAsia"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684C903">
            <w:pPr>
              <w:spacing w:line="360" w:lineRule="exact"/>
              <w:jc w:val="center"/>
              <w:rPr>
                <w:rFonts w:hint="eastAsia" w:ascii="宋体"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1F2037DB">
            <w:pPr>
              <w:snapToGrid w:val="0"/>
              <w:spacing w:line="360" w:lineRule="exact"/>
              <w:rPr>
                <w:rFonts w:hint="eastAsia" w:ascii="宋体" w:hAnsi="宋体"/>
                <w:color w:val="auto"/>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320B9624">
            <w:pPr>
              <w:snapToGrid w:val="0"/>
              <w:spacing w:line="360" w:lineRule="exact"/>
              <w:rPr>
                <w:rFonts w:hint="eastAsia" w:ascii="宋体" w:hAnsi="宋体"/>
                <w:color w:val="auto"/>
                <w:szCs w:val="21"/>
                <w:highlight w:val="none"/>
              </w:rPr>
            </w:pPr>
          </w:p>
        </w:tc>
      </w:tr>
      <w:tr w14:paraId="1D6A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1031" w:type="dxa"/>
            <w:tcBorders>
              <w:top w:val="single" w:color="auto" w:sz="4" w:space="0"/>
              <w:left w:val="single" w:color="auto" w:sz="4" w:space="0"/>
              <w:bottom w:val="single" w:color="auto" w:sz="4" w:space="0"/>
              <w:right w:val="single" w:color="auto" w:sz="4" w:space="0"/>
            </w:tcBorders>
            <w:vAlign w:val="center"/>
          </w:tcPr>
          <w:p w14:paraId="653DBEAF">
            <w:pPr>
              <w:widowControl/>
              <w:spacing w:line="360" w:lineRule="exact"/>
              <w:jc w:val="center"/>
              <w:rPr>
                <w:rFonts w:hint="eastAsia" w:ascii="宋体" w:hAnsi="宋体"/>
                <w:color w:val="auto"/>
                <w:szCs w:val="21"/>
                <w:highlight w:val="none"/>
              </w:rPr>
            </w:pPr>
            <w:r>
              <w:rPr>
                <w:rFonts w:hint="eastAsia" w:ascii="宋体" w:hAnsi="宋体"/>
                <w:color w:val="auto"/>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14:paraId="0CC92F99">
            <w:pPr>
              <w:widowControl/>
              <w:spacing w:line="360" w:lineRule="exact"/>
              <w:jc w:val="center"/>
              <w:textAlignment w:val="center"/>
              <w:rPr>
                <w:rFonts w:hint="eastAsia" w:ascii="宋体" w:hAnsi="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D33AE5E">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tcPr>
          <w:p w14:paraId="62B4FEF3">
            <w:pPr>
              <w:snapToGrid w:val="0"/>
              <w:spacing w:line="360" w:lineRule="exact"/>
              <w:rPr>
                <w:rFonts w:hint="eastAsia" w:ascii="宋体" w:hAnsi="宋体"/>
                <w:color w:val="auto"/>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4A58FF6">
            <w:pPr>
              <w:snapToGrid w:val="0"/>
              <w:spacing w:line="360" w:lineRule="exact"/>
              <w:rPr>
                <w:rFonts w:hint="eastAsia" w:ascii="宋体" w:hAnsi="宋体"/>
                <w:color w:val="auto"/>
                <w:szCs w:val="21"/>
                <w:highlight w:val="none"/>
              </w:rPr>
            </w:pPr>
          </w:p>
        </w:tc>
        <w:tc>
          <w:tcPr>
            <w:tcW w:w="851" w:type="dxa"/>
            <w:tcBorders>
              <w:top w:val="single" w:color="auto" w:sz="4" w:space="0"/>
              <w:left w:val="single" w:color="auto" w:sz="4" w:space="0"/>
              <w:bottom w:val="single" w:color="auto" w:sz="4" w:space="0"/>
              <w:right w:val="single" w:color="auto" w:sz="4" w:space="0"/>
            </w:tcBorders>
            <w:vAlign w:val="center"/>
          </w:tcPr>
          <w:p w14:paraId="6E90A87B">
            <w:pPr>
              <w:snapToGrid w:val="0"/>
              <w:spacing w:line="360" w:lineRule="exact"/>
              <w:rPr>
                <w:rFonts w:hint="eastAsia" w:ascii="宋体" w:hAnsi="宋体"/>
                <w:color w:val="auto"/>
                <w:szCs w:val="21"/>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E9C67E7">
            <w:pPr>
              <w:spacing w:line="360" w:lineRule="exact"/>
              <w:jc w:val="center"/>
              <w:rPr>
                <w:rFonts w:hint="eastAsia" w:ascii="宋体" w:hAnsi="宋体"/>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14ACE14">
            <w:pPr>
              <w:spacing w:line="360" w:lineRule="exact"/>
              <w:jc w:val="center"/>
              <w:rPr>
                <w:rFonts w:hint="eastAsia" w:ascii="宋体"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vAlign w:val="center"/>
          </w:tcPr>
          <w:p w14:paraId="7DD0A1D7">
            <w:pPr>
              <w:snapToGrid w:val="0"/>
              <w:spacing w:line="360" w:lineRule="exact"/>
              <w:rPr>
                <w:rFonts w:hint="eastAsia" w:ascii="宋体" w:hAnsi="宋体"/>
                <w:color w:val="auto"/>
                <w:szCs w:val="21"/>
                <w:highlight w:val="none"/>
              </w:rPr>
            </w:pPr>
          </w:p>
        </w:tc>
        <w:tc>
          <w:tcPr>
            <w:tcW w:w="1073" w:type="dxa"/>
            <w:gridSpan w:val="2"/>
            <w:tcBorders>
              <w:top w:val="single" w:color="auto" w:sz="4" w:space="0"/>
              <w:left w:val="single" w:color="auto" w:sz="4" w:space="0"/>
              <w:bottom w:val="single" w:color="auto" w:sz="4" w:space="0"/>
              <w:right w:val="single" w:color="auto" w:sz="4" w:space="0"/>
            </w:tcBorders>
            <w:vAlign w:val="center"/>
          </w:tcPr>
          <w:p w14:paraId="47DDA75F">
            <w:pPr>
              <w:snapToGrid w:val="0"/>
              <w:spacing w:line="360" w:lineRule="exact"/>
              <w:rPr>
                <w:rFonts w:hint="eastAsia" w:ascii="宋体" w:hAnsi="宋体"/>
                <w:color w:val="auto"/>
                <w:szCs w:val="21"/>
                <w:highlight w:val="none"/>
              </w:rPr>
            </w:pPr>
          </w:p>
        </w:tc>
      </w:tr>
      <w:tr w14:paraId="6C17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8434" w:type="dxa"/>
            <w:gridSpan w:val="10"/>
            <w:tcBorders>
              <w:top w:val="single" w:color="auto" w:sz="4" w:space="0"/>
              <w:left w:val="single" w:color="auto" w:sz="4" w:space="0"/>
              <w:bottom w:val="single" w:color="auto" w:sz="4" w:space="0"/>
              <w:right w:val="single" w:color="auto" w:sz="4" w:space="0"/>
            </w:tcBorders>
            <w:vAlign w:val="center"/>
          </w:tcPr>
          <w:p w14:paraId="238E2B1C">
            <w:pPr>
              <w:snapToGrid w:val="0"/>
              <w:spacing w:line="360" w:lineRule="exact"/>
              <w:jc w:val="left"/>
              <w:rPr>
                <w:rFonts w:hint="eastAsia" w:ascii="宋体" w:hAnsi="宋体"/>
                <w:color w:val="auto"/>
                <w:szCs w:val="21"/>
                <w:highlight w:val="none"/>
              </w:rPr>
            </w:pPr>
            <w:r>
              <w:rPr>
                <w:rFonts w:hint="eastAsia" w:ascii="宋体" w:hAnsi="宋体"/>
                <w:color w:val="auto"/>
                <w:highlight w:val="none"/>
              </w:rPr>
              <w:t>合计金额</w:t>
            </w:r>
          </w:p>
        </w:tc>
        <w:tc>
          <w:tcPr>
            <w:tcW w:w="1064" w:type="dxa"/>
            <w:tcBorders>
              <w:top w:val="single" w:color="auto" w:sz="4" w:space="0"/>
              <w:left w:val="single" w:color="auto" w:sz="4" w:space="0"/>
              <w:bottom w:val="single" w:color="auto" w:sz="4" w:space="0"/>
              <w:right w:val="single" w:color="auto" w:sz="4" w:space="0"/>
            </w:tcBorders>
            <w:vAlign w:val="center"/>
          </w:tcPr>
          <w:p w14:paraId="2018A252">
            <w:pPr>
              <w:snapToGrid w:val="0"/>
              <w:spacing w:line="360" w:lineRule="exact"/>
              <w:rPr>
                <w:rFonts w:hint="eastAsia" w:ascii="宋体" w:hAnsi="宋体"/>
                <w:color w:val="auto"/>
                <w:szCs w:val="21"/>
                <w:highlight w:val="none"/>
              </w:rPr>
            </w:pPr>
          </w:p>
        </w:tc>
      </w:tr>
      <w:tr w14:paraId="55279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9498" w:type="dxa"/>
            <w:gridSpan w:val="11"/>
            <w:tcBorders>
              <w:top w:val="single" w:color="auto" w:sz="4" w:space="0"/>
              <w:left w:val="single" w:color="auto" w:sz="4" w:space="0"/>
              <w:bottom w:val="single" w:color="auto" w:sz="4" w:space="0"/>
              <w:right w:val="single" w:color="auto" w:sz="4" w:space="0"/>
            </w:tcBorders>
          </w:tcPr>
          <w:p w14:paraId="6DC90DE9">
            <w:pPr>
              <w:snapToGrid w:val="0"/>
              <w:spacing w:line="360" w:lineRule="exact"/>
              <w:rPr>
                <w:rFonts w:hint="eastAsia" w:ascii="宋体" w:hAnsi="宋体"/>
                <w:color w:val="auto"/>
                <w:szCs w:val="21"/>
                <w:highlight w:val="none"/>
              </w:rPr>
            </w:pPr>
            <w:r>
              <w:rPr>
                <w:rFonts w:hint="eastAsia" w:ascii="宋体" w:hAnsi="宋体"/>
                <w:color w:val="auto"/>
                <w:highlight w:val="none"/>
              </w:rPr>
              <w:t>合同金额（大写）</w:t>
            </w:r>
            <w:r>
              <w:rPr>
                <w:rFonts w:hint="eastAsia" w:ascii="宋体" w:hAnsi="宋体"/>
                <w:color w:val="auto"/>
                <w:spacing w:val="20"/>
                <w:highlight w:val="none"/>
              </w:rPr>
              <w:t>人民币</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hAnsi="宋体"/>
                <w:color w:val="auto"/>
                <w:spacing w:val="20"/>
                <w:highlight w:val="none"/>
              </w:rPr>
              <w:t>（¥</w:t>
            </w:r>
            <w:r>
              <w:rPr>
                <w:rFonts w:hint="eastAsia" w:ascii="宋体" w:hAnsi="宋体"/>
                <w:color w:val="auto"/>
                <w:spacing w:val="20"/>
                <w:highlight w:val="none"/>
                <w:u w:val="single"/>
              </w:rPr>
              <w:t xml:space="preserve">              </w:t>
            </w:r>
            <w:r>
              <w:rPr>
                <w:rFonts w:hint="eastAsia" w:ascii="宋体" w:hAnsi="宋体"/>
                <w:color w:val="auto"/>
                <w:spacing w:val="20"/>
                <w:highlight w:val="none"/>
              </w:rPr>
              <w:t xml:space="preserve"> ）</w:t>
            </w:r>
          </w:p>
        </w:tc>
      </w:tr>
    </w:tbl>
    <w:p w14:paraId="6A476A49">
      <w:pPr>
        <w:snapToGrid w:val="0"/>
        <w:spacing w:line="400" w:lineRule="exact"/>
        <w:ind w:firstLine="420" w:firstLineChars="200"/>
        <w:rPr>
          <w:rFonts w:hint="eastAsia" w:hAnsi="宋体"/>
          <w:color w:val="auto"/>
          <w:szCs w:val="21"/>
          <w:highlight w:val="none"/>
        </w:rPr>
      </w:pPr>
      <w:r>
        <w:rPr>
          <w:rFonts w:hint="eastAsia" w:ascii="宋体" w:hAnsi="宋体"/>
          <w:color w:val="auto"/>
          <w:highlight w:val="none"/>
        </w:rPr>
        <w:t>2.包括：包括本次采购范围内标的的价款、备品备件、运输、安装、调试、现场改造、检验测试、验收、培训、售后服务、人工、垃圾清运、保险、税金、利润、参加竞标等全部费用的总和，乙方已综合考虑在合同合计金额中。在合同实施时，甲方将不予支付乙方没有列入的项目费用，并认为此项目的费用已包括在其中。</w:t>
      </w:r>
    </w:p>
    <w:p w14:paraId="50C57365">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第二条　质量保证</w:t>
      </w:r>
    </w:p>
    <w:p w14:paraId="41E8D3B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1.乙方所提供的产品名称、商标品牌、生产厂家、规格型号、技术参数等质量必须符合谈判文件规定且与响应文件承诺相一致。乙方提供的节能和环保产品必须是列入政府采购品目清单的产品。</w:t>
      </w:r>
    </w:p>
    <w:p w14:paraId="1C0EEE2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2.乙方所提供的货物必须是全新、未使用的原装产品，且在正常安装、使用和保养条件下，其使用寿命期内各项指标均达到谈判文件规定或响应文件承诺的质量要求。</w:t>
      </w:r>
    </w:p>
    <w:p w14:paraId="03D2D30B">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第三条　权利保证</w:t>
      </w:r>
    </w:p>
    <w:p w14:paraId="49F6F90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1.乙方应保证所提供货物在使用时不会侵犯任何第三方的专利权、商标权、工业设计权或其他权利。</w:t>
      </w:r>
    </w:p>
    <w:p w14:paraId="22BD606F">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2.乙方应按谈判文件规定或响应文件承诺的时间向甲方提供使用货物的有关技术资料。</w:t>
      </w:r>
    </w:p>
    <w:p w14:paraId="56294DB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0996C1E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4.乙方保证将要交付的货物的所有权完全属于乙方且无任何抵押、质押、查封等产权瑕疵。</w:t>
      </w:r>
    </w:p>
    <w:p w14:paraId="779916F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5.乙方必须自行为其所投产品侵犯他人的知识产权或者专利成果或其他合法权益的行为承担相应的法律责任。</w:t>
      </w:r>
    </w:p>
    <w:p w14:paraId="47126149">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第四条　货物包装及运输</w:t>
      </w:r>
    </w:p>
    <w:p w14:paraId="272B14D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1.乙方提供的货物均应按谈判文件规定或者响应文件承诺的要求的包装材料、包装标准、包装方式进行包装，每一包装单元内应附详细的装箱单和质量合格证。</w:t>
      </w:r>
    </w:p>
    <w:p w14:paraId="3ACB8ED1">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原厂原包装，包装完好完整、无破损、未开封。包装及运输方式应综合考虑运输距离、防潮、防震、防锈和防破损装卸等要求，国家对包装及运输有相关强制性标准或要求的，乙方应当执行，以保证货物安全运达甲方指定地点。</w:t>
      </w:r>
    </w:p>
    <w:p w14:paraId="2E32B46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3.货物的运输方式：</w:t>
      </w:r>
      <w:r>
        <w:rPr>
          <w:rFonts w:hint="eastAsia" w:ascii="宋体" w:hAnsi="宋体" w:cs="宋体"/>
          <w:color w:val="auto"/>
          <w:kern w:val="0"/>
          <w:szCs w:val="21"/>
          <w:highlight w:val="none"/>
          <w:u w:val="single"/>
        </w:rPr>
        <w:t>乙方自行决定</w:t>
      </w:r>
      <w:r>
        <w:rPr>
          <w:rFonts w:hint="eastAsia" w:ascii="宋体" w:hAnsi="宋体" w:cs="宋体"/>
          <w:color w:val="auto"/>
          <w:kern w:val="0"/>
          <w:szCs w:val="21"/>
          <w:highlight w:val="none"/>
        </w:rPr>
        <w:t xml:space="preserve"> 。</w:t>
      </w:r>
    </w:p>
    <w:p w14:paraId="6A40A4E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4.乙方负责货物运输，货物运输合理损耗及计算方法： </w:t>
      </w:r>
      <w:r>
        <w:rPr>
          <w:rFonts w:hint="eastAsia" w:ascii="宋体" w:hAnsi="宋体" w:cs="宋体"/>
          <w:color w:val="auto"/>
          <w:kern w:val="0"/>
          <w:szCs w:val="21"/>
          <w:highlight w:val="none"/>
          <w:u w:val="single"/>
        </w:rPr>
        <w:t>由乙方负责</w:t>
      </w:r>
      <w:r>
        <w:rPr>
          <w:rFonts w:hint="eastAsia" w:ascii="宋体" w:hAnsi="宋体" w:cs="宋体"/>
          <w:color w:val="auto"/>
          <w:kern w:val="0"/>
          <w:szCs w:val="21"/>
          <w:highlight w:val="none"/>
        </w:rPr>
        <w:t>。</w:t>
      </w:r>
    </w:p>
    <w:p w14:paraId="4D02C33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5.产品（含包装）运抵甲方指定交付地点前发生损坏的，相关损失由乙方自行承担。</w:t>
      </w:r>
    </w:p>
    <w:p w14:paraId="7E08605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6.使用说明书、质量检验证明书、随配附件和工具以及清单一并附于货物内。</w:t>
      </w:r>
    </w:p>
    <w:p w14:paraId="22649C0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7.乙方在货物发运手续办理完毕后二十四小时内或者货到甲方四十八小时前通知甲方，以准备接货。</w:t>
      </w:r>
    </w:p>
    <w:p w14:paraId="08C2C231">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8.货物在规定的交付期限内由乙方送达甲方指定的地点，乙方同时需通知甲方货物已送达，货物经甲、乙双方清点合格后视为交付。</w:t>
      </w:r>
    </w:p>
    <w:p w14:paraId="32A078C4">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第五条　交付</w:t>
      </w:r>
    </w:p>
    <w:p w14:paraId="5145BC1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1.交付时间：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；交付地点：</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7B4C88E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应按承诺的产品名称、生产厂家（制造商）、品牌、规格型号、技术参数、质量标准向甲方提供未经使用的全新产品，将所提供货物的装箱清单、用户手册、原厂保修卡、随机资料、工具和备品、备件等交付给甲方。如有缺失应在合理的规定时间内补齐，否则视为逾期交货。</w:t>
      </w:r>
    </w:p>
    <w:p w14:paraId="422BFC2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检查供货范围：产品到达现场后，乙方应在甲方单位人员在场情况下共同清点，双方签字确认。乙方应将所提供货物的装箱清单、用户手册、原厂保修卡、随机资料、工具和备品、备件等交付给甲方。乙方应保证产品到达甲方所在地完好无损，如有缺漏、损坏，由乙方在合理的规定时间内补齐，否则视为逾期交货。</w:t>
      </w:r>
    </w:p>
    <w:p w14:paraId="2C74301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甲方对乙方提交的货物依据谈判文件上的技术规格要求和国家有关质量标准进行现场初步验收，外观、说明书符合谈判文件技术要求的，给予签收，初步验收不合格的不予签收。货到后，甲方应当在到货（安装、调试完）后7个工作日内进行验收。</w:t>
      </w:r>
    </w:p>
    <w:p w14:paraId="0066B63C">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第六条　安装和培训</w:t>
      </w:r>
    </w:p>
    <w:p w14:paraId="7F69CC46">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甲方应提供必要安装条件（如场地、电源、水源等）。</w:t>
      </w:r>
    </w:p>
    <w:p w14:paraId="18CE874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乙方负责甲方有关人员的培训。培训时间、地点：</w:t>
      </w:r>
      <w:r>
        <w:rPr>
          <w:rFonts w:hint="eastAsia" w:ascii="宋体" w:hAnsi="宋体" w:cs="宋体"/>
          <w:color w:val="auto"/>
          <w:kern w:val="0"/>
          <w:szCs w:val="21"/>
          <w:highlight w:val="none"/>
          <w:u w:val="single"/>
        </w:rPr>
        <w:t>甲方指定地点</w:t>
      </w:r>
      <w:r>
        <w:rPr>
          <w:rFonts w:hint="eastAsia" w:ascii="宋体" w:hAnsi="宋体" w:cs="宋体"/>
          <w:color w:val="auto"/>
          <w:kern w:val="0"/>
          <w:szCs w:val="21"/>
          <w:highlight w:val="none"/>
        </w:rPr>
        <w:t>。</w:t>
      </w:r>
    </w:p>
    <w:p w14:paraId="46287B98">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第七条  售后服务、保修期</w:t>
      </w:r>
    </w:p>
    <w:p w14:paraId="1A1A570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1．乙方应按照国家有关法律法规和“三包”规定以及响应文件承诺为甲方提供售后服务（不低于采购要求的售后服务）。</w:t>
      </w:r>
    </w:p>
    <w:p w14:paraId="7F897517">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乙方提供产品保修期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保修期从设备验收合格之日起计算，“技术要求”中有特别注明的除外。厂家规定保修期超过“项目需求”规定的，按厂家规定。在保修期内因货物本身的质量问题发生故障，乙方应负责修理和更换零部件。对达不到技术要求者，根据实际情况，经双方协商，可按以下办法处理：</w:t>
      </w:r>
    </w:p>
    <w:p w14:paraId="575DF37B">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（1）更换：由乙方承担所有发生的全部费用。</w:t>
      </w:r>
    </w:p>
    <w:p w14:paraId="4A52A6E6">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（2）贬值处理：由甲乙双方合议定价。</w:t>
      </w:r>
    </w:p>
    <w:p w14:paraId="5FD9B10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（3）退货处理：乙方应退还甲方支付的合同款，同时应承担该货物的直接费用（运输、保险、检验、贷款利息及银行手续费等）。</w:t>
      </w:r>
    </w:p>
    <w:p w14:paraId="3D6838F9">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如在使用过程中发生质量问题，乙方在接到甲方通知后在按乙方响应文件中承诺的不超过招标要求的响应时间到达甲方现场处理，如未按约定时间处理，造成的损失由乙方承担，并按合同有关条款扣罚履约保证金。</w:t>
      </w:r>
    </w:p>
    <w:p w14:paraId="625E787B">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.保修期：按乙方响应文件中承诺的不少于谈判文件要求的保修期限。</w:t>
      </w:r>
    </w:p>
    <w:p w14:paraId="5D40E039">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.在保修期内，乙方应对货物出现的质量及安全问题负责处理解决并承担一切费用。</w:t>
      </w:r>
    </w:p>
    <w:p w14:paraId="1CE6C6DF">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第八条　付款方式</w:t>
      </w:r>
    </w:p>
    <w:p w14:paraId="5C681C8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货物进场并开始安装后，乙方向甲方开具等额有效的增值税专用发票，甲方收到发票后10个工作日内支付合同款的50%（无息）。货物安装完成并验收合格后，乙方向甲方开具等额有效的增值税专用发票，甲方收到发票后10个工作日内付至合同价款的100%（无息）。</w:t>
      </w:r>
    </w:p>
    <w:p w14:paraId="211B0D69">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第九条　履约保证金</w:t>
      </w:r>
    </w:p>
    <w:p w14:paraId="25DE289F">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履约保证金金额：履约保证金按成交金额的5%，如乙方为中小企业的，履约保证金按成交金额的2%。</w:t>
      </w:r>
    </w:p>
    <w:p w14:paraId="56C92D6F">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递交方式及时限：乙方必须在成交通知书发出之日起25日内且必须在签订合同前以银行转账、支票、汇票、本票或者金融、担保机构出具的保函（包含电子保函）等非现金方式向甲方交纳履约保证金，否则，不予签订合同。</w:t>
      </w:r>
    </w:p>
    <w:p w14:paraId="7EE0D4B6">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履约保证金退付方式、时间及条件：</w:t>
      </w:r>
    </w:p>
    <w:p w14:paraId="124D3EB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履约保证金在乙方按合同约定履行合同后，由乙方凭《广西壮族自治区政府采购项目合同验收书》（详见附表1）向甲方申请办理履约保证金退还手续，甲方在收到合格材料后5个工作日内以银行转账方式如数退还（不计利息）。</w:t>
      </w:r>
    </w:p>
    <w:p w14:paraId="386B7182">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（2）在履约保证金退还日期前，若乙方的开户名称、开户银行、账号有变动的，请以书面形式通知履约保证金收取单位，否则由此产生的后果由乙方自负。</w:t>
      </w:r>
    </w:p>
    <w:p w14:paraId="0CEE543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（3）乙方在签订合同后存在违约情形的，履约保证金不予退还。履约保证金不足以赔偿损失的，按实际损失赔偿。</w:t>
      </w:r>
    </w:p>
    <w:p w14:paraId="2E212FC6">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履约保证金指定账户：</w:t>
      </w:r>
    </w:p>
    <w:p w14:paraId="4A32937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开户名称：桂林医科大学</w:t>
      </w:r>
    </w:p>
    <w:p w14:paraId="114F786C">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开户银行：中国建设银行股份有限公司桂林致和路支行</w:t>
      </w:r>
    </w:p>
    <w:p w14:paraId="30CB925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账号：4500 1635 4130 5050 0589</w:t>
      </w:r>
    </w:p>
    <w:p w14:paraId="0CB8E10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备注：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2B9E8F55">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第十条  税费</w:t>
      </w:r>
    </w:p>
    <w:p w14:paraId="7CED8106">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本合同执行中相关的一切税费均由乙方负担。</w:t>
      </w:r>
    </w:p>
    <w:p w14:paraId="3E7BB885">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第十一条  调试和验收</w:t>
      </w:r>
    </w:p>
    <w:p w14:paraId="2B628B2D">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乙方交货前应对产品作出全面检查和对验收文件进行整理，并列出清单，提供完整的安装、操作、使用和维护手册、图纸、程序等所有技术资料作为甲方收货验收和使用的技术条件依据，检验的结果应随货物交甲方，否则不予验收。</w:t>
      </w:r>
    </w:p>
    <w:p w14:paraId="7E821469">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质量标准：设备符合国家相关标准及制造厂家合格产品的出厂质量标准。本项目执行国家相关标准、行业标准、地方标准或者其他标准、规范。如具体项目需求与标准、规范不一致的，高于标准、规范的按具体项目需求执行；低于标准、规范的按标准、规范执行。乙方所提供的产品必须是全新、完好、无破损、未经使用的原装产品，产品符合制造厂家合格产品的出厂质量标准，且在正常安装、使用和保养条件下，其使用寿命期内各项指标均达到质量要求。</w:t>
      </w:r>
    </w:p>
    <w:p w14:paraId="5F5602E5">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3.验收条件：设备需全新、完好、无破损，</w:t>
      </w:r>
      <w:r>
        <w:rPr>
          <w:rFonts w:hint="eastAsia" w:ascii="宋体" w:hAnsi="宋体" w:cs="宋体"/>
          <w:color w:val="auto"/>
          <w:kern w:val="0"/>
          <w:szCs w:val="21"/>
          <w:highlight w:val="none"/>
        </w:rPr>
        <w:t>送达指定地点后</w:t>
      </w:r>
      <w:r>
        <w:rPr>
          <w:rFonts w:ascii="宋体" w:hAnsi="宋体" w:cs="宋体"/>
          <w:color w:val="auto"/>
          <w:kern w:val="0"/>
          <w:szCs w:val="21"/>
          <w:highlight w:val="none"/>
        </w:rPr>
        <w:t>按照技术要求的各项指标进行验收。</w:t>
      </w:r>
    </w:p>
    <w:p w14:paraId="01B9E3B0">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4.验收方法</w:t>
      </w:r>
      <w:r>
        <w:rPr>
          <w:rFonts w:hint="eastAsia" w:ascii="宋体" w:hAnsi="宋体" w:cs="宋体"/>
          <w:color w:val="auto"/>
          <w:kern w:val="0"/>
          <w:szCs w:val="21"/>
          <w:highlight w:val="none"/>
        </w:rPr>
        <w:t>及标准</w:t>
      </w:r>
      <w:r>
        <w:rPr>
          <w:rFonts w:ascii="宋体" w:hAnsi="宋体" w:cs="宋体"/>
          <w:color w:val="auto"/>
          <w:kern w:val="0"/>
          <w:szCs w:val="21"/>
          <w:highlight w:val="none"/>
        </w:rPr>
        <w:t>：</w:t>
      </w:r>
    </w:p>
    <w:p w14:paraId="536077E8">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乙方</w:t>
      </w:r>
      <w:r>
        <w:rPr>
          <w:rFonts w:ascii="宋体" w:hAnsi="宋体" w:cs="宋体"/>
          <w:color w:val="auto"/>
          <w:kern w:val="0"/>
          <w:szCs w:val="21"/>
          <w:highlight w:val="none"/>
        </w:rPr>
        <w:t>按要求完成交付后，应以书面形式正式向甲方递交验收申请书，甲方收到验收申请书后，按照甲方单位规定流程组织项目验收。</w:t>
      </w:r>
    </w:p>
    <w:p w14:paraId="36E4D620">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（2）验收时提供完整应用中文操作说明书、维修手册和详细技术参数手册及其它相关技术资料一份。</w:t>
      </w:r>
    </w:p>
    <w:p w14:paraId="03F7681D">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（3）甲方对</w:t>
      </w:r>
      <w:r>
        <w:rPr>
          <w:rFonts w:hint="eastAsia" w:ascii="宋体" w:hAnsi="宋体" w:cs="宋体"/>
          <w:color w:val="auto"/>
          <w:kern w:val="0"/>
          <w:szCs w:val="21"/>
          <w:highlight w:val="none"/>
        </w:rPr>
        <w:t>乙方</w:t>
      </w:r>
      <w:r>
        <w:rPr>
          <w:rFonts w:ascii="宋体" w:hAnsi="宋体" w:cs="宋体"/>
          <w:color w:val="auto"/>
          <w:kern w:val="0"/>
          <w:szCs w:val="21"/>
          <w:highlight w:val="none"/>
        </w:rPr>
        <w:t>所交货物依照</w:t>
      </w:r>
      <w:r>
        <w:rPr>
          <w:rFonts w:hint="eastAsia" w:ascii="宋体" w:hAnsi="宋体" w:cs="宋体"/>
          <w:color w:val="auto"/>
          <w:kern w:val="0"/>
          <w:szCs w:val="21"/>
          <w:highlight w:val="none"/>
        </w:rPr>
        <w:t>谈判文件</w:t>
      </w:r>
      <w:r>
        <w:rPr>
          <w:rFonts w:ascii="宋体" w:hAnsi="宋体" w:cs="宋体"/>
          <w:color w:val="auto"/>
          <w:kern w:val="0"/>
          <w:szCs w:val="21"/>
          <w:highlight w:val="none"/>
        </w:rPr>
        <w:t>上的技术规格要求和国家有关标准进行验收，要求所有技术指标、功能、性能都能满足</w:t>
      </w:r>
      <w:r>
        <w:rPr>
          <w:rFonts w:hint="eastAsia" w:ascii="宋体" w:hAnsi="宋体" w:cs="宋体"/>
          <w:color w:val="auto"/>
          <w:kern w:val="0"/>
          <w:szCs w:val="21"/>
          <w:highlight w:val="none"/>
        </w:rPr>
        <w:t>谈判文件</w:t>
      </w:r>
      <w:r>
        <w:rPr>
          <w:rFonts w:ascii="宋体" w:hAnsi="宋体" w:cs="宋体"/>
          <w:color w:val="auto"/>
          <w:kern w:val="0"/>
          <w:szCs w:val="21"/>
          <w:highlight w:val="none"/>
        </w:rPr>
        <w:t>要求，如符合，则认为验收合格，甲方应在验收单上签字确认；如不符合，双方均有权向相关部门申请鉴定，</w:t>
      </w:r>
      <w:r>
        <w:rPr>
          <w:rFonts w:hint="eastAsia" w:ascii="宋体" w:hAnsi="宋体" w:cs="宋体"/>
          <w:color w:val="auto"/>
          <w:kern w:val="0"/>
          <w:szCs w:val="21"/>
          <w:highlight w:val="none"/>
        </w:rPr>
        <w:t>货物符合标准的，鉴定费由甲方承担；货物不符合标准的，鉴定费由乙方承担，</w:t>
      </w:r>
      <w:r>
        <w:rPr>
          <w:rFonts w:ascii="宋体" w:hAnsi="宋体" w:cs="宋体"/>
          <w:color w:val="auto"/>
          <w:kern w:val="0"/>
          <w:szCs w:val="21"/>
          <w:highlight w:val="none"/>
        </w:rPr>
        <w:t>验收结果以甲方签署的验收证明为准。验收不通过的，不再予以</w:t>
      </w:r>
      <w:r>
        <w:rPr>
          <w:rFonts w:hint="eastAsia" w:ascii="宋体" w:hAnsi="宋体" w:cs="宋体"/>
          <w:color w:val="auto"/>
          <w:kern w:val="0"/>
          <w:szCs w:val="21"/>
          <w:highlight w:val="none"/>
        </w:rPr>
        <w:t>整改</w:t>
      </w:r>
      <w:r>
        <w:rPr>
          <w:rFonts w:ascii="宋体" w:hAnsi="宋体" w:cs="宋体"/>
          <w:color w:val="auto"/>
          <w:kern w:val="0"/>
          <w:szCs w:val="21"/>
          <w:highlight w:val="none"/>
        </w:rPr>
        <w:t>，视为</w:t>
      </w:r>
      <w:r>
        <w:rPr>
          <w:rFonts w:hint="eastAsia" w:ascii="宋体" w:hAnsi="宋体" w:cs="宋体"/>
          <w:color w:val="auto"/>
          <w:kern w:val="0"/>
          <w:szCs w:val="21"/>
          <w:highlight w:val="none"/>
        </w:rPr>
        <w:t>乙方</w:t>
      </w:r>
      <w:r>
        <w:rPr>
          <w:rFonts w:ascii="宋体" w:hAnsi="宋体" w:cs="宋体"/>
          <w:color w:val="auto"/>
          <w:kern w:val="0"/>
          <w:szCs w:val="21"/>
          <w:highlight w:val="none"/>
        </w:rPr>
        <w:t>虚假响应及</w:t>
      </w:r>
      <w:r>
        <w:rPr>
          <w:rFonts w:hint="eastAsia" w:ascii="宋体" w:hAnsi="宋体" w:cs="宋体"/>
          <w:color w:val="auto"/>
          <w:kern w:val="0"/>
          <w:szCs w:val="21"/>
          <w:highlight w:val="none"/>
        </w:rPr>
        <w:t>乙方</w:t>
      </w:r>
      <w:r>
        <w:rPr>
          <w:rFonts w:ascii="宋体" w:hAnsi="宋体" w:cs="宋体"/>
          <w:color w:val="auto"/>
          <w:kern w:val="0"/>
          <w:szCs w:val="21"/>
          <w:highlight w:val="none"/>
        </w:rPr>
        <w:t>单方违约，</w:t>
      </w:r>
      <w:r>
        <w:rPr>
          <w:rFonts w:hint="eastAsia" w:ascii="宋体" w:hAnsi="宋体" w:cs="宋体"/>
          <w:color w:val="auto"/>
          <w:kern w:val="0"/>
          <w:szCs w:val="21"/>
          <w:highlight w:val="none"/>
        </w:rPr>
        <w:t>甲方有权解除合同，乙方承担因此给甲方造成的经济损失。</w:t>
      </w:r>
    </w:p>
    <w:p w14:paraId="4561D5E2">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乙方提供的产品如不满足谈判文件技术要求或与响应文件承诺不一致或提供虚假承诺或低于国家相关执行标准的，甲方有权拒收该货物，做退货处理，视为乙方违约，甲方有权解除合同，乙方负责承担所有责任和相关费用。甲方保留进一步追究法律责任的权力，乙方须赔偿因此给甲方造成的经济损失。</w:t>
      </w:r>
    </w:p>
    <w:p w14:paraId="55572587">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验收过程中产生的费用均由乙方负责承担。</w:t>
      </w:r>
    </w:p>
    <w:p w14:paraId="0B479180">
      <w:pPr>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7.</w:t>
      </w:r>
      <w:r>
        <w:rPr>
          <w:rFonts w:hint="eastAsia" w:ascii="宋体" w:hAnsi="宋体"/>
          <w:color w:val="auto"/>
          <w:szCs w:val="21"/>
          <w:highlight w:val="none"/>
        </w:rPr>
        <w:t>对技术复杂的货物，甲方应请国家认可的专业检测机构参与验收，并由其出具质量检测报告，第三方检测费用由乙方承担。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53A58CBA">
      <w:pPr>
        <w:spacing w:line="400" w:lineRule="exact"/>
        <w:ind w:firstLine="420" w:firstLineChars="200"/>
        <w:jc w:val="left"/>
        <w:rPr>
          <w:rFonts w:hint="eastAsia"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.乙方应提供完备的技术或服务资料、装箱单和合格证等，并派遣专业人员进行现场安装调试。验收合格条件如下：</w:t>
      </w:r>
    </w:p>
    <w:p w14:paraId="1114A260">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①货物或服务技术参数与采购合同一致，性能或指标达到规定的标准。</w:t>
      </w:r>
    </w:p>
    <w:p w14:paraId="5FA5F871">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②技术资料、装箱单、合格证等资料齐全。</w:t>
      </w:r>
    </w:p>
    <w:p w14:paraId="7D38F066">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③在测试或试运行期间所出现的问题得到解决，并运行工作正常。</w:t>
      </w:r>
    </w:p>
    <w:p w14:paraId="0C6B61BC">
      <w:pPr>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④在规定时间内完成交货及验收，并经甲方确认。</w:t>
      </w:r>
    </w:p>
    <w:p w14:paraId="0E911356">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甲方需要生产厂家对乙方交付的产品或服务（包括质量、参数等）进行确认的，生产厂家应予以配合并出具书面意见，相关配合事项由乙方与生产厂家协调。</w:t>
      </w:r>
    </w:p>
    <w:p w14:paraId="6E9F79E5">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设备的外包装(木箱、纸皮等）由乙方负责拆除并自行作校外处理，不得堆放在甲方校内，可委托甲方的后勤部协助处理（需付费）。一经发现设备的外包装在甲方校内堆放，甲方有权不予验收该设备并从设备货款中扣除200-1000元作为垃圾处理费。</w:t>
      </w:r>
    </w:p>
    <w:p w14:paraId="7714341C">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rPr>
        <w:t>其他验收未尽事宜按照《关于印发广西壮族自治区政府采购项目履约验收管理办法的通知》[桂财采〔2015〕22号]以及《财政部关于进一步加强政府采购需求和履约验收管理的指导意见》[财库〔2016〕205号]规定执行。</w:t>
      </w:r>
    </w:p>
    <w:p w14:paraId="5D2001FE">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2.</w:t>
      </w:r>
      <w:r>
        <w:rPr>
          <w:rFonts w:hint="eastAsia" w:ascii="宋体" w:hAnsi="宋体" w:cs="宋体"/>
          <w:color w:val="auto"/>
          <w:kern w:val="0"/>
          <w:szCs w:val="21"/>
          <w:highlight w:val="none"/>
        </w:rPr>
        <w:t>由于乙方的原因造成甲方不能按时验收合格并正常使用的，由此造成的损失由乙方承担，保修期相应顺延。</w:t>
      </w:r>
    </w:p>
    <w:p w14:paraId="2FF955CD">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甲方对验收有异议的，在验收后五个工作日内以书面形式向乙方提出，乙方应自收到甲方书面异议后</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日内及时予以解决。</w:t>
      </w:r>
    </w:p>
    <w:p w14:paraId="0B5D5BDD">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4.</w:t>
      </w:r>
      <w:r>
        <w:rPr>
          <w:rFonts w:hint="eastAsia" w:ascii="宋体" w:hAnsi="宋体" w:cs="宋体"/>
          <w:color w:val="auto"/>
          <w:kern w:val="0"/>
          <w:szCs w:val="21"/>
          <w:highlight w:val="none"/>
        </w:rPr>
        <w:t>验收时乙方必须在现场。</w:t>
      </w:r>
    </w:p>
    <w:p w14:paraId="1799DE37">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15.</w:t>
      </w:r>
      <w:r>
        <w:rPr>
          <w:rFonts w:hint="eastAsia" w:ascii="宋体" w:hAnsi="宋体" w:cs="宋体"/>
          <w:color w:val="auto"/>
          <w:kern w:val="0"/>
          <w:szCs w:val="21"/>
          <w:highlight w:val="none"/>
        </w:rPr>
        <w:t>验收结束后，应当出具验收合格文件，列明各项标准的验收情况及项目总体评价，由验收各方共同签署。</w:t>
      </w:r>
    </w:p>
    <w:p w14:paraId="04EEAEEA">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16</w:t>
      </w:r>
      <w:r>
        <w:rPr>
          <w:rFonts w:hint="eastAsia" w:ascii="宋体" w:hAnsi="宋体" w:cs="宋体"/>
          <w:color w:val="auto"/>
          <w:kern w:val="0"/>
          <w:szCs w:val="21"/>
          <w:highlight w:val="none"/>
        </w:rPr>
        <w:t>.甲方委托采购代理机构组织的验收项目，其验收时间以该项目验收方案确定的验收时间为准，验收结果以该项目验收报告结论为准。</w:t>
      </w:r>
    </w:p>
    <w:p w14:paraId="53B8ECB2">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第十二条　违约责任</w:t>
      </w:r>
    </w:p>
    <w:p w14:paraId="785D5083">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1.乙方于响应文件中必须对所有产品的技术参数要求作出真实、有效地响应和承诺。所提供的产品必须为原装正品的、全新的、符合国家有关质量标准的产品。验收前，甲方现场根据谈判文件要求及响应文件承诺对各项参数逐条对应进行核验，核验或检测数据不符合甲方要求及响应文件承诺的指标的，甲方有权终止合同执行并全部退货，由此造成甲方经济损失的由乙方负责承担全部赔偿责任并向甲方支付合同金额的30%违约赔偿金。如有异议，将交由国家认可并具有检验检测资质的第三方机构进行检验，若核验结果的各项参数指标不满足甲方要求及响应文件承诺的指标要求，所有产生的费用由乙方承担，并承担虚假竞标的相关法律责任及经济赔偿责任。 </w:t>
      </w:r>
    </w:p>
    <w:p w14:paraId="2EE6A85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2.乙方提供的货物如侵犯了第三方合法权益而引发的任何纠纷或者诉讼，均由乙方负责交涉并承担全部责任。</w:t>
      </w:r>
    </w:p>
    <w:p w14:paraId="61D55AC9">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3.因包装、运输引起的货物损坏，按质量不合格处理。</w:t>
      </w:r>
    </w:p>
    <w:p w14:paraId="5108C5E8">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甲方无故延期接收货物、乙方逾期交货的，每天向对方偿付违约货款额5‰违约金，但违约金累计不得超过违约货款额10%，超过30天对方有权解除合同，违约方承担因此给对方造成的经济损失；甲方无故延期退付履约保证金的，每天向对方偿付未退付履约保证金0.1‰的违约金，但违约金累计不得超过延期未退付履约保证金5%。</w:t>
      </w:r>
    </w:p>
    <w:p w14:paraId="589D3CE8">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5.乙方未按本合同和响应文件中规定的服务承诺提供售后服务的，乙方应按本合同合计金额 5%向甲方支付违约金。若保修期内非操作者原因，设备出现故障的达5次（含5次）以上的，乙方须按合同总价款10%向甲方支付违约金，且乙方须在30日内更换全新整机。</w:t>
      </w:r>
    </w:p>
    <w:p w14:paraId="23367224">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.乙方提供的货物在保修期内，因设计、工艺或者材料的缺陷和其他质量原因造成的问题，由乙方负责，费用从余款或者履约保证金中扣除，不足另补。</w:t>
      </w:r>
    </w:p>
    <w:p w14:paraId="7AC58B18">
      <w:pPr>
        <w:spacing w:line="400" w:lineRule="exact"/>
        <w:ind w:firstLine="420" w:firstLineChars="200"/>
        <w:jc w:val="left"/>
        <w:rPr>
          <w:rFonts w:hint="eastAsia"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双方有其他违约行为的，由违约方向对方支付违约内容涉及货款额的5%，违约内容涉及货款额的5%不足以赔偿经济损失的按实际赔偿。</w:t>
      </w:r>
    </w:p>
    <w:p w14:paraId="07760485">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第十三条  不可抗力事件处理</w:t>
      </w:r>
    </w:p>
    <w:p w14:paraId="55980BE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450D6F7D">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2F7AEEB2">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3.不可抗力事件延续一百二十天以上，双方应通过友好协商，确定是否继续履行合同。</w:t>
      </w:r>
    </w:p>
    <w:p w14:paraId="1A23E5CD">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第十四条  合同争议解决</w:t>
      </w:r>
    </w:p>
    <w:p w14:paraId="6E33B9B8">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1.因货物质量问题发生争议的，应邀请国家认可的质量检测机构对货物质量进行鉴定。货物符合标准的，鉴定费由甲方承担；货物不符合标准的，鉴定费由乙方承担。</w:t>
      </w:r>
    </w:p>
    <w:p w14:paraId="5168B64A">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2.因履行本合同引起的或者与本合同有关的争议，甲乙双方应首先通过友好协商解决，如果协商不能解决，可向甲方所在地有管辖权的人民法院提起诉讼。</w:t>
      </w:r>
    </w:p>
    <w:p w14:paraId="392604D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3.诉讼期间，本合同继续履行。</w:t>
      </w:r>
    </w:p>
    <w:p w14:paraId="029431F4">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第十五条  诉讼</w:t>
      </w:r>
    </w:p>
    <w:p w14:paraId="0A4D1790">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双方在执行合同中所发生的一切争议，应通过协商解决。如协商不能解决，可向甲方所在地有管辖权的人民法院提起诉讼。</w:t>
      </w:r>
    </w:p>
    <w:p w14:paraId="4A8DB273">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第十六条  合同生效及其他</w:t>
      </w:r>
    </w:p>
    <w:p w14:paraId="3903CD05">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1.合同经双方法定代表人或委托代理人签字并加盖单位公章后生效（委托代理人签字的需后附法定代表人授权委托书，格式自拟）。</w:t>
      </w:r>
    </w:p>
    <w:p w14:paraId="61DD0EE8">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2.合同执行中涉及采购资金和采购内容修改或补充的，须签订书面补充协议报相关部门备案，并作为主合同不可分割的一部分。</w:t>
      </w:r>
    </w:p>
    <w:p w14:paraId="7891CF2B">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3.本合同未尽事宜，遵照《中华人民共和国民法典》有关条文执行。</w:t>
      </w:r>
    </w:p>
    <w:p w14:paraId="0CC58C40">
      <w:pPr>
        <w:spacing w:line="400" w:lineRule="exact"/>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第十七条　合同的变更、终止与转让</w:t>
      </w:r>
    </w:p>
    <w:p w14:paraId="11A22ED2">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1.除《中华人民共和国政府采购法》第五十条规定的情形外，本合同一经签订，甲乙双方不得擅自变更、中止或终止。</w:t>
      </w:r>
    </w:p>
    <w:p w14:paraId="15EAF147">
      <w:pPr>
        <w:spacing w:line="400" w:lineRule="exact"/>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2.乙方不得擅自转让其应履行的合同义务。</w:t>
      </w:r>
    </w:p>
    <w:p w14:paraId="7136F31A">
      <w:pPr>
        <w:snapToGrid w:val="0"/>
        <w:spacing w:line="400" w:lineRule="exact"/>
        <w:rPr>
          <w:rFonts w:hint="eastAsia" w:ascii="宋体" w:hAnsi="宋体"/>
          <w:b/>
          <w:color w:val="auto"/>
          <w:highlight w:val="none"/>
        </w:rPr>
      </w:pPr>
      <w:r>
        <w:rPr>
          <w:rFonts w:hint="eastAsia" w:ascii="宋体" w:hAnsi="宋体"/>
          <w:b/>
          <w:color w:val="auto"/>
          <w:highlight w:val="none"/>
        </w:rPr>
        <w:t>第十八条  签订本合同依据</w:t>
      </w:r>
    </w:p>
    <w:p w14:paraId="64192321">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1.中标通知书；</w:t>
      </w:r>
    </w:p>
    <w:p w14:paraId="33659E67">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2.乙方提供的响应文件、应答文件；</w:t>
      </w:r>
    </w:p>
    <w:p w14:paraId="5C7AA118">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3.谈判文件及更正公告（澄清或补充通知）；</w:t>
      </w:r>
    </w:p>
    <w:p w14:paraId="67830117">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4.标准、规范及有关技术文件；</w:t>
      </w:r>
    </w:p>
    <w:p w14:paraId="27CDB45C">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5.乙方的竞标报价表、技术要求偏离表、商务要求响应承诺书；</w:t>
      </w:r>
    </w:p>
    <w:p w14:paraId="198D0192">
      <w:pPr>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6</w:t>
      </w:r>
      <w:r>
        <w:rPr>
          <w:rFonts w:ascii="宋体" w:hAnsi="宋体"/>
          <w:color w:val="auto"/>
          <w:highlight w:val="none"/>
        </w:rPr>
        <w:t>.</w:t>
      </w:r>
      <w:r>
        <w:rPr>
          <w:rFonts w:hint="eastAsia" w:ascii="宋体" w:hAnsi="宋体"/>
          <w:color w:val="auto"/>
          <w:highlight w:val="none"/>
        </w:rPr>
        <w:t>双方约定的其他合同文件。</w:t>
      </w:r>
    </w:p>
    <w:p w14:paraId="5181F0D7">
      <w:pPr>
        <w:snapToGrid w:val="0"/>
        <w:spacing w:line="400" w:lineRule="exact"/>
        <w:rPr>
          <w:rFonts w:hint="eastAsia" w:ascii="宋体" w:hAnsi="宋体"/>
          <w:color w:val="auto"/>
          <w:highlight w:val="none"/>
        </w:rPr>
      </w:pPr>
      <w:r>
        <w:rPr>
          <w:rFonts w:hint="eastAsia" w:ascii="宋体" w:hAnsi="宋体"/>
          <w:b/>
          <w:color w:val="auto"/>
          <w:highlight w:val="none"/>
        </w:rPr>
        <w:t xml:space="preserve">第十九条  </w:t>
      </w:r>
      <w:r>
        <w:rPr>
          <w:rFonts w:hint="eastAsia" w:ascii="宋体" w:hAnsi="宋体"/>
          <w:color w:val="auto"/>
          <w:highlight w:val="none"/>
        </w:rPr>
        <w:t>本合同一式七份，具有同等法律效力，甲方四份，乙方二份，采购代理机构一份（可根据需要调整份数）。</w:t>
      </w:r>
    </w:p>
    <w:p w14:paraId="010147CB">
      <w:pPr>
        <w:snapToGrid w:val="0"/>
        <w:spacing w:line="340" w:lineRule="exact"/>
        <w:rPr>
          <w:rFonts w:hint="eastAsia" w:ascii="宋体" w:hAnsi="宋体"/>
          <w:color w:val="auto"/>
          <w:highlight w:val="none"/>
        </w:rPr>
      </w:pPr>
    </w:p>
    <w:tbl>
      <w:tblPr>
        <w:tblStyle w:val="25"/>
        <w:tblW w:w="9033"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659A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tcBorders>
              <w:top w:val="single" w:color="auto" w:sz="4" w:space="0"/>
              <w:left w:val="single" w:color="auto" w:sz="4" w:space="0"/>
              <w:bottom w:val="single" w:color="auto" w:sz="4" w:space="0"/>
              <w:right w:val="single" w:color="auto" w:sz="4" w:space="0"/>
            </w:tcBorders>
            <w:vAlign w:val="center"/>
          </w:tcPr>
          <w:p w14:paraId="292BE880">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甲方（章）           </w:t>
            </w:r>
          </w:p>
          <w:p w14:paraId="1483415C">
            <w:pPr>
              <w:snapToGrid w:val="0"/>
              <w:spacing w:line="360" w:lineRule="exact"/>
              <w:rPr>
                <w:rFonts w:hint="eastAsia" w:ascii="宋体" w:hAnsi="宋体"/>
                <w:color w:val="auto"/>
                <w:highlight w:val="none"/>
              </w:rPr>
            </w:pPr>
          </w:p>
          <w:p w14:paraId="0A6F10A6">
            <w:pPr>
              <w:snapToGrid w:val="0"/>
              <w:spacing w:line="360" w:lineRule="exact"/>
              <w:ind w:firstLine="630" w:firstLineChars="300"/>
              <w:rPr>
                <w:rFonts w:hint="eastAsia" w:ascii="宋体" w:hAnsi="宋体"/>
                <w:color w:val="auto"/>
                <w:szCs w:val="21"/>
                <w:highlight w:val="none"/>
              </w:rPr>
            </w:pPr>
            <w:r>
              <w:rPr>
                <w:rFonts w:hint="eastAsia" w:ascii="宋体" w:hAnsi="宋体"/>
                <w:color w:val="auto"/>
                <w:highlight w:val="none"/>
              </w:rPr>
              <w:t>年   月   日</w:t>
            </w:r>
          </w:p>
        </w:tc>
        <w:tc>
          <w:tcPr>
            <w:tcW w:w="4517" w:type="dxa"/>
            <w:tcBorders>
              <w:top w:val="single" w:color="auto" w:sz="4" w:space="0"/>
              <w:left w:val="single" w:color="auto" w:sz="4" w:space="0"/>
              <w:bottom w:val="single" w:color="auto" w:sz="4" w:space="0"/>
              <w:right w:val="single" w:color="auto" w:sz="4" w:space="0"/>
            </w:tcBorders>
            <w:vAlign w:val="center"/>
          </w:tcPr>
          <w:p w14:paraId="61DE5E32">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乙方（章）              </w:t>
            </w:r>
          </w:p>
          <w:p w14:paraId="2AD09AF7">
            <w:pPr>
              <w:snapToGrid w:val="0"/>
              <w:spacing w:line="360" w:lineRule="exact"/>
              <w:rPr>
                <w:rFonts w:hint="eastAsia" w:ascii="宋体" w:hAnsi="宋体"/>
                <w:color w:val="auto"/>
                <w:highlight w:val="none"/>
              </w:rPr>
            </w:pPr>
          </w:p>
          <w:p w14:paraId="1FD5BC04">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       年   月   日</w:t>
            </w:r>
          </w:p>
        </w:tc>
      </w:tr>
      <w:tr w14:paraId="4DAAE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tcBorders>
              <w:top w:val="single" w:color="auto" w:sz="4" w:space="0"/>
              <w:left w:val="single" w:color="auto" w:sz="4" w:space="0"/>
              <w:bottom w:val="single" w:color="auto" w:sz="4" w:space="0"/>
              <w:right w:val="single" w:color="auto" w:sz="4" w:space="0"/>
            </w:tcBorders>
            <w:vAlign w:val="center"/>
          </w:tcPr>
          <w:p w14:paraId="79175B0A">
            <w:pPr>
              <w:snapToGrid w:val="0"/>
              <w:spacing w:line="360" w:lineRule="exact"/>
              <w:rPr>
                <w:rFonts w:hint="eastAsia" w:ascii="宋体" w:hAnsi="宋体"/>
                <w:color w:val="auto"/>
                <w:szCs w:val="21"/>
                <w:highlight w:val="none"/>
              </w:rPr>
            </w:pPr>
            <w:r>
              <w:rPr>
                <w:rFonts w:hint="eastAsia" w:ascii="宋体" w:hAnsi="宋体"/>
                <w:color w:val="auto"/>
                <w:highlight w:val="none"/>
              </w:rPr>
              <w:t>单位地址：</w:t>
            </w:r>
          </w:p>
        </w:tc>
        <w:tc>
          <w:tcPr>
            <w:tcW w:w="4517" w:type="dxa"/>
            <w:tcBorders>
              <w:top w:val="single" w:color="auto" w:sz="4" w:space="0"/>
              <w:left w:val="single" w:color="auto" w:sz="4" w:space="0"/>
              <w:bottom w:val="single" w:color="auto" w:sz="4" w:space="0"/>
              <w:right w:val="single" w:color="auto" w:sz="4" w:space="0"/>
            </w:tcBorders>
            <w:vAlign w:val="center"/>
          </w:tcPr>
          <w:p w14:paraId="100C9488">
            <w:pPr>
              <w:snapToGrid w:val="0"/>
              <w:spacing w:line="360" w:lineRule="exact"/>
              <w:rPr>
                <w:rFonts w:hint="eastAsia" w:ascii="宋体" w:hAnsi="宋体"/>
                <w:color w:val="auto"/>
                <w:szCs w:val="21"/>
                <w:highlight w:val="none"/>
              </w:rPr>
            </w:pPr>
            <w:r>
              <w:rPr>
                <w:rFonts w:hint="eastAsia" w:ascii="宋体" w:hAnsi="宋体"/>
                <w:color w:val="auto"/>
                <w:highlight w:val="none"/>
              </w:rPr>
              <w:t>单位地址：</w:t>
            </w:r>
          </w:p>
        </w:tc>
      </w:tr>
      <w:tr w14:paraId="18D9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cBorders>
            <w:vAlign w:val="center"/>
          </w:tcPr>
          <w:p w14:paraId="31B90076">
            <w:pPr>
              <w:snapToGrid w:val="0"/>
              <w:spacing w:line="360" w:lineRule="exact"/>
              <w:rPr>
                <w:rFonts w:hint="eastAsia" w:ascii="宋体" w:hAnsi="宋体"/>
                <w:color w:val="auto"/>
                <w:szCs w:val="21"/>
                <w:highlight w:val="none"/>
              </w:rPr>
            </w:pPr>
            <w:r>
              <w:rPr>
                <w:rFonts w:hint="eastAsia" w:ascii="宋体" w:hAnsi="宋体"/>
                <w:color w:val="auto"/>
                <w:highlight w:val="none"/>
              </w:rPr>
              <w:t>法定代表人：</w:t>
            </w:r>
          </w:p>
        </w:tc>
        <w:tc>
          <w:tcPr>
            <w:tcW w:w="4517" w:type="dxa"/>
            <w:tcBorders>
              <w:top w:val="single" w:color="auto" w:sz="4" w:space="0"/>
              <w:left w:val="single" w:color="auto" w:sz="4" w:space="0"/>
              <w:bottom w:val="single" w:color="auto" w:sz="4" w:space="0"/>
              <w:right w:val="single" w:color="auto" w:sz="4" w:space="0"/>
            </w:tcBorders>
            <w:vAlign w:val="center"/>
          </w:tcPr>
          <w:p w14:paraId="21536F15">
            <w:pPr>
              <w:snapToGrid w:val="0"/>
              <w:spacing w:line="360" w:lineRule="exact"/>
              <w:rPr>
                <w:rFonts w:hint="eastAsia" w:ascii="宋体" w:hAnsi="宋体"/>
                <w:color w:val="auto"/>
                <w:szCs w:val="21"/>
                <w:highlight w:val="none"/>
              </w:rPr>
            </w:pPr>
            <w:r>
              <w:rPr>
                <w:rFonts w:hint="eastAsia" w:ascii="宋体" w:hAnsi="宋体"/>
                <w:color w:val="auto"/>
                <w:highlight w:val="none"/>
              </w:rPr>
              <w:t>法定代表人：</w:t>
            </w:r>
          </w:p>
        </w:tc>
      </w:tr>
      <w:tr w14:paraId="7FC8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4516" w:type="dxa"/>
            <w:tcBorders>
              <w:top w:val="single" w:color="auto" w:sz="4" w:space="0"/>
              <w:left w:val="single" w:color="auto" w:sz="4" w:space="0"/>
              <w:bottom w:val="single" w:color="auto" w:sz="4" w:space="0"/>
              <w:right w:val="single" w:color="auto" w:sz="4" w:space="0"/>
            </w:tcBorders>
            <w:vAlign w:val="center"/>
          </w:tcPr>
          <w:p w14:paraId="62520D61">
            <w:pPr>
              <w:snapToGrid w:val="0"/>
              <w:spacing w:line="360" w:lineRule="exact"/>
              <w:rPr>
                <w:rFonts w:hint="eastAsia" w:ascii="宋体" w:hAnsi="宋体"/>
                <w:color w:val="auto"/>
                <w:szCs w:val="21"/>
                <w:highlight w:val="none"/>
              </w:rPr>
            </w:pPr>
            <w:r>
              <w:rPr>
                <w:rFonts w:hint="eastAsia" w:ascii="宋体" w:hAnsi="宋体"/>
                <w:color w:val="auto"/>
                <w:highlight w:val="none"/>
              </w:rPr>
              <w:t>委托代理人：</w:t>
            </w:r>
          </w:p>
        </w:tc>
        <w:tc>
          <w:tcPr>
            <w:tcW w:w="4517" w:type="dxa"/>
            <w:tcBorders>
              <w:top w:val="single" w:color="auto" w:sz="4" w:space="0"/>
              <w:left w:val="single" w:color="auto" w:sz="4" w:space="0"/>
              <w:bottom w:val="single" w:color="auto" w:sz="4" w:space="0"/>
              <w:right w:val="single" w:color="auto" w:sz="4" w:space="0"/>
            </w:tcBorders>
            <w:vAlign w:val="center"/>
          </w:tcPr>
          <w:p w14:paraId="00D829CB">
            <w:pPr>
              <w:snapToGrid w:val="0"/>
              <w:spacing w:line="360" w:lineRule="exact"/>
              <w:rPr>
                <w:rFonts w:hint="eastAsia" w:ascii="宋体" w:hAnsi="宋体"/>
                <w:color w:val="auto"/>
                <w:szCs w:val="21"/>
                <w:highlight w:val="none"/>
              </w:rPr>
            </w:pPr>
            <w:r>
              <w:rPr>
                <w:rFonts w:hint="eastAsia" w:ascii="宋体" w:hAnsi="宋体"/>
                <w:color w:val="auto"/>
                <w:highlight w:val="none"/>
              </w:rPr>
              <w:t>委托代理人：</w:t>
            </w:r>
          </w:p>
        </w:tc>
      </w:tr>
      <w:tr w14:paraId="6F43E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tcBorders>
              <w:top w:val="single" w:color="auto" w:sz="4" w:space="0"/>
              <w:left w:val="single" w:color="auto" w:sz="4" w:space="0"/>
              <w:bottom w:val="single" w:color="auto" w:sz="4" w:space="0"/>
              <w:right w:val="single" w:color="auto" w:sz="4" w:space="0"/>
            </w:tcBorders>
            <w:vAlign w:val="center"/>
          </w:tcPr>
          <w:p w14:paraId="377F0E92">
            <w:pPr>
              <w:snapToGrid w:val="0"/>
              <w:spacing w:line="360" w:lineRule="exact"/>
              <w:rPr>
                <w:rFonts w:hint="eastAsia" w:ascii="宋体" w:hAnsi="宋体"/>
                <w:color w:val="auto"/>
                <w:szCs w:val="21"/>
                <w:highlight w:val="none"/>
              </w:rPr>
            </w:pPr>
            <w:r>
              <w:rPr>
                <w:rFonts w:hint="eastAsia" w:ascii="宋体" w:hAnsi="宋体"/>
                <w:color w:val="auto"/>
                <w:highlight w:val="none"/>
              </w:rPr>
              <w:t>电话：</w:t>
            </w:r>
          </w:p>
        </w:tc>
        <w:tc>
          <w:tcPr>
            <w:tcW w:w="4517" w:type="dxa"/>
            <w:tcBorders>
              <w:top w:val="single" w:color="auto" w:sz="4" w:space="0"/>
              <w:left w:val="single" w:color="auto" w:sz="4" w:space="0"/>
              <w:bottom w:val="single" w:color="auto" w:sz="4" w:space="0"/>
              <w:right w:val="single" w:color="auto" w:sz="4" w:space="0"/>
            </w:tcBorders>
            <w:vAlign w:val="center"/>
          </w:tcPr>
          <w:p w14:paraId="205EC8A3">
            <w:pPr>
              <w:snapToGrid w:val="0"/>
              <w:spacing w:line="360" w:lineRule="exact"/>
              <w:rPr>
                <w:rFonts w:hint="eastAsia" w:ascii="宋体" w:hAnsi="宋体"/>
                <w:color w:val="auto"/>
                <w:szCs w:val="21"/>
                <w:highlight w:val="none"/>
              </w:rPr>
            </w:pPr>
            <w:r>
              <w:rPr>
                <w:rFonts w:hint="eastAsia" w:ascii="宋体" w:hAnsi="宋体"/>
                <w:color w:val="auto"/>
                <w:highlight w:val="none"/>
              </w:rPr>
              <w:t>电话：</w:t>
            </w:r>
          </w:p>
        </w:tc>
      </w:tr>
      <w:tr w14:paraId="7F4D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tcBorders>
              <w:top w:val="single" w:color="auto" w:sz="4" w:space="0"/>
              <w:left w:val="single" w:color="auto" w:sz="4" w:space="0"/>
              <w:bottom w:val="single" w:color="auto" w:sz="4" w:space="0"/>
              <w:right w:val="single" w:color="auto" w:sz="4" w:space="0"/>
            </w:tcBorders>
            <w:vAlign w:val="center"/>
          </w:tcPr>
          <w:p w14:paraId="1B1A2A90">
            <w:pPr>
              <w:snapToGrid w:val="0"/>
              <w:spacing w:line="360" w:lineRule="exact"/>
              <w:rPr>
                <w:rFonts w:hint="eastAsia" w:ascii="宋体" w:hAnsi="宋体"/>
                <w:color w:val="auto"/>
                <w:szCs w:val="21"/>
                <w:highlight w:val="none"/>
              </w:rPr>
            </w:pPr>
            <w:r>
              <w:rPr>
                <w:rFonts w:hint="eastAsia" w:ascii="宋体" w:hAnsi="宋体"/>
                <w:color w:val="auto"/>
                <w:highlight w:val="none"/>
              </w:rPr>
              <w:t>电子邮箱：</w:t>
            </w:r>
          </w:p>
        </w:tc>
        <w:tc>
          <w:tcPr>
            <w:tcW w:w="4517" w:type="dxa"/>
            <w:tcBorders>
              <w:top w:val="single" w:color="auto" w:sz="4" w:space="0"/>
              <w:left w:val="single" w:color="auto" w:sz="4" w:space="0"/>
              <w:bottom w:val="single" w:color="auto" w:sz="4" w:space="0"/>
              <w:right w:val="single" w:color="auto" w:sz="4" w:space="0"/>
            </w:tcBorders>
            <w:vAlign w:val="center"/>
          </w:tcPr>
          <w:p w14:paraId="55DFA1C4">
            <w:pPr>
              <w:snapToGrid w:val="0"/>
              <w:spacing w:line="360" w:lineRule="exact"/>
              <w:rPr>
                <w:rFonts w:hint="eastAsia" w:ascii="宋体" w:hAnsi="宋体"/>
                <w:color w:val="auto"/>
                <w:szCs w:val="21"/>
                <w:highlight w:val="none"/>
              </w:rPr>
            </w:pPr>
            <w:r>
              <w:rPr>
                <w:rFonts w:hint="eastAsia" w:ascii="宋体" w:hAnsi="宋体"/>
                <w:color w:val="auto"/>
                <w:highlight w:val="none"/>
              </w:rPr>
              <w:t>电子邮箱：</w:t>
            </w:r>
          </w:p>
        </w:tc>
      </w:tr>
      <w:tr w14:paraId="03942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tcBorders>
              <w:top w:val="single" w:color="auto" w:sz="4" w:space="0"/>
              <w:left w:val="single" w:color="auto" w:sz="4" w:space="0"/>
              <w:bottom w:val="single" w:color="auto" w:sz="4" w:space="0"/>
              <w:right w:val="single" w:color="auto" w:sz="4" w:space="0"/>
            </w:tcBorders>
            <w:vAlign w:val="center"/>
          </w:tcPr>
          <w:p w14:paraId="62CC3B7C">
            <w:pPr>
              <w:snapToGrid w:val="0"/>
              <w:spacing w:line="360" w:lineRule="exact"/>
              <w:rPr>
                <w:rFonts w:hint="eastAsia" w:ascii="宋体" w:hAnsi="宋体"/>
                <w:color w:val="auto"/>
                <w:szCs w:val="21"/>
                <w:highlight w:val="none"/>
              </w:rPr>
            </w:pPr>
            <w:r>
              <w:rPr>
                <w:rFonts w:hint="eastAsia" w:ascii="宋体" w:hAnsi="宋体"/>
                <w:color w:val="auto"/>
                <w:highlight w:val="none"/>
              </w:rPr>
              <w:t>开户银行：</w:t>
            </w:r>
          </w:p>
        </w:tc>
        <w:tc>
          <w:tcPr>
            <w:tcW w:w="4517" w:type="dxa"/>
            <w:tcBorders>
              <w:top w:val="single" w:color="auto" w:sz="4" w:space="0"/>
              <w:left w:val="single" w:color="auto" w:sz="4" w:space="0"/>
              <w:bottom w:val="single" w:color="auto" w:sz="4" w:space="0"/>
              <w:right w:val="single" w:color="auto" w:sz="4" w:space="0"/>
            </w:tcBorders>
            <w:vAlign w:val="center"/>
          </w:tcPr>
          <w:p w14:paraId="5012FD81">
            <w:pPr>
              <w:snapToGrid w:val="0"/>
              <w:spacing w:line="360" w:lineRule="exact"/>
              <w:rPr>
                <w:rFonts w:hint="eastAsia" w:ascii="宋体" w:hAnsi="宋体"/>
                <w:color w:val="auto"/>
                <w:szCs w:val="21"/>
                <w:highlight w:val="none"/>
              </w:rPr>
            </w:pPr>
            <w:r>
              <w:rPr>
                <w:rFonts w:hint="eastAsia" w:ascii="宋体" w:hAnsi="宋体"/>
                <w:color w:val="auto"/>
                <w:highlight w:val="none"/>
              </w:rPr>
              <w:t>开户银行：</w:t>
            </w:r>
          </w:p>
        </w:tc>
      </w:tr>
      <w:tr w14:paraId="7A04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tcBorders>
              <w:top w:val="single" w:color="auto" w:sz="4" w:space="0"/>
              <w:left w:val="single" w:color="auto" w:sz="4" w:space="0"/>
              <w:bottom w:val="single" w:color="auto" w:sz="4" w:space="0"/>
              <w:right w:val="single" w:color="auto" w:sz="4" w:space="0"/>
            </w:tcBorders>
            <w:vAlign w:val="center"/>
          </w:tcPr>
          <w:p w14:paraId="65E4E8F6">
            <w:pPr>
              <w:snapToGrid w:val="0"/>
              <w:spacing w:line="360" w:lineRule="exact"/>
              <w:rPr>
                <w:rFonts w:hint="eastAsia" w:ascii="宋体" w:hAnsi="宋体"/>
                <w:color w:val="auto"/>
                <w:szCs w:val="21"/>
                <w:highlight w:val="none"/>
              </w:rPr>
            </w:pPr>
            <w:r>
              <w:rPr>
                <w:rFonts w:hint="eastAsia" w:ascii="宋体" w:hAnsi="宋体"/>
                <w:color w:val="auto"/>
                <w:highlight w:val="none"/>
              </w:rPr>
              <w:t>账号：</w:t>
            </w:r>
          </w:p>
        </w:tc>
        <w:tc>
          <w:tcPr>
            <w:tcW w:w="4517" w:type="dxa"/>
            <w:tcBorders>
              <w:top w:val="single" w:color="auto" w:sz="4" w:space="0"/>
              <w:left w:val="single" w:color="auto" w:sz="4" w:space="0"/>
              <w:bottom w:val="single" w:color="auto" w:sz="4" w:space="0"/>
              <w:right w:val="single" w:color="auto" w:sz="4" w:space="0"/>
            </w:tcBorders>
            <w:vAlign w:val="center"/>
          </w:tcPr>
          <w:p w14:paraId="19CA1E9B">
            <w:pPr>
              <w:snapToGrid w:val="0"/>
              <w:spacing w:line="360" w:lineRule="exact"/>
              <w:rPr>
                <w:rFonts w:hint="eastAsia" w:ascii="宋体" w:hAnsi="宋体"/>
                <w:color w:val="auto"/>
                <w:szCs w:val="21"/>
                <w:highlight w:val="none"/>
              </w:rPr>
            </w:pPr>
            <w:r>
              <w:rPr>
                <w:rFonts w:hint="eastAsia" w:ascii="宋体" w:hAnsi="宋体"/>
                <w:color w:val="auto"/>
                <w:highlight w:val="none"/>
              </w:rPr>
              <w:t>账号：</w:t>
            </w:r>
          </w:p>
        </w:tc>
      </w:tr>
      <w:tr w14:paraId="464C7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tcBorders>
              <w:top w:val="single" w:color="auto" w:sz="4" w:space="0"/>
              <w:left w:val="single" w:color="auto" w:sz="4" w:space="0"/>
              <w:bottom w:val="single" w:color="auto" w:sz="4" w:space="0"/>
              <w:right w:val="single" w:color="auto" w:sz="4" w:space="0"/>
            </w:tcBorders>
            <w:vAlign w:val="center"/>
          </w:tcPr>
          <w:p w14:paraId="25A25EAD">
            <w:pPr>
              <w:snapToGrid w:val="0"/>
              <w:spacing w:line="360" w:lineRule="exact"/>
              <w:rPr>
                <w:rFonts w:hint="eastAsia" w:ascii="宋体" w:hAnsi="宋体"/>
                <w:color w:val="auto"/>
                <w:szCs w:val="21"/>
                <w:highlight w:val="none"/>
              </w:rPr>
            </w:pPr>
            <w:r>
              <w:rPr>
                <w:rFonts w:hint="eastAsia" w:ascii="宋体" w:hAnsi="宋体"/>
                <w:color w:val="auto"/>
                <w:highlight w:val="none"/>
              </w:rPr>
              <w:t>邮政编码：</w:t>
            </w:r>
          </w:p>
        </w:tc>
        <w:tc>
          <w:tcPr>
            <w:tcW w:w="4517" w:type="dxa"/>
            <w:tcBorders>
              <w:top w:val="single" w:color="auto" w:sz="4" w:space="0"/>
              <w:left w:val="single" w:color="auto" w:sz="4" w:space="0"/>
              <w:bottom w:val="single" w:color="auto" w:sz="4" w:space="0"/>
              <w:right w:val="single" w:color="auto" w:sz="4" w:space="0"/>
            </w:tcBorders>
            <w:vAlign w:val="center"/>
          </w:tcPr>
          <w:p w14:paraId="6116E498">
            <w:pPr>
              <w:snapToGrid w:val="0"/>
              <w:spacing w:line="360" w:lineRule="exact"/>
              <w:rPr>
                <w:rFonts w:hint="eastAsia" w:ascii="宋体" w:hAnsi="宋体"/>
                <w:color w:val="auto"/>
                <w:szCs w:val="21"/>
                <w:highlight w:val="none"/>
              </w:rPr>
            </w:pPr>
            <w:r>
              <w:rPr>
                <w:rFonts w:hint="eastAsia" w:ascii="宋体" w:hAnsi="宋体"/>
                <w:color w:val="auto"/>
                <w:highlight w:val="none"/>
              </w:rPr>
              <w:t>邮政编码：</w:t>
            </w:r>
          </w:p>
        </w:tc>
      </w:tr>
    </w:tbl>
    <w:p w14:paraId="7F2DA6DE">
      <w:pPr>
        <w:snapToGrid w:val="0"/>
        <w:spacing w:line="36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w:t>
      </w:r>
    </w:p>
    <w:p w14:paraId="15678524">
      <w:pPr>
        <w:snapToGrid w:val="0"/>
        <w:spacing w:line="360" w:lineRule="exact"/>
        <w:jc w:val="center"/>
        <w:rPr>
          <w:rFonts w:ascii="仿宋_GB2312" w:eastAsia="仿宋_GB2312"/>
          <w:b/>
          <w:color w:val="auto"/>
          <w:sz w:val="28"/>
          <w:szCs w:val="28"/>
          <w:highlight w:val="none"/>
        </w:rPr>
      </w:pPr>
      <w:r>
        <w:rPr>
          <w:rFonts w:ascii="仿宋_GB2312" w:eastAsia="仿宋_GB2312"/>
          <w:b/>
          <w:color w:val="auto"/>
          <w:sz w:val="28"/>
          <w:szCs w:val="28"/>
          <w:highlight w:val="none"/>
        </w:rPr>
        <w:br w:type="page"/>
      </w:r>
    </w:p>
    <w:p w14:paraId="3F6B7E89">
      <w:pPr>
        <w:snapToGrid w:val="0"/>
        <w:spacing w:line="36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合 同 附 件</w:t>
      </w:r>
    </w:p>
    <w:p w14:paraId="19E21A0D">
      <w:pPr>
        <w:snapToGrid w:val="0"/>
        <w:spacing w:line="360" w:lineRule="exact"/>
        <w:ind w:firstLine="105" w:firstLineChars="50"/>
        <w:rPr>
          <w:rFonts w:hint="eastAsia" w:ascii="宋体" w:hAnsi="宋体"/>
          <w:color w:val="auto"/>
          <w:szCs w:val="21"/>
          <w:highlight w:val="none"/>
        </w:rPr>
      </w:pPr>
      <w:r>
        <w:rPr>
          <w:rFonts w:hint="eastAsia" w:ascii="宋体" w:hAnsi="宋体"/>
          <w:color w:val="auto"/>
          <w:highlight w:val="none"/>
        </w:rPr>
        <w:t>一般货物类</w:t>
      </w:r>
    </w:p>
    <w:tbl>
      <w:tblPr>
        <w:tblStyle w:val="25"/>
        <w:tblW w:w="8522" w:type="dxa"/>
        <w:tblInd w:w="213" w:type="dxa"/>
        <w:tblLayout w:type="fixed"/>
        <w:tblCellMar>
          <w:top w:w="0" w:type="dxa"/>
          <w:left w:w="108" w:type="dxa"/>
          <w:bottom w:w="0" w:type="dxa"/>
          <w:right w:w="108" w:type="dxa"/>
        </w:tblCellMar>
      </w:tblPr>
      <w:tblGrid>
        <w:gridCol w:w="4010"/>
        <w:gridCol w:w="4512"/>
      </w:tblGrid>
      <w:tr w14:paraId="413EF426">
        <w:tblPrEx>
          <w:tblCellMar>
            <w:top w:w="0" w:type="dxa"/>
            <w:left w:w="108" w:type="dxa"/>
            <w:bottom w:w="0" w:type="dxa"/>
            <w:right w:w="108" w:type="dxa"/>
          </w:tblCellMar>
        </w:tblPrEx>
        <w:trPr>
          <w:trHeight w:val="1226" w:hRule="atLeast"/>
        </w:trPr>
        <w:tc>
          <w:tcPr>
            <w:tcW w:w="8522" w:type="dxa"/>
            <w:gridSpan w:val="2"/>
            <w:tcBorders>
              <w:top w:val="single" w:color="auto" w:sz="4" w:space="0"/>
              <w:left w:val="single" w:color="auto" w:sz="4" w:space="0"/>
              <w:bottom w:val="nil"/>
              <w:right w:val="single" w:color="auto" w:sz="4" w:space="0"/>
            </w:tcBorders>
          </w:tcPr>
          <w:p w14:paraId="120E14C1">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1.供应商承诺具体事项：</w:t>
            </w:r>
          </w:p>
        </w:tc>
      </w:tr>
      <w:tr w14:paraId="71AE2344">
        <w:tblPrEx>
          <w:tblCellMar>
            <w:top w:w="0" w:type="dxa"/>
            <w:left w:w="108" w:type="dxa"/>
            <w:bottom w:w="0" w:type="dxa"/>
            <w:right w:w="108" w:type="dxa"/>
          </w:tblCellMar>
        </w:tblPrEx>
        <w:trPr>
          <w:trHeight w:val="1228" w:hRule="atLeast"/>
        </w:trPr>
        <w:tc>
          <w:tcPr>
            <w:tcW w:w="8522" w:type="dxa"/>
            <w:gridSpan w:val="2"/>
            <w:tcBorders>
              <w:top w:val="single" w:color="auto" w:sz="4" w:space="0"/>
              <w:left w:val="single" w:color="auto" w:sz="4" w:space="0"/>
              <w:bottom w:val="nil"/>
              <w:right w:val="single" w:color="auto" w:sz="4" w:space="0"/>
            </w:tcBorders>
          </w:tcPr>
          <w:p w14:paraId="27292CF3">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2.售后服务具体事项：</w:t>
            </w:r>
          </w:p>
        </w:tc>
      </w:tr>
      <w:tr w14:paraId="5177CA99">
        <w:tblPrEx>
          <w:tblCellMar>
            <w:top w:w="0" w:type="dxa"/>
            <w:left w:w="108" w:type="dxa"/>
            <w:bottom w:w="0" w:type="dxa"/>
            <w:right w:w="108" w:type="dxa"/>
          </w:tblCellMar>
        </w:tblPrEx>
        <w:trPr>
          <w:trHeight w:val="1088" w:hRule="atLeast"/>
        </w:trPr>
        <w:tc>
          <w:tcPr>
            <w:tcW w:w="8522" w:type="dxa"/>
            <w:gridSpan w:val="2"/>
            <w:tcBorders>
              <w:top w:val="single" w:color="auto" w:sz="4" w:space="0"/>
              <w:left w:val="single" w:color="auto" w:sz="4" w:space="0"/>
              <w:bottom w:val="nil"/>
              <w:right w:val="single" w:color="auto" w:sz="4" w:space="0"/>
            </w:tcBorders>
          </w:tcPr>
          <w:p w14:paraId="408BE25C">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3.保修期责任：</w:t>
            </w:r>
          </w:p>
        </w:tc>
      </w:tr>
      <w:tr w14:paraId="64853E04">
        <w:tblPrEx>
          <w:tblCellMar>
            <w:top w:w="0" w:type="dxa"/>
            <w:left w:w="108" w:type="dxa"/>
            <w:bottom w:w="0" w:type="dxa"/>
            <w:right w:w="108" w:type="dxa"/>
          </w:tblCellMar>
        </w:tblPrEx>
        <w:trPr>
          <w:trHeight w:val="1360" w:hRule="atLeast"/>
        </w:trPr>
        <w:tc>
          <w:tcPr>
            <w:tcW w:w="8522" w:type="dxa"/>
            <w:gridSpan w:val="2"/>
            <w:tcBorders>
              <w:top w:val="single" w:color="auto" w:sz="4" w:space="0"/>
              <w:left w:val="single" w:color="auto" w:sz="4" w:space="0"/>
              <w:bottom w:val="single" w:color="auto" w:sz="4" w:space="0"/>
              <w:right w:val="single" w:color="auto" w:sz="4" w:space="0"/>
            </w:tcBorders>
          </w:tcPr>
          <w:p w14:paraId="7BA42DFD">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4.其他具体事项：</w:t>
            </w:r>
          </w:p>
        </w:tc>
      </w:tr>
      <w:tr w14:paraId="6A692A49">
        <w:tblPrEx>
          <w:tblCellMar>
            <w:top w:w="0" w:type="dxa"/>
            <w:left w:w="108" w:type="dxa"/>
            <w:bottom w:w="0" w:type="dxa"/>
            <w:right w:w="108" w:type="dxa"/>
          </w:tblCellMar>
        </w:tblPrEx>
        <w:trPr>
          <w:trHeight w:val="1360" w:hRule="atLeast"/>
        </w:trPr>
        <w:tc>
          <w:tcPr>
            <w:tcW w:w="4010" w:type="dxa"/>
            <w:tcBorders>
              <w:top w:val="single" w:color="auto" w:sz="4" w:space="0"/>
              <w:left w:val="single" w:color="auto" w:sz="4" w:space="0"/>
              <w:bottom w:val="single" w:color="auto" w:sz="4" w:space="0"/>
              <w:right w:val="single" w:color="auto" w:sz="4" w:space="0"/>
            </w:tcBorders>
            <w:vAlign w:val="center"/>
          </w:tcPr>
          <w:p w14:paraId="66A90A13">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甲方（章）</w:t>
            </w:r>
          </w:p>
          <w:p w14:paraId="7DF466F2">
            <w:pPr>
              <w:snapToGrid w:val="0"/>
              <w:spacing w:line="360" w:lineRule="exact"/>
              <w:rPr>
                <w:rFonts w:hint="eastAsia" w:ascii="宋体" w:hAnsi="宋体"/>
                <w:b/>
                <w:color w:val="auto"/>
                <w:sz w:val="24"/>
                <w:highlight w:val="none"/>
              </w:rPr>
            </w:pPr>
          </w:p>
          <w:p w14:paraId="241E4F45">
            <w:pPr>
              <w:snapToGrid w:val="0"/>
              <w:spacing w:line="360" w:lineRule="exact"/>
              <w:rPr>
                <w:rFonts w:hint="eastAsia" w:ascii="宋体" w:hAnsi="宋体"/>
                <w:b/>
                <w:color w:val="auto"/>
                <w:sz w:val="24"/>
                <w:highlight w:val="none"/>
              </w:rPr>
            </w:pPr>
          </w:p>
          <w:p w14:paraId="39D3DF8F">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512" w:type="dxa"/>
            <w:tcBorders>
              <w:top w:val="single" w:color="auto" w:sz="4" w:space="0"/>
              <w:left w:val="single" w:color="auto" w:sz="4" w:space="0"/>
              <w:bottom w:val="single" w:color="auto" w:sz="4" w:space="0"/>
              <w:right w:val="single" w:color="auto" w:sz="4" w:space="0"/>
            </w:tcBorders>
            <w:vAlign w:val="center"/>
          </w:tcPr>
          <w:p w14:paraId="10345475">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乙方（章）</w:t>
            </w:r>
          </w:p>
          <w:p w14:paraId="4298C85F">
            <w:pPr>
              <w:snapToGrid w:val="0"/>
              <w:spacing w:line="360" w:lineRule="exact"/>
              <w:rPr>
                <w:rFonts w:hint="eastAsia" w:ascii="宋体" w:hAnsi="宋体"/>
                <w:b/>
                <w:color w:val="auto"/>
                <w:sz w:val="24"/>
                <w:highlight w:val="none"/>
              </w:rPr>
            </w:pPr>
          </w:p>
          <w:p w14:paraId="7A4BC35E">
            <w:pPr>
              <w:snapToGrid w:val="0"/>
              <w:spacing w:line="360" w:lineRule="exact"/>
              <w:rPr>
                <w:rFonts w:hint="eastAsia" w:ascii="宋体" w:hAnsi="宋体"/>
                <w:b/>
                <w:color w:val="auto"/>
                <w:sz w:val="24"/>
                <w:highlight w:val="none"/>
              </w:rPr>
            </w:pPr>
          </w:p>
          <w:p w14:paraId="4792EBB4">
            <w:pPr>
              <w:snapToGrid w:val="0"/>
              <w:spacing w:line="360" w:lineRule="exact"/>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14:paraId="5F8820D0">
      <w:pPr>
        <w:snapToGrid w:val="0"/>
        <w:spacing w:line="360" w:lineRule="exact"/>
        <w:rPr>
          <w:rFonts w:hint="eastAsia" w:ascii="宋体" w:hAnsi="宋体"/>
          <w:color w:val="auto"/>
          <w:szCs w:val="21"/>
          <w:highlight w:val="none"/>
        </w:rPr>
      </w:pPr>
      <w:r>
        <w:rPr>
          <w:rFonts w:hint="eastAsia" w:ascii="宋体" w:hAnsi="宋体"/>
          <w:color w:val="auto"/>
          <w:highlight w:val="none"/>
        </w:rPr>
        <w:t xml:space="preserve">   注：售后服务事项填不下时可另加附页</w:t>
      </w:r>
    </w:p>
    <w:p w14:paraId="045FB3CB">
      <w:pPr>
        <w:tabs>
          <w:tab w:val="left" w:pos="4395"/>
        </w:tabs>
        <w:spacing w:line="360" w:lineRule="auto"/>
        <w:rPr>
          <w:rFonts w:ascii="宋体"/>
          <w:bCs/>
          <w:color w:val="auto"/>
          <w:sz w:val="24"/>
          <w:highlight w:val="none"/>
        </w:rPr>
      </w:pPr>
    </w:p>
    <w:sectPr>
      <w:headerReference r:id="rId9" w:type="first"/>
      <w:footerReference r:id="rId10" w:type="first"/>
      <w:headerReference r:id="rId7" w:type="default"/>
      <w:headerReference r:id="rId8" w:type="even"/>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宋体-简">
    <w:altName w:val="宋体"/>
    <w:panose1 w:val="00000000000000000000"/>
    <w:charset w:val="00"/>
    <w:family w:val="auto"/>
    <w:pitch w:val="default"/>
    <w:sig w:usb0="00000000" w:usb1="00000000" w:usb2="00000000" w:usb3="00000000" w:csb0="0000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Arial Unicode MS"/>
    <w:panose1 w:val="03000509000000000000"/>
    <w:charset w:val="86"/>
    <w:family w:val="script"/>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E8DF">
    <w:pPr>
      <w:pStyle w:val="18"/>
      <w:jc w:val="center"/>
    </w:pPr>
    <w:r>
      <w:fldChar w:fldCharType="begin"/>
    </w:r>
    <w:r>
      <w:instrText xml:space="preserve"> PAGE   \* MERGEFORMAT </w:instrText>
    </w:r>
    <w:r>
      <w:fldChar w:fldCharType="separate"/>
    </w:r>
    <w:r>
      <w:rPr>
        <w:lang w:val="zh-CN"/>
      </w:rPr>
      <w:t>95</w:t>
    </w:r>
    <w:r>
      <w:rPr>
        <w:lang w:val="zh-CN"/>
      </w:rPr>
      <w:fldChar w:fldCharType="end"/>
    </w:r>
  </w:p>
  <w:p w14:paraId="76B1743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4FA3">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5C039A3">
                          <w:pPr>
                            <w:pStyle w:val="1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5&#10;uc8AAAAFAQAADwAAAAAAAAABACAAAAAiAAAAZHJzL2Rvd25yZXYueG1sUEsBAhQAFAAAAAgAh07i&#10;QOG7zd7yAQAA5QMAAA4AAAAAAAAAAQAgAAAAHgEAAGRycy9lMm9Eb2MueG1sUEsFBgAAAAAGAAYA&#10;WQEAAIIFAAAAAA==&#10;">
              <v:fill on="f" focussize="0,0"/>
              <v:stroke on="f"/>
              <v:imagedata o:title=""/>
              <o:lock v:ext="edit" aspectratio="f"/>
              <v:textbox inset="0mm,0mm,0mm,0mm" style="mso-fit-shape-to-text:t;">
                <w:txbxContent>
                  <w:p w14:paraId="15C039A3">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56929">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10016">
    <w:pPr>
      <w:pStyle w:val="19"/>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542280" cy="4897755"/>
          <wp:effectExtent l="0" t="0" r="5080" b="9525"/>
          <wp:wrapNone/>
          <wp:docPr id="4" name="WordPictureWatermark7392467"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7392467" descr="云龙水印"/>
                  <pic:cNvPicPr>
                    <a:picLocks noChangeAspect="1"/>
                  </pic:cNvPicPr>
                </pic:nvPicPr>
                <pic:blipFill>
                  <a:blip r:embed="rId1">
                    <a:lum bright="70001" contrast="-70000"/>
                  </a:blip>
                  <a:stretch>
                    <a:fillRect/>
                  </a:stretch>
                </pic:blipFill>
                <pic:spPr>
                  <a:xfrm>
                    <a:off x="0" y="0"/>
                    <a:ext cx="5542280" cy="489775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77F97">
    <w:pPr>
      <w:rPr>
        <w:rFonts w:hint="eastAsia"/>
        <w:lang w:eastAsia="zh-CN"/>
      </w:rPr>
    </w:pPr>
    <w:r>
      <w:rPr>
        <w:rFonts w:hint="eastAsia"/>
        <w:lang w:eastAsia="zh-CN"/>
      </w:rPr>
      <w:tab/>
      <w:t/>
    </w:r>
    <w:r>
      <w:rPr>
        <w:rFonts w:hint="eastAsia"/>
        <w:lang w:eastAsia="zh-CN"/>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1A44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3D080">
    <w:pPr>
      <w:pStyle w:val="19"/>
    </w:pPr>
    <w: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542280" cy="4897755"/>
          <wp:effectExtent l="0" t="0" r="5080" b="9525"/>
          <wp:wrapNone/>
          <wp:docPr id="7" name="WordPictureWatermark7392470"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7392470" descr="云龙水印"/>
                  <pic:cNvPicPr>
                    <a:picLocks noChangeAspect="1"/>
                  </pic:cNvPicPr>
                </pic:nvPicPr>
                <pic:blipFill>
                  <a:blip r:embed="rId1">
                    <a:lum bright="70001" contrast="-70000"/>
                  </a:blip>
                  <a:stretch>
                    <a:fillRect/>
                  </a:stretch>
                </pic:blipFill>
                <pic:spPr>
                  <a:xfrm>
                    <a:off x="0" y="0"/>
                    <a:ext cx="5542280" cy="4897755"/>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2E0C2">
    <w:pPr>
      <w:pStyle w:val="19"/>
    </w:pPr>
    <w: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542280" cy="4897755"/>
          <wp:effectExtent l="0" t="0" r="5080" b="9525"/>
          <wp:wrapNone/>
          <wp:docPr id="6" name="WordPictureWatermark7392469"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7392469" descr="云龙水印"/>
                  <pic:cNvPicPr>
                    <a:picLocks noChangeAspect="1"/>
                  </pic:cNvPicPr>
                </pic:nvPicPr>
                <pic:blipFill>
                  <a:blip r:embed="rId1">
                    <a:lum bright="70001" contrast="-70000"/>
                  </a:blip>
                  <a:stretch>
                    <a:fillRect/>
                  </a:stretch>
                </pic:blipFill>
                <pic:spPr>
                  <a:xfrm>
                    <a:off x="0" y="0"/>
                    <a:ext cx="5542280" cy="489775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25C5A"/>
    <w:multiLevelType w:val="singleLevel"/>
    <w:tmpl w:val="88E25C5A"/>
    <w:lvl w:ilvl="0" w:tentative="0">
      <w:start w:val="1"/>
      <w:numFmt w:val="decimal"/>
      <w:lvlText w:val="%1."/>
      <w:lvlJc w:val="left"/>
      <w:pPr>
        <w:tabs>
          <w:tab w:val="left" w:pos="312"/>
        </w:tabs>
      </w:pPr>
    </w:lvl>
  </w:abstractNum>
  <w:abstractNum w:abstractNumId="1">
    <w:nsid w:val="0039A1ED"/>
    <w:multiLevelType w:val="singleLevel"/>
    <w:tmpl w:val="0039A1ED"/>
    <w:lvl w:ilvl="0" w:tentative="0">
      <w:start w:val="1"/>
      <w:numFmt w:val="decimal"/>
      <w:lvlText w:val="%1."/>
      <w:lvlJc w:val="left"/>
      <w:pPr>
        <w:tabs>
          <w:tab w:val="left" w:pos="312"/>
        </w:tabs>
      </w:pPr>
    </w:lvl>
  </w:abstractNum>
  <w:abstractNum w:abstractNumId="2">
    <w:nsid w:val="118F8D02"/>
    <w:multiLevelType w:val="singleLevel"/>
    <w:tmpl w:val="118F8D02"/>
    <w:lvl w:ilvl="0" w:tentative="0">
      <w:start w:val="1"/>
      <w:numFmt w:val="decimal"/>
      <w:lvlText w:val="%1."/>
      <w:lvlJc w:val="left"/>
      <w:pPr>
        <w:tabs>
          <w:tab w:val="left" w:pos="312"/>
        </w:tabs>
      </w:pPr>
    </w:lvl>
  </w:abstractNum>
  <w:abstractNum w:abstractNumId="3">
    <w:nsid w:val="680BBF2A"/>
    <w:multiLevelType w:val="singleLevel"/>
    <w:tmpl w:val="680BBF2A"/>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hideSpellingErrors/>
  <w:hideGrammaticalError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C3NLAwNzEytzQ3NbVQ0lEKTi0uzszPAykwqQUAIDYXgSwAAAA="/>
    <w:docVar w:name="commondata" w:val="eyJoZGlkIjoiMzcyODMxYTE0ZTc0ZGU3Y2QwODc3MzYzN2Q1YmNiM2EifQ=="/>
  </w:docVars>
  <w:rsids>
    <w:rsidRoot w:val="00172A27"/>
    <w:rsid w:val="00000672"/>
    <w:rsid w:val="000009D3"/>
    <w:rsid w:val="00001799"/>
    <w:rsid w:val="00001BEA"/>
    <w:rsid w:val="00002D29"/>
    <w:rsid w:val="000040C5"/>
    <w:rsid w:val="00004514"/>
    <w:rsid w:val="00004A8A"/>
    <w:rsid w:val="00005E55"/>
    <w:rsid w:val="00005FDF"/>
    <w:rsid w:val="00006586"/>
    <w:rsid w:val="000078A4"/>
    <w:rsid w:val="00007BE9"/>
    <w:rsid w:val="0001014C"/>
    <w:rsid w:val="00010D39"/>
    <w:rsid w:val="000112BB"/>
    <w:rsid w:val="0001149B"/>
    <w:rsid w:val="0001172C"/>
    <w:rsid w:val="00012854"/>
    <w:rsid w:val="00012EA6"/>
    <w:rsid w:val="000139C7"/>
    <w:rsid w:val="000139DC"/>
    <w:rsid w:val="00013D8C"/>
    <w:rsid w:val="00013DFE"/>
    <w:rsid w:val="000141EA"/>
    <w:rsid w:val="00014385"/>
    <w:rsid w:val="00014B02"/>
    <w:rsid w:val="00015777"/>
    <w:rsid w:val="00016395"/>
    <w:rsid w:val="000166C4"/>
    <w:rsid w:val="00016960"/>
    <w:rsid w:val="00017396"/>
    <w:rsid w:val="000177DB"/>
    <w:rsid w:val="00020227"/>
    <w:rsid w:val="000203E4"/>
    <w:rsid w:val="00020455"/>
    <w:rsid w:val="00021729"/>
    <w:rsid w:val="00021E83"/>
    <w:rsid w:val="000226BE"/>
    <w:rsid w:val="00022731"/>
    <w:rsid w:val="00022792"/>
    <w:rsid w:val="0002392D"/>
    <w:rsid w:val="00024B43"/>
    <w:rsid w:val="00025382"/>
    <w:rsid w:val="00025636"/>
    <w:rsid w:val="00025E36"/>
    <w:rsid w:val="00026627"/>
    <w:rsid w:val="00026886"/>
    <w:rsid w:val="00030496"/>
    <w:rsid w:val="00030B1D"/>
    <w:rsid w:val="00031785"/>
    <w:rsid w:val="0003201C"/>
    <w:rsid w:val="000329A1"/>
    <w:rsid w:val="000329E0"/>
    <w:rsid w:val="000333A0"/>
    <w:rsid w:val="00033E6B"/>
    <w:rsid w:val="000345D7"/>
    <w:rsid w:val="000352E9"/>
    <w:rsid w:val="00035872"/>
    <w:rsid w:val="00036A07"/>
    <w:rsid w:val="00036E33"/>
    <w:rsid w:val="00037717"/>
    <w:rsid w:val="00037E2D"/>
    <w:rsid w:val="00040571"/>
    <w:rsid w:val="0004156E"/>
    <w:rsid w:val="00041597"/>
    <w:rsid w:val="0004392E"/>
    <w:rsid w:val="00043A45"/>
    <w:rsid w:val="0004440C"/>
    <w:rsid w:val="00044D55"/>
    <w:rsid w:val="00045880"/>
    <w:rsid w:val="000462CB"/>
    <w:rsid w:val="00046B5E"/>
    <w:rsid w:val="0004783A"/>
    <w:rsid w:val="000509D9"/>
    <w:rsid w:val="00050B27"/>
    <w:rsid w:val="00050EED"/>
    <w:rsid w:val="000523F8"/>
    <w:rsid w:val="00053D2E"/>
    <w:rsid w:val="00053E2D"/>
    <w:rsid w:val="000552A6"/>
    <w:rsid w:val="00055D41"/>
    <w:rsid w:val="00055E86"/>
    <w:rsid w:val="00056E90"/>
    <w:rsid w:val="00057CEC"/>
    <w:rsid w:val="00060203"/>
    <w:rsid w:val="00060DCE"/>
    <w:rsid w:val="00061382"/>
    <w:rsid w:val="000623B4"/>
    <w:rsid w:val="000634A7"/>
    <w:rsid w:val="00063E85"/>
    <w:rsid w:val="00063F81"/>
    <w:rsid w:val="00064847"/>
    <w:rsid w:val="0006484B"/>
    <w:rsid w:val="00065BBC"/>
    <w:rsid w:val="00066149"/>
    <w:rsid w:val="00066DDD"/>
    <w:rsid w:val="000673E2"/>
    <w:rsid w:val="000675A3"/>
    <w:rsid w:val="0007073B"/>
    <w:rsid w:val="000711E4"/>
    <w:rsid w:val="000725FC"/>
    <w:rsid w:val="00072AED"/>
    <w:rsid w:val="00073F47"/>
    <w:rsid w:val="00075B7E"/>
    <w:rsid w:val="000765D0"/>
    <w:rsid w:val="0007692D"/>
    <w:rsid w:val="00076A88"/>
    <w:rsid w:val="00077C70"/>
    <w:rsid w:val="00080B57"/>
    <w:rsid w:val="000817D1"/>
    <w:rsid w:val="00081BA3"/>
    <w:rsid w:val="00081D2E"/>
    <w:rsid w:val="0008267B"/>
    <w:rsid w:val="00082D02"/>
    <w:rsid w:val="00083B91"/>
    <w:rsid w:val="000844EA"/>
    <w:rsid w:val="00084765"/>
    <w:rsid w:val="00084C27"/>
    <w:rsid w:val="0008520B"/>
    <w:rsid w:val="00086BBB"/>
    <w:rsid w:val="000871B8"/>
    <w:rsid w:val="00087DB6"/>
    <w:rsid w:val="00090639"/>
    <w:rsid w:val="000913BE"/>
    <w:rsid w:val="000918F8"/>
    <w:rsid w:val="00092442"/>
    <w:rsid w:val="0009299D"/>
    <w:rsid w:val="00092E9D"/>
    <w:rsid w:val="00094632"/>
    <w:rsid w:val="00094960"/>
    <w:rsid w:val="0009552B"/>
    <w:rsid w:val="0009588E"/>
    <w:rsid w:val="000959EE"/>
    <w:rsid w:val="00095B2F"/>
    <w:rsid w:val="00095B51"/>
    <w:rsid w:val="00097DA0"/>
    <w:rsid w:val="000A0D6B"/>
    <w:rsid w:val="000A0EEE"/>
    <w:rsid w:val="000A1389"/>
    <w:rsid w:val="000A166E"/>
    <w:rsid w:val="000A17D0"/>
    <w:rsid w:val="000A2B0E"/>
    <w:rsid w:val="000A3062"/>
    <w:rsid w:val="000A398F"/>
    <w:rsid w:val="000A4AEE"/>
    <w:rsid w:val="000A509C"/>
    <w:rsid w:val="000A54D8"/>
    <w:rsid w:val="000A6007"/>
    <w:rsid w:val="000A65A6"/>
    <w:rsid w:val="000A7275"/>
    <w:rsid w:val="000A73F3"/>
    <w:rsid w:val="000A7A12"/>
    <w:rsid w:val="000A7AD8"/>
    <w:rsid w:val="000A7CA5"/>
    <w:rsid w:val="000B039A"/>
    <w:rsid w:val="000B15D6"/>
    <w:rsid w:val="000B1801"/>
    <w:rsid w:val="000B197E"/>
    <w:rsid w:val="000B19B3"/>
    <w:rsid w:val="000B1D0C"/>
    <w:rsid w:val="000B24D9"/>
    <w:rsid w:val="000B2D03"/>
    <w:rsid w:val="000B3815"/>
    <w:rsid w:val="000B3C7B"/>
    <w:rsid w:val="000B6C95"/>
    <w:rsid w:val="000C0C58"/>
    <w:rsid w:val="000C1679"/>
    <w:rsid w:val="000C2898"/>
    <w:rsid w:val="000C2F89"/>
    <w:rsid w:val="000C3232"/>
    <w:rsid w:val="000C326D"/>
    <w:rsid w:val="000C3775"/>
    <w:rsid w:val="000C435F"/>
    <w:rsid w:val="000C4635"/>
    <w:rsid w:val="000C548E"/>
    <w:rsid w:val="000C6DE4"/>
    <w:rsid w:val="000D01EB"/>
    <w:rsid w:val="000D056E"/>
    <w:rsid w:val="000D0675"/>
    <w:rsid w:val="000D0A89"/>
    <w:rsid w:val="000D1389"/>
    <w:rsid w:val="000D1798"/>
    <w:rsid w:val="000D1A2A"/>
    <w:rsid w:val="000D2626"/>
    <w:rsid w:val="000D2B86"/>
    <w:rsid w:val="000D3797"/>
    <w:rsid w:val="000D4A06"/>
    <w:rsid w:val="000D5375"/>
    <w:rsid w:val="000D54D4"/>
    <w:rsid w:val="000D73DD"/>
    <w:rsid w:val="000D7D9B"/>
    <w:rsid w:val="000E18E2"/>
    <w:rsid w:val="000E28AB"/>
    <w:rsid w:val="000E2E3E"/>
    <w:rsid w:val="000E2EAA"/>
    <w:rsid w:val="000E33C5"/>
    <w:rsid w:val="000E3583"/>
    <w:rsid w:val="000E3AF0"/>
    <w:rsid w:val="000E3B01"/>
    <w:rsid w:val="000E3D53"/>
    <w:rsid w:val="000E4E04"/>
    <w:rsid w:val="000E5711"/>
    <w:rsid w:val="000E5AE3"/>
    <w:rsid w:val="000E6E77"/>
    <w:rsid w:val="000E6EC9"/>
    <w:rsid w:val="000E70B4"/>
    <w:rsid w:val="000F2116"/>
    <w:rsid w:val="000F29AA"/>
    <w:rsid w:val="000F2D7B"/>
    <w:rsid w:val="000F3281"/>
    <w:rsid w:val="000F3733"/>
    <w:rsid w:val="000F4D88"/>
    <w:rsid w:val="000F5B1B"/>
    <w:rsid w:val="000F64AA"/>
    <w:rsid w:val="000F71CF"/>
    <w:rsid w:val="000F79A3"/>
    <w:rsid w:val="000F7AF4"/>
    <w:rsid w:val="000F7C33"/>
    <w:rsid w:val="000F7F0C"/>
    <w:rsid w:val="00100246"/>
    <w:rsid w:val="001004D6"/>
    <w:rsid w:val="00100618"/>
    <w:rsid w:val="00100B55"/>
    <w:rsid w:val="00100D90"/>
    <w:rsid w:val="0010173A"/>
    <w:rsid w:val="00103816"/>
    <w:rsid w:val="00103918"/>
    <w:rsid w:val="00104324"/>
    <w:rsid w:val="00104889"/>
    <w:rsid w:val="00104897"/>
    <w:rsid w:val="00104EDE"/>
    <w:rsid w:val="00105372"/>
    <w:rsid w:val="00106BEE"/>
    <w:rsid w:val="001124FE"/>
    <w:rsid w:val="00113134"/>
    <w:rsid w:val="00113AC0"/>
    <w:rsid w:val="00113E75"/>
    <w:rsid w:val="001141F4"/>
    <w:rsid w:val="00114851"/>
    <w:rsid w:val="00115B91"/>
    <w:rsid w:val="00115E11"/>
    <w:rsid w:val="00115F56"/>
    <w:rsid w:val="00117CBD"/>
    <w:rsid w:val="0012006A"/>
    <w:rsid w:val="001204D2"/>
    <w:rsid w:val="00120990"/>
    <w:rsid w:val="001217B5"/>
    <w:rsid w:val="00121979"/>
    <w:rsid w:val="00122064"/>
    <w:rsid w:val="00125004"/>
    <w:rsid w:val="001263B8"/>
    <w:rsid w:val="00126763"/>
    <w:rsid w:val="00130217"/>
    <w:rsid w:val="00130783"/>
    <w:rsid w:val="001312CB"/>
    <w:rsid w:val="00131B75"/>
    <w:rsid w:val="00132A95"/>
    <w:rsid w:val="00132B04"/>
    <w:rsid w:val="00132B47"/>
    <w:rsid w:val="00132E64"/>
    <w:rsid w:val="00133C22"/>
    <w:rsid w:val="001351CB"/>
    <w:rsid w:val="001359A2"/>
    <w:rsid w:val="00135E37"/>
    <w:rsid w:val="00136020"/>
    <w:rsid w:val="0013632E"/>
    <w:rsid w:val="00136445"/>
    <w:rsid w:val="00140132"/>
    <w:rsid w:val="00140163"/>
    <w:rsid w:val="00141C9C"/>
    <w:rsid w:val="001434BE"/>
    <w:rsid w:val="0014479F"/>
    <w:rsid w:val="001452B4"/>
    <w:rsid w:val="0014550E"/>
    <w:rsid w:val="00145F28"/>
    <w:rsid w:val="00146EC6"/>
    <w:rsid w:val="0014755F"/>
    <w:rsid w:val="001478D2"/>
    <w:rsid w:val="001507EE"/>
    <w:rsid w:val="00150CC9"/>
    <w:rsid w:val="001514DB"/>
    <w:rsid w:val="00151BA2"/>
    <w:rsid w:val="00151FFC"/>
    <w:rsid w:val="00152A87"/>
    <w:rsid w:val="001536D8"/>
    <w:rsid w:val="00154486"/>
    <w:rsid w:val="00156D0E"/>
    <w:rsid w:val="00157B5F"/>
    <w:rsid w:val="0016086E"/>
    <w:rsid w:val="00160D0C"/>
    <w:rsid w:val="00161172"/>
    <w:rsid w:val="0016139E"/>
    <w:rsid w:val="00161E65"/>
    <w:rsid w:val="00162597"/>
    <w:rsid w:val="001629AF"/>
    <w:rsid w:val="0016428A"/>
    <w:rsid w:val="001647C9"/>
    <w:rsid w:val="0016565A"/>
    <w:rsid w:val="001661A3"/>
    <w:rsid w:val="001668A0"/>
    <w:rsid w:val="0016782B"/>
    <w:rsid w:val="001713FA"/>
    <w:rsid w:val="00171EB1"/>
    <w:rsid w:val="00172A27"/>
    <w:rsid w:val="00173256"/>
    <w:rsid w:val="001733E1"/>
    <w:rsid w:val="00173F74"/>
    <w:rsid w:val="00175086"/>
    <w:rsid w:val="00175BA6"/>
    <w:rsid w:val="00176CA7"/>
    <w:rsid w:val="00176CD5"/>
    <w:rsid w:val="001778C5"/>
    <w:rsid w:val="00177E56"/>
    <w:rsid w:val="00177F0A"/>
    <w:rsid w:val="00180669"/>
    <w:rsid w:val="001814A4"/>
    <w:rsid w:val="00182B6B"/>
    <w:rsid w:val="00183088"/>
    <w:rsid w:val="00185617"/>
    <w:rsid w:val="0018574E"/>
    <w:rsid w:val="00185BF2"/>
    <w:rsid w:val="00186CEF"/>
    <w:rsid w:val="00187BFF"/>
    <w:rsid w:val="0019171E"/>
    <w:rsid w:val="0019220F"/>
    <w:rsid w:val="0019242D"/>
    <w:rsid w:val="001928B1"/>
    <w:rsid w:val="0019299D"/>
    <w:rsid w:val="00194ED5"/>
    <w:rsid w:val="00195424"/>
    <w:rsid w:val="001955FF"/>
    <w:rsid w:val="0019777F"/>
    <w:rsid w:val="00197EDD"/>
    <w:rsid w:val="001A02B3"/>
    <w:rsid w:val="001A04BB"/>
    <w:rsid w:val="001A08D0"/>
    <w:rsid w:val="001A14B1"/>
    <w:rsid w:val="001A1B39"/>
    <w:rsid w:val="001A2492"/>
    <w:rsid w:val="001A2E69"/>
    <w:rsid w:val="001A3377"/>
    <w:rsid w:val="001A3C34"/>
    <w:rsid w:val="001A3EDE"/>
    <w:rsid w:val="001A4222"/>
    <w:rsid w:val="001A50EA"/>
    <w:rsid w:val="001A5AB8"/>
    <w:rsid w:val="001A5E24"/>
    <w:rsid w:val="001A6B44"/>
    <w:rsid w:val="001A6D8B"/>
    <w:rsid w:val="001B0734"/>
    <w:rsid w:val="001B079E"/>
    <w:rsid w:val="001B0CDA"/>
    <w:rsid w:val="001B0E26"/>
    <w:rsid w:val="001B125A"/>
    <w:rsid w:val="001B1E05"/>
    <w:rsid w:val="001B1EBA"/>
    <w:rsid w:val="001B2142"/>
    <w:rsid w:val="001B26CF"/>
    <w:rsid w:val="001B28BE"/>
    <w:rsid w:val="001B2F2B"/>
    <w:rsid w:val="001B327A"/>
    <w:rsid w:val="001B35DE"/>
    <w:rsid w:val="001B3A13"/>
    <w:rsid w:val="001B59FF"/>
    <w:rsid w:val="001B636D"/>
    <w:rsid w:val="001B65D7"/>
    <w:rsid w:val="001B6752"/>
    <w:rsid w:val="001B6768"/>
    <w:rsid w:val="001B6F1F"/>
    <w:rsid w:val="001B7D93"/>
    <w:rsid w:val="001B7ECC"/>
    <w:rsid w:val="001B7F1E"/>
    <w:rsid w:val="001C163C"/>
    <w:rsid w:val="001C1AED"/>
    <w:rsid w:val="001C25A7"/>
    <w:rsid w:val="001C2F67"/>
    <w:rsid w:val="001C318C"/>
    <w:rsid w:val="001C4287"/>
    <w:rsid w:val="001C4479"/>
    <w:rsid w:val="001C5493"/>
    <w:rsid w:val="001C76B7"/>
    <w:rsid w:val="001C76FB"/>
    <w:rsid w:val="001C7B14"/>
    <w:rsid w:val="001D2764"/>
    <w:rsid w:val="001D3697"/>
    <w:rsid w:val="001D48BD"/>
    <w:rsid w:val="001D51DE"/>
    <w:rsid w:val="001D52E9"/>
    <w:rsid w:val="001D540E"/>
    <w:rsid w:val="001D58A1"/>
    <w:rsid w:val="001D5A8A"/>
    <w:rsid w:val="001D5EDF"/>
    <w:rsid w:val="001D626E"/>
    <w:rsid w:val="001D709B"/>
    <w:rsid w:val="001D735E"/>
    <w:rsid w:val="001D73C8"/>
    <w:rsid w:val="001D74D4"/>
    <w:rsid w:val="001D7E1F"/>
    <w:rsid w:val="001E0756"/>
    <w:rsid w:val="001E0A8D"/>
    <w:rsid w:val="001E0FFB"/>
    <w:rsid w:val="001E129E"/>
    <w:rsid w:val="001E1322"/>
    <w:rsid w:val="001E15CD"/>
    <w:rsid w:val="001E2B9F"/>
    <w:rsid w:val="001E37AA"/>
    <w:rsid w:val="001E4A8D"/>
    <w:rsid w:val="001E5A94"/>
    <w:rsid w:val="001E7648"/>
    <w:rsid w:val="001F127B"/>
    <w:rsid w:val="001F2A2E"/>
    <w:rsid w:val="001F2E3D"/>
    <w:rsid w:val="001F3B72"/>
    <w:rsid w:val="001F3C63"/>
    <w:rsid w:val="001F4460"/>
    <w:rsid w:val="001F55D5"/>
    <w:rsid w:val="001F5DAF"/>
    <w:rsid w:val="001F637C"/>
    <w:rsid w:val="001F6869"/>
    <w:rsid w:val="001F6AB8"/>
    <w:rsid w:val="001F6B6C"/>
    <w:rsid w:val="001F711A"/>
    <w:rsid w:val="001F75B0"/>
    <w:rsid w:val="001F7686"/>
    <w:rsid w:val="00200CE5"/>
    <w:rsid w:val="002014DB"/>
    <w:rsid w:val="00201E12"/>
    <w:rsid w:val="0020231A"/>
    <w:rsid w:val="002031E2"/>
    <w:rsid w:val="002033B5"/>
    <w:rsid w:val="0020382C"/>
    <w:rsid w:val="00203CB0"/>
    <w:rsid w:val="0020437A"/>
    <w:rsid w:val="00204B5F"/>
    <w:rsid w:val="00204FEE"/>
    <w:rsid w:val="0020532C"/>
    <w:rsid w:val="00205D23"/>
    <w:rsid w:val="0021064F"/>
    <w:rsid w:val="00211046"/>
    <w:rsid w:val="00211207"/>
    <w:rsid w:val="002114C7"/>
    <w:rsid w:val="002118F3"/>
    <w:rsid w:val="00212174"/>
    <w:rsid w:val="0021248A"/>
    <w:rsid w:val="00212756"/>
    <w:rsid w:val="00212797"/>
    <w:rsid w:val="0021302C"/>
    <w:rsid w:val="00213045"/>
    <w:rsid w:val="00213483"/>
    <w:rsid w:val="00213B1C"/>
    <w:rsid w:val="00214202"/>
    <w:rsid w:val="002146F3"/>
    <w:rsid w:val="002148E3"/>
    <w:rsid w:val="00215373"/>
    <w:rsid w:val="0021552D"/>
    <w:rsid w:val="002156AE"/>
    <w:rsid w:val="00217861"/>
    <w:rsid w:val="00217D22"/>
    <w:rsid w:val="00217F54"/>
    <w:rsid w:val="002204C9"/>
    <w:rsid w:val="0022054D"/>
    <w:rsid w:val="0022290A"/>
    <w:rsid w:val="00224DE1"/>
    <w:rsid w:val="00225281"/>
    <w:rsid w:val="00225664"/>
    <w:rsid w:val="002262AF"/>
    <w:rsid w:val="002269DC"/>
    <w:rsid w:val="002271D2"/>
    <w:rsid w:val="00227BBA"/>
    <w:rsid w:val="00227F2D"/>
    <w:rsid w:val="0023089D"/>
    <w:rsid w:val="00230F58"/>
    <w:rsid w:val="00231851"/>
    <w:rsid w:val="002319FB"/>
    <w:rsid w:val="00231B89"/>
    <w:rsid w:val="002335A0"/>
    <w:rsid w:val="0023445E"/>
    <w:rsid w:val="002355BE"/>
    <w:rsid w:val="00236DE9"/>
    <w:rsid w:val="00237D5A"/>
    <w:rsid w:val="00237EA9"/>
    <w:rsid w:val="0024023A"/>
    <w:rsid w:val="00241300"/>
    <w:rsid w:val="0024170C"/>
    <w:rsid w:val="00241D3C"/>
    <w:rsid w:val="0024274D"/>
    <w:rsid w:val="002439AB"/>
    <w:rsid w:val="002450D5"/>
    <w:rsid w:val="00245587"/>
    <w:rsid w:val="00245BFB"/>
    <w:rsid w:val="00245F2B"/>
    <w:rsid w:val="00246F95"/>
    <w:rsid w:val="00247F3A"/>
    <w:rsid w:val="00250122"/>
    <w:rsid w:val="002503A8"/>
    <w:rsid w:val="00250755"/>
    <w:rsid w:val="00250AE3"/>
    <w:rsid w:val="002517DA"/>
    <w:rsid w:val="00251C4A"/>
    <w:rsid w:val="0025271C"/>
    <w:rsid w:val="00252858"/>
    <w:rsid w:val="00252A91"/>
    <w:rsid w:val="002533CD"/>
    <w:rsid w:val="002537F9"/>
    <w:rsid w:val="002544C1"/>
    <w:rsid w:val="00254E13"/>
    <w:rsid w:val="00254EAB"/>
    <w:rsid w:val="002553AE"/>
    <w:rsid w:val="002557AF"/>
    <w:rsid w:val="002561FA"/>
    <w:rsid w:val="00256474"/>
    <w:rsid w:val="002566B1"/>
    <w:rsid w:val="002575E3"/>
    <w:rsid w:val="002603C1"/>
    <w:rsid w:val="002609A1"/>
    <w:rsid w:val="00260A3D"/>
    <w:rsid w:val="002612B1"/>
    <w:rsid w:val="00266165"/>
    <w:rsid w:val="00266790"/>
    <w:rsid w:val="0027125E"/>
    <w:rsid w:val="002713FC"/>
    <w:rsid w:val="00271767"/>
    <w:rsid w:val="00272293"/>
    <w:rsid w:val="002723C8"/>
    <w:rsid w:val="00272676"/>
    <w:rsid w:val="00273CBE"/>
    <w:rsid w:val="00274122"/>
    <w:rsid w:val="00277441"/>
    <w:rsid w:val="002802D7"/>
    <w:rsid w:val="0028232C"/>
    <w:rsid w:val="002827F1"/>
    <w:rsid w:val="00282A52"/>
    <w:rsid w:val="00282EC3"/>
    <w:rsid w:val="002835B0"/>
    <w:rsid w:val="0028407E"/>
    <w:rsid w:val="0028410F"/>
    <w:rsid w:val="0028454D"/>
    <w:rsid w:val="002859A9"/>
    <w:rsid w:val="00286603"/>
    <w:rsid w:val="00286A98"/>
    <w:rsid w:val="00286FB5"/>
    <w:rsid w:val="00287763"/>
    <w:rsid w:val="00290089"/>
    <w:rsid w:val="00290606"/>
    <w:rsid w:val="00290ABE"/>
    <w:rsid w:val="00290F9D"/>
    <w:rsid w:val="002918A7"/>
    <w:rsid w:val="002918AE"/>
    <w:rsid w:val="00291D6D"/>
    <w:rsid w:val="00291FF1"/>
    <w:rsid w:val="002923F6"/>
    <w:rsid w:val="00293361"/>
    <w:rsid w:val="00293679"/>
    <w:rsid w:val="00293770"/>
    <w:rsid w:val="00293957"/>
    <w:rsid w:val="00295287"/>
    <w:rsid w:val="002952B1"/>
    <w:rsid w:val="00295D11"/>
    <w:rsid w:val="00295FA0"/>
    <w:rsid w:val="0029683E"/>
    <w:rsid w:val="00297A7A"/>
    <w:rsid w:val="002A0432"/>
    <w:rsid w:val="002A0C3A"/>
    <w:rsid w:val="002A1130"/>
    <w:rsid w:val="002A14D3"/>
    <w:rsid w:val="002A1880"/>
    <w:rsid w:val="002A1D47"/>
    <w:rsid w:val="002A23B7"/>
    <w:rsid w:val="002A3A57"/>
    <w:rsid w:val="002A6D22"/>
    <w:rsid w:val="002A6DC2"/>
    <w:rsid w:val="002A6DEF"/>
    <w:rsid w:val="002A7411"/>
    <w:rsid w:val="002A7C24"/>
    <w:rsid w:val="002B00C7"/>
    <w:rsid w:val="002B013E"/>
    <w:rsid w:val="002B058D"/>
    <w:rsid w:val="002B0C16"/>
    <w:rsid w:val="002B11C9"/>
    <w:rsid w:val="002B169E"/>
    <w:rsid w:val="002B199F"/>
    <w:rsid w:val="002B2621"/>
    <w:rsid w:val="002B2AC5"/>
    <w:rsid w:val="002B3528"/>
    <w:rsid w:val="002B3539"/>
    <w:rsid w:val="002B374F"/>
    <w:rsid w:val="002B3828"/>
    <w:rsid w:val="002B38FD"/>
    <w:rsid w:val="002B3B2B"/>
    <w:rsid w:val="002B5296"/>
    <w:rsid w:val="002B6D17"/>
    <w:rsid w:val="002B70E9"/>
    <w:rsid w:val="002B7691"/>
    <w:rsid w:val="002C0C1C"/>
    <w:rsid w:val="002C184E"/>
    <w:rsid w:val="002C2227"/>
    <w:rsid w:val="002C29C1"/>
    <w:rsid w:val="002C41B2"/>
    <w:rsid w:val="002C54C2"/>
    <w:rsid w:val="002C58F6"/>
    <w:rsid w:val="002C5D34"/>
    <w:rsid w:val="002C5EA7"/>
    <w:rsid w:val="002C661A"/>
    <w:rsid w:val="002C730C"/>
    <w:rsid w:val="002D0262"/>
    <w:rsid w:val="002D0AF5"/>
    <w:rsid w:val="002D1C54"/>
    <w:rsid w:val="002D2231"/>
    <w:rsid w:val="002D25FC"/>
    <w:rsid w:val="002D318B"/>
    <w:rsid w:val="002D3380"/>
    <w:rsid w:val="002D40A9"/>
    <w:rsid w:val="002D4925"/>
    <w:rsid w:val="002D4AC6"/>
    <w:rsid w:val="002D5C7B"/>
    <w:rsid w:val="002D6DFC"/>
    <w:rsid w:val="002D7648"/>
    <w:rsid w:val="002D7909"/>
    <w:rsid w:val="002D7E56"/>
    <w:rsid w:val="002D7F2C"/>
    <w:rsid w:val="002E109C"/>
    <w:rsid w:val="002E115E"/>
    <w:rsid w:val="002E17AE"/>
    <w:rsid w:val="002E193E"/>
    <w:rsid w:val="002E1D76"/>
    <w:rsid w:val="002E243C"/>
    <w:rsid w:val="002E26C4"/>
    <w:rsid w:val="002E26FF"/>
    <w:rsid w:val="002E2A81"/>
    <w:rsid w:val="002E31ED"/>
    <w:rsid w:val="002E4B37"/>
    <w:rsid w:val="002E4BF9"/>
    <w:rsid w:val="002E6523"/>
    <w:rsid w:val="002E6F5B"/>
    <w:rsid w:val="002F0631"/>
    <w:rsid w:val="002F0F56"/>
    <w:rsid w:val="002F16DD"/>
    <w:rsid w:val="002F199D"/>
    <w:rsid w:val="002F23B2"/>
    <w:rsid w:val="002F2AC5"/>
    <w:rsid w:val="002F4084"/>
    <w:rsid w:val="002F4672"/>
    <w:rsid w:val="002F4A08"/>
    <w:rsid w:val="002F4ADB"/>
    <w:rsid w:val="002F50E5"/>
    <w:rsid w:val="002F531E"/>
    <w:rsid w:val="002F5ACC"/>
    <w:rsid w:val="002F6C2C"/>
    <w:rsid w:val="002F6E11"/>
    <w:rsid w:val="002F704B"/>
    <w:rsid w:val="002F70A6"/>
    <w:rsid w:val="002F72C3"/>
    <w:rsid w:val="002F768C"/>
    <w:rsid w:val="002F7D1E"/>
    <w:rsid w:val="00300F92"/>
    <w:rsid w:val="00301839"/>
    <w:rsid w:val="00302089"/>
    <w:rsid w:val="00302929"/>
    <w:rsid w:val="00302C01"/>
    <w:rsid w:val="00302F0F"/>
    <w:rsid w:val="00303243"/>
    <w:rsid w:val="00303730"/>
    <w:rsid w:val="00303BCC"/>
    <w:rsid w:val="00303F2B"/>
    <w:rsid w:val="00303F8D"/>
    <w:rsid w:val="00304541"/>
    <w:rsid w:val="00304580"/>
    <w:rsid w:val="0030586A"/>
    <w:rsid w:val="003061D7"/>
    <w:rsid w:val="0030744B"/>
    <w:rsid w:val="003074C5"/>
    <w:rsid w:val="00307A3C"/>
    <w:rsid w:val="00307FA4"/>
    <w:rsid w:val="00310CC1"/>
    <w:rsid w:val="0031202C"/>
    <w:rsid w:val="0031299D"/>
    <w:rsid w:val="00313026"/>
    <w:rsid w:val="00313300"/>
    <w:rsid w:val="00313EFD"/>
    <w:rsid w:val="0031421F"/>
    <w:rsid w:val="00314B31"/>
    <w:rsid w:val="00314B36"/>
    <w:rsid w:val="00315158"/>
    <w:rsid w:val="00315346"/>
    <w:rsid w:val="00315A65"/>
    <w:rsid w:val="00315E52"/>
    <w:rsid w:val="00316A34"/>
    <w:rsid w:val="00316CEC"/>
    <w:rsid w:val="00317BA7"/>
    <w:rsid w:val="00317D26"/>
    <w:rsid w:val="003204AD"/>
    <w:rsid w:val="00320BE2"/>
    <w:rsid w:val="00321235"/>
    <w:rsid w:val="00321886"/>
    <w:rsid w:val="00321902"/>
    <w:rsid w:val="00322F03"/>
    <w:rsid w:val="00323694"/>
    <w:rsid w:val="00323A51"/>
    <w:rsid w:val="00324D63"/>
    <w:rsid w:val="00325187"/>
    <w:rsid w:val="003255AF"/>
    <w:rsid w:val="003256EB"/>
    <w:rsid w:val="003259DB"/>
    <w:rsid w:val="00331060"/>
    <w:rsid w:val="003311ED"/>
    <w:rsid w:val="00331454"/>
    <w:rsid w:val="00331A48"/>
    <w:rsid w:val="003330C9"/>
    <w:rsid w:val="0033351F"/>
    <w:rsid w:val="0033364C"/>
    <w:rsid w:val="00333A63"/>
    <w:rsid w:val="00334415"/>
    <w:rsid w:val="00334E38"/>
    <w:rsid w:val="00334F92"/>
    <w:rsid w:val="003353E8"/>
    <w:rsid w:val="0033691E"/>
    <w:rsid w:val="00336CCB"/>
    <w:rsid w:val="0033745F"/>
    <w:rsid w:val="00337631"/>
    <w:rsid w:val="00337F44"/>
    <w:rsid w:val="003411D1"/>
    <w:rsid w:val="003416BA"/>
    <w:rsid w:val="00341BD6"/>
    <w:rsid w:val="003428F1"/>
    <w:rsid w:val="00342A8A"/>
    <w:rsid w:val="00342F99"/>
    <w:rsid w:val="00343A29"/>
    <w:rsid w:val="00343EF6"/>
    <w:rsid w:val="0034442A"/>
    <w:rsid w:val="00344726"/>
    <w:rsid w:val="00344F05"/>
    <w:rsid w:val="00344F5A"/>
    <w:rsid w:val="003454A4"/>
    <w:rsid w:val="0034583A"/>
    <w:rsid w:val="00350E6C"/>
    <w:rsid w:val="00351685"/>
    <w:rsid w:val="003518A6"/>
    <w:rsid w:val="00351CB0"/>
    <w:rsid w:val="00351E7F"/>
    <w:rsid w:val="00352953"/>
    <w:rsid w:val="00353E6C"/>
    <w:rsid w:val="00354062"/>
    <w:rsid w:val="003549F9"/>
    <w:rsid w:val="00355C0D"/>
    <w:rsid w:val="003566A9"/>
    <w:rsid w:val="00356988"/>
    <w:rsid w:val="00356B20"/>
    <w:rsid w:val="00356E94"/>
    <w:rsid w:val="00357128"/>
    <w:rsid w:val="0035755E"/>
    <w:rsid w:val="00357A80"/>
    <w:rsid w:val="00360968"/>
    <w:rsid w:val="00361083"/>
    <w:rsid w:val="00361783"/>
    <w:rsid w:val="00361AA6"/>
    <w:rsid w:val="00361B8B"/>
    <w:rsid w:val="00361B95"/>
    <w:rsid w:val="00363562"/>
    <w:rsid w:val="00363F39"/>
    <w:rsid w:val="00364A17"/>
    <w:rsid w:val="00364AB0"/>
    <w:rsid w:val="003667B0"/>
    <w:rsid w:val="003667DD"/>
    <w:rsid w:val="00366B48"/>
    <w:rsid w:val="0036755A"/>
    <w:rsid w:val="00367764"/>
    <w:rsid w:val="00367CC2"/>
    <w:rsid w:val="00367E24"/>
    <w:rsid w:val="00370316"/>
    <w:rsid w:val="00370DC7"/>
    <w:rsid w:val="0037156C"/>
    <w:rsid w:val="00371CBD"/>
    <w:rsid w:val="00373CBE"/>
    <w:rsid w:val="00373F90"/>
    <w:rsid w:val="003740CC"/>
    <w:rsid w:val="0037435E"/>
    <w:rsid w:val="00374E79"/>
    <w:rsid w:val="00375388"/>
    <w:rsid w:val="00375EF2"/>
    <w:rsid w:val="00375FB9"/>
    <w:rsid w:val="00376851"/>
    <w:rsid w:val="00376FA2"/>
    <w:rsid w:val="003771C9"/>
    <w:rsid w:val="00377A3B"/>
    <w:rsid w:val="00377E3C"/>
    <w:rsid w:val="00380BBE"/>
    <w:rsid w:val="00381775"/>
    <w:rsid w:val="00381AE8"/>
    <w:rsid w:val="00381D70"/>
    <w:rsid w:val="00382128"/>
    <w:rsid w:val="0038235E"/>
    <w:rsid w:val="003829D0"/>
    <w:rsid w:val="00382FBA"/>
    <w:rsid w:val="0038444F"/>
    <w:rsid w:val="00384E83"/>
    <w:rsid w:val="00385333"/>
    <w:rsid w:val="00386025"/>
    <w:rsid w:val="00387051"/>
    <w:rsid w:val="00387712"/>
    <w:rsid w:val="00387ECF"/>
    <w:rsid w:val="0039021B"/>
    <w:rsid w:val="00390429"/>
    <w:rsid w:val="0039044F"/>
    <w:rsid w:val="0039272E"/>
    <w:rsid w:val="00392A7A"/>
    <w:rsid w:val="0039327C"/>
    <w:rsid w:val="003933A2"/>
    <w:rsid w:val="0039366C"/>
    <w:rsid w:val="003938F3"/>
    <w:rsid w:val="00393C25"/>
    <w:rsid w:val="00393EC8"/>
    <w:rsid w:val="00393FCC"/>
    <w:rsid w:val="00394BC6"/>
    <w:rsid w:val="00395E42"/>
    <w:rsid w:val="00395E50"/>
    <w:rsid w:val="00396052"/>
    <w:rsid w:val="00396A2D"/>
    <w:rsid w:val="00396FC3"/>
    <w:rsid w:val="00397162"/>
    <w:rsid w:val="003972E4"/>
    <w:rsid w:val="003A0584"/>
    <w:rsid w:val="003A0B61"/>
    <w:rsid w:val="003A1554"/>
    <w:rsid w:val="003A1A94"/>
    <w:rsid w:val="003A204E"/>
    <w:rsid w:val="003A2D25"/>
    <w:rsid w:val="003A3834"/>
    <w:rsid w:val="003A39B2"/>
    <w:rsid w:val="003A4DA4"/>
    <w:rsid w:val="003A4DDB"/>
    <w:rsid w:val="003A5911"/>
    <w:rsid w:val="003A60E7"/>
    <w:rsid w:val="003A6150"/>
    <w:rsid w:val="003A6E03"/>
    <w:rsid w:val="003B0B6A"/>
    <w:rsid w:val="003B0F79"/>
    <w:rsid w:val="003B1483"/>
    <w:rsid w:val="003B1CFD"/>
    <w:rsid w:val="003B29CF"/>
    <w:rsid w:val="003B41B5"/>
    <w:rsid w:val="003B4F8C"/>
    <w:rsid w:val="003B54DF"/>
    <w:rsid w:val="003B5F96"/>
    <w:rsid w:val="003B6659"/>
    <w:rsid w:val="003B7733"/>
    <w:rsid w:val="003B7C70"/>
    <w:rsid w:val="003C0166"/>
    <w:rsid w:val="003C350C"/>
    <w:rsid w:val="003C3903"/>
    <w:rsid w:val="003C3BA0"/>
    <w:rsid w:val="003C4580"/>
    <w:rsid w:val="003C52D8"/>
    <w:rsid w:val="003C5C5E"/>
    <w:rsid w:val="003C6746"/>
    <w:rsid w:val="003C6C83"/>
    <w:rsid w:val="003C7133"/>
    <w:rsid w:val="003C7555"/>
    <w:rsid w:val="003C7898"/>
    <w:rsid w:val="003D010A"/>
    <w:rsid w:val="003D0D2F"/>
    <w:rsid w:val="003D0FF5"/>
    <w:rsid w:val="003D2041"/>
    <w:rsid w:val="003D2D1B"/>
    <w:rsid w:val="003D30AB"/>
    <w:rsid w:val="003D3D94"/>
    <w:rsid w:val="003D467E"/>
    <w:rsid w:val="003D48C7"/>
    <w:rsid w:val="003D4B26"/>
    <w:rsid w:val="003D4C08"/>
    <w:rsid w:val="003D51ED"/>
    <w:rsid w:val="003D5C02"/>
    <w:rsid w:val="003D5DED"/>
    <w:rsid w:val="003D5FD6"/>
    <w:rsid w:val="003D77D1"/>
    <w:rsid w:val="003D7CE8"/>
    <w:rsid w:val="003E1032"/>
    <w:rsid w:val="003E1904"/>
    <w:rsid w:val="003E285E"/>
    <w:rsid w:val="003E3300"/>
    <w:rsid w:val="003E4A5B"/>
    <w:rsid w:val="003E59DD"/>
    <w:rsid w:val="003E65AC"/>
    <w:rsid w:val="003E6E24"/>
    <w:rsid w:val="003E72B9"/>
    <w:rsid w:val="003E7812"/>
    <w:rsid w:val="003E7ED4"/>
    <w:rsid w:val="003F0E52"/>
    <w:rsid w:val="003F0EF2"/>
    <w:rsid w:val="003F0F6B"/>
    <w:rsid w:val="003F1F40"/>
    <w:rsid w:val="003F1FE3"/>
    <w:rsid w:val="003F2CA0"/>
    <w:rsid w:val="003F3865"/>
    <w:rsid w:val="003F3A0A"/>
    <w:rsid w:val="003F4632"/>
    <w:rsid w:val="003F47BA"/>
    <w:rsid w:val="003F6617"/>
    <w:rsid w:val="003F69A4"/>
    <w:rsid w:val="0040059B"/>
    <w:rsid w:val="00401127"/>
    <w:rsid w:val="004011F5"/>
    <w:rsid w:val="00402332"/>
    <w:rsid w:val="004025C2"/>
    <w:rsid w:val="004027FB"/>
    <w:rsid w:val="00403E55"/>
    <w:rsid w:val="00404532"/>
    <w:rsid w:val="00404681"/>
    <w:rsid w:val="0040496D"/>
    <w:rsid w:val="00405010"/>
    <w:rsid w:val="004050F1"/>
    <w:rsid w:val="0040595A"/>
    <w:rsid w:val="00406923"/>
    <w:rsid w:val="00406972"/>
    <w:rsid w:val="0040713A"/>
    <w:rsid w:val="0040763D"/>
    <w:rsid w:val="00407746"/>
    <w:rsid w:val="004105B0"/>
    <w:rsid w:val="00410624"/>
    <w:rsid w:val="00410EC5"/>
    <w:rsid w:val="0041250F"/>
    <w:rsid w:val="00412968"/>
    <w:rsid w:val="004133A8"/>
    <w:rsid w:val="00413821"/>
    <w:rsid w:val="00413D43"/>
    <w:rsid w:val="00413FE3"/>
    <w:rsid w:val="004141A3"/>
    <w:rsid w:val="00414909"/>
    <w:rsid w:val="00415E66"/>
    <w:rsid w:val="00416112"/>
    <w:rsid w:val="00416DF0"/>
    <w:rsid w:val="00417219"/>
    <w:rsid w:val="00417AE0"/>
    <w:rsid w:val="00417BAA"/>
    <w:rsid w:val="004202F4"/>
    <w:rsid w:val="00420BA9"/>
    <w:rsid w:val="00420D7A"/>
    <w:rsid w:val="004223DE"/>
    <w:rsid w:val="0042293E"/>
    <w:rsid w:val="00422A10"/>
    <w:rsid w:val="00423D86"/>
    <w:rsid w:val="00424D17"/>
    <w:rsid w:val="00425DFD"/>
    <w:rsid w:val="004263A3"/>
    <w:rsid w:val="00427713"/>
    <w:rsid w:val="00427CCC"/>
    <w:rsid w:val="0043013A"/>
    <w:rsid w:val="00430421"/>
    <w:rsid w:val="00430B4F"/>
    <w:rsid w:val="004314B1"/>
    <w:rsid w:val="004317A9"/>
    <w:rsid w:val="00431A22"/>
    <w:rsid w:val="00431E65"/>
    <w:rsid w:val="004320FE"/>
    <w:rsid w:val="00432589"/>
    <w:rsid w:val="00432A94"/>
    <w:rsid w:val="0043366D"/>
    <w:rsid w:val="00433827"/>
    <w:rsid w:val="00433AAB"/>
    <w:rsid w:val="004360C8"/>
    <w:rsid w:val="00436D2A"/>
    <w:rsid w:val="0044006B"/>
    <w:rsid w:val="0044033F"/>
    <w:rsid w:val="00440630"/>
    <w:rsid w:val="00441123"/>
    <w:rsid w:val="00442095"/>
    <w:rsid w:val="00442965"/>
    <w:rsid w:val="00444157"/>
    <w:rsid w:val="0044417C"/>
    <w:rsid w:val="00444762"/>
    <w:rsid w:val="0044485B"/>
    <w:rsid w:val="00444DB3"/>
    <w:rsid w:val="004452B9"/>
    <w:rsid w:val="00445A2F"/>
    <w:rsid w:val="00446328"/>
    <w:rsid w:val="00446341"/>
    <w:rsid w:val="00446648"/>
    <w:rsid w:val="0044684E"/>
    <w:rsid w:val="00447715"/>
    <w:rsid w:val="00447832"/>
    <w:rsid w:val="004479CA"/>
    <w:rsid w:val="004503A4"/>
    <w:rsid w:val="00450555"/>
    <w:rsid w:val="00450DC6"/>
    <w:rsid w:val="00450FF6"/>
    <w:rsid w:val="004516A5"/>
    <w:rsid w:val="00451FE8"/>
    <w:rsid w:val="00452179"/>
    <w:rsid w:val="004522E3"/>
    <w:rsid w:val="00452836"/>
    <w:rsid w:val="00452965"/>
    <w:rsid w:val="00452E99"/>
    <w:rsid w:val="0045326B"/>
    <w:rsid w:val="004534A5"/>
    <w:rsid w:val="004535AE"/>
    <w:rsid w:val="00453C42"/>
    <w:rsid w:val="0045463A"/>
    <w:rsid w:val="00454907"/>
    <w:rsid w:val="00454AC9"/>
    <w:rsid w:val="00454E26"/>
    <w:rsid w:val="004554A3"/>
    <w:rsid w:val="00455A6E"/>
    <w:rsid w:val="00456758"/>
    <w:rsid w:val="004569CD"/>
    <w:rsid w:val="004578EB"/>
    <w:rsid w:val="00460303"/>
    <w:rsid w:val="004605F7"/>
    <w:rsid w:val="00460697"/>
    <w:rsid w:val="004618A1"/>
    <w:rsid w:val="00461BAC"/>
    <w:rsid w:val="00462593"/>
    <w:rsid w:val="00462C9E"/>
    <w:rsid w:val="00463ECF"/>
    <w:rsid w:val="00465EEF"/>
    <w:rsid w:val="00466D03"/>
    <w:rsid w:val="00466FCF"/>
    <w:rsid w:val="0046711B"/>
    <w:rsid w:val="00467312"/>
    <w:rsid w:val="00471156"/>
    <w:rsid w:val="00472429"/>
    <w:rsid w:val="004725E5"/>
    <w:rsid w:val="004726FE"/>
    <w:rsid w:val="00472751"/>
    <w:rsid w:val="00472ED1"/>
    <w:rsid w:val="00473128"/>
    <w:rsid w:val="00473D68"/>
    <w:rsid w:val="00475078"/>
    <w:rsid w:val="00475226"/>
    <w:rsid w:val="00475D84"/>
    <w:rsid w:val="00476374"/>
    <w:rsid w:val="00476859"/>
    <w:rsid w:val="004779A0"/>
    <w:rsid w:val="00477EFD"/>
    <w:rsid w:val="004808E3"/>
    <w:rsid w:val="00481016"/>
    <w:rsid w:val="0048107A"/>
    <w:rsid w:val="004814D3"/>
    <w:rsid w:val="0048204C"/>
    <w:rsid w:val="004821BB"/>
    <w:rsid w:val="00482233"/>
    <w:rsid w:val="0048261A"/>
    <w:rsid w:val="004826FE"/>
    <w:rsid w:val="004827D5"/>
    <w:rsid w:val="004830C9"/>
    <w:rsid w:val="00483347"/>
    <w:rsid w:val="00483E2E"/>
    <w:rsid w:val="00484B69"/>
    <w:rsid w:val="00485406"/>
    <w:rsid w:val="0048590F"/>
    <w:rsid w:val="004867A5"/>
    <w:rsid w:val="00486D60"/>
    <w:rsid w:val="00487C87"/>
    <w:rsid w:val="00490BB8"/>
    <w:rsid w:val="00490F37"/>
    <w:rsid w:val="00492920"/>
    <w:rsid w:val="00492A25"/>
    <w:rsid w:val="0049474A"/>
    <w:rsid w:val="004955B2"/>
    <w:rsid w:val="004961EA"/>
    <w:rsid w:val="00496350"/>
    <w:rsid w:val="00496F91"/>
    <w:rsid w:val="00497274"/>
    <w:rsid w:val="00497708"/>
    <w:rsid w:val="0049797C"/>
    <w:rsid w:val="00497C2C"/>
    <w:rsid w:val="00497E9D"/>
    <w:rsid w:val="004A0347"/>
    <w:rsid w:val="004A07AC"/>
    <w:rsid w:val="004A1405"/>
    <w:rsid w:val="004A1FC6"/>
    <w:rsid w:val="004A3161"/>
    <w:rsid w:val="004A3C03"/>
    <w:rsid w:val="004A3DB7"/>
    <w:rsid w:val="004A3FB3"/>
    <w:rsid w:val="004A4594"/>
    <w:rsid w:val="004A5088"/>
    <w:rsid w:val="004A5255"/>
    <w:rsid w:val="004A5B59"/>
    <w:rsid w:val="004A6097"/>
    <w:rsid w:val="004A6CB0"/>
    <w:rsid w:val="004A70FF"/>
    <w:rsid w:val="004A7B8E"/>
    <w:rsid w:val="004A7CCC"/>
    <w:rsid w:val="004B00B9"/>
    <w:rsid w:val="004B1B84"/>
    <w:rsid w:val="004B29AC"/>
    <w:rsid w:val="004B315A"/>
    <w:rsid w:val="004B35DF"/>
    <w:rsid w:val="004B3627"/>
    <w:rsid w:val="004B3F3A"/>
    <w:rsid w:val="004B46EC"/>
    <w:rsid w:val="004B4779"/>
    <w:rsid w:val="004B4922"/>
    <w:rsid w:val="004B57DF"/>
    <w:rsid w:val="004B5CB2"/>
    <w:rsid w:val="004B7F0A"/>
    <w:rsid w:val="004C03A0"/>
    <w:rsid w:val="004C04AB"/>
    <w:rsid w:val="004C096B"/>
    <w:rsid w:val="004C2138"/>
    <w:rsid w:val="004C262D"/>
    <w:rsid w:val="004C2ED0"/>
    <w:rsid w:val="004C32D4"/>
    <w:rsid w:val="004C3940"/>
    <w:rsid w:val="004C3DF1"/>
    <w:rsid w:val="004C3E20"/>
    <w:rsid w:val="004C4757"/>
    <w:rsid w:val="004C51FD"/>
    <w:rsid w:val="004C534B"/>
    <w:rsid w:val="004C65A8"/>
    <w:rsid w:val="004C6F74"/>
    <w:rsid w:val="004C786C"/>
    <w:rsid w:val="004C7963"/>
    <w:rsid w:val="004D1042"/>
    <w:rsid w:val="004D114E"/>
    <w:rsid w:val="004D2F63"/>
    <w:rsid w:val="004D35BA"/>
    <w:rsid w:val="004D4095"/>
    <w:rsid w:val="004D4701"/>
    <w:rsid w:val="004D47C7"/>
    <w:rsid w:val="004D4836"/>
    <w:rsid w:val="004D618D"/>
    <w:rsid w:val="004D62A9"/>
    <w:rsid w:val="004D6AEE"/>
    <w:rsid w:val="004D6FC3"/>
    <w:rsid w:val="004D7476"/>
    <w:rsid w:val="004E0306"/>
    <w:rsid w:val="004E0572"/>
    <w:rsid w:val="004E178B"/>
    <w:rsid w:val="004E2568"/>
    <w:rsid w:val="004E25A8"/>
    <w:rsid w:val="004E2616"/>
    <w:rsid w:val="004E2AA0"/>
    <w:rsid w:val="004E3930"/>
    <w:rsid w:val="004E3ED9"/>
    <w:rsid w:val="004E4038"/>
    <w:rsid w:val="004E448E"/>
    <w:rsid w:val="004E5866"/>
    <w:rsid w:val="004E5D94"/>
    <w:rsid w:val="004E5DB1"/>
    <w:rsid w:val="004E5EAB"/>
    <w:rsid w:val="004E6097"/>
    <w:rsid w:val="004E61EF"/>
    <w:rsid w:val="004E6772"/>
    <w:rsid w:val="004E76A7"/>
    <w:rsid w:val="004E7736"/>
    <w:rsid w:val="004E7B03"/>
    <w:rsid w:val="004F0064"/>
    <w:rsid w:val="004F06AC"/>
    <w:rsid w:val="004F12EB"/>
    <w:rsid w:val="004F1AE6"/>
    <w:rsid w:val="004F243F"/>
    <w:rsid w:val="004F2652"/>
    <w:rsid w:val="004F3E0C"/>
    <w:rsid w:val="004F44FB"/>
    <w:rsid w:val="004F6A2D"/>
    <w:rsid w:val="004F7160"/>
    <w:rsid w:val="00500258"/>
    <w:rsid w:val="0050175E"/>
    <w:rsid w:val="00501A99"/>
    <w:rsid w:val="00502017"/>
    <w:rsid w:val="00502022"/>
    <w:rsid w:val="00503180"/>
    <w:rsid w:val="0050417C"/>
    <w:rsid w:val="00504A9F"/>
    <w:rsid w:val="00504CC0"/>
    <w:rsid w:val="00505450"/>
    <w:rsid w:val="0050608B"/>
    <w:rsid w:val="0050652F"/>
    <w:rsid w:val="005072AC"/>
    <w:rsid w:val="00507411"/>
    <w:rsid w:val="005079B5"/>
    <w:rsid w:val="005100B7"/>
    <w:rsid w:val="005113C9"/>
    <w:rsid w:val="0051280C"/>
    <w:rsid w:val="00512842"/>
    <w:rsid w:val="005128BE"/>
    <w:rsid w:val="00512B7B"/>
    <w:rsid w:val="00512E6C"/>
    <w:rsid w:val="0051356F"/>
    <w:rsid w:val="00513E7C"/>
    <w:rsid w:val="005140BB"/>
    <w:rsid w:val="005143C2"/>
    <w:rsid w:val="0051454F"/>
    <w:rsid w:val="00514FD9"/>
    <w:rsid w:val="0051608F"/>
    <w:rsid w:val="00517A71"/>
    <w:rsid w:val="005210F7"/>
    <w:rsid w:val="00521753"/>
    <w:rsid w:val="00521779"/>
    <w:rsid w:val="005218CF"/>
    <w:rsid w:val="00521A44"/>
    <w:rsid w:val="00521D16"/>
    <w:rsid w:val="005222BE"/>
    <w:rsid w:val="005224EE"/>
    <w:rsid w:val="00522E9C"/>
    <w:rsid w:val="00523BB1"/>
    <w:rsid w:val="0052451A"/>
    <w:rsid w:val="00524737"/>
    <w:rsid w:val="00524758"/>
    <w:rsid w:val="00525132"/>
    <w:rsid w:val="00526265"/>
    <w:rsid w:val="0052652D"/>
    <w:rsid w:val="0052655D"/>
    <w:rsid w:val="005265E0"/>
    <w:rsid w:val="00526BC3"/>
    <w:rsid w:val="00530F9E"/>
    <w:rsid w:val="0053274E"/>
    <w:rsid w:val="00532DE9"/>
    <w:rsid w:val="00533237"/>
    <w:rsid w:val="0053358A"/>
    <w:rsid w:val="005340E5"/>
    <w:rsid w:val="005341D9"/>
    <w:rsid w:val="00534668"/>
    <w:rsid w:val="00534DDD"/>
    <w:rsid w:val="00535291"/>
    <w:rsid w:val="0053553B"/>
    <w:rsid w:val="00535A94"/>
    <w:rsid w:val="00536D88"/>
    <w:rsid w:val="00537224"/>
    <w:rsid w:val="00537874"/>
    <w:rsid w:val="00540204"/>
    <w:rsid w:val="00540578"/>
    <w:rsid w:val="005407D2"/>
    <w:rsid w:val="00540808"/>
    <w:rsid w:val="0054080E"/>
    <w:rsid w:val="00540EA1"/>
    <w:rsid w:val="00541449"/>
    <w:rsid w:val="00541B97"/>
    <w:rsid w:val="00541F62"/>
    <w:rsid w:val="00542AD8"/>
    <w:rsid w:val="0054358E"/>
    <w:rsid w:val="00543865"/>
    <w:rsid w:val="00543AF4"/>
    <w:rsid w:val="00544191"/>
    <w:rsid w:val="00544F39"/>
    <w:rsid w:val="0054515D"/>
    <w:rsid w:val="00545BA0"/>
    <w:rsid w:val="00547EFB"/>
    <w:rsid w:val="005503AF"/>
    <w:rsid w:val="00550499"/>
    <w:rsid w:val="00552563"/>
    <w:rsid w:val="00552992"/>
    <w:rsid w:val="005531DF"/>
    <w:rsid w:val="00553874"/>
    <w:rsid w:val="00553ACC"/>
    <w:rsid w:val="00554196"/>
    <w:rsid w:val="00554AD8"/>
    <w:rsid w:val="00554F78"/>
    <w:rsid w:val="005556A5"/>
    <w:rsid w:val="00556BF7"/>
    <w:rsid w:val="00556BFD"/>
    <w:rsid w:val="00562149"/>
    <w:rsid w:val="00562242"/>
    <w:rsid w:val="0056229E"/>
    <w:rsid w:val="005630D8"/>
    <w:rsid w:val="005633F5"/>
    <w:rsid w:val="00563FFD"/>
    <w:rsid w:val="0056407B"/>
    <w:rsid w:val="00564F6C"/>
    <w:rsid w:val="0056502A"/>
    <w:rsid w:val="00565855"/>
    <w:rsid w:val="005677CE"/>
    <w:rsid w:val="00567B5D"/>
    <w:rsid w:val="00567EA3"/>
    <w:rsid w:val="0057188B"/>
    <w:rsid w:val="00571B3A"/>
    <w:rsid w:val="00573567"/>
    <w:rsid w:val="00573733"/>
    <w:rsid w:val="00574554"/>
    <w:rsid w:val="00575152"/>
    <w:rsid w:val="00575FE7"/>
    <w:rsid w:val="00576089"/>
    <w:rsid w:val="005764B1"/>
    <w:rsid w:val="00576A0C"/>
    <w:rsid w:val="00576A56"/>
    <w:rsid w:val="00576D06"/>
    <w:rsid w:val="00577126"/>
    <w:rsid w:val="005779E4"/>
    <w:rsid w:val="0058034C"/>
    <w:rsid w:val="00580AC5"/>
    <w:rsid w:val="00580EB3"/>
    <w:rsid w:val="00581A2A"/>
    <w:rsid w:val="0058289C"/>
    <w:rsid w:val="00582C35"/>
    <w:rsid w:val="00582DC6"/>
    <w:rsid w:val="00582FAF"/>
    <w:rsid w:val="005836C7"/>
    <w:rsid w:val="00583896"/>
    <w:rsid w:val="00583E30"/>
    <w:rsid w:val="0058408E"/>
    <w:rsid w:val="00585374"/>
    <w:rsid w:val="00585696"/>
    <w:rsid w:val="0058576D"/>
    <w:rsid w:val="00586F3C"/>
    <w:rsid w:val="00587DBE"/>
    <w:rsid w:val="00590B77"/>
    <w:rsid w:val="00590FEB"/>
    <w:rsid w:val="005913A3"/>
    <w:rsid w:val="00591814"/>
    <w:rsid w:val="005918DB"/>
    <w:rsid w:val="00591DCD"/>
    <w:rsid w:val="00591E6C"/>
    <w:rsid w:val="00594A7B"/>
    <w:rsid w:val="00594AFA"/>
    <w:rsid w:val="00595532"/>
    <w:rsid w:val="0059580E"/>
    <w:rsid w:val="00596A6F"/>
    <w:rsid w:val="005976E1"/>
    <w:rsid w:val="005A0541"/>
    <w:rsid w:val="005A0706"/>
    <w:rsid w:val="005A1525"/>
    <w:rsid w:val="005A1EC3"/>
    <w:rsid w:val="005A252B"/>
    <w:rsid w:val="005A2A71"/>
    <w:rsid w:val="005A3204"/>
    <w:rsid w:val="005A3341"/>
    <w:rsid w:val="005A3FA1"/>
    <w:rsid w:val="005A46EC"/>
    <w:rsid w:val="005A4847"/>
    <w:rsid w:val="005A494F"/>
    <w:rsid w:val="005A598C"/>
    <w:rsid w:val="005A79A6"/>
    <w:rsid w:val="005B0160"/>
    <w:rsid w:val="005B0185"/>
    <w:rsid w:val="005B07EC"/>
    <w:rsid w:val="005B09D8"/>
    <w:rsid w:val="005B120C"/>
    <w:rsid w:val="005B135C"/>
    <w:rsid w:val="005B14FC"/>
    <w:rsid w:val="005B24F3"/>
    <w:rsid w:val="005B2B11"/>
    <w:rsid w:val="005B2C4E"/>
    <w:rsid w:val="005B2E00"/>
    <w:rsid w:val="005B370E"/>
    <w:rsid w:val="005B4DA3"/>
    <w:rsid w:val="005B5BEE"/>
    <w:rsid w:val="005B6AC0"/>
    <w:rsid w:val="005B6F37"/>
    <w:rsid w:val="005B77D2"/>
    <w:rsid w:val="005B7860"/>
    <w:rsid w:val="005C019B"/>
    <w:rsid w:val="005C0932"/>
    <w:rsid w:val="005C144E"/>
    <w:rsid w:val="005C14A8"/>
    <w:rsid w:val="005C1EB1"/>
    <w:rsid w:val="005C30F5"/>
    <w:rsid w:val="005C357E"/>
    <w:rsid w:val="005C3951"/>
    <w:rsid w:val="005C3DD5"/>
    <w:rsid w:val="005C51A5"/>
    <w:rsid w:val="005C557A"/>
    <w:rsid w:val="005C61DD"/>
    <w:rsid w:val="005C6438"/>
    <w:rsid w:val="005C695B"/>
    <w:rsid w:val="005C6B8B"/>
    <w:rsid w:val="005C70F4"/>
    <w:rsid w:val="005C794B"/>
    <w:rsid w:val="005C7A13"/>
    <w:rsid w:val="005D02E3"/>
    <w:rsid w:val="005D0310"/>
    <w:rsid w:val="005D039C"/>
    <w:rsid w:val="005D1F34"/>
    <w:rsid w:val="005D2529"/>
    <w:rsid w:val="005D2C1F"/>
    <w:rsid w:val="005D34B2"/>
    <w:rsid w:val="005D38C5"/>
    <w:rsid w:val="005D3B54"/>
    <w:rsid w:val="005D404C"/>
    <w:rsid w:val="005D40CD"/>
    <w:rsid w:val="005D6B59"/>
    <w:rsid w:val="005D6D83"/>
    <w:rsid w:val="005D7037"/>
    <w:rsid w:val="005E03E4"/>
    <w:rsid w:val="005E0454"/>
    <w:rsid w:val="005E1413"/>
    <w:rsid w:val="005E171D"/>
    <w:rsid w:val="005E34C2"/>
    <w:rsid w:val="005E35C6"/>
    <w:rsid w:val="005E48BA"/>
    <w:rsid w:val="005E5B01"/>
    <w:rsid w:val="005E7933"/>
    <w:rsid w:val="005E7E0B"/>
    <w:rsid w:val="005F009E"/>
    <w:rsid w:val="005F0A88"/>
    <w:rsid w:val="005F0DF1"/>
    <w:rsid w:val="005F1516"/>
    <w:rsid w:val="005F229E"/>
    <w:rsid w:val="005F2564"/>
    <w:rsid w:val="005F2FEF"/>
    <w:rsid w:val="005F3822"/>
    <w:rsid w:val="005F3E0B"/>
    <w:rsid w:val="005F40FB"/>
    <w:rsid w:val="005F478A"/>
    <w:rsid w:val="005F4D16"/>
    <w:rsid w:val="005F4E52"/>
    <w:rsid w:val="005F5590"/>
    <w:rsid w:val="005F5967"/>
    <w:rsid w:val="005F6A62"/>
    <w:rsid w:val="005F77C8"/>
    <w:rsid w:val="0060058E"/>
    <w:rsid w:val="006015C1"/>
    <w:rsid w:val="00602740"/>
    <w:rsid w:val="00602A3C"/>
    <w:rsid w:val="00602CA2"/>
    <w:rsid w:val="0060353A"/>
    <w:rsid w:val="00603905"/>
    <w:rsid w:val="00603BE3"/>
    <w:rsid w:val="00603EFD"/>
    <w:rsid w:val="006041DF"/>
    <w:rsid w:val="006045FF"/>
    <w:rsid w:val="0060475B"/>
    <w:rsid w:val="00604BFA"/>
    <w:rsid w:val="00604FB6"/>
    <w:rsid w:val="00605387"/>
    <w:rsid w:val="00606302"/>
    <w:rsid w:val="006072EF"/>
    <w:rsid w:val="006076FD"/>
    <w:rsid w:val="00607BA3"/>
    <w:rsid w:val="00610651"/>
    <w:rsid w:val="0061143F"/>
    <w:rsid w:val="006114D8"/>
    <w:rsid w:val="00611585"/>
    <w:rsid w:val="00611B17"/>
    <w:rsid w:val="00612931"/>
    <w:rsid w:val="00613601"/>
    <w:rsid w:val="00613791"/>
    <w:rsid w:val="00613AAB"/>
    <w:rsid w:val="00614505"/>
    <w:rsid w:val="006148C7"/>
    <w:rsid w:val="006150D6"/>
    <w:rsid w:val="00615769"/>
    <w:rsid w:val="00617EEE"/>
    <w:rsid w:val="00620096"/>
    <w:rsid w:val="00620D46"/>
    <w:rsid w:val="00620DD9"/>
    <w:rsid w:val="00621092"/>
    <w:rsid w:val="006210FE"/>
    <w:rsid w:val="006212ED"/>
    <w:rsid w:val="00622811"/>
    <w:rsid w:val="00622894"/>
    <w:rsid w:val="00622BB7"/>
    <w:rsid w:val="00622F3B"/>
    <w:rsid w:val="00623389"/>
    <w:rsid w:val="0062352A"/>
    <w:rsid w:val="0062432E"/>
    <w:rsid w:val="00625B3C"/>
    <w:rsid w:val="00625E45"/>
    <w:rsid w:val="006265C4"/>
    <w:rsid w:val="00627383"/>
    <w:rsid w:val="00627733"/>
    <w:rsid w:val="006301BB"/>
    <w:rsid w:val="00630B19"/>
    <w:rsid w:val="00631674"/>
    <w:rsid w:val="00632605"/>
    <w:rsid w:val="00633F8D"/>
    <w:rsid w:val="006341EF"/>
    <w:rsid w:val="00634BED"/>
    <w:rsid w:val="00635A4A"/>
    <w:rsid w:val="00635FB9"/>
    <w:rsid w:val="00636148"/>
    <w:rsid w:val="00636F3B"/>
    <w:rsid w:val="00637774"/>
    <w:rsid w:val="0064024C"/>
    <w:rsid w:val="00640291"/>
    <w:rsid w:val="00640B71"/>
    <w:rsid w:val="00640CBD"/>
    <w:rsid w:val="0064155D"/>
    <w:rsid w:val="00641FAC"/>
    <w:rsid w:val="00642AF6"/>
    <w:rsid w:val="006432A5"/>
    <w:rsid w:val="00643664"/>
    <w:rsid w:val="00643CAA"/>
    <w:rsid w:val="00644085"/>
    <w:rsid w:val="006440FB"/>
    <w:rsid w:val="00644B58"/>
    <w:rsid w:val="00650FD0"/>
    <w:rsid w:val="00651E6C"/>
    <w:rsid w:val="00652137"/>
    <w:rsid w:val="00652680"/>
    <w:rsid w:val="00652A09"/>
    <w:rsid w:val="006530A1"/>
    <w:rsid w:val="00653CDE"/>
    <w:rsid w:val="006540B4"/>
    <w:rsid w:val="006556FD"/>
    <w:rsid w:val="0065636A"/>
    <w:rsid w:val="00656C3C"/>
    <w:rsid w:val="00657003"/>
    <w:rsid w:val="00657126"/>
    <w:rsid w:val="006572C1"/>
    <w:rsid w:val="00657930"/>
    <w:rsid w:val="00657C75"/>
    <w:rsid w:val="00660238"/>
    <w:rsid w:val="006602EF"/>
    <w:rsid w:val="00660F41"/>
    <w:rsid w:val="00661222"/>
    <w:rsid w:val="00661277"/>
    <w:rsid w:val="006616FE"/>
    <w:rsid w:val="006619D1"/>
    <w:rsid w:val="00663446"/>
    <w:rsid w:val="00663F5B"/>
    <w:rsid w:val="00663FEA"/>
    <w:rsid w:val="00664253"/>
    <w:rsid w:val="006647AE"/>
    <w:rsid w:val="00664803"/>
    <w:rsid w:val="006661A4"/>
    <w:rsid w:val="006666C3"/>
    <w:rsid w:val="00666EF7"/>
    <w:rsid w:val="006670E0"/>
    <w:rsid w:val="00667532"/>
    <w:rsid w:val="006704FD"/>
    <w:rsid w:val="00670CEB"/>
    <w:rsid w:val="00671CFB"/>
    <w:rsid w:val="0067294B"/>
    <w:rsid w:val="00673AA4"/>
    <w:rsid w:val="00673FF8"/>
    <w:rsid w:val="00674187"/>
    <w:rsid w:val="0067508F"/>
    <w:rsid w:val="00675349"/>
    <w:rsid w:val="00675E7E"/>
    <w:rsid w:val="0068023F"/>
    <w:rsid w:val="0068051E"/>
    <w:rsid w:val="00680B9D"/>
    <w:rsid w:val="006814D0"/>
    <w:rsid w:val="00681C91"/>
    <w:rsid w:val="00681F13"/>
    <w:rsid w:val="0068231C"/>
    <w:rsid w:val="00682344"/>
    <w:rsid w:val="00682F28"/>
    <w:rsid w:val="00683838"/>
    <w:rsid w:val="00684842"/>
    <w:rsid w:val="006859A6"/>
    <w:rsid w:val="00685BD6"/>
    <w:rsid w:val="00687454"/>
    <w:rsid w:val="006878A6"/>
    <w:rsid w:val="00687EDC"/>
    <w:rsid w:val="00690437"/>
    <w:rsid w:val="00690986"/>
    <w:rsid w:val="00690E65"/>
    <w:rsid w:val="0069128E"/>
    <w:rsid w:val="0069188E"/>
    <w:rsid w:val="00691974"/>
    <w:rsid w:val="00692CE6"/>
    <w:rsid w:val="00693B6C"/>
    <w:rsid w:val="00693D1D"/>
    <w:rsid w:val="00694202"/>
    <w:rsid w:val="006942AE"/>
    <w:rsid w:val="0069483C"/>
    <w:rsid w:val="00695421"/>
    <w:rsid w:val="00695D78"/>
    <w:rsid w:val="006968DA"/>
    <w:rsid w:val="00696D4B"/>
    <w:rsid w:val="00697A79"/>
    <w:rsid w:val="00697BD3"/>
    <w:rsid w:val="00697DFA"/>
    <w:rsid w:val="006A0C53"/>
    <w:rsid w:val="006A10F3"/>
    <w:rsid w:val="006A16D5"/>
    <w:rsid w:val="006A1772"/>
    <w:rsid w:val="006A1780"/>
    <w:rsid w:val="006A25A5"/>
    <w:rsid w:val="006A2790"/>
    <w:rsid w:val="006A3CEC"/>
    <w:rsid w:val="006A3CFB"/>
    <w:rsid w:val="006A3F75"/>
    <w:rsid w:val="006A4FB3"/>
    <w:rsid w:val="006A5A3E"/>
    <w:rsid w:val="006A6CA7"/>
    <w:rsid w:val="006A703E"/>
    <w:rsid w:val="006A7BE3"/>
    <w:rsid w:val="006B01D1"/>
    <w:rsid w:val="006B084B"/>
    <w:rsid w:val="006B08E2"/>
    <w:rsid w:val="006B16EA"/>
    <w:rsid w:val="006B1780"/>
    <w:rsid w:val="006B224E"/>
    <w:rsid w:val="006B2AE0"/>
    <w:rsid w:val="006B376E"/>
    <w:rsid w:val="006B3C9D"/>
    <w:rsid w:val="006B4589"/>
    <w:rsid w:val="006B5138"/>
    <w:rsid w:val="006B6805"/>
    <w:rsid w:val="006B6BBE"/>
    <w:rsid w:val="006B6DE0"/>
    <w:rsid w:val="006B7D5F"/>
    <w:rsid w:val="006C26EF"/>
    <w:rsid w:val="006C318F"/>
    <w:rsid w:val="006C32F4"/>
    <w:rsid w:val="006C3C54"/>
    <w:rsid w:val="006C40F4"/>
    <w:rsid w:val="006C427B"/>
    <w:rsid w:val="006C4D5D"/>
    <w:rsid w:val="006C4E5A"/>
    <w:rsid w:val="006C4F9F"/>
    <w:rsid w:val="006C61AB"/>
    <w:rsid w:val="006C650D"/>
    <w:rsid w:val="006C671A"/>
    <w:rsid w:val="006C748D"/>
    <w:rsid w:val="006C74E2"/>
    <w:rsid w:val="006D0C1D"/>
    <w:rsid w:val="006D0CE1"/>
    <w:rsid w:val="006D2004"/>
    <w:rsid w:val="006D2A8C"/>
    <w:rsid w:val="006D2E9D"/>
    <w:rsid w:val="006D4C1E"/>
    <w:rsid w:val="006D4C42"/>
    <w:rsid w:val="006D4FD9"/>
    <w:rsid w:val="006D5809"/>
    <w:rsid w:val="006D630A"/>
    <w:rsid w:val="006D668D"/>
    <w:rsid w:val="006D7363"/>
    <w:rsid w:val="006D74F2"/>
    <w:rsid w:val="006D7A88"/>
    <w:rsid w:val="006E04C8"/>
    <w:rsid w:val="006E0712"/>
    <w:rsid w:val="006E0754"/>
    <w:rsid w:val="006E181A"/>
    <w:rsid w:val="006E2668"/>
    <w:rsid w:val="006E2D39"/>
    <w:rsid w:val="006E32B0"/>
    <w:rsid w:val="006E36D8"/>
    <w:rsid w:val="006E396A"/>
    <w:rsid w:val="006E3A73"/>
    <w:rsid w:val="006E4C94"/>
    <w:rsid w:val="006E5BE8"/>
    <w:rsid w:val="006E5DD8"/>
    <w:rsid w:val="006E5EA1"/>
    <w:rsid w:val="006E7ABC"/>
    <w:rsid w:val="006F0760"/>
    <w:rsid w:val="006F0EC0"/>
    <w:rsid w:val="006F0FF1"/>
    <w:rsid w:val="006F11E2"/>
    <w:rsid w:val="006F12F5"/>
    <w:rsid w:val="006F2574"/>
    <w:rsid w:val="006F3231"/>
    <w:rsid w:val="006F3DE3"/>
    <w:rsid w:val="006F511F"/>
    <w:rsid w:val="006F525D"/>
    <w:rsid w:val="006F52EE"/>
    <w:rsid w:val="006F53F1"/>
    <w:rsid w:val="006F54B3"/>
    <w:rsid w:val="006F61D8"/>
    <w:rsid w:val="006F62B7"/>
    <w:rsid w:val="006F6457"/>
    <w:rsid w:val="006F6F74"/>
    <w:rsid w:val="006F70BC"/>
    <w:rsid w:val="006F713A"/>
    <w:rsid w:val="006F76BF"/>
    <w:rsid w:val="00700077"/>
    <w:rsid w:val="00703DCB"/>
    <w:rsid w:val="007045C7"/>
    <w:rsid w:val="00705BC1"/>
    <w:rsid w:val="007066A4"/>
    <w:rsid w:val="00706A1C"/>
    <w:rsid w:val="00706F37"/>
    <w:rsid w:val="00707D09"/>
    <w:rsid w:val="007105AA"/>
    <w:rsid w:val="00711208"/>
    <w:rsid w:val="0071209F"/>
    <w:rsid w:val="007125A2"/>
    <w:rsid w:val="00712DA3"/>
    <w:rsid w:val="00713F79"/>
    <w:rsid w:val="00714637"/>
    <w:rsid w:val="007148A8"/>
    <w:rsid w:val="00714AA4"/>
    <w:rsid w:val="00715B80"/>
    <w:rsid w:val="00716040"/>
    <w:rsid w:val="0071668C"/>
    <w:rsid w:val="007171E0"/>
    <w:rsid w:val="0072033C"/>
    <w:rsid w:val="00720B1B"/>
    <w:rsid w:val="00720EC1"/>
    <w:rsid w:val="00721062"/>
    <w:rsid w:val="00721E5D"/>
    <w:rsid w:val="00721E9B"/>
    <w:rsid w:val="007229D4"/>
    <w:rsid w:val="00722CD9"/>
    <w:rsid w:val="007230F8"/>
    <w:rsid w:val="007233F4"/>
    <w:rsid w:val="0072340F"/>
    <w:rsid w:val="00723948"/>
    <w:rsid w:val="00724044"/>
    <w:rsid w:val="007244E1"/>
    <w:rsid w:val="007248D3"/>
    <w:rsid w:val="00725137"/>
    <w:rsid w:val="00725366"/>
    <w:rsid w:val="007263ED"/>
    <w:rsid w:val="00727A43"/>
    <w:rsid w:val="00727FF2"/>
    <w:rsid w:val="007323E0"/>
    <w:rsid w:val="00733791"/>
    <w:rsid w:val="0073391B"/>
    <w:rsid w:val="00733DE2"/>
    <w:rsid w:val="00734A5E"/>
    <w:rsid w:val="00735172"/>
    <w:rsid w:val="007352EA"/>
    <w:rsid w:val="0073586F"/>
    <w:rsid w:val="007364E5"/>
    <w:rsid w:val="00736FD0"/>
    <w:rsid w:val="0073792F"/>
    <w:rsid w:val="00740DA6"/>
    <w:rsid w:val="00741A0E"/>
    <w:rsid w:val="00741D1E"/>
    <w:rsid w:val="00741EE2"/>
    <w:rsid w:val="00741FFC"/>
    <w:rsid w:val="00742367"/>
    <w:rsid w:val="00742EAA"/>
    <w:rsid w:val="00743818"/>
    <w:rsid w:val="007439E2"/>
    <w:rsid w:val="00743D6F"/>
    <w:rsid w:val="00743DD8"/>
    <w:rsid w:val="007441FB"/>
    <w:rsid w:val="00744517"/>
    <w:rsid w:val="00744810"/>
    <w:rsid w:val="00747A88"/>
    <w:rsid w:val="00747A90"/>
    <w:rsid w:val="00747B7A"/>
    <w:rsid w:val="00747DE2"/>
    <w:rsid w:val="007504BF"/>
    <w:rsid w:val="007506CD"/>
    <w:rsid w:val="0075267F"/>
    <w:rsid w:val="007526EC"/>
    <w:rsid w:val="0075310C"/>
    <w:rsid w:val="00753347"/>
    <w:rsid w:val="00753C48"/>
    <w:rsid w:val="00754C97"/>
    <w:rsid w:val="00754FE4"/>
    <w:rsid w:val="00755538"/>
    <w:rsid w:val="0075555D"/>
    <w:rsid w:val="00756236"/>
    <w:rsid w:val="00756271"/>
    <w:rsid w:val="00756521"/>
    <w:rsid w:val="00756AB7"/>
    <w:rsid w:val="00760477"/>
    <w:rsid w:val="00760815"/>
    <w:rsid w:val="00761AF4"/>
    <w:rsid w:val="00761E34"/>
    <w:rsid w:val="00762071"/>
    <w:rsid w:val="007623FB"/>
    <w:rsid w:val="0076347B"/>
    <w:rsid w:val="007636E2"/>
    <w:rsid w:val="0076376A"/>
    <w:rsid w:val="007638C5"/>
    <w:rsid w:val="0076500F"/>
    <w:rsid w:val="0076504E"/>
    <w:rsid w:val="007650DA"/>
    <w:rsid w:val="00765E6A"/>
    <w:rsid w:val="00765FCE"/>
    <w:rsid w:val="00766F30"/>
    <w:rsid w:val="00767EA0"/>
    <w:rsid w:val="0077068F"/>
    <w:rsid w:val="00771722"/>
    <w:rsid w:val="0077408D"/>
    <w:rsid w:val="00774270"/>
    <w:rsid w:val="00775679"/>
    <w:rsid w:val="00775803"/>
    <w:rsid w:val="00775EBC"/>
    <w:rsid w:val="00777B32"/>
    <w:rsid w:val="0078051E"/>
    <w:rsid w:val="00781FDD"/>
    <w:rsid w:val="00782A9F"/>
    <w:rsid w:val="0078508A"/>
    <w:rsid w:val="00786D5C"/>
    <w:rsid w:val="00786E96"/>
    <w:rsid w:val="00787F93"/>
    <w:rsid w:val="007907CA"/>
    <w:rsid w:val="00790A92"/>
    <w:rsid w:val="00790C2F"/>
    <w:rsid w:val="00790E12"/>
    <w:rsid w:val="007913A1"/>
    <w:rsid w:val="00791529"/>
    <w:rsid w:val="00791E6D"/>
    <w:rsid w:val="007928DC"/>
    <w:rsid w:val="007933E4"/>
    <w:rsid w:val="007939CC"/>
    <w:rsid w:val="00794AD7"/>
    <w:rsid w:val="007955FB"/>
    <w:rsid w:val="007956FB"/>
    <w:rsid w:val="00796FB8"/>
    <w:rsid w:val="00797559"/>
    <w:rsid w:val="00797F03"/>
    <w:rsid w:val="007A05DA"/>
    <w:rsid w:val="007A0A5E"/>
    <w:rsid w:val="007A0AFB"/>
    <w:rsid w:val="007A11C2"/>
    <w:rsid w:val="007A2367"/>
    <w:rsid w:val="007A41BF"/>
    <w:rsid w:val="007A490A"/>
    <w:rsid w:val="007A4A57"/>
    <w:rsid w:val="007A581D"/>
    <w:rsid w:val="007A76D1"/>
    <w:rsid w:val="007A7B95"/>
    <w:rsid w:val="007B0297"/>
    <w:rsid w:val="007B0F53"/>
    <w:rsid w:val="007B1DD8"/>
    <w:rsid w:val="007B21AE"/>
    <w:rsid w:val="007B2570"/>
    <w:rsid w:val="007B2736"/>
    <w:rsid w:val="007B3113"/>
    <w:rsid w:val="007B3304"/>
    <w:rsid w:val="007B332B"/>
    <w:rsid w:val="007B394D"/>
    <w:rsid w:val="007B3C64"/>
    <w:rsid w:val="007B69B9"/>
    <w:rsid w:val="007B736A"/>
    <w:rsid w:val="007B7490"/>
    <w:rsid w:val="007B774A"/>
    <w:rsid w:val="007C0525"/>
    <w:rsid w:val="007C0B56"/>
    <w:rsid w:val="007C13F7"/>
    <w:rsid w:val="007C218D"/>
    <w:rsid w:val="007C2CB1"/>
    <w:rsid w:val="007C2D28"/>
    <w:rsid w:val="007C357C"/>
    <w:rsid w:val="007C3E22"/>
    <w:rsid w:val="007C5153"/>
    <w:rsid w:val="007C67C6"/>
    <w:rsid w:val="007C707A"/>
    <w:rsid w:val="007C7E59"/>
    <w:rsid w:val="007D0B91"/>
    <w:rsid w:val="007D0EFD"/>
    <w:rsid w:val="007D0F53"/>
    <w:rsid w:val="007D1452"/>
    <w:rsid w:val="007D1E0A"/>
    <w:rsid w:val="007D1E29"/>
    <w:rsid w:val="007D2B94"/>
    <w:rsid w:val="007D378B"/>
    <w:rsid w:val="007D460C"/>
    <w:rsid w:val="007D4AD3"/>
    <w:rsid w:val="007D4C8D"/>
    <w:rsid w:val="007D5D19"/>
    <w:rsid w:val="007D5FDC"/>
    <w:rsid w:val="007D6232"/>
    <w:rsid w:val="007D6D68"/>
    <w:rsid w:val="007D7009"/>
    <w:rsid w:val="007E01DA"/>
    <w:rsid w:val="007E1232"/>
    <w:rsid w:val="007E1603"/>
    <w:rsid w:val="007E2566"/>
    <w:rsid w:val="007E32DA"/>
    <w:rsid w:val="007E4383"/>
    <w:rsid w:val="007E4998"/>
    <w:rsid w:val="007E4A9C"/>
    <w:rsid w:val="007E5FCE"/>
    <w:rsid w:val="007E6914"/>
    <w:rsid w:val="007E7C00"/>
    <w:rsid w:val="007E7F78"/>
    <w:rsid w:val="007F0C8B"/>
    <w:rsid w:val="007F0F53"/>
    <w:rsid w:val="007F1232"/>
    <w:rsid w:val="007F1517"/>
    <w:rsid w:val="007F1D44"/>
    <w:rsid w:val="007F2B47"/>
    <w:rsid w:val="007F2C13"/>
    <w:rsid w:val="007F2CEC"/>
    <w:rsid w:val="007F3F30"/>
    <w:rsid w:val="007F55DE"/>
    <w:rsid w:val="007F5605"/>
    <w:rsid w:val="007F601D"/>
    <w:rsid w:val="007F6132"/>
    <w:rsid w:val="007F6147"/>
    <w:rsid w:val="007F6FCD"/>
    <w:rsid w:val="007F78FF"/>
    <w:rsid w:val="00800F6C"/>
    <w:rsid w:val="008025BE"/>
    <w:rsid w:val="00802615"/>
    <w:rsid w:val="00803507"/>
    <w:rsid w:val="00804C86"/>
    <w:rsid w:val="00804DA9"/>
    <w:rsid w:val="008051FC"/>
    <w:rsid w:val="008055A9"/>
    <w:rsid w:val="00806372"/>
    <w:rsid w:val="008070EB"/>
    <w:rsid w:val="00807167"/>
    <w:rsid w:val="00807376"/>
    <w:rsid w:val="00810E8E"/>
    <w:rsid w:val="0081142D"/>
    <w:rsid w:val="00811F89"/>
    <w:rsid w:val="00812462"/>
    <w:rsid w:val="008131C3"/>
    <w:rsid w:val="0081333D"/>
    <w:rsid w:val="008140A5"/>
    <w:rsid w:val="00814387"/>
    <w:rsid w:val="0081481D"/>
    <w:rsid w:val="0081498E"/>
    <w:rsid w:val="00814BE8"/>
    <w:rsid w:val="00814F6E"/>
    <w:rsid w:val="00815B84"/>
    <w:rsid w:val="00817147"/>
    <w:rsid w:val="00817E14"/>
    <w:rsid w:val="00820433"/>
    <w:rsid w:val="00821A3D"/>
    <w:rsid w:val="00821B36"/>
    <w:rsid w:val="00822037"/>
    <w:rsid w:val="00822A93"/>
    <w:rsid w:val="00823E0A"/>
    <w:rsid w:val="00823E97"/>
    <w:rsid w:val="00823FC6"/>
    <w:rsid w:val="00823FFC"/>
    <w:rsid w:val="00824811"/>
    <w:rsid w:val="00825C74"/>
    <w:rsid w:val="00826AB9"/>
    <w:rsid w:val="00826E0E"/>
    <w:rsid w:val="0082731F"/>
    <w:rsid w:val="00827583"/>
    <w:rsid w:val="00827C60"/>
    <w:rsid w:val="00827D11"/>
    <w:rsid w:val="00827E0F"/>
    <w:rsid w:val="00827F6E"/>
    <w:rsid w:val="0083022F"/>
    <w:rsid w:val="00831758"/>
    <w:rsid w:val="0083279F"/>
    <w:rsid w:val="00833B7F"/>
    <w:rsid w:val="00834906"/>
    <w:rsid w:val="00835394"/>
    <w:rsid w:val="00836075"/>
    <w:rsid w:val="00836417"/>
    <w:rsid w:val="00840F84"/>
    <w:rsid w:val="008411F9"/>
    <w:rsid w:val="008413AB"/>
    <w:rsid w:val="00842D10"/>
    <w:rsid w:val="0084301D"/>
    <w:rsid w:val="0084322B"/>
    <w:rsid w:val="008433BC"/>
    <w:rsid w:val="00843B93"/>
    <w:rsid w:val="00843F81"/>
    <w:rsid w:val="00844087"/>
    <w:rsid w:val="0084519E"/>
    <w:rsid w:val="00846370"/>
    <w:rsid w:val="008465BA"/>
    <w:rsid w:val="00846BCA"/>
    <w:rsid w:val="00847C2B"/>
    <w:rsid w:val="0085270D"/>
    <w:rsid w:val="00852C35"/>
    <w:rsid w:val="008532BF"/>
    <w:rsid w:val="00853A90"/>
    <w:rsid w:val="00853BF4"/>
    <w:rsid w:val="00854294"/>
    <w:rsid w:val="00854758"/>
    <w:rsid w:val="0085595B"/>
    <w:rsid w:val="00855B08"/>
    <w:rsid w:val="00855F80"/>
    <w:rsid w:val="008560A6"/>
    <w:rsid w:val="008566B8"/>
    <w:rsid w:val="0085710F"/>
    <w:rsid w:val="0085788B"/>
    <w:rsid w:val="00857A9E"/>
    <w:rsid w:val="00857D0B"/>
    <w:rsid w:val="00857DE2"/>
    <w:rsid w:val="0086353C"/>
    <w:rsid w:val="0086407F"/>
    <w:rsid w:val="00864D79"/>
    <w:rsid w:val="00864E79"/>
    <w:rsid w:val="00866111"/>
    <w:rsid w:val="00866466"/>
    <w:rsid w:val="0086661F"/>
    <w:rsid w:val="00866A0D"/>
    <w:rsid w:val="00866DB5"/>
    <w:rsid w:val="0086716F"/>
    <w:rsid w:val="0086784E"/>
    <w:rsid w:val="00867AF1"/>
    <w:rsid w:val="0087017D"/>
    <w:rsid w:val="00870445"/>
    <w:rsid w:val="00870B53"/>
    <w:rsid w:val="00872057"/>
    <w:rsid w:val="00872118"/>
    <w:rsid w:val="0087227F"/>
    <w:rsid w:val="008725E6"/>
    <w:rsid w:val="00872827"/>
    <w:rsid w:val="00872888"/>
    <w:rsid w:val="00872A32"/>
    <w:rsid w:val="00872CB5"/>
    <w:rsid w:val="00872D92"/>
    <w:rsid w:val="00872E21"/>
    <w:rsid w:val="00874ECA"/>
    <w:rsid w:val="0087539F"/>
    <w:rsid w:val="0087567A"/>
    <w:rsid w:val="00876EAE"/>
    <w:rsid w:val="00880F95"/>
    <w:rsid w:val="008816E9"/>
    <w:rsid w:val="008819C6"/>
    <w:rsid w:val="00882B44"/>
    <w:rsid w:val="00882FE5"/>
    <w:rsid w:val="00883102"/>
    <w:rsid w:val="008842B9"/>
    <w:rsid w:val="008845A4"/>
    <w:rsid w:val="00885D3C"/>
    <w:rsid w:val="00886138"/>
    <w:rsid w:val="00886E66"/>
    <w:rsid w:val="008871B0"/>
    <w:rsid w:val="0089217C"/>
    <w:rsid w:val="008928A1"/>
    <w:rsid w:val="00892A3A"/>
    <w:rsid w:val="00892AF1"/>
    <w:rsid w:val="008934CE"/>
    <w:rsid w:val="00893671"/>
    <w:rsid w:val="00894D23"/>
    <w:rsid w:val="00894E85"/>
    <w:rsid w:val="00895838"/>
    <w:rsid w:val="00895A72"/>
    <w:rsid w:val="00895CDF"/>
    <w:rsid w:val="008968C7"/>
    <w:rsid w:val="00897A55"/>
    <w:rsid w:val="008A0650"/>
    <w:rsid w:val="008A0FC9"/>
    <w:rsid w:val="008A1682"/>
    <w:rsid w:val="008A1956"/>
    <w:rsid w:val="008A2B5F"/>
    <w:rsid w:val="008A30DB"/>
    <w:rsid w:val="008A30E5"/>
    <w:rsid w:val="008A40D3"/>
    <w:rsid w:val="008A469C"/>
    <w:rsid w:val="008A484A"/>
    <w:rsid w:val="008A5877"/>
    <w:rsid w:val="008A6539"/>
    <w:rsid w:val="008A6685"/>
    <w:rsid w:val="008A701C"/>
    <w:rsid w:val="008A75E0"/>
    <w:rsid w:val="008B04F0"/>
    <w:rsid w:val="008B05DD"/>
    <w:rsid w:val="008B17E8"/>
    <w:rsid w:val="008B1925"/>
    <w:rsid w:val="008B1E89"/>
    <w:rsid w:val="008B266C"/>
    <w:rsid w:val="008B2D03"/>
    <w:rsid w:val="008B2E7C"/>
    <w:rsid w:val="008B42EB"/>
    <w:rsid w:val="008B45A7"/>
    <w:rsid w:val="008B4A70"/>
    <w:rsid w:val="008B502F"/>
    <w:rsid w:val="008B5A88"/>
    <w:rsid w:val="008B677D"/>
    <w:rsid w:val="008B6AFE"/>
    <w:rsid w:val="008B7034"/>
    <w:rsid w:val="008B7227"/>
    <w:rsid w:val="008B7A87"/>
    <w:rsid w:val="008C0FC3"/>
    <w:rsid w:val="008C191C"/>
    <w:rsid w:val="008C1DA4"/>
    <w:rsid w:val="008C1DDA"/>
    <w:rsid w:val="008C2CD5"/>
    <w:rsid w:val="008C3048"/>
    <w:rsid w:val="008C3618"/>
    <w:rsid w:val="008C37C2"/>
    <w:rsid w:val="008C3AE1"/>
    <w:rsid w:val="008C3F20"/>
    <w:rsid w:val="008C43AD"/>
    <w:rsid w:val="008C59FB"/>
    <w:rsid w:val="008C6687"/>
    <w:rsid w:val="008C68F0"/>
    <w:rsid w:val="008C6F92"/>
    <w:rsid w:val="008C731F"/>
    <w:rsid w:val="008C74D9"/>
    <w:rsid w:val="008D01FF"/>
    <w:rsid w:val="008D0765"/>
    <w:rsid w:val="008D1052"/>
    <w:rsid w:val="008D124C"/>
    <w:rsid w:val="008D1BB3"/>
    <w:rsid w:val="008D22AE"/>
    <w:rsid w:val="008D234A"/>
    <w:rsid w:val="008D2600"/>
    <w:rsid w:val="008D566C"/>
    <w:rsid w:val="008D58D9"/>
    <w:rsid w:val="008D6426"/>
    <w:rsid w:val="008D66EA"/>
    <w:rsid w:val="008D6E59"/>
    <w:rsid w:val="008D7155"/>
    <w:rsid w:val="008D7DE4"/>
    <w:rsid w:val="008E0103"/>
    <w:rsid w:val="008E09B3"/>
    <w:rsid w:val="008E141A"/>
    <w:rsid w:val="008E1A44"/>
    <w:rsid w:val="008E28E6"/>
    <w:rsid w:val="008E2B60"/>
    <w:rsid w:val="008E2F5C"/>
    <w:rsid w:val="008E3232"/>
    <w:rsid w:val="008E3674"/>
    <w:rsid w:val="008E36CD"/>
    <w:rsid w:val="008E3B6C"/>
    <w:rsid w:val="008E4A55"/>
    <w:rsid w:val="008E68BB"/>
    <w:rsid w:val="008E6C9B"/>
    <w:rsid w:val="008E77D4"/>
    <w:rsid w:val="008E7E1F"/>
    <w:rsid w:val="008F0981"/>
    <w:rsid w:val="008F0AFD"/>
    <w:rsid w:val="008F17B2"/>
    <w:rsid w:val="008F28EE"/>
    <w:rsid w:val="008F357B"/>
    <w:rsid w:val="008F44CA"/>
    <w:rsid w:val="008F49B9"/>
    <w:rsid w:val="008F49D3"/>
    <w:rsid w:val="008F50D0"/>
    <w:rsid w:val="008F5760"/>
    <w:rsid w:val="008F6519"/>
    <w:rsid w:val="008F7012"/>
    <w:rsid w:val="008F7B17"/>
    <w:rsid w:val="00900042"/>
    <w:rsid w:val="0090034B"/>
    <w:rsid w:val="0090052F"/>
    <w:rsid w:val="00902623"/>
    <w:rsid w:val="00902890"/>
    <w:rsid w:val="00902E22"/>
    <w:rsid w:val="00903445"/>
    <w:rsid w:val="00904BE4"/>
    <w:rsid w:val="0090504A"/>
    <w:rsid w:val="009050A0"/>
    <w:rsid w:val="00905D7E"/>
    <w:rsid w:val="009063B7"/>
    <w:rsid w:val="0090692B"/>
    <w:rsid w:val="00906B83"/>
    <w:rsid w:val="00907037"/>
    <w:rsid w:val="009071D7"/>
    <w:rsid w:val="00910743"/>
    <w:rsid w:val="0091114B"/>
    <w:rsid w:val="0091160A"/>
    <w:rsid w:val="0091160E"/>
    <w:rsid w:val="00913258"/>
    <w:rsid w:val="009144D0"/>
    <w:rsid w:val="009150B1"/>
    <w:rsid w:val="0091564D"/>
    <w:rsid w:val="009156DA"/>
    <w:rsid w:val="00915BFF"/>
    <w:rsid w:val="00915F15"/>
    <w:rsid w:val="0091698E"/>
    <w:rsid w:val="00916BC5"/>
    <w:rsid w:val="0091726A"/>
    <w:rsid w:val="00920184"/>
    <w:rsid w:val="00920A19"/>
    <w:rsid w:val="00920EA4"/>
    <w:rsid w:val="009210B3"/>
    <w:rsid w:val="00921330"/>
    <w:rsid w:val="00921792"/>
    <w:rsid w:val="00921BEA"/>
    <w:rsid w:val="00923998"/>
    <w:rsid w:val="00923DB4"/>
    <w:rsid w:val="0092430E"/>
    <w:rsid w:val="009249D7"/>
    <w:rsid w:val="00924DFC"/>
    <w:rsid w:val="0092508C"/>
    <w:rsid w:val="0092625F"/>
    <w:rsid w:val="009268A9"/>
    <w:rsid w:val="00927B37"/>
    <w:rsid w:val="009300EE"/>
    <w:rsid w:val="009301B2"/>
    <w:rsid w:val="00930CF5"/>
    <w:rsid w:val="009313DD"/>
    <w:rsid w:val="00931811"/>
    <w:rsid w:val="00931BDE"/>
    <w:rsid w:val="009321B1"/>
    <w:rsid w:val="00932ED7"/>
    <w:rsid w:val="0093357E"/>
    <w:rsid w:val="0093422D"/>
    <w:rsid w:val="00934325"/>
    <w:rsid w:val="00934DD7"/>
    <w:rsid w:val="009369A9"/>
    <w:rsid w:val="00936CF7"/>
    <w:rsid w:val="00937201"/>
    <w:rsid w:val="0093734A"/>
    <w:rsid w:val="00937783"/>
    <w:rsid w:val="00940FE1"/>
    <w:rsid w:val="009419E7"/>
    <w:rsid w:val="00942306"/>
    <w:rsid w:val="009424B8"/>
    <w:rsid w:val="009433A4"/>
    <w:rsid w:val="00943558"/>
    <w:rsid w:val="0094435B"/>
    <w:rsid w:val="00944377"/>
    <w:rsid w:val="00944668"/>
    <w:rsid w:val="00944DC6"/>
    <w:rsid w:val="0094515F"/>
    <w:rsid w:val="0094537D"/>
    <w:rsid w:val="0094573F"/>
    <w:rsid w:val="009458B0"/>
    <w:rsid w:val="00945B52"/>
    <w:rsid w:val="00945C72"/>
    <w:rsid w:val="00945DC0"/>
    <w:rsid w:val="00945F05"/>
    <w:rsid w:val="00946348"/>
    <w:rsid w:val="009471AD"/>
    <w:rsid w:val="009478A2"/>
    <w:rsid w:val="00947946"/>
    <w:rsid w:val="00947CC3"/>
    <w:rsid w:val="00950404"/>
    <w:rsid w:val="00951ED5"/>
    <w:rsid w:val="00952060"/>
    <w:rsid w:val="009535D8"/>
    <w:rsid w:val="00954585"/>
    <w:rsid w:val="00954800"/>
    <w:rsid w:val="009552B2"/>
    <w:rsid w:val="00955643"/>
    <w:rsid w:val="00955CF5"/>
    <w:rsid w:val="00955FBB"/>
    <w:rsid w:val="0095694B"/>
    <w:rsid w:val="00956BD5"/>
    <w:rsid w:val="009574BB"/>
    <w:rsid w:val="009577B5"/>
    <w:rsid w:val="009608E6"/>
    <w:rsid w:val="00961054"/>
    <w:rsid w:val="00961779"/>
    <w:rsid w:val="00961D5A"/>
    <w:rsid w:val="00962EB1"/>
    <w:rsid w:val="009635EB"/>
    <w:rsid w:val="00963E52"/>
    <w:rsid w:val="00966522"/>
    <w:rsid w:val="00967D3F"/>
    <w:rsid w:val="00967E78"/>
    <w:rsid w:val="00970D7E"/>
    <w:rsid w:val="00970F18"/>
    <w:rsid w:val="00970FB6"/>
    <w:rsid w:val="00971CF1"/>
    <w:rsid w:val="009721E9"/>
    <w:rsid w:val="00972A58"/>
    <w:rsid w:val="00972E20"/>
    <w:rsid w:val="00973359"/>
    <w:rsid w:val="009736D6"/>
    <w:rsid w:val="00973772"/>
    <w:rsid w:val="009738FC"/>
    <w:rsid w:val="00974F7D"/>
    <w:rsid w:val="00975D77"/>
    <w:rsid w:val="00975E1E"/>
    <w:rsid w:val="00975E70"/>
    <w:rsid w:val="009769F3"/>
    <w:rsid w:val="00977749"/>
    <w:rsid w:val="00977CD6"/>
    <w:rsid w:val="00980CBF"/>
    <w:rsid w:val="00981972"/>
    <w:rsid w:val="00982481"/>
    <w:rsid w:val="00982A3A"/>
    <w:rsid w:val="00982D26"/>
    <w:rsid w:val="0098330E"/>
    <w:rsid w:val="009833AC"/>
    <w:rsid w:val="009833DD"/>
    <w:rsid w:val="009840AB"/>
    <w:rsid w:val="009849E9"/>
    <w:rsid w:val="009866F3"/>
    <w:rsid w:val="00987812"/>
    <w:rsid w:val="00990225"/>
    <w:rsid w:val="0099041F"/>
    <w:rsid w:val="0099244B"/>
    <w:rsid w:val="0099314D"/>
    <w:rsid w:val="00993186"/>
    <w:rsid w:val="0099388D"/>
    <w:rsid w:val="009947B6"/>
    <w:rsid w:val="00994FCC"/>
    <w:rsid w:val="0099513C"/>
    <w:rsid w:val="00995150"/>
    <w:rsid w:val="009957F3"/>
    <w:rsid w:val="00995D67"/>
    <w:rsid w:val="009970BF"/>
    <w:rsid w:val="00997992"/>
    <w:rsid w:val="00997F48"/>
    <w:rsid w:val="009A00DE"/>
    <w:rsid w:val="009A013B"/>
    <w:rsid w:val="009A02F4"/>
    <w:rsid w:val="009A1844"/>
    <w:rsid w:val="009A1F12"/>
    <w:rsid w:val="009A2494"/>
    <w:rsid w:val="009A26CA"/>
    <w:rsid w:val="009A3158"/>
    <w:rsid w:val="009A36F2"/>
    <w:rsid w:val="009A3CF7"/>
    <w:rsid w:val="009A4B98"/>
    <w:rsid w:val="009A5749"/>
    <w:rsid w:val="009A57D0"/>
    <w:rsid w:val="009A5F6E"/>
    <w:rsid w:val="009A6199"/>
    <w:rsid w:val="009A6559"/>
    <w:rsid w:val="009A68FC"/>
    <w:rsid w:val="009A7514"/>
    <w:rsid w:val="009A7E7A"/>
    <w:rsid w:val="009A7FF6"/>
    <w:rsid w:val="009B1584"/>
    <w:rsid w:val="009B1585"/>
    <w:rsid w:val="009B2469"/>
    <w:rsid w:val="009B314F"/>
    <w:rsid w:val="009B439C"/>
    <w:rsid w:val="009B4A6C"/>
    <w:rsid w:val="009B5777"/>
    <w:rsid w:val="009B5779"/>
    <w:rsid w:val="009B6753"/>
    <w:rsid w:val="009B6A26"/>
    <w:rsid w:val="009C079D"/>
    <w:rsid w:val="009C0D70"/>
    <w:rsid w:val="009C13D1"/>
    <w:rsid w:val="009C1854"/>
    <w:rsid w:val="009C2913"/>
    <w:rsid w:val="009C3008"/>
    <w:rsid w:val="009C3138"/>
    <w:rsid w:val="009C3FE8"/>
    <w:rsid w:val="009C4D53"/>
    <w:rsid w:val="009C50C6"/>
    <w:rsid w:val="009C5592"/>
    <w:rsid w:val="009C5AFE"/>
    <w:rsid w:val="009C5EB9"/>
    <w:rsid w:val="009C6606"/>
    <w:rsid w:val="009C6CE5"/>
    <w:rsid w:val="009C6D50"/>
    <w:rsid w:val="009C7547"/>
    <w:rsid w:val="009C7966"/>
    <w:rsid w:val="009C7A7B"/>
    <w:rsid w:val="009C7EF4"/>
    <w:rsid w:val="009D0F85"/>
    <w:rsid w:val="009D1678"/>
    <w:rsid w:val="009D1693"/>
    <w:rsid w:val="009D2577"/>
    <w:rsid w:val="009D2721"/>
    <w:rsid w:val="009D2F60"/>
    <w:rsid w:val="009D338C"/>
    <w:rsid w:val="009D33BC"/>
    <w:rsid w:val="009D3D0D"/>
    <w:rsid w:val="009D4C68"/>
    <w:rsid w:val="009D5BAC"/>
    <w:rsid w:val="009D64BD"/>
    <w:rsid w:val="009D7F58"/>
    <w:rsid w:val="009E0D0A"/>
    <w:rsid w:val="009E0D1A"/>
    <w:rsid w:val="009E153F"/>
    <w:rsid w:val="009E19A9"/>
    <w:rsid w:val="009E2D6C"/>
    <w:rsid w:val="009E388B"/>
    <w:rsid w:val="009E393E"/>
    <w:rsid w:val="009E41B1"/>
    <w:rsid w:val="009E444E"/>
    <w:rsid w:val="009E4968"/>
    <w:rsid w:val="009E663C"/>
    <w:rsid w:val="009E6BB1"/>
    <w:rsid w:val="009E7699"/>
    <w:rsid w:val="009E7A81"/>
    <w:rsid w:val="009F0092"/>
    <w:rsid w:val="009F0C6A"/>
    <w:rsid w:val="009F0CD9"/>
    <w:rsid w:val="009F1A79"/>
    <w:rsid w:val="009F1F57"/>
    <w:rsid w:val="009F2E26"/>
    <w:rsid w:val="009F42DF"/>
    <w:rsid w:val="009F4FCF"/>
    <w:rsid w:val="009F5DE2"/>
    <w:rsid w:val="009F5E38"/>
    <w:rsid w:val="009F638C"/>
    <w:rsid w:val="009F65F4"/>
    <w:rsid w:val="009F676B"/>
    <w:rsid w:val="009F6EA6"/>
    <w:rsid w:val="00A004DF"/>
    <w:rsid w:val="00A00735"/>
    <w:rsid w:val="00A00BAE"/>
    <w:rsid w:val="00A00D29"/>
    <w:rsid w:val="00A00FD5"/>
    <w:rsid w:val="00A019A8"/>
    <w:rsid w:val="00A01AF8"/>
    <w:rsid w:val="00A01B03"/>
    <w:rsid w:val="00A01F22"/>
    <w:rsid w:val="00A026E7"/>
    <w:rsid w:val="00A02C66"/>
    <w:rsid w:val="00A03861"/>
    <w:rsid w:val="00A0464C"/>
    <w:rsid w:val="00A04C39"/>
    <w:rsid w:val="00A04D48"/>
    <w:rsid w:val="00A054E0"/>
    <w:rsid w:val="00A05ABE"/>
    <w:rsid w:val="00A0663F"/>
    <w:rsid w:val="00A066CE"/>
    <w:rsid w:val="00A069FB"/>
    <w:rsid w:val="00A0740B"/>
    <w:rsid w:val="00A075A9"/>
    <w:rsid w:val="00A07B7D"/>
    <w:rsid w:val="00A100DC"/>
    <w:rsid w:val="00A10966"/>
    <w:rsid w:val="00A11042"/>
    <w:rsid w:val="00A12D97"/>
    <w:rsid w:val="00A133D8"/>
    <w:rsid w:val="00A1469C"/>
    <w:rsid w:val="00A14E97"/>
    <w:rsid w:val="00A15660"/>
    <w:rsid w:val="00A20069"/>
    <w:rsid w:val="00A20280"/>
    <w:rsid w:val="00A211D3"/>
    <w:rsid w:val="00A2130D"/>
    <w:rsid w:val="00A2244D"/>
    <w:rsid w:val="00A2253D"/>
    <w:rsid w:val="00A22AEC"/>
    <w:rsid w:val="00A22FDB"/>
    <w:rsid w:val="00A2324F"/>
    <w:rsid w:val="00A2418A"/>
    <w:rsid w:val="00A247B8"/>
    <w:rsid w:val="00A24D39"/>
    <w:rsid w:val="00A24D8F"/>
    <w:rsid w:val="00A252D3"/>
    <w:rsid w:val="00A25B8B"/>
    <w:rsid w:val="00A26130"/>
    <w:rsid w:val="00A269AF"/>
    <w:rsid w:val="00A269C3"/>
    <w:rsid w:val="00A26ECA"/>
    <w:rsid w:val="00A3057D"/>
    <w:rsid w:val="00A311F3"/>
    <w:rsid w:val="00A3142C"/>
    <w:rsid w:val="00A31D37"/>
    <w:rsid w:val="00A324AE"/>
    <w:rsid w:val="00A324C1"/>
    <w:rsid w:val="00A32F39"/>
    <w:rsid w:val="00A337DB"/>
    <w:rsid w:val="00A3419D"/>
    <w:rsid w:val="00A3467F"/>
    <w:rsid w:val="00A3551A"/>
    <w:rsid w:val="00A372AA"/>
    <w:rsid w:val="00A376E8"/>
    <w:rsid w:val="00A37E56"/>
    <w:rsid w:val="00A37E69"/>
    <w:rsid w:val="00A37F8E"/>
    <w:rsid w:val="00A41737"/>
    <w:rsid w:val="00A42B8F"/>
    <w:rsid w:val="00A43254"/>
    <w:rsid w:val="00A43896"/>
    <w:rsid w:val="00A43A26"/>
    <w:rsid w:val="00A444B0"/>
    <w:rsid w:val="00A447A0"/>
    <w:rsid w:val="00A44D4F"/>
    <w:rsid w:val="00A4598B"/>
    <w:rsid w:val="00A459F5"/>
    <w:rsid w:val="00A45FC0"/>
    <w:rsid w:val="00A46B32"/>
    <w:rsid w:val="00A47301"/>
    <w:rsid w:val="00A47307"/>
    <w:rsid w:val="00A47448"/>
    <w:rsid w:val="00A47ECC"/>
    <w:rsid w:val="00A5008C"/>
    <w:rsid w:val="00A50171"/>
    <w:rsid w:val="00A5102E"/>
    <w:rsid w:val="00A51083"/>
    <w:rsid w:val="00A5132E"/>
    <w:rsid w:val="00A51533"/>
    <w:rsid w:val="00A51547"/>
    <w:rsid w:val="00A51E68"/>
    <w:rsid w:val="00A52F3B"/>
    <w:rsid w:val="00A531D4"/>
    <w:rsid w:val="00A55ACD"/>
    <w:rsid w:val="00A55CFA"/>
    <w:rsid w:val="00A56E83"/>
    <w:rsid w:val="00A575B8"/>
    <w:rsid w:val="00A57A8D"/>
    <w:rsid w:val="00A62784"/>
    <w:rsid w:val="00A63635"/>
    <w:rsid w:val="00A647B1"/>
    <w:rsid w:val="00A64D50"/>
    <w:rsid w:val="00A64DEF"/>
    <w:rsid w:val="00A65E4E"/>
    <w:rsid w:val="00A660C5"/>
    <w:rsid w:val="00A66214"/>
    <w:rsid w:val="00A665DF"/>
    <w:rsid w:val="00A66A02"/>
    <w:rsid w:val="00A66EB0"/>
    <w:rsid w:val="00A67F1B"/>
    <w:rsid w:val="00A67FCC"/>
    <w:rsid w:val="00A70FF0"/>
    <w:rsid w:val="00A716DC"/>
    <w:rsid w:val="00A71ABE"/>
    <w:rsid w:val="00A72127"/>
    <w:rsid w:val="00A7217B"/>
    <w:rsid w:val="00A7293E"/>
    <w:rsid w:val="00A72EE4"/>
    <w:rsid w:val="00A73067"/>
    <w:rsid w:val="00A737C4"/>
    <w:rsid w:val="00A739A6"/>
    <w:rsid w:val="00A73BB5"/>
    <w:rsid w:val="00A75090"/>
    <w:rsid w:val="00A75EF9"/>
    <w:rsid w:val="00A76BC9"/>
    <w:rsid w:val="00A76FD8"/>
    <w:rsid w:val="00A77566"/>
    <w:rsid w:val="00A80563"/>
    <w:rsid w:val="00A8151F"/>
    <w:rsid w:val="00A8311C"/>
    <w:rsid w:val="00A84BC8"/>
    <w:rsid w:val="00A84C5F"/>
    <w:rsid w:val="00A854F0"/>
    <w:rsid w:val="00A86275"/>
    <w:rsid w:val="00A86973"/>
    <w:rsid w:val="00A8721F"/>
    <w:rsid w:val="00A873DD"/>
    <w:rsid w:val="00A8740B"/>
    <w:rsid w:val="00A87519"/>
    <w:rsid w:val="00A87CBE"/>
    <w:rsid w:val="00A87D5E"/>
    <w:rsid w:val="00A90575"/>
    <w:rsid w:val="00A90DE4"/>
    <w:rsid w:val="00A91044"/>
    <w:rsid w:val="00A9246D"/>
    <w:rsid w:val="00A93644"/>
    <w:rsid w:val="00A93BD0"/>
    <w:rsid w:val="00A94C99"/>
    <w:rsid w:val="00A95D69"/>
    <w:rsid w:val="00A966C5"/>
    <w:rsid w:val="00A971A7"/>
    <w:rsid w:val="00A975A4"/>
    <w:rsid w:val="00A979E3"/>
    <w:rsid w:val="00AA0E26"/>
    <w:rsid w:val="00AA2001"/>
    <w:rsid w:val="00AA25CA"/>
    <w:rsid w:val="00AA2B5C"/>
    <w:rsid w:val="00AA3935"/>
    <w:rsid w:val="00AA4E59"/>
    <w:rsid w:val="00AA5328"/>
    <w:rsid w:val="00AA5393"/>
    <w:rsid w:val="00AA5771"/>
    <w:rsid w:val="00AA63D4"/>
    <w:rsid w:val="00AA6767"/>
    <w:rsid w:val="00AB03FD"/>
    <w:rsid w:val="00AB2AEC"/>
    <w:rsid w:val="00AB38CB"/>
    <w:rsid w:val="00AB3BEC"/>
    <w:rsid w:val="00AB3C37"/>
    <w:rsid w:val="00AB44E4"/>
    <w:rsid w:val="00AB4AEB"/>
    <w:rsid w:val="00AB5352"/>
    <w:rsid w:val="00AB56AE"/>
    <w:rsid w:val="00AB57D4"/>
    <w:rsid w:val="00AB5811"/>
    <w:rsid w:val="00AB58A8"/>
    <w:rsid w:val="00AB62D5"/>
    <w:rsid w:val="00AB65B5"/>
    <w:rsid w:val="00AB6DCD"/>
    <w:rsid w:val="00AB6EE0"/>
    <w:rsid w:val="00AB7D91"/>
    <w:rsid w:val="00AC2DFD"/>
    <w:rsid w:val="00AC352D"/>
    <w:rsid w:val="00AC39B7"/>
    <w:rsid w:val="00AC40B7"/>
    <w:rsid w:val="00AC523F"/>
    <w:rsid w:val="00AC531F"/>
    <w:rsid w:val="00AC5918"/>
    <w:rsid w:val="00AC6121"/>
    <w:rsid w:val="00AC626D"/>
    <w:rsid w:val="00AC6CB1"/>
    <w:rsid w:val="00AD0091"/>
    <w:rsid w:val="00AD04A2"/>
    <w:rsid w:val="00AD0817"/>
    <w:rsid w:val="00AD15DD"/>
    <w:rsid w:val="00AD23D8"/>
    <w:rsid w:val="00AD23EF"/>
    <w:rsid w:val="00AD2DDF"/>
    <w:rsid w:val="00AD307B"/>
    <w:rsid w:val="00AD41B3"/>
    <w:rsid w:val="00AD4C48"/>
    <w:rsid w:val="00AD57AF"/>
    <w:rsid w:val="00AD6267"/>
    <w:rsid w:val="00AD6884"/>
    <w:rsid w:val="00AD7317"/>
    <w:rsid w:val="00AD744A"/>
    <w:rsid w:val="00AD77B8"/>
    <w:rsid w:val="00AE01A8"/>
    <w:rsid w:val="00AE0CBD"/>
    <w:rsid w:val="00AE123A"/>
    <w:rsid w:val="00AE130A"/>
    <w:rsid w:val="00AE158C"/>
    <w:rsid w:val="00AE21F8"/>
    <w:rsid w:val="00AE28A7"/>
    <w:rsid w:val="00AE33A6"/>
    <w:rsid w:val="00AE33C1"/>
    <w:rsid w:val="00AE3446"/>
    <w:rsid w:val="00AE3715"/>
    <w:rsid w:val="00AE3729"/>
    <w:rsid w:val="00AE55B2"/>
    <w:rsid w:val="00AE5C6A"/>
    <w:rsid w:val="00AE65F7"/>
    <w:rsid w:val="00AE7280"/>
    <w:rsid w:val="00AE7449"/>
    <w:rsid w:val="00AF033A"/>
    <w:rsid w:val="00AF1699"/>
    <w:rsid w:val="00AF193C"/>
    <w:rsid w:val="00AF2D11"/>
    <w:rsid w:val="00AF3896"/>
    <w:rsid w:val="00AF5909"/>
    <w:rsid w:val="00AF5D5E"/>
    <w:rsid w:val="00AF6360"/>
    <w:rsid w:val="00AF6C33"/>
    <w:rsid w:val="00B0098A"/>
    <w:rsid w:val="00B00A5F"/>
    <w:rsid w:val="00B0225F"/>
    <w:rsid w:val="00B029B8"/>
    <w:rsid w:val="00B02F60"/>
    <w:rsid w:val="00B032B8"/>
    <w:rsid w:val="00B04B46"/>
    <w:rsid w:val="00B050F2"/>
    <w:rsid w:val="00B0534D"/>
    <w:rsid w:val="00B0576A"/>
    <w:rsid w:val="00B06368"/>
    <w:rsid w:val="00B06FC6"/>
    <w:rsid w:val="00B07163"/>
    <w:rsid w:val="00B07429"/>
    <w:rsid w:val="00B12FE6"/>
    <w:rsid w:val="00B1303F"/>
    <w:rsid w:val="00B1364A"/>
    <w:rsid w:val="00B13D3C"/>
    <w:rsid w:val="00B13FC6"/>
    <w:rsid w:val="00B1468D"/>
    <w:rsid w:val="00B1525C"/>
    <w:rsid w:val="00B15A8B"/>
    <w:rsid w:val="00B162C0"/>
    <w:rsid w:val="00B16715"/>
    <w:rsid w:val="00B171B4"/>
    <w:rsid w:val="00B174A8"/>
    <w:rsid w:val="00B17910"/>
    <w:rsid w:val="00B20F18"/>
    <w:rsid w:val="00B20F97"/>
    <w:rsid w:val="00B21516"/>
    <w:rsid w:val="00B21892"/>
    <w:rsid w:val="00B22CE0"/>
    <w:rsid w:val="00B23738"/>
    <w:rsid w:val="00B23BEF"/>
    <w:rsid w:val="00B247BB"/>
    <w:rsid w:val="00B254B8"/>
    <w:rsid w:val="00B25806"/>
    <w:rsid w:val="00B25C11"/>
    <w:rsid w:val="00B25EDF"/>
    <w:rsid w:val="00B25EE6"/>
    <w:rsid w:val="00B26B53"/>
    <w:rsid w:val="00B30696"/>
    <w:rsid w:val="00B3075A"/>
    <w:rsid w:val="00B3115A"/>
    <w:rsid w:val="00B31A5C"/>
    <w:rsid w:val="00B33C19"/>
    <w:rsid w:val="00B33EB0"/>
    <w:rsid w:val="00B34861"/>
    <w:rsid w:val="00B34BBC"/>
    <w:rsid w:val="00B34CB7"/>
    <w:rsid w:val="00B35F6E"/>
    <w:rsid w:val="00B363BD"/>
    <w:rsid w:val="00B369C8"/>
    <w:rsid w:val="00B369F7"/>
    <w:rsid w:val="00B36A99"/>
    <w:rsid w:val="00B37537"/>
    <w:rsid w:val="00B37736"/>
    <w:rsid w:val="00B3790B"/>
    <w:rsid w:val="00B41B81"/>
    <w:rsid w:val="00B42980"/>
    <w:rsid w:val="00B434B2"/>
    <w:rsid w:val="00B434C7"/>
    <w:rsid w:val="00B437C6"/>
    <w:rsid w:val="00B43D45"/>
    <w:rsid w:val="00B44771"/>
    <w:rsid w:val="00B4532E"/>
    <w:rsid w:val="00B457D3"/>
    <w:rsid w:val="00B46048"/>
    <w:rsid w:val="00B4650E"/>
    <w:rsid w:val="00B468F2"/>
    <w:rsid w:val="00B46B45"/>
    <w:rsid w:val="00B46F6B"/>
    <w:rsid w:val="00B47286"/>
    <w:rsid w:val="00B47894"/>
    <w:rsid w:val="00B50234"/>
    <w:rsid w:val="00B51238"/>
    <w:rsid w:val="00B51794"/>
    <w:rsid w:val="00B51BF4"/>
    <w:rsid w:val="00B52470"/>
    <w:rsid w:val="00B52C68"/>
    <w:rsid w:val="00B5300A"/>
    <w:rsid w:val="00B542FE"/>
    <w:rsid w:val="00B557A2"/>
    <w:rsid w:val="00B55A1B"/>
    <w:rsid w:val="00B55F24"/>
    <w:rsid w:val="00B561DB"/>
    <w:rsid w:val="00B563DA"/>
    <w:rsid w:val="00B56AEA"/>
    <w:rsid w:val="00B57494"/>
    <w:rsid w:val="00B601C2"/>
    <w:rsid w:val="00B61DCE"/>
    <w:rsid w:val="00B62188"/>
    <w:rsid w:val="00B62467"/>
    <w:rsid w:val="00B62515"/>
    <w:rsid w:val="00B62F79"/>
    <w:rsid w:val="00B62F82"/>
    <w:rsid w:val="00B6325B"/>
    <w:rsid w:val="00B648FA"/>
    <w:rsid w:val="00B64B36"/>
    <w:rsid w:val="00B65298"/>
    <w:rsid w:val="00B662FF"/>
    <w:rsid w:val="00B725F0"/>
    <w:rsid w:val="00B72C80"/>
    <w:rsid w:val="00B730B4"/>
    <w:rsid w:val="00B73E28"/>
    <w:rsid w:val="00B74340"/>
    <w:rsid w:val="00B744E0"/>
    <w:rsid w:val="00B7481A"/>
    <w:rsid w:val="00B74F2F"/>
    <w:rsid w:val="00B756FB"/>
    <w:rsid w:val="00B766BF"/>
    <w:rsid w:val="00B769BC"/>
    <w:rsid w:val="00B76D34"/>
    <w:rsid w:val="00B77349"/>
    <w:rsid w:val="00B7761E"/>
    <w:rsid w:val="00B803FB"/>
    <w:rsid w:val="00B80A37"/>
    <w:rsid w:val="00B80A3D"/>
    <w:rsid w:val="00B823E0"/>
    <w:rsid w:val="00B82AB4"/>
    <w:rsid w:val="00B82B78"/>
    <w:rsid w:val="00B83199"/>
    <w:rsid w:val="00B8347F"/>
    <w:rsid w:val="00B83E3C"/>
    <w:rsid w:val="00B84662"/>
    <w:rsid w:val="00B85402"/>
    <w:rsid w:val="00B864A3"/>
    <w:rsid w:val="00B86C2A"/>
    <w:rsid w:val="00B87BE1"/>
    <w:rsid w:val="00B902A5"/>
    <w:rsid w:val="00B90420"/>
    <w:rsid w:val="00B90C2A"/>
    <w:rsid w:val="00B9136E"/>
    <w:rsid w:val="00B913E4"/>
    <w:rsid w:val="00B91410"/>
    <w:rsid w:val="00B91650"/>
    <w:rsid w:val="00B91DB9"/>
    <w:rsid w:val="00B92741"/>
    <w:rsid w:val="00B929ED"/>
    <w:rsid w:val="00B93EFE"/>
    <w:rsid w:val="00B94956"/>
    <w:rsid w:val="00B94C7F"/>
    <w:rsid w:val="00B9507C"/>
    <w:rsid w:val="00B956B5"/>
    <w:rsid w:val="00B95904"/>
    <w:rsid w:val="00B95C3A"/>
    <w:rsid w:val="00B95FCE"/>
    <w:rsid w:val="00B97FB8"/>
    <w:rsid w:val="00BA0D44"/>
    <w:rsid w:val="00BA0E26"/>
    <w:rsid w:val="00BA15B2"/>
    <w:rsid w:val="00BA30DB"/>
    <w:rsid w:val="00BA31BF"/>
    <w:rsid w:val="00BA382C"/>
    <w:rsid w:val="00BA43FC"/>
    <w:rsid w:val="00BA478B"/>
    <w:rsid w:val="00BA5224"/>
    <w:rsid w:val="00BA6DE4"/>
    <w:rsid w:val="00BA7456"/>
    <w:rsid w:val="00BA7925"/>
    <w:rsid w:val="00BA7B27"/>
    <w:rsid w:val="00BA7E3B"/>
    <w:rsid w:val="00BB066B"/>
    <w:rsid w:val="00BB079C"/>
    <w:rsid w:val="00BB0F78"/>
    <w:rsid w:val="00BB32A1"/>
    <w:rsid w:val="00BB39C1"/>
    <w:rsid w:val="00BB4067"/>
    <w:rsid w:val="00BB5555"/>
    <w:rsid w:val="00BB5D16"/>
    <w:rsid w:val="00BB6180"/>
    <w:rsid w:val="00BB68BC"/>
    <w:rsid w:val="00BB69E6"/>
    <w:rsid w:val="00BB7714"/>
    <w:rsid w:val="00BC0652"/>
    <w:rsid w:val="00BC0BB6"/>
    <w:rsid w:val="00BC0E66"/>
    <w:rsid w:val="00BC167F"/>
    <w:rsid w:val="00BC1B7A"/>
    <w:rsid w:val="00BC2817"/>
    <w:rsid w:val="00BC2BC7"/>
    <w:rsid w:val="00BC2C01"/>
    <w:rsid w:val="00BC2C17"/>
    <w:rsid w:val="00BC3504"/>
    <w:rsid w:val="00BC3ACD"/>
    <w:rsid w:val="00BC5C09"/>
    <w:rsid w:val="00BC6300"/>
    <w:rsid w:val="00BC6E73"/>
    <w:rsid w:val="00BC7D69"/>
    <w:rsid w:val="00BD0014"/>
    <w:rsid w:val="00BD01D8"/>
    <w:rsid w:val="00BD0C58"/>
    <w:rsid w:val="00BD1B17"/>
    <w:rsid w:val="00BD2512"/>
    <w:rsid w:val="00BD255F"/>
    <w:rsid w:val="00BD312C"/>
    <w:rsid w:val="00BD383D"/>
    <w:rsid w:val="00BD4236"/>
    <w:rsid w:val="00BD5B76"/>
    <w:rsid w:val="00BD5CCA"/>
    <w:rsid w:val="00BD5CD4"/>
    <w:rsid w:val="00BD6EF9"/>
    <w:rsid w:val="00BD7588"/>
    <w:rsid w:val="00BD77DD"/>
    <w:rsid w:val="00BD7D3D"/>
    <w:rsid w:val="00BE0ACB"/>
    <w:rsid w:val="00BE1A90"/>
    <w:rsid w:val="00BE2C0A"/>
    <w:rsid w:val="00BE3537"/>
    <w:rsid w:val="00BE360F"/>
    <w:rsid w:val="00BE50FD"/>
    <w:rsid w:val="00BE51CA"/>
    <w:rsid w:val="00BE520C"/>
    <w:rsid w:val="00BE5E5A"/>
    <w:rsid w:val="00BE652B"/>
    <w:rsid w:val="00BE6703"/>
    <w:rsid w:val="00BE6D47"/>
    <w:rsid w:val="00BE7032"/>
    <w:rsid w:val="00BE7330"/>
    <w:rsid w:val="00BF01C5"/>
    <w:rsid w:val="00BF045B"/>
    <w:rsid w:val="00BF066A"/>
    <w:rsid w:val="00BF0D14"/>
    <w:rsid w:val="00BF1BEF"/>
    <w:rsid w:val="00BF2B59"/>
    <w:rsid w:val="00BF2FE3"/>
    <w:rsid w:val="00BF361C"/>
    <w:rsid w:val="00BF3C51"/>
    <w:rsid w:val="00BF4342"/>
    <w:rsid w:val="00BF4BB6"/>
    <w:rsid w:val="00BF5050"/>
    <w:rsid w:val="00BF5422"/>
    <w:rsid w:val="00BF54CF"/>
    <w:rsid w:val="00BF59B1"/>
    <w:rsid w:val="00BF606B"/>
    <w:rsid w:val="00BF6076"/>
    <w:rsid w:val="00BF6A78"/>
    <w:rsid w:val="00BF6E19"/>
    <w:rsid w:val="00BF79B4"/>
    <w:rsid w:val="00C00251"/>
    <w:rsid w:val="00C0099F"/>
    <w:rsid w:val="00C01427"/>
    <w:rsid w:val="00C016A1"/>
    <w:rsid w:val="00C045F4"/>
    <w:rsid w:val="00C04AAB"/>
    <w:rsid w:val="00C058AF"/>
    <w:rsid w:val="00C064EC"/>
    <w:rsid w:val="00C07644"/>
    <w:rsid w:val="00C0799A"/>
    <w:rsid w:val="00C11708"/>
    <w:rsid w:val="00C118C2"/>
    <w:rsid w:val="00C124C1"/>
    <w:rsid w:val="00C12713"/>
    <w:rsid w:val="00C128AE"/>
    <w:rsid w:val="00C1294F"/>
    <w:rsid w:val="00C12959"/>
    <w:rsid w:val="00C136D6"/>
    <w:rsid w:val="00C13D5B"/>
    <w:rsid w:val="00C15CB5"/>
    <w:rsid w:val="00C16EBF"/>
    <w:rsid w:val="00C16FBC"/>
    <w:rsid w:val="00C17AE2"/>
    <w:rsid w:val="00C20F27"/>
    <w:rsid w:val="00C215CF"/>
    <w:rsid w:val="00C2244B"/>
    <w:rsid w:val="00C2263D"/>
    <w:rsid w:val="00C22B0D"/>
    <w:rsid w:val="00C22F55"/>
    <w:rsid w:val="00C23336"/>
    <w:rsid w:val="00C240C1"/>
    <w:rsid w:val="00C250D0"/>
    <w:rsid w:val="00C252AC"/>
    <w:rsid w:val="00C255AB"/>
    <w:rsid w:val="00C267E0"/>
    <w:rsid w:val="00C27214"/>
    <w:rsid w:val="00C27597"/>
    <w:rsid w:val="00C30382"/>
    <w:rsid w:val="00C30D6F"/>
    <w:rsid w:val="00C31063"/>
    <w:rsid w:val="00C31B7E"/>
    <w:rsid w:val="00C321A1"/>
    <w:rsid w:val="00C3242A"/>
    <w:rsid w:val="00C32AE2"/>
    <w:rsid w:val="00C32CB4"/>
    <w:rsid w:val="00C33201"/>
    <w:rsid w:val="00C332C4"/>
    <w:rsid w:val="00C343A1"/>
    <w:rsid w:val="00C349A6"/>
    <w:rsid w:val="00C35CE6"/>
    <w:rsid w:val="00C360B3"/>
    <w:rsid w:val="00C36363"/>
    <w:rsid w:val="00C3679B"/>
    <w:rsid w:val="00C3688F"/>
    <w:rsid w:val="00C37027"/>
    <w:rsid w:val="00C37470"/>
    <w:rsid w:val="00C3778D"/>
    <w:rsid w:val="00C405A3"/>
    <w:rsid w:val="00C420B5"/>
    <w:rsid w:val="00C42752"/>
    <w:rsid w:val="00C42973"/>
    <w:rsid w:val="00C44F9C"/>
    <w:rsid w:val="00C45C04"/>
    <w:rsid w:val="00C46D58"/>
    <w:rsid w:val="00C4730E"/>
    <w:rsid w:val="00C47EE9"/>
    <w:rsid w:val="00C5019C"/>
    <w:rsid w:val="00C5034F"/>
    <w:rsid w:val="00C514D3"/>
    <w:rsid w:val="00C52479"/>
    <w:rsid w:val="00C5291F"/>
    <w:rsid w:val="00C52BC8"/>
    <w:rsid w:val="00C52C59"/>
    <w:rsid w:val="00C5349E"/>
    <w:rsid w:val="00C5354B"/>
    <w:rsid w:val="00C5377F"/>
    <w:rsid w:val="00C54467"/>
    <w:rsid w:val="00C54D3D"/>
    <w:rsid w:val="00C55116"/>
    <w:rsid w:val="00C555FA"/>
    <w:rsid w:val="00C55A30"/>
    <w:rsid w:val="00C57C58"/>
    <w:rsid w:val="00C6028F"/>
    <w:rsid w:val="00C6036D"/>
    <w:rsid w:val="00C608F1"/>
    <w:rsid w:val="00C631E1"/>
    <w:rsid w:val="00C638D8"/>
    <w:rsid w:val="00C638F4"/>
    <w:rsid w:val="00C63C84"/>
    <w:rsid w:val="00C63D26"/>
    <w:rsid w:val="00C641EB"/>
    <w:rsid w:val="00C65053"/>
    <w:rsid w:val="00C65471"/>
    <w:rsid w:val="00C65BD9"/>
    <w:rsid w:val="00C66061"/>
    <w:rsid w:val="00C661D6"/>
    <w:rsid w:val="00C66F69"/>
    <w:rsid w:val="00C67223"/>
    <w:rsid w:val="00C67CFF"/>
    <w:rsid w:val="00C70609"/>
    <w:rsid w:val="00C707B8"/>
    <w:rsid w:val="00C7084B"/>
    <w:rsid w:val="00C71C15"/>
    <w:rsid w:val="00C71F3D"/>
    <w:rsid w:val="00C72750"/>
    <w:rsid w:val="00C72F53"/>
    <w:rsid w:val="00C74035"/>
    <w:rsid w:val="00C746B3"/>
    <w:rsid w:val="00C76FF4"/>
    <w:rsid w:val="00C77818"/>
    <w:rsid w:val="00C77AE3"/>
    <w:rsid w:val="00C80298"/>
    <w:rsid w:val="00C8063F"/>
    <w:rsid w:val="00C81549"/>
    <w:rsid w:val="00C82962"/>
    <w:rsid w:val="00C829A1"/>
    <w:rsid w:val="00C83B36"/>
    <w:rsid w:val="00C83F04"/>
    <w:rsid w:val="00C84952"/>
    <w:rsid w:val="00C84F8A"/>
    <w:rsid w:val="00C85209"/>
    <w:rsid w:val="00C8618F"/>
    <w:rsid w:val="00C90372"/>
    <w:rsid w:val="00C9041F"/>
    <w:rsid w:val="00C90594"/>
    <w:rsid w:val="00C90DE3"/>
    <w:rsid w:val="00C91A45"/>
    <w:rsid w:val="00C91ED2"/>
    <w:rsid w:val="00C91FB4"/>
    <w:rsid w:val="00C94127"/>
    <w:rsid w:val="00C94D41"/>
    <w:rsid w:val="00C94F00"/>
    <w:rsid w:val="00C9534E"/>
    <w:rsid w:val="00C95745"/>
    <w:rsid w:val="00C962E3"/>
    <w:rsid w:val="00C965BD"/>
    <w:rsid w:val="00C96717"/>
    <w:rsid w:val="00C978F0"/>
    <w:rsid w:val="00C97997"/>
    <w:rsid w:val="00CA08FE"/>
    <w:rsid w:val="00CA0FAC"/>
    <w:rsid w:val="00CA2513"/>
    <w:rsid w:val="00CA25C0"/>
    <w:rsid w:val="00CA3451"/>
    <w:rsid w:val="00CA37A3"/>
    <w:rsid w:val="00CA40AA"/>
    <w:rsid w:val="00CA4948"/>
    <w:rsid w:val="00CA52F9"/>
    <w:rsid w:val="00CA568B"/>
    <w:rsid w:val="00CA5F86"/>
    <w:rsid w:val="00CA7500"/>
    <w:rsid w:val="00CB0111"/>
    <w:rsid w:val="00CB0696"/>
    <w:rsid w:val="00CB1239"/>
    <w:rsid w:val="00CB144C"/>
    <w:rsid w:val="00CB19FE"/>
    <w:rsid w:val="00CB21C6"/>
    <w:rsid w:val="00CB2A78"/>
    <w:rsid w:val="00CB304C"/>
    <w:rsid w:val="00CB494C"/>
    <w:rsid w:val="00CB4B1D"/>
    <w:rsid w:val="00CB5218"/>
    <w:rsid w:val="00CB53E8"/>
    <w:rsid w:val="00CB594A"/>
    <w:rsid w:val="00CB5CB2"/>
    <w:rsid w:val="00CB66FA"/>
    <w:rsid w:val="00CB6979"/>
    <w:rsid w:val="00CC0A3D"/>
    <w:rsid w:val="00CC2373"/>
    <w:rsid w:val="00CC3D24"/>
    <w:rsid w:val="00CC3F91"/>
    <w:rsid w:val="00CC40B6"/>
    <w:rsid w:val="00CC4B0A"/>
    <w:rsid w:val="00CC544A"/>
    <w:rsid w:val="00CC55D7"/>
    <w:rsid w:val="00CC57EA"/>
    <w:rsid w:val="00CC5954"/>
    <w:rsid w:val="00CC6291"/>
    <w:rsid w:val="00CC6C4E"/>
    <w:rsid w:val="00CC6DD8"/>
    <w:rsid w:val="00CC725C"/>
    <w:rsid w:val="00CC7962"/>
    <w:rsid w:val="00CD05A2"/>
    <w:rsid w:val="00CD19DA"/>
    <w:rsid w:val="00CD29D4"/>
    <w:rsid w:val="00CD38F5"/>
    <w:rsid w:val="00CD437E"/>
    <w:rsid w:val="00CD4AE5"/>
    <w:rsid w:val="00CD5833"/>
    <w:rsid w:val="00CD5A89"/>
    <w:rsid w:val="00CD5C50"/>
    <w:rsid w:val="00CD5DAD"/>
    <w:rsid w:val="00CD6D4B"/>
    <w:rsid w:val="00CD72C5"/>
    <w:rsid w:val="00CD79A7"/>
    <w:rsid w:val="00CE0789"/>
    <w:rsid w:val="00CE1A03"/>
    <w:rsid w:val="00CE2346"/>
    <w:rsid w:val="00CE3529"/>
    <w:rsid w:val="00CE35C8"/>
    <w:rsid w:val="00CE37F6"/>
    <w:rsid w:val="00CE3962"/>
    <w:rsid w:val="00CE5105"/>
    <w:rsid w:val="00CE56BD"/>
    <w:rsid w:val="00CE5EC0"/>
    <w:rsid w:val="00CE6F9F"/>
    <w:rsid w:val="00CE773B"/>
    <w:rsid w:val="00CE781A"/>
    <w:rsid w:val="00CE797F"/>
    <w:rsid w:val="00CE7FEF"/>
    <w:rsid w:val="00CF0815"/>
    <w:rsid w:val="00CF10FC"/>
    <w:rsid w:val="00CF1D74"/>
    <w:rsid w:val="00CF1DEE"/>
    <w:rsid w:val="00CF2BE2"/>
    <w:rsid w:val="00CF3072"/>
    <w:rsid w:val="00CF5500"/>
    <w:rsid w:val="00CF55F9"/>
    <w:rsid w:val="00CF71A6"/>
    <w:rsid w:val="00CF7495"/>
    <w:rsid w:val="00CF7671"/>
    <w:rsid w:val="00CF7C5B"/>
    <w:rsid w:val="00D01CF9"/>
    <w:rsid w:val="00D02246"/>
    <w:rsid w:val="00D0334D"/>
    <w:rsid w:val="00D0374D"/>
    <w:rsid w:val="00D0382C"/>
    <w:rsid w:val="00D04976"/>
    <w:rsid w:val="00D05A76"/>
    <w:rsid w:val="00D070AA"/>
    <w:rsid w:val="00D07BEF"/>
    <w:rsid w:val="00D07F1D"/>
    <w:rsid w:val="00D10558"/>
    <w:rsid w:val="00D1101D"/>
    <w:rsid w:val="00D1203E"/>
    <w:rsid w:val="00D13E70"/>
    <w:rsid w:val="00D16C58"/>
    <w:rsid w:val="00D17019"/>
    <w:rsid w:val="00D170C1"/>
    <w:rsid w:val="00D178DE"/>
    <w:rsid w:val="00D17C6E"/>
    <w:rsid w:val="00D21168"/>
    <w:rsid w:val="00D22384"/>
    <w:rsid w:val="00D235C8"/>
    <w:rsid w:val="00D23740"/>
    <w:rsid w:val="00D2384A"/>
    <w:rsid w:val="00D23D4B"/>
    <w:rsid w:val="00D2438C"/>
    <w:rsid w:val="00D24B1D"/>
    <w:rsid w:val="00D25973"/>
    <w:rsid w:val="00D25E9E"/>
    <w:rsid w:val="00D26C3F"/>
    <w:rsid w:val="00D27185"/>
    <w:rsid w:val="00D273EF"/>
    <w:rsid w:val="00D31CA2"/>
    <w:rsid w:val="00D32773"/>
    <w:rsid w:val="00D32B84"/>
    <w:rsid w:val="00D337AE"/>
    <w:rsid w:val="00D33AB3"/>
    <w:rsid w:val="00D33F24"/>
    <w:rsid w:val="00D346B7"/>
    <w:rsid w:val="00D346B8"/>
    <w:rsid w:val="00D35AC8"/>
    <w:rsid w:val="00D35D34"/>
    <w:rsid w:val="00D36F87"/>
    <w:rsid w:val="00D37C00"/>
    <w:rsid w:val="00D37E4E"/>
    <w:rsid w:val="00D4226A"/>
    <w:rsid w:val="00D42D5A"/>
    <w:rsid w:val="00D42E6C"/>
    <w:rsid w:val="00D43218"/>
    <w:rsid w:val="00D43B80"/>
    <w:rsid w:val="00D44236"/>
    <w:rsid w:val="00D44AE2"/>
    <w:rsid w:val="00D45B1E"/>
    <w:rsid w:val="00D45BA4"/>
    <w:rsid w:val="00D471AF"/>
    <w:rsid w:val="00D4724F"/>
    <w:rsid w:val="00D4741A"/>
    <w:rsid w:val="00D47BFB"/>
    <w:rsid w:val="00D50519"/>
    <w:rsid w:val="00D516A5"/>
    <w:rsid w:val="00D5264C"/>
    <w:rsid w:val="00D5289A"/>
    <w:rsid w:val="00D537FE"/>
    <w:rsid w:val="00D538F0"/>
    <w:rsid w:val="00D53AE6"/>
    <w:rsid w:val="00D54A6A"/>
    <w:rsid w:val="00D54BF8"/>
    <w:rsid w:val="00D54D7C"/>
    <w:rsid w:val="00D553AA"/>
    <w:rsid w:val="00D55951"/>
    <w:rsid w:val="00D572BE"/>
    <w:rsid w:val="00D57EB6"/>
    <w:rsid w:val="00D60ED7"/>
    <w:rsid w:val="00D61C5E"/>
    <w:rsid w:val="00D63396"/>
    <w:rsid w:val="00D63586"/>
    <w:rsid w:val="00D646CB"/>
    <w:rsid w:val="00D64DD6"/>
    <w:rsid w:val="00D65538"/>
    <w:rsid w:val="00D664BF"/>
    <w:rsid w:val="00D66514"/>
    <w:rsid w:val="00D66CE3"/>
    <w:rsid w:val="00D66D8B"/>
    <w:rsid w:val="00D66DBC"/>
    <w:rsid w:val="00D67954"/>
    <w:rsid w:val="00D71B1A"/>
    <w:rsid w:val="00D72A1C"/>
    <w:rsid w:val="00D73580"/>
    <w:rsid w:val="00D73802"/>
    <w:rsid w:val="00D73868"/>
    <w:rsid w:val="00D73C2C"/>
    <w:rsid w:val="00D73D52"/>
    <w:rsid w:val="00D74042"/>
    <w:rsid w:val="00D7453F"/>
    <w:rsid w:val="00D745E7"/>
    <w:rsid w:val="00D7526D"/>
    <w:rsid w:val="00D753E2"/>
    <w:rsid w:val="00D75530"/>
    <w:rsid w:val="00D76A70"/>
    <w:rsid w:val="00D77495"/>
    <w:rsid w:val="00D774ED"/>
    <w:rsid w:val="00D777F6"/>
    <w:rsid w:val="00D77F88"/>
    <w:rsid w:val="00D8002D"/>
    <w:rsid w:val="00D8016E"/>
    <w:rsid w:val="00D8047C"/>
    <w:rsid w:val="00D81052"/>
    <w:rsid w:val="00D81EAA"/>
    <w:rsid w:val="00D8259F"/>
    <w:rsid w:val="00D825F2"/>
    <w:rsid w:val="00D828B1"/>
    <w:rsid w:val="00D83E9B"/>
    <w:rsid w:val="00D83F68"/>
    <w:rsid w:val="00D84803"/>
    <w:rsid w:val="00D84F27"/>
    <w:rsid w:val="00D850D4"/>
    <w:rsid w:val="00D862D1"/>
    <w:rsid w:val="00D873C6"/>
    <w:rsid w:val="00D90594"/>
    <w:rsid w:val="00D90906"/>
    <w:rsid w:val="00D91027"/>
    <w:rsid w:val="00D93789"/>
    <w:rsid w:val="00D947E1"/>
    <w:rsid w:val="00D94C7D"/>
    <w:rsid w:val="00D94CA4"/>
    <w:rsid w:val="00D94FB4"/>
    <w:rsid w:val="00D95931"/>
    <w:rsid w:val="00D95E99"/>
    <w:rsid w:val="00D96F80"/>
    <w:rsid w:val="00DA098C"/>
    <w:rsid w:val="00DA10BF"/>
    <w:rsid w:val="00DA1A3A"/>
    <w:rsid w:val="00DA2712"/>
    <w:rsid w:val="00DA2718"/>
    <w:rsid w:val="00DA2826"/>
    <w:rsid w:val="00DA2C65"/>
    <w:rsid w:val="00DA2C8C"/>
    <w:rsid w:val="00DA3511"/>
    <w:rsid w:val="00DA360D"/>
    <w:rsid w:val="00DA395D"/>
    <w:rsid w:val="00DA550A"/>
    <w:rsid w:val="00DA6D33"/>
    <w:rsid w:val="00DB0E02"/>
    <w:rsid w:val="00DB151B"/>
    <w:rsid w:val="00DB16B8"/>
    <w:rsid w:val="00DB1869"/>
    <w:rsid w:val="00DB1ACD"/>
    <w:rsid w:val="00DB1D52"/>
    <w:rsid w:val="00DB1F62"/>
    <w:rsid w:val="00DB2E03"/>
    <w:rsid w:val="00DB3369"/>
    <w:rsid w:val="00DB36D9"/>
    <w:rsid w:val="00DB3742"/>
    <w:rsid w:val="00DB3F4B"/>
    <w:rsid w:val="00DB4750"/>
    <w:rsid w:val="00DB61A4"/>
    <w:rsid w:val="00DB6692"/>
    <w:rsid w:val="00DB67C1"/>
    <w:rsid w:val="00DB70CD"/>
    <w:rsid w:val="00DB70F4"/>
    <w:rsid w:val="00DB7343"/>
    <w:rsid w:val="00DC1056"/>
    <w:rsid w:val="00DC211E"/>
    <w:rsid w:val="00DC21D8"/>
    <w:rsid w:val="00DC282A"/>
    <w:rsid w:val="00DC2CEE"/>
    <w:rsid w:val="00DC34DC"/>
    <w:rsid w:val="00DC3CC6"/>
    <w:rsid w:val="00DC495A"/>
    <w:rsid w:val="00DC514A"/>
    <w:rsid w:val="00DC64EC"/>
    <w:rsid w:val="00DC67B1"/>
    <w:rsid w:val="00DC7833"/>
    <w:rsid w:val="00DC7CE9"/>
    <w:rsid w:val="00DD132B"/>
    <w:rsid w:val="00DD1725"/>
    <w:rsid w:val="00DD1A7E"/>
    <w:rsid w:val="00DD2427"/>
    <w:rsid w:val="00DD27A4"/>
    <w:rsid w:val="00DD2A18"/>
    <w:rsid w:val="00DD32DB"/>
    <w:rsid w:val="00DD36DA"/>
    <w:rsid w:val="00DD474D"/>
    <w:rsid w:val="00DD489E"/>
    <w:rsid w:val="00DD5B1A"/>
    <w:rsid w:val="00DD61E8"/>
    <w:rsid w:val="00DD62C0"/>
    <w:rsid w:val="00DD6BFA"/>
    <w:rsid w:val="00DD7859"/>
    <w:rsid w:val="00DE03AC"/>
    <w:rsid w:val="00DE0A1D"/>
    <w:rsid w:val="00DE15B2"/>
    <w:rsid w:val="00DE1A9A"/>
    <w:rsid w:val="00DE3D2C"/>
    <w:rsid w:val="00DE439F"/>
    <w:rsid w:val="00DE52D6"/>
    <w:rsid w:val="00DE59F8"/>
    <w:rsid w:val="00DE5C7F"/>
    <w:rsid w:val="00DE5E82"/>
    <w:rsid w:val="00DE5FA6"/>
    <w:rsid w:val="00DE6494"/>
    <w:rsid w:val="00DE65DC"/>
    <w:rsid w:val="00DE6AA1"/>
    <w:rsid w:val="00DE74D7"/>
    <w:rsid w:val="00DE7EF7"/>
    <w:rsid w:val="00DF0621"/>
    <w:rsid w:val="00DF106A"/>
    <w:rsid w:val="00DF1185"/>
    <w:rsid w:val="00DF1299"/>
    <w:rsid w:val="00DF133B"/>
    <w:rsid w:val="00DF1A70"/>
    <w:rsid w:val="00DF23A8"/>
    <w:rsid w:val="00DF2665"/>
    <w:rsid w:val="00DF2F27"/>
    <w:rsid w:val="00DF66E5"/>
    <w:rsid w:val="00DF6CCC"/>
    <w:rsid w:val="00DF6D0C"/>
    <w:rsid w:val="00DF6DC2"/>
    <w:rsid w:val="00DF6F64"/>
    <w:rsid w:val="00DF721E"/>
    <w:rsid w:val="00DF7AD5"/>
    <w:rsid w:val="00DF7C87"/>
    <w:rsid w:val="00E009B0"/>
    <w:rsid w:val="00E031C0"/>
    <w:rsid w:val="00E03AFE"/>
    <w:rsid w:val="00E03D5C"/>
    <w:rsid w:val="00E0406E"/>
    <w:rsid w:val="00E0454E"/>
    <w:rsid w:val="00E046A9"/>
    <w:rsid w:val="00E04C0F"/>
    <w:rsid w:val="00E053C3"/>
    <w:rsid w:val="00E0570B"/>
    <w:rsid w:val="00E057B2"/>
    <w:rsid w:val="00E05996"/>
    <w:rsid w:val="00E068D9"/>
    <w:rsid w:val="00E10035"/>
    <w:rsid w:val="00E10A2C"/>
    <w:rsid w:val="00E10B87"/>
    <w:rsid w:val="00E135A5"/>
    <w:rsid w:val="00E1478B"/>
    <w:rsid w:val="00E14FAC"/>
    <w:rsid w:val="00E15007"/>
    <w:rsid w:val="00E16EC7"/>
    <w:rsid w:val="00E1714F"/>
    <w:rsid w:val="00E17995"/>
    <w:rsid w:val="00E21078"/>
    <w:rsid w:val="00E211FF"/>
    <w:rsid w:val="00E21576"/>
    <w:rsid w:val="00E21801"/>
    <w:rsid w:val="00E219CE"/>
    <w:rsid w:val="00E21C47"/>
    <w:rsid w:val="00E22E04"/>
    <w:rsid w:val="00E22F89"/>
    <w:rsid w:val="00E23101"/>
    <w:rsid w:val="00E23961"/>
    <w:rsid w:val="00E23ACD"/>
    <w:rsid w:val="00E24071"/>
    <w:rsid w:val="00E24C4C"/>
    <w:rsid w:val="00E24EBC"/>
    <w:rsid w:val="00E2522C"/>
    <w:rsid w:val="00E2587A"/>
    <w:rsid w:val="00E2599B"/>
    <w:rsid w:val="00E27383"/>
    <w:rsid w:val="00E2793D"/>
    <w:rsid w:val="00E307DD"/>
    <w:rsid w:val="00E31AFA"/>
    <w:rsid w:val="00E31F84"/>
    <w:rsid w:val="00E324EE"/>
    <w:rsid w:val="00E34462"/>
    <w:rsid w:val="00E359FF"/>
    <w:rsid w:val="00E36083"/>
    <w:rsid w:val="00E36AA7"/>
    <w:rsid w:val="00E36E39"/>
    <w:rsid w:val="00E405F1"/>
    <w:rsid w:val="00E42F2B"/>
    <w:rsid w:val="00E43054"/>
    <w:rsid w:val="00E434C4"/>
    <w:rsid w:val="00E44DDE"/>
    <w:rsid w:val="00E44FE4"/>
    <w:rsid w:val="00E45EB8"/>
    <w:rsid w:val="00E46013"/>
    <w:rsid w:val="00E477C3"/>
    <w:rsid w:val="00E5048D"/>
    <w:rsid w:val="00E50AC4"/>
    <w:rsid w:val="00E50C05"/>
    <w:rsid w:val="00E51077"/>
    <w:rsid w:val="00E5132D"/>
    <w:rsid w:val="00E51420"/>
    <w:rsid w:val="00E51741"/>
    <w:rsid w:val="00E51E16"/>
    <w:rsid w:val="00E52151"/>
    <w:rsid w:val="00E53730"/>
    <w:rsid w:val="00E53C46"/>
    <w:rsid w:val="00E54010"/>
    <w:rsid w:val="00E54177"/>
    <w:rsid w:val="00E54511"/>
    <w:rsid w:val="00E548BE"/>
    <w:rsid w:val="00E54978"/>
    <w:rsid w:val="00E5568E"/>
    <w:rsid w:val="00E55DC3"/>
    <w:rsid w:val="00E561E3"/>
    <w:rsid w:val="00E57577"/>
    <w:rsid w:val="00E6035D"/>
    <w:rsid w:val="00E6165A"/>
    <w:rsid w:val="00E618B3"/>
    <w:rsid w:val="00E62043"/>
    <w:rsid w:val="00E626B9"/>
    <w:rsid w:val="00E627C9"/>
    <w:rsid w:val="00E629D8"/>
    <w:rsid w:val="00E630F3"/>
    <w:rsid w:val="00E63657"/>
    <w:rsid w:val="00E65198"/>
    <w:rsid w:val="00E664FB"/>
    <w:rsid w:val="00E66F0D"/>
    <w:rsid w:val="00E67479"/>
    <w:rsid w:val="00E70615"/>
    <w:rsid w:val="00E71A5E"/>
    <w:rsid w:val="00E7207B"/>
    <w:rsid w:val="00E7347A"/>
    <w:rsid w:val="00E746F4"/>
    <w:rsid w:val="00E75325"/>
    <w:rsid w:val="00E75A47"/>
    <w:rsid w:val="00E75D8C"/>
    <w:rsid w:val="00E76DD7"/>
    <w:rsid w:val="00E77771"/>
    <w:rsid w:val="00E777F2"/>
    <w:rsid w:val="00E779ED"/>
    <w:rsid w:val="00E802C9"/>
    <w:rsid w:val="00E80EDD"/>
    <w:rsid w:val="00E80F0A"/>
    <w:rsid w:val="00E81A6A"/>
    <w:rsid w:val="00E8291B"/>
    <w:rsid w:val="00E82C22"/>
    <w:rsid w:val="00E8395F"/>
    <w:rsid w:val="00E83BAE"/>
    <w:rsid w:val="00E8473F"/>
    <w:rsid w:val="00E857EB"/>
    <w:rsid w:val="00E85E41"/>
    <w:rsid w:val="00E85EA1"/>
    <w:rsid w:val="00E8610B"/>
    <w:rsid w:val="00E8676B"/>
    <w:rsid w:val="00E86C86"/>
    <w:rsid w:val="00E87C76"/>
    <w:rsid w:val="00E87D0B"/>
    <w:rsid w:val="00E91044"/>
    <w:rsid w:val="00E910D3"/>
    <w:rsid w:val="00E9214B"/>
    <w:rsid w:val="00E923CF"/>
    <w:rsid w:val="00E9335F"/>
    <w:rsid w:val="00E93671"/>
    <w:rsid w:val="00E95111"/>
    <w:rsid w:val="00E9743F"/>
    <w:rsid w:val="00EA004F"/>
    <w:rsid w:val="00EA061E"/>
    <w:rsid w:val="00EA14C8"/>
    <w:rsid w:val="00EA19D3"/>
    <w:rsid w:val="00EA2358"/>
    <w:rsid w:val="00EA2C8B"/>
    <w:rsid w:val="00EA3582"/>
    <w:rsid w:val="00EA614C"/>
    <w:rsid w:val="00EA6649"/>
    <w:rsid w:val="00EA7ADE"/>
    <w:rsid w:val="00EA7D78"/>
    <w:rsid w:val="00EB05D0"/>
    <w:rsid w:val="00EB07C5"/>
    <w:rsid w:val="00EB107E"/>
    <w:rsid w:val="00EB163F"/>
    <w:rsid w:val="00EB1D49"/>
    <w:rsid w:val="00EB42DD"/>
    <w:rsid w:val="00EB45D0"/>
    <w:rsid w:val="00EB559F"/>
    <w:rsid w:val="00EB5F3D"/>
    <w:rsid w:val="00EB60D9"/>
    <w:rsid w:val="00EB6EC2"/>
    <w:rsid w:val="00EC1CEB"/>
    <w:rsid w:val="00EC2036"/>
    <w:rsid w:val="00EC240F"/>
    <w:rsid w:val="00EC268C"/>
    <w:rsid w:val="00EC342B"/>
    <w:rsid w:val="00EC3602"/>
    <w:rsid w:val="00EC3753"/>
    <w:rsid w:val="00EC3CB8"/>
    <w:rsid w:val="00EC3D46"/>
    <w:rsid w:val="00EC4A6A"/>
    <w:rsid w:val="00EC4E71"/>
    <w:rsid w:val="00EC546C"/>
    <w:rsid w:val="00EC569A"/>
    <w:rsid w:val="00EC6667"/>
    <w:rsid w:val="00ED0365"/>
    <w:rsid w:val="00ED0865"/>
    <w:rsid w:val="00ED094F"/>
    <w:rsid w:val="00ED16B6"/>
    <w:rsid w:val="00ED1A2B"/>
    <w:rsid w:val="00ED1C60"/>
    <w:rsid w:val="00ED2EB9"/>
    <w:rsid w:val="00ED366D"/>
    <w:rsid w:val="00ED4469"/>
    <w:rsid w:val="00ED5F23"/>
    <w:rsid w:val="00ED6DC0"/>
    <w:rsid w:val="00ED79CE"/>
    <w:rsid w:val="00ED7A7A"/>
    <w:rsid w:val="00EE038C"/>
    <w:rsid w:val="00EE040B"/>
    <w:rsid w:val="00EE390B"/>
    <w:rsid w:val="00EE47C5"/>
    <w:rsid w:val="00EE490C"/>
    <w:rsid w:val="00EE4E02"/>
    <w:rsid w:val="00EE5156"/>
    <w:rsid w:val="00EE613B"/>
    <w:rsid w:val="00EE732E"/>
    <w:rsid w:val="00EE7E17"/>
    <w:rsid w:val="00EF2C8E"/>
    <w:rsid w:val="00EF3A0D"/>
    <w:rsid w:val="00EF3CEB"/>
    <w:rsid w:val="00EF3E8A"/>
    <w:rsid w:val="00EF41A8"/>
    <w:rsid w:val="00EF44FB"/>
    <w:rsid w:val="00EF4D3C"/>
    <w:rsid w:val="00EF5554"/>
    <w:rsid w:val="00EF5AD8"/>
    <w:rsid w:val="00EF5D2F"/>
    <w:rsid w:val="00EF63F5"/>
    <w:rsid w:val="00EF6758"/>
    <w:rsid w:val="00EF6B90"/>
    <w:rsid w:val="00EF70AE"/>
    <w:rsid w:val="00EF79F7"/>
    <w:rsid w:val="00EF7AAE"/>
    <w:rsid w:val="00F00418"/>
    <w:rsid w:val="00F006C0"/>
    <w:rsid w:val="00F011A7"/>
    <w:rsid w:val="00F019AA"/>
    <w:rsid w:val="00F0267E"/>
    <w:rsid w:val="00F02686"/>
    <w:rsid w:val="00F0459B"/>
    <w:rsid w:val="00F04E15"/>
    <w:rsid w:val="00F05ACB"/>
    <w:rsid w:val="00F05DF3"/>
    <w:rsid w:val="00F05F56"/>
    <w:rsid w:val="00F0641B"/>
    <w:rsid w:val="00F069EA"/>
    <w:rsid w:val="00F076DD"/>
    <w:rsid w:val="00F07B6E"/>
    <w:rsid w:val="00F07DF8"/>
    <w:rsid w:val="00F11461"/>
    <w:rsid w:val="00F11675"/>
    <w:rsid w:val="00F1182D"/>
    <w:rsid w:val="00F12557"/>
    <w:rsid w:val="00F13A8F"/>
    <w:rsid w:val="00F1448E"/>
    <w:rsid w:val="00F144F8"/>
    <w:rsid w:val="00F14CCE"/>
    <w:rsid w:val="00F14DF8"/>
    <w:rsid w:val="00F154E4"/>
    <w:rsid w:val="00F16496"/>
    <w:rsid w:val="00F164A3"/>
    <w:rsid w:val="00F17281"/>
    <w:rsid w:val="00F17AD9"/>
    <w:rsid w:val="00F17CF9"/>
    <w:rsid w:val="00F17F74"/>
    <w:rsid w:val="00F202C2"/>
    <w:rsid w:val="00F21AB2"/>
    <w:rsid w:val="00F22756"/>
    <w:rsid w:val="00F22E9F"/>
    <w:rsid w:val="00F23890"/>
    <w:rsid w:val="00F2447A"/>
    <w:rsid w:val="00F24638"/>
    <w:rsid w:val="00F24808"/>
    <w:rsid w:val="00F2504D"/>
    <w:rsid w:val="00F25F4E"/>
    <w:rsid w:val="00F2637F"/>
    <w:rsid w:val="00F263A8"/>
    <w:rsid w:val="00F26569"/>
    <w:rsid w:val="00F268F7"/>
    <w:rsid w:val="00F27280"/>
    <w:rsid w:val="00F3053D"/>
    <w:rsid w:val="00F30BDB"/>
    <w:rsid w:val="00F30CF8"/>
    <w:rsid w:val="00F317E3"/>
    <w:rsid w:val="00F31EDF"/>
    <w:rsid w:val="00F32CDE"/>
    <w:rsid w:val="00F32D4C"/>
    <w:rsid w:val="00F32FF4"/>
    <w:rsid w:val="00F33BE7"/>
    <w:rsid w:val="00F33FEE"/>
    <w:rsid w:val="00F34811"/>
    <w:rsid w:val="00F34B14"/>
    <w:rsid w:val="00F36846"/>
    <w:rsid w:val="00F36A2A"/>
    <w:rsid w:val="00F36A6A"/>
    <w:rsid w:val="00F40101"/>
    <w:rsid w:val="00F404F7"/>
    <w:rsid w:val="00F40CCA"/>
    <w:rsid w:val="00F41521"/>
    <w:rsid w:val="00F41975"/>
    <w:rsid w:val="00F41C0E"/>
    <w:rsid w:val="00F42D97"/>
    <w:rsid w:val="00F43F09"/>
    <w:rsid w:val="00F44021"/>
    <w:rsid w:val="00F44555"/>
    <w:rsid w:val="00F45A72"/>
    <w:rsid w:val="00F46345"/>
    <w:rsid w:val="00F46723"/>
    <w:rsid w:val="00F468F0"/>
    <w:rsid w:val="00F50016"/>
    <w:rsid w:val="00F50647"/>
    <w:rsid w:val="00F5118A"/>
    <w:rsid w:val="00F51A21"/>
    <w:rsid w:val="00F5276E"/>
    <w:rsid w:val="00F529F9"/>
    <w:rsid w:val="00F52E9F"/>
    <w:rsid w:val="00F53304"/>
    <w:rsid w:val="00F537B6"/>
    <w:rsid w:val="00F53D40"/>
    <w:rsid w:val="00F545ED"/>
    <w:rsid w:val="00F5687F"/>
    <w:rsid w:val="00F575C7"/>
    <w:rsid w:val="00F60305"/>
    <w:rsid w:val="00F61B12"/>
    <w:rsid w:val="00F61CC5"/>
    <w:rsid w:val="00F62398"/>
    <w:rsid w:val="00F631E8"/>
    <w:rsid w:val="00F63223"/>
    <w:rsid w:val="00F63264"/>
    <w:rsid w:val="00F6379E"/>
    <w:rsid w:val="00F63F02"/>
    <w:rsid w:val="00F64142"/>
    <w:rsid w:val="00F657E9"/>
    <w:rsid w:val="00F663EC"/>
    <w:rsid w:val="00F67F9A"/>
    <w:rsid w:val="00F70799"/>
    <w:rsid w:val="00F70906"/>
    <w:rsid w:val="00F70A8B"/>
    <w:rsid w:val="00F724FB"/>
    <w:rsid w:val="00F72578"/>
    <w:rsid w:val="00F72A26"/>
    <w:rsid w:val="00F72BA3"/>
    <w:rsid w:val="00F72CB9"/>
    <w:rsid w:val="00F72F3F"/>
    <w:rsid w:val="00F733C3"/>
    <w:rsid w:val="00F756DD"/>
    <w:rsid w:val="00F75DB3"/>
    <w:rsid w:val="00F762B4"/>
    <w:rsid w:val="00F762FD"/>
    <w:rsid w:val="00F7763A"/>
    <w:rsid w:val="00F80047"/>
    <w:rsid w:val="00F8104D"/>
    <w:rsid w:val="00F8153F"/>
    <w:rsid w:val="00F81587"/>
    <w:rsid w:val="00F81B59"/>
    <w:rsid w:val="00F82070"/>
    <w:rsid w:val="00F82571"/>
    <w:rsid w:val="00F83694"/>
    <w:rsid w:val="00F852A0"/>
    <w:rsid w:val="00F85B72"/>
    <w:rsid w:val="00F865C8"/>
    <w:rsid w:val="00F86B6D"/>
    <w:rsid w:val="00F8766F"/>
    <w:rsid w:val="00F877D7"/>
    <w:rsid w:val="00F90A76"/>
    <w:rsid w:val="00F9104C"/>
    <w:rsid w:val="00F91082"/>
    <w:rsid w:val="00F91A9A"/>
    <w:rsid w:val="00F91C9F"/>
    <w:rsid w:val="00F93A91"/>
    <w:rsid w:val="00F93ABB"/>
    <w:rsid w:val="00F94D79"/>
    <w:rsid w:val="00F97E7E"/>
    <w:rsid w:val="00F97FED"/>
    <w:rsid w:val="00FA118A"/>
    <w:rsid w:val="00FA31C7"/>
    <w:rsid w:val="00FA4455"/>
    <w:rsid w:val="00FA472D"/>
    <w:rsid w:val="00FA47FB"/>
    <w:rsid w:val="00FA7254"/>
    <w:rsid w:val="00FA731E"/>
    <w:rsid w:val="00FB0214"/>
    <w:rsid w:val="00FB0503"/>
    <w:rsid w:val="00FB080C"/>
    <w:rsid w:val="00FB0BCC"/>
    <w:rsid w:val="00FB12BC"/>
    <w:rsid w:val="00FB18F6"/>
    <w:rsid w:val="00FB1C69"/>
    <w:rsid w:val="00FB1FD4"/>
    <w:rsid w:val="00FB2A52"/>
    <w:rsid w:val="00FB2F13"/>
    <w:rsid w:val="00FB344C"/>
    <w:rsid w:val="00FB5A71"/>
    <w:rsid w:val="00FB5E51"/>
    <w:rsid w:val="00FB6E19"/>
    <w:rsid w:val="00FB6FB3"/>
    <w:rsid w:val="00FB71F6"/>
    <w:rsid w:val="00FC0C25"/>
    <w:rsid w:val="00FC10A0"/>
    <w:rsid w:val="00FC1483"/>
    <w:rsid w:val="00FC1C47"/>
    <w:rsid w:val="00FC284C"/>
    <w:rsid w:val="00FC3408"/>
    <w:rsid w:val="00FC39ED"/>
    <w:rsid w:val="00FC4419"/>
    <w:rsid w:val="00FC47E2"/>
    <w:rsid w:val="00FC4AA5"/>
    <w:rsid w:val="00FC4D15"/>
    <w:rsid w:val="00FC5148"/>
    <w:rsid w:val="00FC5528"/>
    <w:rsid w:val="00FC75AC"/>
    <w:rsid w:val="00FD01BF"/>
    <w:rsid w:val="00FD0442"/>
    <w:rsid w:val="00FD0525"/>
    <w:rsid w:val="00FD15BF"/>
    <w:rsid w:val="00FD171D"/>
    <w:rsid w:val="00FD297D"/>
    <w:rsid w:val="00FD298C"/>
    <w:rsid w:val="00FD2D13"/>
    <w:rsid w:val="00FD3D26"/>
    <w:rsid w:val="00FD3D33"/>
    <w:rsid w:val="00FD4789"/>
    <w:rsid w:val="00FD523F"/>
    <w:rsid w:val="00FD59FE"/>
    <w:rsid w:val="00FD6071"/>
    <w:rsid w:val="00FD71B4"/>
    <w:rsid w:val="00FD729B"/>
    <w:rsid w:val="00FE0794"/>
    <w:rsid w:val="00FE0CEC"/>
    <w:rsid w:val="00FE1041"/>
    <w:rsid w:val="00FE1912"/>
    <w:rsid w:val="00FE2483"/>
    <w:rsid w:val="00FE24CB"/>
    <w:rsid w:val="00FE2754"/>
    <w:rsid w:val="00FE3166"/>
    <w:rsid w:val="00FE3320"/>
    <w:rsid w:val="00FE3473"/>
    <w:rsid w:val="00FE353B"/>
    <w:rsid w:val="00FE3E81"/>
    <w:rsid w:val="00FE4049"/>
    <w:rsid w:val="00FE4794"/>
    <w:rsid w:val="00FE51FF"/>
    <w:rsid w:val="00FE5975"/>
    <w:rsid w:val="00FE5CDC"/>
    <w:rsid w:val="00FE5DF7"/>
    <w:rsid w:val="00FE5F72"/>
    <w:rsid w:val="00FF0231"/>
    <w:rsid w:val="00FF1C9B"/>
    <w:rsid w:val="00FF1D49"/>
    <w:rsid w:val="00FF2111"/>
    <w:rsid w:val="00FF2562"/>
    <w:rsid w:val="00FF2CE1"/>
    <w:rsid w:val="00FF3A41"/>
    <w:rsid w:val="00FF3E5B"/>
    <w:rsid w:val="00FF544F"/>
    <w:rsid w:val="00FF57E4"/>
    <w:rsid w:val="00FF75D9"/>
    <w:rsid w:val="00FF78E5"/>
    <w:rsid w:val="01147F82"/>
    <w:rsid w:val="012F3F7C"/>
    <w:rsid w:val="01663C43"/>
    <w:rsid w:val="017B1CDE"/>
    <w:rsid w:val="024153C0"/>
    <w:rsid w:val="024C44DD"/>
    <w:rsid w:val="02511F9D"/>
    <w:rsid w:val="028716FF"/>
    <w:rsid w:val="02905213"/>
    <w:rsid w:val="02A8425B"/>
    <w:rsid w:val="02C66390"/>
    <w:rsid w:val="02EF66B9"/>
    <w:rsid w:val="02F9480C"/>
    <w:rsid w:val="03056ED3"/>
    <w:rsid w:val="03393B0A"/>
    <w:rsid w:val="035A359C"/>
    <w:rsid w:val="03A314B8"/>
    <w:rsid w:val="03D44F38"/>
    <w:rsid w:val="03D82B98"/>
    <w:rsid w:val="03F83E8B"/>
    <w:rsid w:val="04057E8E"/>
    <w:rsid w:val="045F1F9A"/>
    <w:rsid w:val="04A3117E"/>
    <w:rsid w:val="04B96D4E"/>
    <w:rsid w:val="04FA2D68"/>
    <w:rsid w:val="05257506"/>
    <w:rsid w:val="0552506B"/>
    <w:rsid w:val="059608A9"/>
    <w:rsid w:val="05FD671F"/>
    <w:rsid w:val="0712534C"/>
    <w:rsid w:val="0731197B"/>
    <w:rsid w:val="07B72767"/>
    <w:rsid w:val="07B94814"/>
    <w:rsid w:val="07EF0236"/>
    <w:rsid w:val="08077E72"/>
    <w:rsid w:val="083164A1"/>
    <w:rsid w:val="08332819"/>
    <w:rsid w:val="083E102C"/>
    <w:rsid w:val="08445D2D"/>
    <w:rsid w:val="085F5E09"/>
    <w:rsid w:val="08821202"/>
    <w:rsid w:val="08B20896"/>
    <w:rsid w:val="08C2549A"/>
    <w:rsid w:val="08F646AE"/>
    <w:rsid w:val="091A22A0"/>
    <w:rsid w:val="09270E73"/>
    <w:rsid w:val="093E76C7"/>
    <w:rsid w:val="094439D8"/>
    <w:rsid w:val="09982F49"/>
    <w:rsid w:val="09CB0E96"/>
    <w:rsid w:val="09CC2AAC"/>
    <w:rsid w:val="09D820EE"/>
    <w:rsid w:val="09E2521D"/>
    <w:rsid w:val="0A652D3E"/>
    <w:rsid w:val="0A695807"/>
    <w:rsid w:val="0A700171"/>
    <w:rsid w:val="0A881610"/>
    <w:rsid w:val="0ABC6864"/>
    <w:rsid w:val="0ACA2107"/>
    <w:rsid w:val="0B253A7F"/>
    <w:rsid w:val="0B27108D"/>
    <w:rsid w:val="0B332B30"/>
    <w:rsid w:val="0B3A48F0"/>
    <w:rsid w:val="0B9B3B25"/>
    <w:rsid w:val="0BC10907"/>
    <w:rsid w:val="0C081081"/>
    <w:rsid w:val="0C1110C3"/>
    <w:rsid w:val="0C607954"/>
    <w:rsid w:val="0C6B6C59"/>
    <w:rsid w:val="0C80510A"/>
    <w:rsid w:val="0C92213C"/>
    <w:rsid w:val="0C992486"/>
    <w:rsid w:val="0CB533A2"/>
    <w:rsid w:val="0D4F221D"/>
    <w:rsid w:val="0D5E041C"/>
    <w:rsid w:val="0D6D3BB0"/>
    <w:rsid w:val="0D84032B"/>
    <w:rsid w:val="0D897EC9"/>
    <w:rsid w:val="0D984ECC"/>
    <w:rsid w:val="0DAC6369"/>
    <w:rsid w:val="0DB056D2"/>
    <w:rsid w:val="0DDC300B"/>
    <w:rsid w:val="0DE87E75"/>
    <w:rsid w:val="0E946C2E"/>
    <w:rsid w:val="0ED317E0"/>
    <w:rsid w:val="0ED600BF"/>
    <w:rsid w:val="0EFF07A0"/>
    <w:rsid w:val="0F0A0484"/>
    <w:rsid w:val="0F79034F"/>
    <w:rsid w:val="0FBD0C1A"/>
    <w:rsid w:val="0FC908FB"/>
    <w:rsid w:val="0FE823F8"/>
    <w:rsid w:val="10080A26"/>
    <w:rsid w:val="10374E70"/>
    <w:rsid w:val="107278E0"/>
    <w:rsid w:val="10935FD6"/>
    <w:rsid w:val="10A27F31"/>
    <w:rsid w:val="10C01415"/>
    <w:rsid w:val="10C428F5"/>
    <w:rsid w:val="10CA487C"/>
    <w:rsid w:val="110411F6"/>
    <w:rsid w:val="11294580"/>
    <w:rsid w:val="11927058"/>
    <w:rsid w:val="1195247E"/>
    <w:rsid w:val="11B746D6"/>
    <w:rsid w:val="12534C63"/>
    <w:rsid w:val="126537F7"/>
    <w:rsid w:val="1294601D"/>
    <w:rsid w:val="12DD4DE5"/>
    <w:rsid w:val="13267322"/>
    <w:rsid w:val="13565CC4"/>
    <w:rsid w:val="135B507B"/>
    <w:rsid w:val="13AF4F03"/>
    <w:rsid w:val="13D3714C"/>
    <w:rsid w:val="1407341B"/>
    <w:rsid w:val="143E63FC"/>
    <w:rsid w:val="14592458"/>
    <w:rsid w:val="14736E66"/>
    <w:rsid w:val="149B6AC2"/>
    <w:rsid w:val="14AF737C"/>
    <w:rsid w:val="14CB3DD9"/>
    <w:rsid w:val="14EB780B"/>
    <w:rsid w:val="1501011E"/>
    <w:rsid w:val="1527239D"/>
    <w:rsid w:val="15293653"/>
    <w:rsid w:val="15317FA1"/>
    <w:rsid w:val="1534169A"/>
    <w:rsid w:val="15C03E03"/>
    <w:rsid w:val="15F20C1E"/>
    <w:rsid w:val="16053838"/>
    <w:rsid w:val="162A25EB"/>
    <w:rsid w:val="1636448C"/>
    <w:rsid w:val="16C95806"/>
    <w:rsid w:val="16FD2A55"/>
    <w:rsid w:val="17366761"/>
    <w:rsid w:val="177C01F0"/>
    <w:rsid w:val="178057B9"/>
    <w:rsid w:val="17901D0B"/>
    <w:rsid w:val="17B440EF"/>
    <w:rsid w:val="17CE6630"/>
    <w:rsid w:val="182A7D11"/>
    <w:rsid w:val="188B3FAB"/>
    <w:rsid w:val="188D7D23"/>
    <w:rsid w:val="18A26634"/>
    <w:rsid w:val="18E65685"/>
    <w:rsid w:val="18EB3B07"/>
    <w:rsid w:val="19071F47"/>
    <w:rsid w:val="191B532F"/>
    <w:rsid w:val="19820BA0"/>
    <w:rsid w:val="198B02A1"/>
    <w:rsid w:val="19CE7740"/>
    <w:rsid w:val="19D22FFA"/>
    <w:rsid w:val="19D46D22"/>
    <w:rsid w:val="1A2C3809"/>
    <w:rsid w:val="1A637614"/>
    <w:rsid w:val="1A6E23ED"/>
    <w:rsid w:val="1A75180F"/>
    <w:rsid w:val="1AAA15E6"/>
    <w:rsid w:val="1AF71484"/>
    <w:rsid w:val="1AFA16D5"/>
    <w:rsid w:val="1B384607"/>
    <w:rsid w:val="1B4F19F8"/>
    <w:rsid w:val="1B5E15C2"/>
    <w:rsid w:val="1B5F1EAD"/>
    <w:rsid w:val="1B7E6377"/>
    <w:rsid w:val="1B8E65EB"/>
    <w:rsid w:val="1BD92184"/>
    <w:rsid w:val="1BEB7604"/>
    <w:rsid w:val="1BEF4851"/>
    <w:rsid w:val="1C1A538F"/>
    <w:rsid w:val="1C204E10"/>
    <w:rsid w:val="1C3E313C"/>
    <w:rsid w:val="1C435B1C"/>
    <w:rsid w:val="1C5170A2"/>
    <w:rsid w:val="1C81654B"/>
    <w:rsid w:val="1C837981"/>
    <w:rsid w:val="1CF57074"/>
    <w:rsid w:val="1D4061A8"/>
    <w:rsid w:val="1D4C74F8"/>
    <w:rsid w:val="1D4D0670"/>
    <w:rsid w:val="1D531B48"/>
    <w:rsid w:val="1D5E55B3"/>
    <w:rsid w:val="1DEE580E"/>
    <w:rsid w:val="1E540E82"/>
    <w:rsid w:val="1E6257AE"/>
    <w:rsid w:val="1E9B4F4B"/>
    <w:rsid w:val="1E9F255E"/>
    <w:rsid w:val="1EA17B63"/>
    <w:rsid w:val="1EA32E44"/>
    <w:rsid w:val="1EB31BFD"/>
    <w:rsid w:val="1ED433B6"/>
    <w:rsid w:val="1EE27572"/>
    <w:rsid w:val="1F063325"/>
    <w:rsid w:val="1F0E3751"/>
    <w:rsid w:val="1F6546B2"/>
    <w:rsid w:val="1FAE75FA"/>
    <w:rsid w:val="1FBC5DF5"/>
    <w:rsid w:val="1FC55574"/>
    <w:rsid w:val="1FD42955"/>
    <w:rsid w:val="1FE86C08"/>
    <w:rsid w:val="1FF97C68"/>
    <w:rsid w:val="2035537D"/>
    <w:rsid w:val="2060534A"/>
    <w:rsid w:val="20947775"/>
    <w:rsid w:val="20AD0ED7"/>
    <w:rsid w:val="20C90675"/>
    <w:rsid w:val="20FA20EE"/>
    <w:rsid w:val="212D5480"/>
    <w:rsid w:val="218940D0"/>
    <w:rsid w:val="21B43741"/>
    <w:rsid w:val="21B83F86"/>
    <w:rsid w:val="21E55E66"/>
    <w:rsid w:val="221178A8"/>
    <w:rsid w:val="221213CF"/>
    <w:rsid w:val="22327A92"/>
    <w:rsid w:val="223718D7"/>
    <w:rsid w:val="22486A69"/>
    <w:rsid w:val="22965435"/>
    <w:rsid w:val="229D6DB5"/>
    <w:rsid w:val="22A530BF"/>
    <w:rsid w:val="22B56E61"/>
    <w:rsid w:val="22BD6F35"/>
    <w:rsid w:val="22C925A9"/>
    <w:rsid w:val="231D53A2"/>
    <w:rsid w:val="23775858"/>
    <w:rsid w:val="238C6700"/>
    <w:rsid w:val="23A82B1D"/>
    <w:rsid w:val="23B7504C"/>
    <w:rsid w:val="240319F5"/>
    <w:rsid w:val="240D7F6A"/>
    <w:rsid w:val="241142B4"/>
    <w:rsid w:val="24571307"/>
    <w:rsid w:val="245E28AA"/>
    <w:rsid w:val="24AA2A5A"/>
    <w:rsid w:val="24BA2984"/>
    <w:rsid w:val="24F46C48"/>
    <w:rsid w:val="25246333"/>
    <w:rsid w:val="25326543"/>
    <w:rsid w:val="253E1BDC"/>
    <w:rsid w:val="253E577A"/>
    <w:rsid w:val="2566706B"/>
    <w:rsid w:val="25A246E2"/>
    <w:rsid w:val="26195FDF"/>
    <w:rsid w:val="262E2065"/>
    <w:rsid w:val="26446DE3"/>
    <w:rsid w:val="264D165B"/>
    <w:rsid w:val="269252D8"/>
    <w:rsid w:val="26D7699F"/>
    <w:rsid w:val="26E563AD"/>
    <w:rsid w:val="26F55B81"/>
    <w:rsid w:val="270B530F"/>
    <w:rsid w:val="274A5E17"/>
    <w:rsid w:val="283D3CB6"/>
    <w:rsid w:val="284D4FC9"/>
    <w:rsid w:val="285E12CD"/>
    <w:rsid w:val="285F643D"/>
    <w:rsid w:val="28622A34"/>
    <w:rsid w:val="28805E9D"/>
    <w:rsid w:val="28832D32"/>
    <w:rsid w:val="28A15980"/>
    <w:rsid w:val="290C5AAB"/>
    <w:rsid w:val="29422464"/>
    <w:rsid w:val="29527CDA"/>
    <w:rsid w:val="29622437"/>
    <w:rsid w:val="297423A8"/>
    <w:rsid w:val="29970C8B"/>
    <w:rsid w:val="29DB3370"/>
    <w:rsid w:val="2A4B17EC"/>
    <w:rsid w:val="2A4E3F4B"/>
    <w:rsid w:val="2A635B27"/>
    <w:rsid w:val="2AA42CAA"/>
    <w:rsid w:val="2ACC6B14"/>
    <w:rsid w:val="2AD86F38"/>
    <w:rsid w:val="2B09065E"/>
    <w:rsid w:val="2B32046F"/>
    <w:rsid w:val="2B332A57"/>
    <w:rsid w:val="2B4A7790"/>
    <w:rsid w:val="2B774624"/>
    <w:rsid w:val="2B8745B6"/>
    <w:rsid w:val="2BAA3170"/>
    <w:rsid w:val="2BC068DD"/>
    <w:rsid w:val="2BC365EA"/>
    <w:rsid w:val="2BF0565E"/>
    <w:rsid w:val="2C0E47C8"/>
    <w:rsid w:val="2C2A0B5D"/>
    <w:rsid w:val="2C3A38C6"/>
    <w:rsid w:val="2C6A1549"/>
    <w:rsid w:val="2C7A72BE"/>
    <w:rsid w:val="2CA23219"/>
    <w:rsid w:val="2CAB0320"/>
    <w:rsid w:val="2CD73E3A"/>
    <w:rsid w:val="2CDD18FA"/>
    <w:rsid w:val="2CF36B9C"/>
    <w:rsid w:val="2D364BF9"/>
    <w:rsid w:val="2D845CE8"/>
    <w:rsid w:val="2D964D6E"/>
    <w:rsid w:val="2DEA131C"/>
    <w:rsid w:val="2DF92DF5"/>
    <w:rsid w:val="2E631D6B"/>
    <w:rsid w:val="2EAF7A9D"/>
    <w:rsid w:val="2EB771D0"/>
    <w:rsid w:val="2EE64331"/>
    <w:rsid w:val="2F2F700E"/>
    <w:rsid w:val="2F401D3C"/>
    <w:rsid w:val="2F5E6E85"/>
    <w:rsid w:val="2F636AFD"/>
    <w:rsid w:val="2F7234E0"/>
    <w:rsid w:val="2FA95C88"/>
    <w:rsid w:val="2FC56437"/>
    <w:rsid w:val="2FC8024F"/>
    <w:rsid w:val="2FDF7740"/>
    <w:rsid w:val="3041370F"/>
    <w:rsid w:val="30751371"/>
    <w:rsid w:val="30B31E99"/>
    <w:rsid w:val="30D065A7"/>
    <w:rsid w:val="30E54627"/>
    <w:rsid w:val="31083A05"/>
    <w:rsid w:val="310B7896"/>
    <w:rsid w:val="31696965"/>
    <w:rsid w:val="31E02532"/>
    <w:rsid w:val="32453A27"/>
    <w:rsid w:val="325C107D"/>
    <w:rsid w:val="3263064A"/>
    <w:rsid w:val="329545E8"/>
    <w:rsid w:val="32A9391E"/>
    <w:rsid w:val="32AC0C06"/>
    <w:rsid w:val="32EA7C14"/>
    <w:rsid w:val="335325FF"/>
    <w:rsid w:val="335F4C42"/>
    <w:rsid w:val="33653796"/>
    <w:rsid w:val="33673F3A"/>
    <w:rsid w:val="33997124"/>
    <w:rsid w:val="33A269E5"/>
    <w:rsid w:val="33AE3D61"/>
    <w:rsid w:val="341C52A3"/>
    <w:rsid w:val="341E1D1F"/>
    <w:rsid w:val="343713B3"/>
    <w:rsid w:val="3499503C"/>
    <w:rsid w:val="349A2FE6"/>
    <w:rsid w:val="34A14965"/>
    <w:rsid w:val="34C1407C"/>
    <w:rsid w:val="351D3F11"/>
    <w:rsid w:val="35237B60"/>
    <w:rsid w:val="3537750C"/>
    <w:rsid w:val="3537798C"/>
    <w:rsid w:val="357F7ED5"/>
    <w:rsid w:val="35C13FC9"/>
    <w:rsid w:val="35CB6CF9"/>
    <w:rsid w:val="361912BD"/>
    <w:rsid w:val="362E6D87"/>
    <w:rsid w:val="364257B6"/>
    <w:rsid w:val="36475F4B"/>
    <w:rsid w:val="36704FA0"/>
    <w:rsid w:val="367C4ADB"/>
    <w:rsid w:val="36856519"/>
    <w:rsid w:val="36C06BEC"/>
    <w:rsid w:val="36F16332"/>
    <w:rsid w:val="36F834D1"/>
    <w:rsid w:val="370278E8"/>
    <w:rsid w:val="37114E2D"/>
    <w:rsid w:val="372B09DB"/>
    <w:rsid w:val="374264D3"/>
    <w:rsid w:val="37A2313F"/>
    <w:rsid w:val="37DB7874"/>
    <w:rsid w:val="37EA5922"/>
    <w:rsid w:val="3801798E"/>
    <w:rsid w:val="38276B93"/>
    <w:rsid w:val="38A66EF0"/>
    <w:rsid w:val="38C108C0"/>
    <w:rsid w:val="38DB0EF0"/>
    <w:rsid w:val="38EF6087"/>
    <w:rsid w:val="38F100F5"/>
    <w:rsid w:val="39603913"/>
    <w:rsid w:val="39671479"/>
    <w:rsid w:val="398C6B1A"/>
    <w:rsid w:val="39955D57"/>
    <w:rsid w:val="399E5831"/>
    <w:rsid w:val="39FF74C3"/>
    <w:rsid w:val="3A0B64A7"/>
    <w:rsid w:val="3A2B695F"/>
    <w:rsid w:val="3A3C13FA"/>
    <w:rsid w:val="3A417382"/>
    <w:rsid w:val="3A6774BB"/>
    <w:rsid w:val="3AC374FB"/>
    <w:rsid w:val="3AF74C02"/>
    <w:rsid w:val="3B6D3030"/>
    <w:rsid w:val="3B720A53"/>
    <w:rsid w:val="3C0059A5"/>
    <w:rsid w:val="3C134E78"/>
    <w:rsid w:val="3C1F4833"/>
    <w:rsid w:val="3C4048D3"/>
    <w:rsid w:val="3CCE453B"/>
    <w:rsid w:val="3CDB25BF"/>
    <w:rsid w:val="3CDC4D5E"/>
    <w:rsid w:val="3CDF6E2C"/>
    <w:rsid w:val="3D067B1E"/>
    <w:rsid w:val="3D804ADF"/>
    <w:rsid w:val="3DF4502D"/>
    <w:rsid w:val="3DF6345D"/>
    <w:rsid w:val="3E407A0D"/>
    <w:rsid w:val="3E4C6BBF"/>
    <w:rsid w:val="3E4F65FC"/>
    <w:rsid w:val="3E67726F"/>
    <w:rsid w:val="3EBC3693"/>
    <w:rsid w:val="3EC357A9"/>
    <w:rsid w:val="3EE13701"/>
    <w:rsid w:val="3F1A4BB3"/>
    <w:rsid w:val="3F832FFD"/>
    <w:rsid w:val="3F9A4B7F"/>
    <w:rsid w:val="3FBD419A"/>
    <w:rsid w:val="40192BA6"/>
    <w:rsid w:val="40275EE8"/>
    <w:rsid w:val="40997D4E"/>
    <w:rsid w:val="40A13BE1"/>
    <w:rsid w:val="40B90D30"/>
    <w:rsid w:val="40CA71E8"/>
    <w:rsid w:val="40E65973"/>
    <w:rsid w:val="40F356DF"/>
    <w:rsid w:val="4105229D"/>
    <w:rsid w:val="410951EF"/>
    <w:rsid w:val="4148202C"/>
    <w:rsid w:val="417938BC"/>
    <w:rsid w:val="41CD173C"/>
    <w:rsid w:val="421A6164"/>
    <w:rsid w:val="421E1ADE"/>
    <w:rsid w:val="42205CF3"/>
    <w:rsid w:val="42314467"/>
    <w:rsid w:val="42550A18"/>
    <w:rsid w:val="42797FD7"/>
    <w:rsid w:val="42E531D1"/>
    <w:rsid w:val="42F473A1"/>
    <w:rsid w:val="43130808"/>
    <w:rsid w:val="43A37CD1"/>
    <w:rsid w:val="43AF44D7"/>
    <w:rsid w:val="441E62C0"/>
    <w:rsid w:val="44274ACD"/>
    <w:rsid w:val="444D4F77"/>
    <w:rsid w:val="4477237A"/>
    <w:rsid w:val="44B9364F"/>
    <w:rsid w:val="451D153C"/>
    <w:rsid w:val="45266E88"/>
    <w:rsid w:val="457A48DC"/>
    <w:rsid w:val="457B387A"/>
    <w:rsid w:val="45811C7C"/>
    <w:rsid w:val="45AF31D8"/>
    <w:rsid w:val="46053138"/>
    <w:rsid w:val="468B3EFB"/>
    <w:rsid w:val="46D17856"/>
    <w:rsid w:val="46D83730"/>
    <w:rsid w:val="46F74436"/>
    <w:rsid w:val="470A6193"/>
    <w:rsid w:val="474878C2"/>
    <w:rsid w:val="4760533F"/>
    <w:rsid w:val="47A4657E"/>
    <w:rsid w:val="47C43BCF"/>
    <w:rsid w:val="47D9381D"/>
    <w:rsid w:val="47DC4F5C"/>
    <w:rsid w:val="47E31939"/>
    <w:rsid w:val="47E86474"/>
    <w:rsid w:val="4836049D"/>
    <w:rsid w:val="483D31BD"/>
    <w:rsid w:val="48927A27"/>
    <w:rsid w:val="48A2691A"/>
    <w:rsid w:val="48B40671"/>
    <w:rsid w:val="48B87EA7"/>
    <w:rsid w:val="48D25DC7"/>
    <w:rsid w:val="49463453"/>
    <w:rsid w:val="498273BD"/>
    <w:rsid w:val="499B5738"/>
    <w:rsid w:val="499F244D"/>
    <w:rsid w:val="49C56A6D"/>
    <w:rsid w:val="4A062BE2"/>
    <w:rsid w:val="4A0D22AA"/>
    <w:rsid w:val="4A6511C2"/>
    <w:rsid w:val="4A71427F"/>
    <w:rsid w:val="4A871F75"/>
    <w:rsid w:val="4A877604"/>
    <w:rsid w:val="4A8F58C2"/>
    <w:rsid w:val="4AE253A3"/>
    <w:rsid w:val="4AF96BC7"/>
    <w:rsid w:val="4B4A1E61"/>
    <w:rsid w:val="4B742E09"/>
    <w:rsid w:val="4B774920"/>
    <w:rsid w:val="4BFB4050"/>
    <w:rsid w:val="4C142E65"/>
    <w:rsid w:val="4C681932"/>
    <w:rsid w:val="4C773805"/>
    <w:rsid w:val="4C8A419C"/>
    <w:rsid w:val="4C8C1658"/>
    <w:rsid w:val="4C903422"/>
    <w:rsid w:val="4CA369EE"/>
    <w:rsid w:val="4CBD006F"/>
    <w:rsid w:val="4CC44FA6"/>
    <w:rsid w:val="4CEF36E2"/>
    <w:rsid w:val="4D0D2E74"/>
    <w:rsid w:val="4D0D4E16"/>
    <w:rsid w:val="4D270C24"/>
    <w:rsid w:val="4D3B1120"/>
    <w:rsid w:val="4D8A4609"/>
    <w:rsid w:val="4D9E5604"/>
    <w:rsid w:val="4DE44A8B"/>
    <w:rsid w:val="4E100EE5"/>
    <w:rsid w:val="4E1315AB"/>
    <w:rsid w:val="4EDE2D8A"/>
    <w:rsid w:val="4F1A7658"/>
    <w:rsid w:val="4F2B5E4A"/>
    <w:rsid w:val="4F372FFB"/>
    <w:rsid w:val="4FA76FA4"/>
    <w:rsid w:val="4FA843DD"/>
    <w:rsid w:val="503A547F"/>
    <w:rsid w:val="50623E9C"/>
    <w:rsid w:val="50DD23FB"/>
    <w:rsid w:val="513F391C"/>
    <w:rsid w:val="51564E44"/>
    <w:rsid w:val="51A0391C"/>
    <w:rsid w:val="51E611C2"/>
    <w:rsid w:val="51F36455"/>
    <w:rsid w:val="526479F4"/>
    <w:rsid w:val="52C10D75"/>
    <w:rsid w:val="52D558BD"/>
    <w:rsid w:val="5308363F"/>
    <w:rsid w:val="535A4E89"/>
    <w:rsid w:val="537C1F57"/>
    <w:rsid w:val="53E67376"/>
    <w:rsid w:val="546900AE"/>
    <w:rsid w:val="54C950E3"/>
    <w:rsid w:val="550C4BD7"/>
    <w:rsid w:val="552A14E7"/>
    <w:rsid w:val="55572986"/>
    <w:rsid w:val="56537644"/>
    <w:rsid w:val="56B3692E"/>
    <w:rsid w:val="56F2777F"/>
    <w:rsid w:val="578A4FAD"/>
    <w:rsid w:val="578F4217"/>
    <w:rsid w:val="57AA47D6"/>
    <w:rsid w:val="57B14B25"/>
    <w:rsid w:val="57BE3CA3"/>
    <w:rsid w:val="57DA4A99"/>
    <w:rsid w:val="58104E13"/>
    <w:rsid w:val="58193B65"/>
    <w:rsid w:val="58194065"/>
    <w:rsid w:val="58505C1C"/>
    <w:rsid w:val="586456A3"/>
    <w:rsid w:val="589F65B2"/>
    <w:rsid w:val="59631F10"/>
    <w:rsid w:val="5A187989"/>
    <w:rsid w:val="5A2E4981"/>
    <w:rsid w:val="5A922724"/>
    <w:rsid w:val="5A957D93"/>
    <w:rsid w:val="5AAE0E59"/>
    <w:rsid w:val="5AB97386"/>
    <w:rsid w:val="5B014BCB"/>
    <w:rsid w:val="5B3760D9"/>
    <w:rsid w:val="5B411CCC"/>
    <w:rsid w:val="5B7528EE"/>
    <w:rsid w:val="5B857E0A"/>
    <w:rsid w:val="5BBD0424"/>
    <w:rsid w:val="5C204FD5"/>
    <w:rsid w:val="5C296C03"/>
    <w:rsid w:val="5C592816"/>
    <w:rsid w:val="5C763BF7"/>
    <w:rsid w:val="5C922AF6"/>
    <w:rsid w:val="5C990788"/>
    <w:rsid w:val="5CB43A14"/>
    <w:rsid w:val="5CBA4860"/>
    <w:rsid w:val="5D2317D1"/>
    <w:rsid w:val="5D647542"/>
    <w:rsid w:val="5D6D6F18"/>
    <w:rsid w:val="5D950D99"/>
    <w:rsid w:val="5DCD5607"/>
    <w:rsid w:val="5E066834"/>
    <w:rsid w:val="5E205A4D"/>
    <w:rsid w:val="5E207A91"/>
    <w:rsid w:val="5E686F4D"/>
    <w:rsid w:val="5EBF464F"/>
    <w:rsid w:val="5EE66E12"/>
    <w:rsid w:val="5F19665E"/>
    <w:rsid w:val="5F1C4797"/>
    <w:rsid w:val="5F2B63A4"/>
    <w:rsid w:val="5F5C2D3D"/>
    <w:rsid w:val="5F73366C"/>
    <w:rsid w:val="5F80710D"/>
    <w:rsid w:val="5FF63F7F"/>
    <w:rsid w:val="6003138B"/>
    <w:rsid w:val="600B4656"/>
    <w:rsid w:val="6038429B"/>
    <w:rsid w:val="606007BB"/>
    <w:rsid w:val="60AC7F66"/>
    <w:rsid w:val="60F578F1"/>
    <w:rsid w:val="61164C5A"/>
    <w:rsid w:val="61422372"/>
    <w:rsid w:val="614607A4"/>
    <w:rsid w:val="61724F50"/>
    <w:rsid w:val="618835DC"/>
    <w:rsid w:val="619332C0"/>
    <w:rsid w:val="619E7E05"/>
    <w:rsid w:val="61BF10D9"/>
    <w:rsid w:val="61F238FA"/>
    <w:rsid w:val="62504F03"/>
    <w:rsid w:val="62593A54"/>
    <w:rsid w:val="625A3C98"/>
    <w:rsid w:val="628E2BF2"/>
    <w:rsid w:val="62917095"/>
    <w:rsid w:val="629D0C9D"/>
    <w:rsid w:val="629F7BDB"/>
    <w:rsid w:val="62B04FE0"/>
    <w:rsid w:val="62B2437A"/>
    <w:rsid w:val="62B762F2"/>
    <w:rsid w:val="62BD01EA"/>
    <w:rsid w:val="630A6E47"/>
    <w:rsid w:val="630B6D4C"/>
    <w:rsid w:val="63390FA7"/>
    <w:rsid w:val="63C811DC"/>
    <w:rsid w:val="640C7C21"/>
    <w:rsid w:val="641D3894"/>
    <w:rsid w:val="647153D0"/>
    <w:rsid w:val="64A462A1"/>
    <w:rsid w:val="64D9713B"/>
    <w:rsid w:val="64DA2E59"/>
    <w:rsid w:val="64E45EF7"/>
    <w:rsid w:val="651F29C7"/>
    <w:rsid w:val="657324B0"/>
    <w:rsid w:val="659D56EB"/>
    <w:rsid w:val="659E4DC4"/>
    <w:rsid w:val="660D6F53"/>
    <w:rsid w:val="66445A65"/>
    <w:rsid w:val="664C1462"/>
    <w:rsid w:val="664F64CD"/>
    <w:rsid w:val="6674153C"/>
    <w:rsid w:val="66A57729"/>
    <w:rsid w:val="66F71800"/>
    <w:rsid w:val="67635EC3"/>
    <w:rsid w:val="677435B2"/>
    <w:rsid w:val="67B53825"/>
    <w:rsid w:val="67E47ECF"/>
    <w:rsid w:val="67EF75F1"/>
    <w:rsid w:val="685E4BEE"/>
    <w:rsid w:val="68637725"/>
    <w:rsid w:val="689502C9"/>
    <w:rsid w:val="68B87434"/>
    <w:rsid w:val="68CC2040"/>
    <w:rsid w:val="69124F16"/>
    <w:rsid w:val="69706376"/>
    <w:rsid w:val="69732C07"/>
    <w:rsid w:val="69845BA5"/>
    <w:rsid w:val="69C64B0E"/>
    <w:rsid w:val="69CD5C14"/>
    <w:rsid w:val="69CF0D33"/>
    <w:rsid w:val="69D52033"/>
    <w:rsid w:val="69E021A7"/>
    <w:rsid w:val="69F765FE"/>
    <w:rsid w:val="6A2C3962"/>
    <w:rsid w:val="6AB24495"/>
    <w:rsid w:val="6AEA268C"/>
    <w:rsid w:val="6AFC5C0F"/>
    <w:rsid w:val="6B9946B3"/>
    <w:rsid w:val="6BC43C9C"/>
    <w:rsid w:val="6BEE09E7"/>
    <w:rsid w:val="6BF025F8"/>
    <w:rsid w:val="6C117498"/>
    <w:rsid w:val="6C1242E2"/>
    <w:rsid w:val="6C2F1113"/>
    <w:rsid w:val="6C30418A"/>
    <w:rsid w:val="6C535179"/>
    <w:rsid w:val="6C99489E"/>
    <w:rsid w:val="6CA17546"/>
    <w:rsid w:val="6D1837C6"/>
    <w:rsid w:val="6D633D24"/>
    <w:rsid w:val="6D8016E0"/>
    <w:rsid w:val="6DE76850"/>
    <w:rsid w:val="6DE76F6B"/>
    <w:rsid w:val="6DEB0015"/>
    <w:rsid w:val="6E4C47B8"/>
    <w:rsid w:val="6E613440"/>
    <w:rsid w:val="6E92747E"/>
    <w:rsid w:val="6E930D59"/>
    <w:rsid w:val="6E997D72"/>
    <w:rsid w:val="6E9A1018"/>
    <w:rsid w:val="6EE60872"/>
    <w:rsid w:val="6F1F14D8"/>
    <w:rsid w:val="6F7779BF"/>
    <w:rsid w:val="6F815E7A"/>
    <w:rsid w:val="6FA65DC8"/>
    <w:rsid w:val="6FA96657"/>
    <w:rsid w:val="6FB20BD4"/>
    <w:rsid w:val="6FBA59BE"/>
    <w:rsid w:val="6FDC4C80"/>
    <w:rsid w:val="6FE65089"/>
    <w:rsid w:val="6FF47E2E"/>
    <w:rsid w:val="70036838"/>
    <w:rsid w:val="701952D0"/>
    <w:rsid w:val="70296B3E"/>
    <w:rsid w:val="702E0619"/>
    <w:rsid w:val="704B3E29"/>
    <w:rsid w:val="704E4817"/>
    <w:rsid w:val="70611204"/>
    <w:rsid w:val="70716758"/>
    <w:rsid w:val="709114D5"/>
    <w:rsid w:val="709A27A6"/>
    <w:rsid w:val="70E229E5"/>
    <w:rsid w:val="70F0661E"/>
    <w:rsid w:val="70FB26A1"/>
    <w:rsid w:val="7105409D"/>
    <w:rsid w:val="71536BA2"/>
    <w:rsid w:val="71880AA7"/>
    <w:rsid w:val="71A027A3"/>
    <w:rsid w:val="71DA756B"/>
    <w:rsid w:val="71F61E79"/>
    <w:rsid w:val="722A4EBB"/>
    <w:rsid w:val="72336190"/>
    <w:rsid w:val="7234593E"/>
    <w:rsid w:val="72387C4D"/>
    <w:rsid w:val="723F30B1"/>
    <w:rsid w:val="72565C3D"/>
    <w:rsid w:val="72682551"/>
    <w:rsid w:val="72EF4CB6"/>
    <w:rsid w:val="73095BA0"/>
    <w:rsid w:val="73156623"/>
    <w:rsid w:val="7346150F"/>
    <w:rsid w:val="73A330CC"/>
    <w:rsid w:val="73AA63D7"/>
    <w:rsid w:val="73B71539"/>
    <w:rsid w:val="73C020AA"/>
    <w:rsid w:val="74012C6F"/>
    <w:rsid w:val="740C41DF"/>
    <w:rsid w:val="742F1838"/>
    <w:rsid w:val="744F5002"/>
    <w:rsid w:val="745E3A9F"/>
    <w:rsid w:val="747A6C11"/>
    <w:rsid w:val="748B54CF"/>
    <w:rsid w:val="74987D58"/>
    <w:rsid w:val="749D0E4E"/>
    <w:rsid w:val="74ED34A4"/>
    <w:rsid w:val="74F164A0"/>
    <w:rsid w:val="74FA2C30"/>
    <w:rsid w:val="755A375D"/>
    <w:rsid w:val="756E64E9"/>
    <w:rsid w:val="75E94CB9"/>
    <w:rsid w:val="75F91BD5"/>
    <w:rsid w:val="7653408A"/>
    <w:rsid w:val="765F165D"/>
    <w:rsid w:val="768B1787"/>
    <w:rsid w:val="76911D29"/>
    <w:rsid w:val="76BC49EB"/>
    <w:rsid w:val="76F66D87"/>
    <w:rsid w:val="77000DA2"/>
    <w:rsid w:val="772236B3"/>
    <w:rsid w:val="772E47C5"/>
    <w:rsid w:val="775B5A6C"/>
    <w:rsid w:val="7767304E"/>
    <w:rsid w:val="779173CE"/>
    <w:rsid w:val="77A47413"/>
    <w:rsid w:val="77B71C60"/>
    <w:rsid w:val="77CE4A67"/>
    <w:rsid w:val="77D44DFB"/>
    <w:rsid w:val="77D46C75"/>
    <w:rsid w:val="78064B19"/>
    <w:rsid w:val="781E69D1"/>
    <w:rsid w:val="782868C6"/>
    <w:rsid w:val="78324E5D"/>
    <w:rsid w:val="78340059"/>
    <w:rsid w:val="783E1A7C"/>
    <w:rsid w:val="786A29DE"/>
    <w:rsid w:val="786E094F"/>
    <w:rsid w:val="78A07BDA"/>
    <w:rsid w:val="78EC258E"/>
    <w:rsid w:val="7901431F"/>
    <w:rsid w:val="797B0E8C"/>
    <w:rsid w:val="79D20267"/>
    <w:rsid w:val="79FE2CCF"/>
    <w:rsid w:val="79FE3A4E"/>
    <w:rsid w:val="7A280F5B"/>
    <w:rsid w:val="7A28232F"/>
    <w:rsid w:val="7A6357E2"/>
    <w:rsid w:val="7AB13B5A"/>
    <w:rsid w:val="7AC878BC"/>
    <w:rsid w:val="7AD04B7D"/>
    <w:rsid w:val="7AD93EE7"/>
    <w:rsid w:val="7ADD0453"/>
    <w:rsid w:val="7AF46346"/>
    <w:rsid w:val="7B0640F9"/>
    <w:rsid w:val="7B0F5EBF"/>
    <w:rsid w:val="7B130FB9"/>
    <w:rsid w:val="7B695E25"/>
    <w:rsid w:val="7B7C5344"/>
    <w:rsid w:val="7B8D5C55"/>
    <w:rsid w:val="7B8F5E96"/>
    <w:rsid w:val="7B9703E3"/>
    <w:rsid w:val="7BAE763E"/>
    <w:rsid w:val="7BB0282A"/>
    <w:rsid w:val="7BBE1BED"/>
    <w:rsid w:val="7BDE0625"/>
    <w:rsid w:val="7BEC67B3"/>
    <w:rsid w:val="7BF21C79"/>
    <w:rsid w:val="7BF64EDE"/>
    <w:rsid w:val="7C400C1E"/>
    <w:rsid w:val="7C55517F"/>
    <w:rsid w:val="7C794841"/>
    <w:rsid w:val="7C8D240D"/>
    <w:rsid w:val="7CDD67E8"/>
    <w:rsid w:val="7CE54755"/>
    <w:rsid w:val="7D1F191E"/>
    <w:rsid w:val="7DC025DB"/>
    <w:rsid w:val="7DD11708"/>
    <w:rsid w:val="7E000C25"/>
    <w:rsid w:val="7E3E606D"/>
    <w:rsid w:val="7E5B0638"/>
    <w:rsid w:val="7E6D1B30"/>
    <w:rsid w:val="7E743AB1"/>
    <w:rsid w:val="7E7D606E"/>
    <w:rsid w:val="7EAF35DA"/>
    <w:rsid w:val="7EBC46EA"/>
    <w:rsid w:val="7EC167BD"/>
    <w:rsid w:val="7EC94B31"/>
    <w:rsid w:val="7F2A292D"/>
    <w:rsid w:val="7F5E081D"/>
    <w:rsid w:val="7FF82C2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99" w:semiHidden="0" w:name="List Number"/>
    <w:lsdException w:qFormat="1" w:unhideWhenUsed="0"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4"/>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6"/>
    <w:qFormat/>
    <w:uiPriority w:val="99"/>
    <w:pPr>
      <w:keepNext/>
      <w:keepLines/>
      <w:spacing w:before="260" w:after="260" w:line="416" w:lineRule="auto"/>
      <w:outlineLvl w:val="2"/>
    </w:pPr>
    <w:rPr>
      <w:b/>
      <w:bCs/>
      <w:sz w:val="32"/>
      <w:szCs w:val="32"/>
    </w:rPr>
  </w:style>
  <w:style w:type="paragraph" w:styleId="5">
    <w:name w:val="heading 5"/>
    <w:basedOn w:val="1"/>
    <w:next w:val="6"/>
    <w:link w:val="37"/>
    <w:qFormat/>
    <w:uiPriority w:val="99"/>
    <w:pPr>
      <w:keepNext/>
      <w:keepLines/>
      <w:spacing w:before="280" w:after="290" w:line="376" w:lineRule="auto"/>
      <w:outlineLvl w:val="4"/>
    </w:pPr>
    <w:rPr>
      <w:b/>
      <w:bCs/>
      <w:sz w:val="28"/>
      <w:szCs w:val="28"/>
    </w:rPr>
  </w:style>
  <w:style w:type="paragraph" w:styleId="7">
    <w:name w:val="heading 8"/>
    <w:basedOn w:val="1"/>
    <w:next w:val="1"/>
    <w:link w:val="77"/>
    <w:semiHidden/>
    <w:unhideWhenUsed/>
    <w:qFormat/>
    <w:locked/>
    <w:uiPriority w:val="0"/>
    <w:pPr>
      <w:keepNext/>
      <w:keepLines/>
      <w:spacing w:before="240" w:after="64" w:line="320" w:lineRule="auto"/>
      <w:outlineLvl w:val="7"/>
    </w:pPr>
    <w:rPr>
      <w:rFonts w:asciiTheme="majorHAnsi" w:hAnsiTheme="majorHAnsi" w:eastAsiaTheme="majorEastAsia" w:cstheme="majorBidi"/>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99"/>
    <w:pPr>
      <w:ind w:firstLine="420"/>
    </w:pPr>
    <w:rPr>
      <w:szCs w:val="20"/>
    </w:rPr>
  </w:style>
  <w:style w:type="paragraph" w:styleId="8">
    <w:name w:val="List Number"/>
    <w:basedOn w:val="1"/>
    <w:qFormat/>
    <w:uiPriority w:val="99"/>
    <w:pPr>
      <w:widowControl/>
      <w:tabs>
        <w:tab w:val="left" w:pos="454"/>
        <w:tab w:val="left" w:pos="720"/>
        <w:tab w:val="left" w:pos="840"/>
      </w:tabs>
      <w:spacing w:afterLines="50"/>
      <w:ind w:left="454" w:hanging="284"/>
      <w:jc w:val="left"/>
    </w:pPr>
    <w:rPr>
      <w:kern w:val="0"/>
      <w:sz w:val="24"/>
      <w:szCs w:val="20"/>
    </w:rPr>
  </w:style>
  <w:style w:type="paragraph" w:styleId="9">
    <w:name w:val="annotation text"/>
    <w:basedOn w:val="1"/>
    <w:link w:val="38"/>
    <w:qFormat/>
    <w:uiPriority w:val="99"/>
    <w:pPr>
      <w:jc w:val="left"/>
    </w:pPr>
  </w:style>
  <w:style w:type="paragraph" w:styleId="10">
    <w:name w:val="Body Text 3"/>
    <w:basedOn w:val="1"/>
    <w:link w:val="39"/>
    <w:qFormat/>
    <w:uiPriority w:val="99"/>
    <w:pPr>
      <w:spacing w:after="120"/>
    </w:pPr>
    <w:rPr>
      <w:sz w:val="16"/>
      <w:szCs w:val="16"/>
    </w:rPr>
  </w:style>
  <w:style w:type="paragraph" w:styleId="11">
    <w:name w:val="Body Text"/>
    <w:basedOn w:val="1"/>
    <w:link w:val="40"/>
    <w:qFormat/>
    <w:uiPriority w:val="99"/>
    <w:pPr>
      <w:spacing w:after="120"/>
    </w:pPr>
  </w:style>
  <w:style w:type="paragraph" w:styleId="12">
    <w:name w:val="Body Text Indent"/>
    <w:basedOn w:val="1"/>
    <w:link w:val="41"/>
    <w:qFormat/>
    <w:uiPriority w:val="99"/>
    <w:pPr>
      <w:ind w:firstLine="830" w:firstLineChars="352"/>
    </w:pPr>
    <w:rPr>
      <w:rFonts w:ascii="仿宋_GB2312" w:eastAsia="仿宋_GB2312"/>
      <w:kern w:val="0"/>
      <w:sz w:val="32"/>
      <w:szCs w:val="20"/>
    </w:rPr>
  </w:style>
  <w:style w:type="paragraph" w:styleId="13">
    <w:name w:val="List 2"/>
    <w:basedOn w:val="1"/>
    <w:qFormat/>
    <w:uiPriority w:val="99"/>
    <w:pPr>
      <w:ind w:left="100" w:leftChars="200" w:hanging="200" w:hangingChars="200"/>
      <w:contextualSpacing/>
    </w:pPr>
  </w:style>
  <w:style w:type="paragraph" w:styleId="14">
    <w:name w:val="Block Text"/>
    <w:basedOn w:val="1"/>
    <w:qFormat/>
    <w:uiPriority w:val="99"/>
    <w:pPr>
      <w:adjustRightInd w:val="0"/>
      <w:ind w:left="420" w:right="33"/>
      <w:jc w:val="left"/>
      <w:textAlignment w:val="baseline"/>
    </w:pPr>
    <w:rPr>
      <w:kern w:val="0"/>
      <w:szCs w:val="20"/>
    </w:rPr>
  </w:style>
  <w:style w:type="paragraph" w:styleId="15">
    <w:name w:val="Plain Text"/>
    <w:basedOn w:val="1"/>
    <w:link w:val="42"/>
    <w:qFormat/>
    <w:uiPriority w:val="0"/>
    <w:rPr>
      <w:rFonts w:ascii="宋体" w:hAnsi="Courier New"/>
      <w:kern w:val="0"/>
      <w:sz w:val="20"/>
      <w:szCs w:val="21"/>
    </w:rPr>
  </w:style>
  <w:style w:type="paragraph" w:styleId="16">
    <w:name w:val="Date"/>
    <w:basedOn w:val="1"/>
    <w:next w:val="1"/>
    <w:link w:val="43"/>
    <w:qFormat/>
    <w:uiPriority w:val="99"/>
    <w:pPr>
      <w:ind w:left="100" w:leftChars="2500"/>
    </w:pPr>
  </w:style>
  <w:style w:type="paragraph" w:styleId="17">
    <w:name w:val="Balloon Text"/>
    <w:basedOn w:val="1"/>
    <w:link w:val="44"/>
    <w:semiHidden/>
    <w:qFormat/>
    <w:uiPriority w:val="99"/>
    <w:rPr>
      <w:sz w:val="18"/>
      <w:szCs w:val="18"/>
    </w:rPr>
  </w:style>
  <w:style w:type="paragraph" w:styleId="18">
    <w:name w:val="footer"/>
    <w:basedOn w:val="1"/>
    <w:link w:val="45"/>
    <w:qFormat/>
    <w:uiPriority w:val="99"/>
    <w:pPr>
      <w:tabs>
        <w:tab w:val="center" w:pos="4153"/>
        <w:tab w:val="right" w:pos="8306"/>
      </w:tabs>
      <w:snapToGrid w:val="0"/>
      <w:jc w:val="left"/>
    </w:pPr>
    <w:rPr>
      <w:kern w:val="0"/>
      <w:sz w:val="18"/>
      <w:szCs w:val="18"/>
    </w:rPr>
  </w:style>
  <w:style w:type="paragraph" w:styleId="19">
    <w:name w:val="header"/>
    <w:basedOn w:val="1"/>
    <w:link w:val="46"/>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qFormat/>
    <w:uiPriority w:val="99"/>
  </w:style>
  <w:style w:type="paragraph" w:styleId="21">
    <w:name w:val="Subtitle"/>
    <w:basedOn w:val="1"/>
    <w:next w:val="1"/>
    <w:qFormat/>
    <w:locked/>
    <w:uiPriority w:val="0"/>
    <w:pPr>
      <w:spacing w:before="240" w:after="60" w:line="312" w:lineRule="auto"/>
      <w:jc w:val="center"/>
      <w:outlineLvl w:val="1"/>
    </w:pPr>
    <w:rPr>
      <w:rFonts w:ascii="Arial" w:hAnsi="Arial" w:cs="Arial"/>
      <w:b/>
      <w:bCs/>
      <w:kern w:val="28"/>
      <w:sz w:val="32"/>
      <w:szCs w:val="32"/>
    </w:rPr>
  </w:style>
  <w:style w:type="paragraph" w:styleId="22">
    <w:name w:val="toc 2"/>
    <w:basedOn w:val="1"/>
    <w:next w:val="1"/>
    <w:qFormat/>
    <w:uiPriority w:val="99"/>
    <w:pPr>
      <w:tabs>
        <w:tab w:val="right" w:leader="dot" w:pos="8296"/>
      </w:tabs>
      <w:ind w:left="420" w:leftChars="200"/>
    </w:pPr>
  </w:style>
  <w:style w:type="paragraph" w:styleId="23">
    <w:name w:val="Normal (Web)"/>
    <w:basedOn w:val="1"/>
    <w:qFormat/>
    <w:uiPriority w:val="99"/>
    <w:rPr>
      <w:rFonts w:ascii="Calibri" w:hAnsi="Calibri"/>
      <w:kern w:val="0"/>
      <w:sz w:val="24"/>
    </w:rPr>
  </w:style>
  <w:style w:type="paragraph" w:styleId="24">
    <w:name w:val="annotation subject"/>
    <w:basedOn w:val="9"/>
    <w:next w:val="9"/>
    <w:link w:val="47"/>
    <w:qFormat/>
    <w:uiPriority w:val="99"/>
    <w:rPr>
      <w:b/>
      <w:bCs/>
    </w:rPr>
  </w:style>
  <w:style w:type="table" w:styleId="26">
    <w:name w:val="Table Grid"/>
    <w:basedOn w:val="25"/>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Strong"/>
    <w:qFormat/>
    <w:uiPriority w:val="99"/>
    <w:rPr>
      <w:rFonts w:cs="Times New Roman"/>
      <w:b/>
      <w:bCs/>
    </w:rPr>
  </w:style>
  <w:style w:type="character" w:styleId="29">
    <w:name w:val="FollowedHyperlink"/>
    <w:basedOn w:val="27"/>
    <w:semiHidden/>
    <w:unhideWhenUsed/>
    <w:qFormat/>
    <w:uiPriority w:val="99"/>
    <w:rPr>
      <w:color w:val="014CCC"/>
      <w:u w:val="none"/>
    </w:rPr>
  </w:style>
  <w:style w:type="character" w:styleId="30">
    <w:name w:val="Emphasis"/>
    <w:qFormat/>
    <w:uiPriority w:val="99"/>
    <w:rPr>
      <w:rFonts w:cs="Times New Roman"/>
      <w:i/>
      <w:iCs/>
    </w:rPr>
  </w:style>
  <w:style w:type="character" w:styleId="31">
    <w:name w:val="Hyperlink"/>
    <w:qFormat/>
    <w:uiPriority w:val="99"/>
    <w:rPr>
      <w:rFonts w:cs="Times New Roman"/>
      <w:color w:val="0000FF"/>
      <w:u w:val="single"/>
    </w:rPr>
  </w:style>
  <w:style w:type="character" w:styleId="32">
    <w:name w:val="annotation reference"/>
    <w:qFormat/>
    <w:uiPriority w:val="0"/>
    <w:rPr>
      <w:rFonts w:cs="Times New Roman"/>
      <w:sz w:val="21"/>
    </w:rPr>
  </w:style>
  <w:style w:type="paragraph" w:styleId="3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标题 1 字符1"/>
    <w:link w:val="2"/>
    <w:qFormat/>
    <w:locked/>
    <w:uiPriority w:val="99"/>
    <w:rPr>
      <w:b/>
      <w:kern w:val="44"/>
      <w:sz w:val="44"/>
    </w:rPr>
  </w:style>
  <w:style w:type="character" w:customStyle="1" w:styleId="35">
    <w:name w:val="标题 2 字符"/>
    <w:link w:val="3"/>
    <w:qFormat/>
    <w:locked/>
    <w:uiPriority w:val="99"/>
    <w:rPr>
      <w:rFonts w:ascii="Cambria" w:hAnsi="Cambria" w:eastAsia="宋体"/>
      <w:b/>
      <w:kern w:val="2"/>
      <w:sz w:val="32"/>
    </w:rPr>
  </w:style>
  <w:style w:type="character" w:customStyle="1" w:styleId="36">
    <w:name w:val="标题 3 字符"/>
    <w:link w:val="4"/>
    <w:semiHidden/>
    <w:qFormat/>
    <w:locked/>
    <w:uiPriority w:val="99"/>
    <w:rPr>
      <w:rFonts w:cs="Times New Roman"/>
      <w:b/>
      <w:bCs/>
      <w:kern w:val="2"/>
      <w:sz w:val="32"/>
      <w:szCs w:val="32"/>
    </w:rPr>
  </w:style>
  <w:style w:type="character" w:customStyle="1" w:styleId="37">
    <w:name w:val="标题 5 字符"/>
    <w:link w:val="5"/>
    <w:semiHidden/>
    <w:qFormat/>
    <w:locked/>
    <w:uiPriority w:val="99"/>
    <w:rPr>
      <w:rFonts w:ascii="Times New Roman" w:hAnsi="Times New Roman"/>
      <w:b/>
      <w:kern w:val="2"/>
      <w:sz w:val="28"/>
    </w:rPr>
  </w:style>
  <w:style w:type="character" w:customStyle="1" w:styleId="38">
    <w:name w:val="批注文字 字符"/>
    <w:link w:val="9"/>
    <w:qFormat/>
    <w:locked/>
    <w:uiPriority w:val="99"/>
    <w:rPr>
      <w:rFonts w:ascii="Times New Roman" w:hAnsi="Times New Roman"/>
      <w:kern w:val="2"/>
      <w:sz w:val="24"/>
    </w:rPr>
  </w:style>
  <w:style w:type="character" w:customStyle="1" w:styleId="39">
    <w:name w:val="正文文本 3 字符"/>
    <w:link w:val="10"/>
    <w:semiHidden/>
    <w:qFormat/>
    <w:locked/>
    <w:uiPriority w:val="99"/>
    <w:rPr>
      <w:rFonts w:ascii="Times New Roman" w:hAnsi="Times New Roman"/>
      <w:kern w:val="2"/>
      <w:sz w:val="16"/>
    </w:rPr>
  </w:style>
  <w:style w:type="character" w:customStyle="1" w:styleId="40">
    <w:name w:val="正文文本 字符"/>
    <w:link w:val="11"/>
    <w:qFormat/>
    <w:locked/>
    <w:uiPriority w:val="99"/>
    <w:rPr>
      <w:rFonts w:ascii="Times New Roman" w:hAnsi="Times New Roman"/>
      <w:kern w:val="2"/>
      <w:sz w:val="24"/>
    </w:rPr>
  </w:style>
  <w:style w:type="character" w:customStyle="1" w:styleId="41">
    <w:name w:val="正文文本缩进 字符"/>
    <w:link w:val="12"/>
    <w:qFormat/>
    <w:locked/>
    <w:uiPriority w:val="99"/>
    <w:rPr>
      <w:rFonts w:ascii="仿宋_GB2312" w:hAnsi="Times New Roman" w:eastAsia="仿宋_GB2312"/>
      <w:sz w:val="20"/>
    </w:rPr>
  </w:style>
  <w:style w:type="character" w:customStyle="1" w:styleId="42">
    <w:name w:val="纯文本 字符"/>
    <w:link w:val="15"/>
    <w:qFormat/>
    <w:locked/>
    <w:uiPriority w:val="0"/>
    <w:rPr>
      <w:rFonts w:ascii="宋体" w:hAnsi="Courier New" w:eastAsia="宋体"/>
      <w:sz w:val="21"/>
    </w:rPr>
  </w:style>
  <w:style w:type="character" w:customStyle="1" w:styleId="43">
    <w:name w:val="日期 字符"/>
    <w:link w:val="16"/>
    <w:semiHidden/>
    <w:qFormat/>
    <w:locked/>
    <w:uiPriority w:val="99"/>
    <w:rPr>
      <w:rFonts w:ascii="Times New Roman" w:hAnsi="Times New Roman"/>
      <w:kern w:val="2"/>
      <w:sz w:val="24"/>
    </w:rPr>
  </w:style>
  <w:style w:type="character" w:customStyle="1" w:styleId="44">
    <w:name w:val="批注框文本 字符"/>
    <w:link w:val="17"/>
    <w:semiHidden/>
    <w:qFormat/>
    <w:uiPriority w:val="99"/>
    <w:rPr>
      <w:sz w:val="0"/>
      <w:szCs w:val="0"/>
    </w:rPr>
  </w:style>
  <w:style w:type="character" w:customStyle="1" w:styleId="45">
    <w:name w:val="页脚 字符"/>
    <w:link w:val="18"/>
    <w:qFormat/>
    <w:locked/>
    <w:uiPriority w:val="99"/>
    <w:rPr>
      <w:sz w:val="18"/>
    </w:rPr>
  </w:style>
  <w:style w:type="character" w:customStyle="1" w:styleId="46">
    <w:name w:val="页眉 字符"/>
    <w:link w:val="19"/>
    <w:qFormat/>
    <w:locked/>
    <w:uiPriority w:val="99"/>
    <w:rPr>
      <w:sz w:val="18"/>
    </w:rPr>
  </w:style>
  <w:style w:type="character" w:customStyle="1" w:styleId="47">
    <w:name w:val="批注主题 字符"/>
    <w:link w:val="24"/>
    <w:qFormat/>
    <w:locked/>
    <w:uiPriority w:val="99"/>
    <w:rPr>
      <w:rFonts w:ascii="Times New Roman" w:hAnsi="Times New Roman"/>
      <w:b/>
      <w:kern w:val="2"/>
      <w:sz w:val="24"/>
    </w:rPr>
  </w:style>
  <w:style w:type="paragraph" w:customStyle="1" w:styleId="48">
    <w:name w:val="Style1"/>
    <w:basedOn w:val="1"/>
    <w:qFormat/>
    <w:uiPriority w:val="99"/>
    <w:pPr>
      <w:widowControl/>
      <w:tabs>
        <w:tab w:val="left" w:pos="-720"/>
      </w:tabs>
      <w:spacing w:after="120"/>
    </w:pPr>
    <w:rPr>
      <w:spacing w:val="-3"/>
      <w:kern w:val="0"/>
      <w:sz w:val="24"/>
      <w:szCs w:val="20"/>
      <w:lang w:val="en-AU" w:eastAsia="en-US"/>
    </w:rPr>
  </w:style>
  <w:style w:type="character" w:customStyle="1" w:styleId="49">
    <w:name w:val="批注文字 Char2"/>
    <w:qFormat/>
    <w:uiPriority w:val="99"/>
    <w:rPr>
      <w:rFonts w:ascii="Times New Roman" w:hAnsi="Times New Roman"/>
      <w:kern w:val="2"/>
      <w:sz w:val="24"/>
    </w:rPr>
  </w:style>
  <w:style w:type="character" w:customStyle="1" w:styleId="50">
    <w:name w:val="纯文本 字符2"/>
    <w:qFormat/>
    <w:uiPriority w:val="99"/>
    <w:rPr>
      <w:rFonts w:ascii="宋体" w:hAnsi="Courier New" w:eastAsia="宋体"/>
      <w:sz w:val="21"/>
    </w:rPr>
  </w:style>
  <w:style w:type="character" w:customStyle="1" w:styleId="51">
    <w:name w:val="正文2 Char Char"/>
    <w:link w:val="52"/>
    <w:qFormat/>
    <w:locked/>
    <w:uiPriority w:val="99"/>
    <w:rPr>
      <w:kern w:val="2"/>
      <w:sz w:val="24"/>
    </w:rPr>
  </w:style>
  <w:style w:type="paragraph" w:customStyle="1" w:styleId="52">
    <w:name w:val="正文2"/>
    <w:basedOn w:val="1"/>
    <w:link w:val="51"/>
    <w:qFormat/>
    <w:uiPriority w:val="99"/>
    <w:pPr>
      <w:adjustRightInd w:val="0"/>
      <w:spacing w:before="156" w:line="360" w:lineRule="auto"/>
      <w:ind w:firstLine="510" w:firstLineChars="200"/>
    </w:pPr>
    <w:rPr>
      <w:sz w:val="24"/>
      <w:szCs w:val="20"/>
    </w:rPr>
  </w:style>
  <w:style w:type="character" w:customStyle="1" w:styleId="53">
    <w:name w:val="标题 1 字符"/>
    <w:qFormat/>
    <w:uiPriority w:val="99"/>
    <w:rPr>
      <w:b/>
      <w:kern w:val="44"/>
      <w:sz w:val="44"/>
    </w:rPr>
  </w:style>
  <w:style w:type="character" w:customStyle="1" w:styleId="54">
    <w:name w:val="批注文字 字符2"/>
    <w:qFormat/>
    <w:uiPriority w:val="99"/>
    <w:rPr>
      <w:rFonts w:ascii="Times New Roman" w:hAnsi="Times New Roman"/>
      <w:kern w:val="2"/>
      <w:sz w:val="24"/>
    </w:rPr>
  </w:style>
  <w:style w:type="character" w:customStyle="1" w:styleId="55">
    <w:name w:val="批注文字 Char1"/>
    <w:qFormat/>
    <w:uiPriority w:val="99"/>
    <w:rPr>
      <w:rFonts w:ascii="Times New Roman" w:hAnsi="Times New Roman"/>
      <w:kern w:val="2"/>
      <w:sz w:val="24"/>
    </w:rPr>
  </w:style>
  <w:style w:type="character" w:customStyle="1" w:styleId="56">
    <w:name w:val="页脚 Char"/>
    <w:qFormat/>
    <w:uiPriority w:val="99"/>
    <w:rPr>
      <w:lang w:eastAsia="zh-CN"/>
    </w:rPr>
  </w:style>
  <w:style w:type="character" w:customStyle="1" w:styleId="57">
    <w:name w:val="textcontents"/>
    <w:qFormat/>
    <w:uiPriority w:val="99"/>
  </w:style>
  <w:style w:type="character" w:customStyle="1" w:styleId="58">
    <w:name w:val="纯文本 字符1"/>
    <w:qFormat/>
    <w:uiPriority w:val="99"/>
    <w:rPr>
      <w:rFonts w:ascii="宋体" w:hAnsi="Courier New"/>
    </w:rPr>
  </w:style>
  <w:style w:type="character" w:customStyle="1" w:styleId="59">
    <w:name w:val="正文文本缩进 字符1"/>
    <w:qFormat/>
    <w:uiPriority w:val="99"/>
    <w:rPr>
      <w:rFonts w:ascii="仿宋_GB2312" w:hAnsi="Times New Roman" w:eastAsia="仿宋_GB2312"/>
      <w:sz w:val="20"/>
    </w:rPr>
  </w:style>
  <w:style w:type="character" w:customStyle="1" w:styleId="60">
    <w:name w:val="正文文本 (26) + 间距 0 pt"/>
    <w:qFormat/>
    <w:uiPriority w:val="99"/>
    <w:rPr>
      <w:rFonts w:ascii="宋体" w:hAnsi="宋体" w:eastAsia="宋体"/>
      <w:color w:val="000000"/>
      <w:spacing w:val="0"/>
      <w:w w:val="100"/>
      <w:position w:val="0"/>
      <w:sz w:val="22"/>
      <w:u w:val="none"/>
      <w:lang w:val="zh-CN" w:eastAsia="zh-CN"/>
    </w:rPr>
  </w:style>
  <w:style w:type="character" w:customStyle="1" w:styleId="61">
    <w:name w:val="apple-style-span"/>
    <w:qFormat/>
    <w:uiPriority w:val="99"/>
  </w:style>
  <w:style w:type="character" w:customStyle="1" w:styleId="62">
    <w:name w:val="纯文本 Char1"/>
    <w:qFormat/>
    <w:uiPriority w:val="0"/>
    <w:rPr>
      <w:rFonts w:ascii="宋体" w:hAnsi="Courier New" w:eastAsia="宋体"/>
      <w:sz w:val="21"/>
    </w:rPr>
  </w:style>
  <w:style w:type="character" w:customStyle="1" w:styleId="63">
    <w:name w:val="批注文字 字符1"/>
    <w:qFormat/>
    <w:uiPriority w:val="99"/>
    <w:rPr>
      <w:kern w:val="2"/>
      <w:sz w:val="24"/>
    </w:rPr>
  </w:style>
  <w:style w:type="paragraph" w:customStyle="1" w:styleId="64">
    <w:name w:val="Table Paragraph"/>
    <w:basedOn w:val="1"/>
    <w:qFormat/>
    <w:uiPriority w:val="99"/>
    <w:pPr>
      <w:jc w:val="left"/>
    </w:pPr>
    <w:rPr>
      <w:rFonts w:ascii="Calibri" w:hAnsi="Calibri"/>
      <w:kern w:val="0"/>
      <w:sz w:val="22"/>
      <w:szCs w:val="22"/>
      <w:lang w:eastAsia="en-US"/>
    </w:rPr>
  </w:style>
  <w:style w:type="paragraph" w:styleId="65">
    <w:name w:val="List Paragraph"/>
    <w:basedOn w:val="1"/>
    <w:qFormat/>
    <w:uiPriority w:val="99"/>
    <w:pPr>
      <w:ind w:firstLine="420" w:firstLineChars="200"/>
    </w:pPr>
  </w:style>
  <w:style w:type="paragraph" w:customStyle="1" w:styleId="66">
    <w:name w:val="默认段落字体 Para Char Char Char Char Char Char Char Char Char1 Char Char Char Char"/>
    <w:basedOn w:val="1"/>
    <w:qFormat/>
    <w:uiPriority w:val="99"/>
    <w:rPr>
      <w:rFonts w:ascii="Tahoma" w:hAnsi="Tahoma"/>
      <w:sz w:val="24"/>
      <w:szCs w:val="20"/>
    </w:rPr>
  </w:style>
  <w:style w:type="paragraph" w:customStyle="1" w:styleId="67">
    <w:name w:val="表内文字"/>
    <w:basedOn w:val="1"/>
    <w:qFormat/>
    <w:uiPriority w:val="99"/>
    <w:pPr>
      <w:snapToGrid w:val="0"/>
      <w:spacing w:before="50" w:after="50"/>
      <w:jc w:val="center"/>
    </w:pPr>
    <w:rPr>
      <w:rFonts w:ascii="仿宋_GB2312" w:hAnsi="宋体" w:eastAsia="仿宋_GB2312"/>
      <w:b/>
      <w:color w:val="000000"/>
      <w:sz w:val="32"/>
      <w:szCs w:val="32"/>
    </w:rPr>
  </w:style>
  <w:style w:type="paragraph" w:customStyle="1" w:styleId="68">
    <w:name w:val="修订1"/>
    <w:qFormat/>
    <w:uiPriority w:val="99"/>
    <w:rPr>
      <w:rFonts w:ascii="Times New Roman" w:hAnsi="Times New Roman" w:eastAsia="宋体" w:cs="Times New Roman"/>
      <w:kern w:val="2"/>
      <w:sz w:val="21"/>
      <w:szCs w:val="24"/>
      <w:lang w:val="en-US" w:eastAsia="zh-CN" w:bidi="ar-SA"/>
    </w:rPr>
  </w:style>
  <w:style w:type="character" w:customStyle="1" w:styleId="69">
    <w:name w:val="font21"/>
    <w:qFormat/>
    <w:uiPriority w:val="99"/>
    <w:rPr>
      <w:rFonts w:ascii="宋体" w:hAnsi="宋体" w:eastAsia="宋体"/>
      <w:color w:val="000000"/>
      <w:sz w:val="21"/>
      <w:u w:val="none"/>
    </w:rPr>
  </w:style>
  <w:style w:type="paragraph" w:customStyle="1" w:styleId="70">
    <w:name w:val="Revision1"/>
    <w:qFormat/>
    <w:uiPriority w:val="99"/>
    <w:rPr>
      <w:rFonts w:ascii="Times New Roman" w:hAnsi="Times New Roman" w:eastAsia="宋体" w:cs="Times New Roman"/>
      <w:kern w:val="2"/>
      <w:sz w:val="21"/>
      <w:szCs w:val="24"/>
      <w:lang w:val="en-US" w:eastAsia="zh-CN" w:bidi="ar-SA"/>
    </w:rPr>
  </w:style>
  <w:style w:type="paragraph" w:customStyle="1" w:styleId="71">
    <w:name w:val="ItemDescription"/>
    <w:basedOn w:val="1"/>
    <w:qFormat/>
    <w:uiPriority w:val="99"/>
    <w:pPr>
      <w:tabs>
        <w:tab w:val="right" w:pos="1420"/>
        <w:tab w:val="left" w:pos="1580"/>
        <w:tab w:val="right" w:pos="9620"/>
      </w:tabs>
      <w:spacing w:before="200"/>
    </w:pPr>
    <w:rPr>
      <w:rFonts w:ascii="宋体"/>
      <w:b/>
    </w:rPr>
  </w:style>
  <w:style w:type="paragraph" w:customStyle="1" w:styleId="72">
    <w:name w:val="Standard"/>
    <w:qFormat/>
    <w:uiPriority w:val="99"/>
    <w:pPr>
      <w:widowControl w:val="0"/>
    </w:pPr>
    <w:rPr>
      <w:rFonts w:ascii="Arial" w:hAnsi="Arial" w:eastAsia="宋体" w:cs="Times New Roman"/>
      <w:lang w:val="de-DE" w:eastAsia="zh-CN" w:bidi="ar-SA"/>
    </w:rPr>
  </w:style>
  <w:style w:type="paragraph" w:customStyle="1" w:styleId="73">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74">
    <w:name w:val="PlainText"/>
    <w:basedOn w:val="1"/>
    <w:qFormat/>
    <w:uiPriority w:val="0"/>
    <w:rPr>
      <w:rFonts w:ascii="宋体" w:hAnsi="Courier New"/>
      <w:szCs w:val="21"/>
    </w:rPr>
  </w:style>
  <w:style w:type="paragraph" w:customStyle="1" w:styleId="75">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76">
    <w:name w:val="表格文字"/>
    <w:basedOn w:val="1"/>
    <w:qFormat/>
    <w:uiPriority w:val="99"/>
    <w:pPr>
      <w:spacing w:before="25" w:after="25"/>
      <w:ind w:firstLine="315" w:firstLineChars="150"/>
    </w:pPr>
    <w:rPr>
      <w:bCs/>
      <w:color w:val="000000"/>
    </w:rPr>
  </w:style>
  <w:style w:type="character" w:customStyle="1" w:styleId="77">
    <w:name w:val="标题 8 字符"/>
    <w:basedOn w:val="27"/>
    <w:link w:val="7"/>
    <w:qFormat/>
    <w:uiPriority w:val="0"/>
    <w:rPr>
      <w:rFonts w:asciiTheme="majorHAnsi" w:hAnsiTheme="majorHAnsi" w:eastAsiaTheme="majorEastAsia" w:cstheme="majorBidi"/>
      <w:kern w:val="2"/>
      <w:sz w:val="24"/>
      <w:szCs w:val="24"/>
    </w:rPr>
  </w:style>
  <w:style w:type="character" w:customStyle="1" w:styleId="78">
    <w:name w:val="font01"/>
    <w:basedOn w:val="27"/>
    <w:qFormat/>
    <w:uiPriority w:val="0"/>
    <w:rPr>
      <w:rFonts w:hint="default" w:ascii="宋体-简" w:hAnsi="宋体-简" w:eastAsia="宋体-简" w:cs="宋体-简"/>
      <w:color w:val="000000"/>
      <w:sz w:val="21"/>
      <w:szCs w:val="21"/>
      <w:u w:val="none"/>
    </w:rPr>
  </w:style>
  <w:style w:type="character" w:customStyle="1" w:styleId="79">
    <w:name w:val="font12"/>
    <w:basedOn w:val="27"/>
    <w:qFormat/>
    <w:uiPriority w:val="0"/>
    <w:rPr>
      <w:rFonts w:ascii="PingFang SC" w:hAnsi="PingFang SC" w:eastAsia="PingFang SC" w:cs="PingFang SC"/>
      <w:color w:val="000000"/>
      <w:sz w:val="21"/>
      <w:szCs w:val="21"/>
      <w:u w:val="none"/>
    </w:rPr>
  </w:style>
  <w:style w:type="character" w:customStyle="1" w:styleId="80">
    <w:name w:val="font111"/>
    <w:basedOn w:val="27"/>
    <w:qFormat/>
    <w:uiPriority w:val="0"/>
    <w:rPr>
      <w:rFonts w:hint="eastAsia" w:ascii="宋体" w:hAnsi="宋体" w:eastAsia="宋体" w:cs="宋体"/>
      <w:color w:val="000000"/>
      <w:sz w:val="20"/>
      <w:szCs w:val="20"/>
      <w:u w:val="none"/>
    </w:rPr>
  </w:style>
  <w:style w:type="character" w:customStyle="1" w:styleId="81">
    <w:name w:val="font61"/>
    <w:basedOn w:val="27"/>
    <w:qFormat/>
    <w:uiPriority w:val="0"/>
    <w:rPr>
      <w:rFonts w:hint="default" w:ascii="PingFang SC" w:hAnsi="PingFang SC" w:eastAsia="PingFang SC" w:cs="PingFang SC"/>
      <w:color w:val="000000"/>
      <w:sz w:val="20"/>
      <w:szCs w:val="20"/>
      <w:u w:val="none"/>
    </w:rPr>
  </w:style>
  <w:style w:type="character" w:customStyle="1" w:styleId="8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66AFEC-5031-4352-990F-24CC5698C0CB}">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127</Pages>
  <Words>19172</Words>
  <Characters>20479</Characters>
  <Lines>3202</Lines>
  <Paragraphs>1797</Paragraphs>
  <TotalTime>10</TotalTime>
  <ScaleCrop>false</ScaleCrop>
  <LinksUpToDate>false</LinksUpToDate>
  <CharactersWithSpaces>20569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2025-06-12T09:24:00Z</dcterms:created>
  <dc:creator>唐冰</dc:creator>
  <cp:lastModifiedBy>Administrator</cp:lastModifiedBy>
  <cp:lastPrinted>2025-06-18T07:56:00Z</cp:lastPrinted>
  <dcterms:modified xsi:type="dcterms:W3CDTF">2025-09-28T09:21:45Z</dcterms:modified>
  <dc:title>竞争性谈判文件规范</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2920F8E025C2407B98BF78FDD4B93275_13</vt:lpwstr>
  </property>
  <property fmtid="{D5CDD505-2E9C-101B-9397-08002B2CF9AE}" pid="4" name="KSOTemplateDocerSaveRecord">
    <vt:lpwstr>eyJoZGlkIjoiNzI5OWM3OGY1NTAzMjZjNjUxMTAzMDE0ZGZiNTY1MWMifQ==</vt:lpwstr>
  </property>
</Properties>
</file>