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14853">
      <w:pPr>
        <w:spacing w:line="360" w:lineRule="auto"/>
        <w:jc w:val="center"/>
        <w:rPr>
          <w:rFonts w:ascii="宋体" w:hAnsi="宋体" w:cs="宋体"/>
          <w:color w:val="auto"/>
          <w:sz w:val="52"/>
          <w:szCs w:val="52"/>
          <w:highlight w:val="none"/>
        </w:rPr>
      </w:pPr>
    </w:p>
    <w:p w14:paraId="23416F8C">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云之龙咨询集团有限公司</w:t>
      </w:r>
    </w:p>
    <w:p w14:paraId="43273AA7">
      <w:pPr>
        <w:spacing w:line="360" w:lineRule="auto"/>
        <w:jc w:val="center"/>
        <w:rPr>
          <w:rFonts w:ascii="宋体" w:hAnsi="宋体" w:cs="宋体"/>
          <w:b/>
          <w:color w:val="auto"/>
          <w:sz w:val="48"/>
          <w:szCs w:val="48"/>
          <w:highlight w:val="none"/>
        </w:rPr>
      </w:pPr>
    </w:p>
    <w:p w14:paraId="43264C67">
      <w:pPr>
        <w:snapToGrid w:val="0"/>
        <w:spacing w:before="120" w:beforeLines="50" w:line="360" w:lineRule="auto"/>
        <w:jc w:val="center"/>
        <w:rPr>
          <w:rFonts w:ascii="宋体" w:hAnsi="宋体" w:cs="宋体"/>
          <w:color w:val="auto"/>
          <w:sz w:val="120"/>
          <w:szCs w:val="120"/>
          <w:highlight w:val="none"/>
        </w:rPr>
      </w:pPr>
      <w:r>
        <w:rPr>
          <w:rFonts w:hint="eastAsia" w:ascii="宋体" w:hAnsi="宋体" w:cs="宋体"/>
          <w:color w:val="auto"/>
          <w:sz w:val="120"/>
          <w:szCs w:val="120"/>
          <w:highlight w:val="none"/>
        </w:rPr>
        <w:t>招 标 文 件</w:t>
      </w:r>
    </w:p>
    <w:p w14:paraId="17F9A0DA">
      <w:pPr>
        <w:snapToGrid w:val="0"/>
        <w:spacing w:line="360" w:lineRule="auto"/>
        <w:rPr>
          <w:rFonts w:ascii="宋体" w:hAnsi="宋体" w:cs="宋体"/>
          <w:color w:val="auto"/>
          <w:sz w:val="30"/>
          <w:szCs w:val="72"/>
          <w:highlight w:val="none"/>
        </w:rPr>
      </w:pPr>
    </w:p>
    <w:p w14:paraId="5E0A9107">
      <w:pPr>
        <w:pStyle w:val="25"/>
        <w:snapToGrid w:val="0"/>
        <w:spacing w:line="360" w:lineRule="auto"/>
        <w:ind w:left="840" w:leftChars="400" w:firstLine="286" w:firstLineChars="100"/>
        <w:rPr>
          <w:rFonts w:hAnsi="宋体" w:cs="宋体"/>
          <w:b/>
          <w:bCs/>
          <w:color w:val="auto"/>
          <w:w w:val="95"/>
          <w:sz w:val="30"/>
          <w:szCs w:val="30"/>
          <w:highlight w:val="none"/>
        </w:rPr>
      </w:pPr>
      <w:r>
        <w:rPr>
          <w:rFonts w:hint="eastAsia" w:hAnsi="宋体" w:cs="宋体"/>
          <w:b/>
          <w:bCs/>
          <w:color w:val="auto"/>
          <w:w w:val="95"/>
          <w:sz w:val="30"/>
          <w:szCs w:val="30"/>
          <w:highlight w:val="none"/>
        </w:rPr>
        <w:t>项目名称：监护仪一批</w:t>
      </w:r>
    </w:p>
    <w:p w14:paraId="69D6BAE6">
      <w:pPr>
        <w:pStyle w:val="25"/>
        <w:snapToGrid w:val="0"/>
        <w:spacing w:line="360" w:lineRule="auto"/>
        <w:ind w:left="840" w:leftChars="400" w:firstLine="286" w:firstLineChars="100"/>
        <w:rPr>
          <w:rFonts w:hAnsi="宋体" w:cs="宋体"/>
          <w:b/>
          <w:bCs/>
          <w:color w:val="auto"/>
          <w:w w:val="95"/>
          <w:sz w:val="30"/>
          <w:szCs w:val="30"/>
          <w:highlight w:val="none"/>
        </w:rPr>
      </w:pPr>
      <w:r>
        <w:rPr>
          <w:rFonts w:hint="eastAsia" w:hAnsi="宋体" w:cs="宋体"/>
          <w:b/>
          <w:bCs/>
          <w:color w:val="auto"/>
          <w:w w:val="95"/>
          <w:sz w:val="30"/>
          <w:szCs w:val="30"/>
          <w:highlight w:val="none"/>
        </w:rPr>
        <w:t>项目编号：GXZC2025-G1-001543-YZLZ</w:t>
      </w:r>
    </w:p>
    <w:p w14:paraId="52840323">
      <w:pPr>
        <w:pStyle w:val="25"/>
        <w:snapToGrid w:val="0"/>
        <w:spacing w:line="360" w:lineRule="auto"/>
        <w:ind w:firstLine="1145" w:firstLineChars="400"/>
        <w:rPr>
          <w:rFonts w:hAnsi="宋体" w:cs="宋体"/>
          <w:b/>
          <w:bCs/>
          <w:color w:val="auto"/>
          <w:w w:val="95"/>
          <w:sz w:val="30"/>
          <w:szCs w:val="30"/>
          <w:highlight w:val="none"/>
        </w:rPr>
      </w:pPr>
      <w:r>
        <w:rPr>
          <w:rFonts w:hint="eastAsia" w:hAnsi="宋体" w:cs="宋体"/>
          <w:b/>
          <w:bCs/>
          <w:color w:val="auto"/>
          <w:w w:val="95"/>
          <w:sz w:val="30"/>
          <w:szCs w:val="30"/>
          <w:highlight w:val="none"/>
        </w:rPr>
        <w:t>采 购 人：桂林医学院附属医院</w:t>
      </w:r>
    </w:p>
    <w:p w14:paraId="109369F4">
      <w:pPr>
        <w:pStyle w:val="25"/>
        <w:snapToGrid w:val="0"/>
        <w:spacing w:line="360" w:lineRule="auto"/>
        <w:ind w:firstLine="1145" w:firstLineChars="4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采购代理机构：云之龙咨询集团有限公司</w:t>
      </w:r>
    </w:p>
    <w:p w14:paraId="2F310FA0">
      <w:pPr>
        <w:pStyle w:val="25"/>
        <w:snapToGrid w:val="0"/>
        <w:spacing w:line="360" w:lineRule="auto"/>
        <w:ind w:firstLine="1125" w:firstLineChars="393"/>
        <w:rPr>
          <w:rFonts w:hAnsi="宋体" w:cs="宋体"/>
          <w:b/>
          <w:bCs/>
          <w:color w:val="auto"/>
          <w:w w:val="95"/>
          <w:sz w:val="30"/>
          <w:szCs w:val="30"/>
          <w:highlight w:val="none"/>
        </w:rPr>
      </w:pPr>
    </w:p>
    <w:p w14:paraId="56CF63B6">
      <w:pPr>
        <w:pStyle w:val="25"/>
        <w:snapToGrid w:val="0"/>
        <w:spacing w:line="360" w:lineRule="auto"/>
        <w:ind w:firstLine="1125" w:firstLineChars="393"/>
        <w:rPr>
          <w:rFonts w:hAnsi="宋体" w:cs="宋体"/>
          <w:b/>
          <w:bCs/>
          <w:color w:val="auto"/>
          <w:w w:val="95"/>
          <w:sz w:val="30"/>
          <w:szCs w:val="30"/>
          <w:highlight w:val="none"/>
        </w:rPr>
      </w:pPr>
    </w:p>
    <w:p w14:paraId="5FD17A9B">
      <w:pPr>
        <w:pStyle w:val="25"/>
        <w:snapToGrid w:val="0"/>
        <w:spacing w:line="360" w:lineRule="auto"/>
        <w:jc w:val="center"/>
        <w:rPr>
          <w:rFonts w:hAnsi="宋体" w:cs="宋体"/>
          <w:color w:val="auto"/>
          <w:szCs w:val="20"/>
          <w:highlight w:val="none"/>
        </w:rPr>
      </w:pPr>
      <w:r>
        <w:rPr>
          <w:rFonts w:hint="eastAsia" w:hAnsi="宋体" w:cs="宋体"/>
          <w:b/>
          <w:bCs/>
          <w:color w:val="auto"/>
          <w:w w:val="95"/>
          <w:sz w:val="30"/>
          <w:szCs w:val="30"/>
          <w:highlight w:val="none"/>
        </w:rPr>
        <w:t>2025年</w:t>
      </w:r>
      <w:r>
        <w:rPr>
          <w:rFonts w:hint="eastAsia" w:hAnsi="宋体" w:cs="宋体"/>
          <w:b/>
          <w:bCs/>
          <w:color w:val="auto"/>
          <w:w w:val="95"/>
          <w:sz w:val="30"/>
          <w:szCs w:val="30"/>
          <w:highlight w:val="none"/>
          <w:lang w:val="en-US" w:eastAsia="zh-CN"/>
        </w:rPr>
        <w:t>7</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15</w:t>
      </w:r>
      <w:r>
        <w:rPr>
          <w:rFonts w:hint="eastAsia" w:hAnsi="宋体" w:cs="宋体"/>
          <w:b/>
          <w:bCs/>
          <w:color w:val="auto"/>
          <w:w w:val="95"/>
          <w:sz w:val="30"/>
          <w:szCs w:val="30"/>
          <w:highlight w:val="none"/>
        </w:rPr>
        <w:t>日</w:t>
      </w:r>
    </w:p>
    <w:p w14:paraId="6B881171">
      <w:pPr>
        <w:pStyle w:val="17"/>
        <w:ind w:firstLine="803"/>
        <w:jc w:val="center"/>
        <w:rPr>
          <w:rFonts w:ascii="宋体" w:hAnsi="宋体" w:cs="宋体"/>
          <w:bCs/>
          <w:color w:val="auto"/>
          <w:kern w:val="0"/>
          <w:sz w:val="32"/>
          <w:szCs w:val="32"/>
          <w:highlight w:val="none"/>
        </w:rPr>
      </w:pPr>
    </w:p>
    <w:p w14:paraId="3BF903B8">
      <w:pPr>
        <w:pStyle w:val="25"/>
        <w:spacing w:before="120" w:after="120" w:line="360" w:lineRule="auto"/>
        <w:jc w:val="center"/>
        <w:rPr>
          <w:rFonts w:hAnsi="宋体" w:cs="宋体"/>
          <w:b/>
          <w:color w:val="auto"/>
          <w:sz w:val="44"/>
          <w:szCs w:val="44"/>
          <w:highlight w:val="none"/>
        </w:rPr>
      </w:pPr>
    </w:p>
    <w:p w14:paraId="2AC5D0FD">
      <w:pPr>
        <w:pStyle w:val="25"/>
        <w:spacing w:before="120" w:after="120" w:line="360" w:lineRule="auto"/>
        <w:jc w:val="center"/>
        <w:rPr>
          <w:rFonts w:hAnsi="宋体" w:cs="宋体"/>
          <w:b/>
          <w:color w:val="auto"/>
          <w:sz w:val="44"/>
          <w:szCs w:val="44"/>
          <w:highlight w:val="none"/>
        </w:rPr>
      </w:pPr>
    </w:p>
    <w:p w14:paraId="71E2610B">
      <w:pPr>
        <w:pStyle w:val="25"/>
        <w:spacing w:before="120" w:after="120" w:line="360" w:lineRule="auto"/>
        <w:jc w:val="center"/>
        <w:rPr>
          <w:rFonts w:hAnsi="宋体" w:cs="宋体"/>
          <w:b/>
          <w:color w:val="auto"/>
          <w:sz w:val="44"/>
          <w:szCs w:val="44"/>
          <w:highlight w:val="none"/>
        </w:rPr>
      </w:pPr>
    </w:p>
    <w:p w14:paraId="3DF7C2AA">
      <w:pPr>
        <w:pStyle w:val="25"/>
        <w:spacing w:before="120" w:after="120" w:line="360" w:lineRule="auto"/>
        <w:jc w:val="center"/>
        <w:rPr>
          <w:rFonts w:hAnsi="宋体" w:cs="宋体"/>
          <w:b/>
          <w:color w:val="auto"/>
          <w:sz w:val="44"/>
          <w:szCs w:val="44"/>
          <w:highlight w:val="none"/>
        </w:rPr>
      </w:pPr>
      <w:r>
        <w:rPr>
          <w:rFonts w:hint="eastAsia" w:hAnsi="宋体" w:cs="宋体"/>
          <w:b/>
          <w:color w:val="auto"/>
          <w:sz w:val="44"/>
          <w:szCs w:val="44"/>
          <w:highlight w:val="none"/>
        </w:rPr>
        <w:t>目  录</w:t>
      </w:r>
    </w:p>
    <w:p w14:paraId="1636D576">
      <w:pPr>
        <w:pStyle w:val="34"/>
        <w:rPr>
          <w:rFonts w:cs="宋体"/>
          <w:b w:val="0"/>
          <w:bCs w:val="0"/>
          <w:caps w:val="0"/>
          <w:color w:val="auto"/>
          <w:sz w:val="21"/>
          <w:szCs w:val="22"/>
          <w:highlight w:val="none"/>
        </w:rPr>
      </w:pPr>
      <w:r>
        <w:rPr>
          <w:rFonts w:hint="eastAsia" w:cs="宋体"/>
          <w:b w:val="0"/>
          <w:bCs w:val="0"/>
          <w:caps w:val="0"/>
          <w:color w:val="auto"/>
          <w:highlight w:val="none"/>
        </w:rPr>
        <w:fldChar w:fldCharType="begin"/>
      </w:r>
      <w:r>
        <w:rPr>
          <w:rFonts w:hint="eastAsia" w:cs="宋体"/>
          <w:b w:val="0"/>
          <w:bCs w:val="0"/>
          <w:caps w:val="0"/>
          <w:color w:val="auto"/>
          <w:highlight w:val="none"/>
        </w:rPr>
        <w:instrText xml:space="preserve">TOC \o "1-1" \h \z \u</w:instrText>
      </w:r>
      <w:r>
        <w:rPr>
          <w:rFonts w:hint="eastAsia" w:cs="宋体"/>
          <w:b w:val="0"/>
          <w:bCs w:val="0"/>
          <w:caps w:val="0"/>
          <w:color w:val="auto"/>
          <w:highlight w:val="none"/>
        </w:rPr>
        <w:fldChar w:fldCharType="separate"/>
      </w:r>
      <w:r>
        <w:rPr>
          <w:color w:val="auto"/>
          <w:highlight w:val="none"/>
        </w:rPr>
        <w:fldChar w:fldCharType="begin"/>
      </w:r>
      <w:r>
        <w:rPr>
          <w:color w:val="auto"/>
          <w:highlight w:val="none"/>
        </w:rPr>
        <w:instrText xml:space="preserve"> HYPERLINK \l "_Toc143259161" </w:instrText>
      </w:r>
      <w:r>
        <w:rPr>
          <w:color w:val="auto"/>
          <w:highlight w:val="none"/>
        </w:rPr>
        <w:fldChar w:fldCharType="separate"/>
      </w:r>
      <w:r>
        <w:rPr>
          <w:rStyle w:val="54"/>
          <w:rFonts w:hint="eastAsia" w:cs="宋体"/>
          <w:color w:val="auto"/>
          <w:highlight w:val="none"/>
        </w:rPr>
        <w:t>第一章 招标公告</w:t>
      </w:r>
      <w:r>
        <w:rPr>
          <w:rFonts w:hint="eastAsia" w:cs="宋体"/>
          <w:color w:val="auto"/>
          <w:highlight w:val="none"/>
        </w:rPr>
        <w:tab/>
      </w:r>
      <w:r>
        <w:rPr>
          <w:rFonts w:hint="eastAsia" w:cs="宋体"/>
          <w:color w:val="auto"/>
          <w:highlight w:val="none"/>
        </w:rPr>
        <w:t>2</w:t>
      </w:r>
      <w:r>
        <w:rPr>
          <w:rFonts w:hint="eastAsia" w:cs="宋体"/>
          <w:color w:val="auto"/>
          <w:highlight w:val="none"/>
        </w:rPr>
        <w:fldChar w:fldCharType="end"/>
      </w:r>
    </w:p>
    <w:p w14:paraId="2A1C3E5D">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"_Toc143259162" </w:instrText>
      </w:r>
      <w:r>
        <w:rPr>
          <w:color w:val="auto"/>
          <w:highlight w:val="none"/>
        </w:rPr>
        <w:fldChar w:fldCharType="separate"/>
      </w:r>
      <w:r>
        <w:rPr>
          <w:rStyle w:val="54"/>
          <w:rFonts w:hint="eastAsia" w:cs="宋体"/>
          <w:color w:val="auto"/>
          <w:highlight w:val="none"/>
        </w:rPr>
        <w:t>第二章 采购需求</w:t>
      </w:r>
      <w:r>
        <w:rPr>
          <w:rFonts w:hint="eastAsia" w:cs="宋体"/>
          <w:color w:val="auto"/>
          <w:highlight w:val="none"/>
        </w:rPr>
        <w:tab/>
      </w:r>
      <w:r>
        <w:rPr>
          <w:rFonts w:hint="eastAsia" w:cs="宋体"/>
          <w:color w:val="auto"/>
          <w:highlight w:val="none"/>
        </w:rPr>
        <w:t>6</w:t>
      </w:r>
      <w:r>
        <w:rPr>
          <w:rFonts w:hint="eastAsia" w:cs="宋体"/>
          <w:color w:val="auto"/>
          <w:highlight w:val="none"/>
        </w:rPr>
        <w:fldChar w:fldCharType="end"/>
      </w:r>
    </w:p>
    <w:p w14:paraId="42C1115C">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"_Toc143259163" </w:instrText>
      </w:r>
      <w:r>
        <w:rPr>
          <w:color w:val="auto"/>
          <w:highlight w:val="none"/>
        </w:rPr>
        <w:fldChar w:fldCharType="separate"/>
      </w:r>
      <w:r>
        <w:rPr>
          <w:rStyle w:val="54"/>
          <w:rFonts w:hint="eastAsia" w:cs="宋体"/>
          <w:color w:val="auto"/>
          <w:highlight w:val="none"/>
        </w:rPr>
        <w:t>第三章 投标人须知</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62</w:t>
      </w:r>
    </w:p>
    <w:p w14:paraId="4F631584">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"_Toc143259164" </w:instrText>
      </w:r>
      <w:r>
        <w:rPr>
          <w:color w:val="auto"/>
          <w:highlight w:val="none"/>
        </w:rPr>
        <w:fldChar w:fldCharType="separate"/>
      </w:r>
      <w:r>
        <w:rPr>
          <w:rStyle w:val="54"/>
          <w:rFonts w:hint="eastAsia" w:cs="宋体"/>
          <w:color w:val="auto"/>
          <w:highlight w:val="none"/>
        </w:rPr>
        <w:t>第四章 评标方法及评标标准</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87</w:t>
      </w:r>
    </w:p>
    <w:p w14:paraId="1A101466">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"_Toc143259165" </w:instrText>
      </w:r>
      <w:r>
        <w:rPr>
          <w:color w:val="auto"/>
          <w:highlight w:val="none"/>
        </w:rPr>
        <w:fldChar w:fldCharType="separate"/>
      </w:r>
      <w:r>
        <w:rPr>
          <w:rStyle w:val="54"/>
          <w:rFonts w:hint="eastAsia" w:cs="宋体"/>
          <w:color w:val="auto"/>
          <w:highlight w:val="none"/>
        </w:rPr>
        <w:t>第五章 拟签订的合同文本</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94</w:t>
      </w:r>
    </w:p>
    <w:p w14:paraId="6638A318">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"_Toc143259166" </w:instrText>
      </w:r>
      <w:r>
        <w:rPr>
          <w:color w:val="auto"/>
          <w:highlight w:val="none"/>
        </w:rPr>
        <w:fldChar w:fldCharType="separate"/>
      </w:r>
      <w:r>
        <w:rPr>
          <w:rStyle w:val="54"/>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101</w:t>
      </w:r>
    </w:p>
    <w:p w14:paraId="5029C708">
      <w:pPr>
        <w:spacing w:before="120" w:beforeLines="50" w:line="480" w:lineRule="exact"/>
        <w:rPr>
          <w:rFonts w:ascii="宋体" w:hAnsi="宋体" w:cs="宋体"/>
          <w:color w:val="auto"/>
          <w:sz w:val="24"/>
          <w:highlight w:val="none"/>
        </w:rPr>
      </w:pPr>
      <w:r>
        <w:rPr>
          <w:rFonts w:hint="eastAsia" w:ascii="宋体" w:hAnsi="宋体" w:cs="宋体"/>
          <w:b/>
          <w:bCs/>
          <w:caps/>
          <w:color w:val="auto"/>
          <w:sz w:val="24"/>
          <w:highlight w:val="none"/>
        </w:rPr>
        <w:fldChar w:fldCharType="end"/>
      </w:r>
    </w:p>
    <w:p w14:paraId="260B5505">
      <w:pPr>
        <w:spacing w:before="120" w:beforeLines="50" w:line="480" w:lineRule="exact"/>
        <w:rPr>
          <w:rFonts w:ascii="宋体" w:hAnsi="宋体" w:cs="宋体"/>
          <w:color w:val="auto"/>
          <w:sz w:val="30"/>
          <w:highlight w:val="none"/>
        </w:rPr>
      </w:pPr>
    </w:p>
    <w:p w14:paraId="65FACB38">
      <w:pPr>
        <w:rPr>
          <w:rFonts w:ascii="宋体" w:hAnsi="宋体" w:cs="宋体"/>
          <w:color w:val="auto"/>
          <w:highlight w:val="none"/>
        </w:rPr>
      </w:pPr>
    </w:p>
    <w:p w14:paraId="2C29FB12">
      <w:pPr>
        <w:spacing w:before="120" w:beforeLines="50" w:line="480" w:lineRule="exact"/>
        <w:rPr>
          <w:rFonts w:ascii="宋体" w:hAnsi="宋体" w:cs="宋体"/>
          <w:color w:val="auto"/>
          <w:sz w:val="30"/>
          <w:highlight w:val="none"/>
        </w:rPr>
      </w:pPr>
    </w:p>
    <w:p w14:paraId="60E5D339">
      <w:pPr>
        <w:spacing w:before="120" w:beforeLines="50" w:line="480" w:lineRule="exact"/>
        <w:rPr>
          <w:rFonts w:ascii="宋体" w:hAnsi="宋体" w:cs="宋体"/>
          <w:color w:val="auto"/>
          <w:sz w:val="30"/>
          <w:highlight w:val="none"/>
        </w:rPr>
      </w:pPr>
    </w:p>
    <w:p w14:paraId="36B66284">
      <w:pPr>
        <w:pStyle w:val="17"/>
        <w:rPr>
          <w:rFonts w:ascii="宋体" w:hAnsi="宋体" w:cs="宋体"/>
          <w:b/>
          <w:bCs/>
          <w:color w:val="auto"/>
          <w:highlight w:val="none"/>
        </w:rPr>
      </w:pPr>
      <w:bookmarkStart w:id="0" w:name="_Toc254970630"/>
      <w:bookmarkStart w:id="1" w:name="_Toc254970489"/>
    </w:p>
    <w:p w14:paraId="3831DA3E">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143259161"/>
      <w:bookmarkStart w:id="3" w:name="_Toc74320800"/>
      <w:r>
        <w:rPr>
          <w:rFonts w:hint="eastAsia" w:ascii="宋体" w:hAnsi="宋体" w:cs="宋体"/>
          <w:color w:val="auto"/>
          <w:highlight w:val="none"/>
        </w:rPr>
        <w:t>第一章</w:t>
      </w:r>
      <w:bookmarkEnd w:id="0"/>
      <w:bookmarkEnd w:id="1"/>
      <w:bookmarkStart w:id="4" w:name="_Toc35393789"/>
      <w:bookmarkStart w:id="5" w:name="_Toc28359001"/>
      <w:r>
        <w:rPr>
          <w:rFonts w:hint="eastAsia" w:ascii="宋体" w:hAnsi="宋体" w:cs="宋体"/>
          <w:color w:val="auto"/>
          <w:highlight w:val="none"/>
        </w:rPr>
        <w:t>招标公告</w:t>
      </w:r>
      <w:bookmarkEnd w:id="2"/>
      <w:bookmarkEnd w:id="3"/>
      <w:bookmarkEnd w:id="4"/>
      <w:bookmarkEnd w:id="5"/>
    </w:p>
    <w:p w14:paraId="5608BD10">
      <w:pPr>
        <w:spacing w:line="360" w:lineRule="auto"/>
        <w:rPr>
          <w:rFonts w:ascii="宋体" w:hAnsi="宋体" w:cs="宋体"/>
          <w:color w:val="auto"/>
          <w:szCs w:val="21"/>
          <w:highlight w:val="none"/>
        </w:rPr>
      </w:pPr>
    </w:p>
    <w:p w14:paraId="6BD18CD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63DE427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监护仪一批项目的潜在投标人应在“广西政府采购云平台”（</w:t>
      </w:r>
      <w:r>
        <w:rPr>
          <w:color w:val="auto"/>
          <w:highlight w:val="none"/>
        </w:rPr>
        <w:fldChar w:fldCharType="begin"/>
      </w:r>
      <w:r>
        <w:rPr>
          <w:color w:val="auto"/>
          <w:highlight w:val="none"/>
        </w:rPr>
        <w:instrText xml:space="preserve"> HYPERLINK "https://www.gcy.zfcg.gxzf.gov.cn/）获取（下载）招标文件，并于2024年" </w:instrText>
      </w:r>
      <w:r>
        <w:rPr>
          <w:color w:val="auto"/>
          <w:highlight w:val="none"/>
        </w:rPr>
        <w:fldChar w:fldCharType="separate"/>
      </w:r>
      <w:r>
        <w:rPr>
          <w:rFonts w:hint="eastAsia" w:ascii="宋体" w:hAnsi="宋体" w:cs="宋体"/>
          <w:color w:val="auto"/>
          <w:highlight w:val="none"/>
        </w:rPr>
        <w:t>https://www.gcy.zfcg.gxzf.gov.cn/）获取（下载）招标文件，并于2025年</w:t>
      </w:r>
      <w:r>
        <w:rPr>
          <w:rFonts w:hint="eastAsia" w:ascii="宋体" w:hAnsi="宋体" w:cs="宋体"/>
          <w:color w:val="auto"/>
          <w:highlight w:val="none"/>
        </w:rPr>
        <w:fldChar w:fldCharType="end"/>
      </w:r>
      <w:r>
        <w:rPr>
          <w:rFonts w:hint="eastAsia" w:ascii="宋体" w:hAnsi="宋体" w:cs="宋体"/>
          <w:color w:val="auto"/>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日9时30分（北京时间）前按要求递交（上传）投标文件。</w:t>
      </w:r>
    </w:p>
    <w:p w14:paraId="3628976A">
      <w:pPr>
        <w:spacing w:line="380" w:lineRule="exact"/>
        <w:rPr>
          <w:rFonts w:ascii="宋体" w:hAnsi="宋体" w:cs="宋体"/>
          <w:b/>
          <w:bCs/>
          <w:color w:val="auto"/>
          <w:sz w:val="24"/>
          <w:highlight w:val="none"/>
        </w:rPr>
      </w:pPr>
      <w:bookmarkStart w:id="6" w:name="_Toc28359079"/>
      <w:bookmarkStart w:id="7" w:name="_Toc35393621"/>
      <w:bookmarkStart w:id="8" w:name="_Toc28359002"/>
      <w:bookmarkStart w:id="9" w:name="_Toc35393790"/>
      <w:bookmarkStart w:id="10" w:name="_Hlk24379207"/>
      <w:r>
        <w:rPr>
          <w:rFonts w:hint="eastAsia" w:ascii="宋体" w:hAnsi="宋体" w:cs="宋体"/>
          <w:b/>
          <w:bCs/>
          <w:color w:val="auto"/>
          <w:sz w:val="24"/>
          <w:highlight w:val="none"/>
        </w:rPr>
        <w:t>一、项目基本情况</w:t>
      </w:r>
      <w:bookmarkEnd w:id="6"/>
      <w:bookmarkEnd w:id="7"/>
      <w:bookmarkEnd w:id="8"/>
      <w:bookmarkEnd w:id="9"/>
    </w:p>
    <w:p w14:paraId="3ABC162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项目编号：GXZC2025-G1-001543-YZLZ（代理编号：YZLGL2025-G1-043-GXZC）</w:t>
      </w:r>
    </w:p>
    <w:p w14:paraId="3623A15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项目名称：监护仪一批</w:t>
      </w:r>
    </w:p>
    <w:bookmarkEnd w:id="10"/>
    <w:p w14:paraId="060BCB3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预算金额：4367000.00元</w:t>
      </w:r>
    </w:p>
    <w:p w14:paraId="369E9EF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最高限价：3330680.00元</w:t>
      </w:r>
    </w:p>
    <w:p w14:paraId="6C6BED0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2C2ABDDA">
      <w:pPr>
        <w:spacing w:line="360" w:lineRule="exact"/>
        <w:ind w:firstLine="422" w:firstLineChars="200"/>
        <w:rPr>
          <w:rFonts w:ascii="宋体" w:hAnsi="宋体" w:cs="宋体"/>
          <w:b/>
          <w:bCs/>
          <w:color w:val="auto"/>
          <w:szCs w:val="21"/>
          <w:highlight w:val="none"/>
        </w:rPr>
      </w:pPr>
      <w:r>
        <w:rPr>
          <w:rFonts w:hint="eastAsia" w:ascii="宋体" w:hAnsi="宋体"/>
          <w:b/>
          <w:bCs/>
          <w:color w:val="auto"/>
          <w:highlight w:val="none"/>
        </w:rPr>
        <w:t>分标1：预算金额为贰佰柒拾贰万玖仟元整（¥2729000.00），</w:t>
      </w:r>
      <w:r>
        <w:rPr>
          <w:rFonts w:hint="eastAsia" w:ascii="宋体" w:hAnsi="宋体" w:cs="宋体"/>
          <w:b/>
          <w:bCs/>
          <w:color w:val="auto"/>
          <w:highlight w:val="none"/>
        </w:rPr>
        <w:t>最高限价为壹佰玖拾柒万贰仟捌佰捌拾元整（¥1972880.00）。</w:t>
      </w:r>
    </w:p>
    <w:p w14:paraId="7D045E16">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1.标的的名称、数量及单位：病人监护仪8台，病人监护仪5台，病人监护仪24台，病人监护仪14台，病人监护仪6台，病人监护仪4台，病人监护仪2台，病人监护仪1台，中心监护系统1套；</w:t>
      </w:r>
    </w:p>
    <w:p w14:paraId="3DECB800">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2.简要技术需求或者服务要求：按国家有关产品“三包”规定执行“三包”；</w:t>
      </w:r>
      <w:r>
        <w:rPr>
          <w:rFonts w:hint="eastAsia"/>
          <w:color w:val="auto"/>
          <w:highlight w:val="none"/>
          <w:lang w:val="en-US" w:eastAsia="zh-CN"/>
        </w:rPr>
        <w:t>病人监护仪</w:t>
      </w:r>
      <w:r>
        <w:rPr>
          <w:rFonts w:hint="eastAsia" w:ascii="宋体" w:hAnsi="宋体" w:cs="宋体"/>
          <w:bCs/>
          <w:color w:val="auto"/>
          <w:szCs w:val="21"/>
          <w:highlight w:val="none"/>
        </w:rPr>
        <w:t>保修期不得少于5年</w:t>
      </w:r>
      <w:r>
        <w:rPr>
          <w:rFonts w:hint="eastAsia" w:ascii="宋体" w:hAnsi="宋体" w:cs="宋体"/>
          <w:bCs/>
          <w:color w:val="auto"/>
          <w:szCs w:val="21"/>
          <w:highlight w:val="none"/>
          <w:lang w:eastAsia="zh-CN"/>
        </w:rPr>
        <w:t>，</w:t>
      </w:r>
      <w:r>
        <w:rPr>
          <w:rFonts w:hint="eastAsia"/>
          <w:color w:val="auto"/>
          <w:highlight w:val="none"/>
          <w:lang w:val="en-US" w:eastAsia="zh-CN"/>
        </w:rPr>
        <w:t>中心监护系统保修期不得少于3年</w:t>
      </w:r>
      <w:r>
        <w:rPr>
          <w:rFonts w:hint="eastAsia" w:ascii="宋体" w:hAnsi="宋体" w:cs="宋体"/>
          <w:bCs/>
          <w:color w:val="auto"/>
          <w:szCs w:val="21"/>
          <w:highlight w:val="none"/>
        </w:rPr>
        <w:t>（保修期从设备验收合格之日起计算），保修期内上门维修不收取任何费用</w:t>
      </w:r>
      <w:r>
        <w:rPr>
          <w:rFonts w:hint="eastAsia" w:ascii="宋体" w:hAnsi="宋体" w:cs="宋体"/>
          <w:bCs/>
          <w:color w:val="auto"/>
          <w:highlight w:val="none"/>
        </w:rPr>
        <w:t>。</w:t>
      </w:r>
      <w:r>
        <w:rPr>
          <w:rFonts w:hint="eastAsia" w:ascii="宋体" w:hAnsi="宋体" w:cs="宋体"/>
          <w:bCs/>
          <w:color w:val="auto"/>
          <w:szCs w:val="21"/>
          <w:highlight w:val="none"/>
        </w:rPr>
        <w:t>具体详见采购需求。</w:t>
      </w:r>
    </w:p>
    <w:p w14:paraId="5257EF0A">
      <w:pPr>
        <w:spacing w:line="360" w:lineRule="exact"/>
        <w:ind w:firstLine="422" w:firstLineChars="200"/>
        <w:rPr>
          <w:rFonts w:ascii="宋体" w:hAnsi="宋体" w:cs="宋体"/>
          <w:b/>
          <w:bCs/>
          <w:color w:val="auto"/>
          <w:szCs w:val="21"/>
          <w:highlight w:val="none"/>
        </w:rPr>
      </w:pPr>
      <w:r>
        <w:rPr>
          <w:rFonts w:hint="eastAsia" w:ascii="宋体" w:hAnsi="宋体"/>
          <w:b/>
          <w:bCs/>
          <w:color w:val="auto"/>
          <w:highlight w:val="none"/>
        </w:rPr>
        <w:t>分标2：预算金额为陆拾肆万陆仟元整（¥646000.00），</w:t>
      </w:r>
      <w:r>
        <w:rPr>
          <w:rFonts w:hint="eastAsia" w:ascii="宋体" w:hAnsi="宋体" w:cs="宋体"/>
          <w:b/>
          <w:bCs/>
          <w:color w:val="auto"/>
          <w:highlight w:val="none"/>
        </w:rPr>
        <w:t>最高限价为伍拾万零肆仟元整（¥504000.00）。</w:t>
      </w:r>
    </w:p>
    <w:p w14:paraId="680D2D1D">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1.标的的名称、数量及单位：</w:t>
      </w:r>
      <w:r>
        <w:rPr>
          <w:rFonts w:hint="eastAsia" w:ascii="宋体" w:hAnsi="宋体" w:cs="宋体"/>
          <w:color w:val="auto"/>
          <w:szCs w:val="20"/>
          <w:highlight w:val="none"/>
        </w:rPr>
        <w:t>病人监护仪</w:t>
      </w:r>
      <w:r>
        <w:rPr>
          <w:rFonts w:hint="eastAsia" w:ascii="宋体" w:hAnsi="宋体" w:cs="宋体"/>
          <w:bCs/>
          <w:color w:val="auto"/>
          <w:szCs w:val="21"/>
          <w:highlight w:val="none"/>
        </w:rPr>
        <w:t>21台，</w:t>
      </w:r>
      <w:r>
        <w:rPr>
          <w:rFonts w:hint="eastAsia" w:ascii="宋体" w:hAnsi="宋体" w:cs="宋体"/>
          <w:color w:val="auto"/>
          <w:szCs w:val="20"/>
          <w:highlight w:val="none"/>
        </w:rPr>
        <w:t>遥测监护仪</w:t>
      </w:r>
      <w:r>
        <w:rPr>
          <w:rFonts w:hint="eastAsia" w:ascii="宋体" w:hAnsi="宋体" w:cs="宋体"/>
          <w:bCs/>
          <w:color w:val="auto"/>
          <w:szCs w:val="21"/>
          <w:highlight w:val="none"/>
        </w:rPr>
        <w:t>9台；</w:t>
      </w:r>
    </w:p>
    <w:p w14:paraId="2354D5D7">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2.简要技术需求或者服务要求：按国家有关产品“三包”规定执行“三包”；</w:t>
      </w:r>
      <w:r>
        <w:rPr>
          <w:rFonts w:hint="eastAsia" w:ascii="宋体" w:hAnsi="宋体" w:cs="宋体"/>
          <w:color w:val="auto"/>
          <w:szCs w:val="20"/>
          <w:highlight w:val="none"/>
        </w:rPr>
        <w:t>病人监护仪</w:t>
      </w:r>
      <w:r>
        <w:rPr>
          <w:rFonts w:hint="eastAsia" w:ascii="宋体" w:hAnsi="宋体" w:cs="宋体"/>
          <w:bCs/>
          <w:color w:val="auto"/>
          <w:szCs w:val="21"/>
          <w:highlight w:val="none"/>
        </w:rPr>
        <w:t>保修期不得少于 5 年,</w:t>
      </w:r>
      <w:r>
        <w:rPr>
          <w:rFonts w:hint="eastAsia" w:ascii="宋体" w:hAnsi="宋体" w:cs="宋体"/>
          <w:color w:val="auto"/>
          <w:szCs w:val="20"/>
          <w:highlight w:val="none"/>
        </w:rPr>
        <w:t xml:space="preserve"> 遥测监护仪</w:t>
      </w:r>
      <w:r>
        <w:rPr>
          <w:rFonts w:hint="eastAsia" w:ascii="宋体" w:hAnsi="宋体" w:cs="宋体"/>
          <w:bCs/>
          <w:color w:val="auto"/>
          <w:szCs w:val="21"/>
          <w:highlight w:val="none"/>
        </w:rPr>
        <w:t>保修期不得少于 3 年（保修期从设备验收合格之日起计算），保修期内上门维修不收取任何费用</w:t>
      </w:r>
      <w:r>
        <w:rPr>
          <w:rFonts w:hint="eastAsia" w:ascii="宋体" w:hAnsi="宋体" w:cs="宋体"/>
          <w:bCs/>
          <w:color w:val="auto"/>
          <w:highlight w:val="none"/>
        </w:rPr>
        <w:t>。</w:t>
      </w:r>
      <w:r>
        <w:rPr>
          <w:rFonts w:hint="eastAsia" w:ascii="宋体" w:hAnsi="宋体" w:cs="宋体"/>
          <w:bCs/>
          <w:color w:val="auto"/>
          <w:szCs w:val="21"/>
          <w:highlight w:val="none"/>
        </w:rPr>
        <w:t>具体详见采购需求。</w:t>
      </w:r>
    </w:p>
    <w:p w14:paraId="3E5599A4">
      <w:pPr>
        <w:spacing w:line="360" w:lineRule="exact"/>
        <w:ind w:firstLine="422" w:firstLineChars="200"/>
        <w:rPr>
          <w:rFonts w:ascii="宋体" w:hAnsi="宋体" w:cs="宋体"/>
          <w:b/>
          <w:bCs/>
          <w:color w:val="auto"/>
          <w:szCs w:val="21"/>
          <w:highlight w:val="none"/>
        </w:rPr>
      </w:pPr>
      <w:r>
        <w:rPr>
          <w:rFonts w:hint="eastAsia" w:ascii="宋体" w:hAnsi="宋体"/>
          <w:b/>
          <w:bCs/>
          <w:color w:val="auto"/>
          <w:highlight w:val="none"/>
        </w:rPr>
        <w:t>分标3：预算金额为玖拾玖万贰仟元整（¥992000.00），</w:t>
      </w:r>
      <w:r>
        <w:rPr>
          <w:rFonts w:hint="eastAsia" w:ascii="宋体" w:hAnsi="宋体" w:cs="宋体"/>
          <w:b/>
          <w:bCs/>
          <w:color w:val="auto"/>
          <w:highlight w:val="none"/>
        </w:rPr>
        <w:t>最高限价为捌拾伍万叁仟捌佰元整（¥853800.00）。</w:t>
      </w:r>
    </w:p>
    <w:p w14:paraId="1376C368">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1.标的的名称、数量及单位：无线移动多参数监护仪（1拖10）2套；</w:t>
      </w:r>
    </w:p>
    <w:p w14:paraId="36F9CD03">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2.简要技术需求或者服务要求：按国家有关产品“三包”规定执行“三包”；保修期不得少于3 年（保修期从设备验收合格之日起计算），保修期内上门维修不收取任何费用</w:t>
      </w:r>
      <w:r>
        <w:rPr>
          <w:rFonts w:hint="eastAsia" w:ascii="宋体" w:hAnsi="宋体" w:cs="宋体"/>
          <w:bCs/>
          <w:color w:val="auto"/>
          <w:highlight w:val="none"/>
        </w:rPr>
        <w:t>。</w:t>
      </w:r>
      <w:r>
        <w:rPr>
          <w:rFonts w:hint="eastAsia" w:ascii="宋体" w:hAnsi="宋体" w:cs="宋体"/>
          <w:bCs/>
          <w:color w:val="auto"/>
          <w:szCs w:val="21"/>
          <w:highlight w:val="none"/>
        </w:rPr>
        <w:t>具体详见采购需求。</w:t>
      </w:r>
    </w:p>
    <w:p w14:paraId="01D10F50">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合同履行期限（分标1、2、3）：</w:t>
      </w:r>
      <w:r>
        <w:rPr>
          <w:rFonts w:hint="eastAsia" w:ascii="宋体" w:hAnsi="宋体" w:cs="宋体"/>
          <w:color w:val="auto"/>
          <w:highlight w:val="none"/>
        </w:rPr>
        <w:t>合同签订，</w:t>
      </w:r>
      <w:r>
        <w:rPr>
          <w:rFonts w:hint="eastAsia" w:ascii="宋体" w:hAnsi="宋体" w:cs="宋体"/>
          <w:color w:val="auto"/>
          <w:highlight w:val="none"/>
          <w:lang w:eastAsia="zh-CN"/>
        </w:rPr>
        <w:t>接到采购人供货通知</w:t>
      </w:r>
      <w:r>
        <w:rPr>
          <w:rFonts w:hint="eastAsia" w:ascii="宋体" w:hAnsi="宋体" w:cs="宋体"/>
          <w:color w:val="auto"/>
          <w:highlight w:val="none"/>
        </w:rPr>
        <w:t>后</w:t>
      </w:r>
      <w:r>
        <w:rPr>
          <w:rFonts w:hint="eastAsia" w:ascii="宋体" w:hAnsi="宋体" w:cs="宋体"/>
          <w:color w:val="auto"/>
          <w:highlight w:val="none"/>
          <w:u w:val="single"/>
        </w:rPr>
        <w:t>60</w:t>
      </w:r>
      <w:r>
        <w:rPr>
          <w:rFonts w:hint="eastAsia" w:ascii="宋体" w:hAnsi="宋体" w:cs="宋体"/>
          <w:color w:val="auto"/>
          <w:highlight w:val="none"/>
        </w:rPr>
        <w:t>个工作日内到货并安装调试完毕，达到正常使用状态</w:t>
      </w:r>
      <w:r>
        <w:rPr>
          <w:rFonts w:hint="eastAsia" w:hAnsi="宋体"/>
          <w:color w:val="auto"/>
          <w:szCs w:val="21"/>
          <w:highlight w:val="none"/>
        </w:rPr>
        <w:t>。</w:t>
      </w:r>
    </w:p>
    <w:p w14:paraId="0360DE60">
      <w:pPr>
        <w:spacing w:line="3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本项目各分标均不接受联合体投标。</w:t>
      </w:r>
    </w:p>
    <w:p w14:paraId="58B57F4E">
      <w:pPr>
        <w:spacing w:line="380" w:lineRule="exact"/>
        <w:rPr>
          <w:rFonts w:ascii="宋体" w:hAnsi="宋体" w:cs="宋体"/>
          <w:b/>
          <w:bCs/>
          <w:color w:val="auto"/>
          <w:sz w:val="24"/>
          <w:highlight w:val="none"/>
        </w:rPr>
      </w:pPr>
      <w:bookmarkStart w:id="11" w:name="_Toc28359080"/>
      <w:bookmarkStart w:id="12" w:name="_Toc28359003"/>
      <w:bookmarkStart w:id="13" w:name="_Toc35393791"/>
      <w:bookmarkStart w:id="14" w:name="_Toc35393622"/>
      <w:r>
        <w:rPr>
          <w:rFonts w:hint="eastAsia" w:ascii="宋体" w:hAnsi="宋体" w:cs="宋体"/>
          <w:b/>
          <w:bCs/>
          <w:color w:val="auto"/>
          <w:sz w:val="24"/>
          <w:highlight w:val="none"/>
        </w:rPr>
        <w:t>二、申请人的资格要求：</w:t>
      </w:r>
      <w:bookmarkEnd w:id="11"/>
      <w:bookmarkEnd w:id="12"/>
      <w:bookmarkEnd w:id="13"/>
      <w:bookmarkEnd w:id="14"/>
    </w:p>
    <w:p w14:paraId="02454CD1">
      <w:pPr>
        <w:spacing w:line="380" w:lineRule="exact"/>
        <w:ind w:firstLine="420" w:firstLineChars="200"/>
        <w:rPr>
          <w:rFonts w:ascii="宋体" w:hAnsi="宋体" w:cs="宋体"/>
          <w:color w:val="auto"/>
          <w:szCs w:val="21"/>
          <w:highlight w:val="none"/>
        </w:rPr>
      </w:pPr>
      <w:bookmarkStart w:id="15" w:name="_Hlk51746371"/>
      <w:r>
        <w:rPr>
          <w:rFonts w:hint="eastAsia" w:ascii="宋体" w:hAnsi="宋体" w:cs="宋体"/>
          <w:color w:val="auto"/>
          <w:szCs w:val="21"/>
          <w:highlight w:val="none"/>
        </w:rPr>
        <w:t>1.满足《中华人民共和国政府采购法》第二十二条规定；</w:t>
      </w:r>
    </w:p>
    <w:p w14:paraId="27DED63F">
      <w:pPr>
        <w:spacing w:line="380" w:lineRule="exact"/>
        <w:ind w:firstLine="420" w:firstLineChars="200"/>
        <w:rPr>
          <w:rFonts w:ascii="宋体" w:hAnsi="宋体" w:cs="宋体"/>
          <w:color w:val="auto"/>
          <w:szCs w:val="21"/>
          <w:highlight w:val="none"/>
        </w:rPr>
      </w:pPr>
      <w:bookmarkStart w:id="16" w:name="_Toc28359081"/>
      <w:bookmarkStart w:id="17" w:name="_Toc28359004"/>
      <w:r>
        <w:rPr>
          <w:rFonts w:hint="eastAsia" w:ascii="宋体" w:hAnsi="宋体" w:cs="宋体"/>
          <w:color w:val="auto"/>
          <w:szCs w:val="21"/>
          <w:highlight w:val="none"/>
        </w:rPr>
        <w:t>2.落实政府采购政策需满足的资格要求：无；</w:t>
      </w:r>
    </w:p>
    <w:p w14:paraId="618F03A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bookmarkEnd w:id="15"/>
      <w:bookmarkStart w:id="18" w:name="_Toc35393623"/>
      <w:bookmarkStart w:id="19" w:name="_Toc35393792"/>
      <w:r>
        <w:rPr>
          <w:rFonts w:hint="eastAsia" w:ascii="宋体" w:hAnsi="宋体" w:cs="宋体"/>
          <w:color w:val="auto"/>
          <w:szCs w:val="21"/>
          <w:highlight w:val="none"/>
        </w:rPr>
        <w:t>各分标投标人</w:t>
      </w:r>
      <w:r>
        <w:rPr>
          <w:rFonts w:hint="eastAsia" w:ascii="宋体" w:hAnsi="宋体" w:cs="宋体"/>
          <w:color w:val="auto"/>
          <w:highlight w:val="none"/>
        </w:rPr>
        <w:t>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w:t>
      </w:r>
    </w:p>
    <w:p w14:paraId="5FF764B2">
      <w:pPr>
        <w:spacing w:line="380" w:lineRule="exact"/>
        <w:rPr>
          <w:rFonts w:ascii="宋体" w:hAnsi="宋体" w:cs="宋体"/>
          <w:b/>
          <w:bCs/>
          <w:color w:val="auto"/>
          <w:sz w:val="24"/>
          <w:highlight w:val="none"/>
        </w:rPr>
      </w:pPr>
      <w:r>
        <w:rPr>
          <w:rFonts w:hint="eastAsia" w:ascii="宋体" w:hAnsi="宋体" w:cs="宋体"/>
          <w:b/>
          <w:bCs/>
          <w:color w:val="auto"/>
          <w:sz w:val="24"/>
          <w:highlight w:val="none"/>
        </w:rPr>
        <w:t>三、获取招标文件</w:t>
      </w:r>
      <w:bookmarkEnd w:id="16"/>
      <w:bookmarkEnd w:id="17"/>
      <w:bookmarkEnd w:id="18"/>
      <w:bookmarkEnd w:id="19"/>
    </w:p>
    <w:p w14:paraId="052B44AE">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22</w:t>
      </w:r>
      <w:r>
        <w:rPr>
          <w:rFonts w:hint="eastAsia" w:ascii="宋体" w:hAnsi="宋体" w:cs="宋体"/>
          <w:bCs/>
          <w:color w:val="auto"/>
          <w:kern w:val="0"/>
          <w:szCs w:val="21"/>
          <w:highlight w:val="none"/>
        </w:rPr>
        <w:t>日，每天上午00:00至11:59，下午12:00至23:59（北京时间，法定节假日除外）</w:t>
      </w:r>
    </w:p>
    <w:p w14:paraId="7ACD91A2">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“广西政府采购云平台”（https://www.gcy.zfcg.gxzf.gov.cn/）</w:t>
      </w:r>
    </w:p>
    <w:p w14:paraId="534C474B">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w:t>
      </w:r>
      <w:r>
        <w:rPr>
          <w:rFonts w:hint="eastAsia" w:ascii="宋体" w:hAnsi="宋体" w:cs="宋体"/>
          <w:color w:val="auto"/>
          <w:highlight w:val="none"/>
        </w:rPr>
        <w:t>“广西政府采购云平台”（https://www.gcy.zfcg.gxzf.gov.cn/）</w:t>
      </w:r>
      <w:r>
        <w:rPr>
          <w:rFonts w:hint="eastAsia" w:ascii="宋体" w:hAnsi="宋体" w:cs="宋体"/>
          <w:bCs/>
          <w:color w:val="auto"/>
          <w:kern w:val="0"/>
          <w:szCs w:val="21"/>
          <w:highlight w:val="none"/>
        </w:rPr>
        <w:t>-进入“项目采购”应用，在获取采购文件菜单中选择项目，获取招标文件（或在“政府采购云平台电子投标客户端-获取采购文件”跳转到政府采购云平台系统获取）。电子投标文件制作需要基于“政府采购云平台”获取的招标文件编制，通过其他方式获取招标文件的，将有可能导致供应商无法在政府采购云平台编制及上传投标文件。</w:t>
      </w:r>
    </w:p>
    <w:p w14:paraId="454E94CD">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64EBA550">
      <w:pPr>
        <w:spacing w:line="380" w:lineRule="exact"/>
        <w:rPr>
          <w:rFonts w:ascii="宋体" w:hAnsi="宋体" w:cs="宋体"/>
          <w:b/>
          <w:bCs/>
          <w:color w:val="auto"/>
          <w:sz w:val="24"/>
          <w:highlight w:val="none"/>
        </w:rPr>
      </w:pPr>
      <w:bookmarkStart w:id="20" w:name="_Toc28359082"/>
      <w:bookmarkStart w:id="21" w:name="_Toc28359005"/>
      <w:bookmarkStart w:id="22" w:name="_Toc35393793"/>
      <w:bookmarkStart w:id="23" w:name="_Toc35393624"/>
      <w:r>
        <w:rPr>
          <w:rFonts w:hint="eastAsia" w:ascii="宋体" w:hAnsi="宋体" w:cs="宋体"/>
          <w:b/>
          <w:bCs/>
          <w:color w:val="auto"/>
          <w:sz w:val="24"/>
          <w:highlight w:val="none"/>
        </w:rPr>
        <w:t>四、提交投标文件</w:t>
      </w:r>
      <w:bookmarkEnd w:id="20"/>
      <w:bookmarkEnd w:id="21"/>
      <w:r>
        <w:rPr>
          <w:rFonts w:hint="eastAsia" w:ascii="宋体" w:hAnsi="宋体" w:cs="宋体"/>
          <w:b/>
          <w:bCs/>
          <w:color w:val="auto"/>
          <w:sz w:val="24"/>
          <w:highlight w:val="none"/>
        </w:rPr>
        <w:t>截止时间、开标时间和地点</w:t>
      </w:r>
      <w:bookmarkEnd w:id="22"/>
      <w:bookmarkEnd w:id="23"/>
    </w:p>
    <w:p w14:paraId="4FE94E64">
      <w:pPr>
        <w:spacing w:line="380" w:lineRule="exact"/>
        <w:ind w:firstLine="420" w:firstLineChars="200"/>
        <w:rPr>
          <w:rFonts w:ascii="宋体" w:hAnsi="宋体" w:cs="宋体"/>
          <w:color w:val="auto"/>
          <w:szCs w:val="21"/>
          <w:highlight w:val="none"/>
          <w:u w:val="single"/>
        </w:rPr>
      </w:pPr>
      <w:bookmarkStart w:id="24" w:name="_Toc35393625"/>
      <w:bookmarkStart w:id="25" w:name="_Toc28359007"/>
      <w:bookmarkStart w:id="26" w:name="_Toc35393794"/>
      <w:bookmarkStart w:id="27" w:name="_Toc28359084"/>
      <w:r>
        <w:rPr>
          <w:rFonts w:hint="eastAsia" w:ascii="宋体" w:hAnsi="宋体" w:cs="宋体"/>
          <w:bCs/>
          <w:color w:val="auto"/>
          <w:szCs w:val="21"/>
          <w:highlight w:val="none"/>
        </w:rPr>
        <w:t>提交投标文件截止时间：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日</w:t>
      </w:r>
      <w:r>
        <w:rPr>
          <w:rFonts w:hint="eastAsia" w:ascii="宋体" w:hAnsi="宋体" w:cs="宋体"/>
          <w:color w:val="auto"/>
          <w:szCs w:val="21"/>
          <w:highlight w:val="none"/>
        </w:rPr>
        <w:t>9时30分</w:t>
      </w:r>
      <w:r>
        <w:rPr>
          <w:rFonts w:hint="eastAsia" w:ascii="宋体" w:hAnsi="宋体" w:cs="宋体"/>
          <w:bCs/>
          <w:color w:val="auto"/>
          <w:szCs w:val="21"/>
          <w:highlight w:val="none"/>
        </w:rPr>
        <w:t>（北京时间）</w:t>
      </w:r>
    </w:p>
    <w:p w14:paraId="71BFC5C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投标地点（网址）：</w:t>
      </w:r>
      <w:r>
        <w:rPr>
          <w:rFonts w:hint="eastAsia" w:ascii="宋体" w:hAnsi="宋体" w:cs="宋体"/>
          <w:color w:val="auto"/>
          <w:highlight w:val="none"/>
        </w:rPr>
        <w:t>“广西政府采购云平台”（https://www.gcy.zfcg.gxzf.gov.cn/）</w:t>
      </w:r>
    </w:p>
    <w:p w14:paraId="48630909">
      <w:p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开标时间：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日</w:t>
      </w:r>
      <w:r>
        <w:rPr>
          <w:rFonts w:hint="eastAsia" w:ascii="宋体" w:hAnsi="宋体" w:cs="宋体"/>
          <w:color w:val="auto"/>
          <w:szCs w:val="21"/>
          <w:highlight w:val="none"/>
        </w:rPr>
        <w:t>9时30分</w:t>
      </w:r>
      <w:r>
        <w:rPr>
          <w:rFonts w:hint="eastAsia" w:ascii="宋体" w:hAnsi="宋体" w:cs="宋体"/>
          <w:bCs/>
          <w:color w:val="auto"/>
          <w:szCs w:val="21"/>
          <w:highlight w:val="none"/>
        </w:rPr>
        <w:t>（北京时间）</w:t>
      </w:r>
    </w:p>
    <w:p w14:paraId="6D7323E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开标地点：广西政府采购云平台电子开标大厅</w:t>
      </w:r>
    </w:p>
    <w:p w14:paraId="4B9E254F">
      <w:pPr>
        <w:spacing w:line="38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4"/>
      <w:bookmarkEnd w:id="25"/>
      <w:bookmarkEnd w:id="26"/>
      <w:bookmarkEnd w:id="27"/>
    </w:p>
    <w:p w14:paraId="5841FEBD">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9680E94">
      <w:pPr>
        <w:spacing w:line="380" w:lineRule="exact"/>
        <w:rPr>
          <w:rFonts w:ascii="宋体" w:hAnsi="宋体" w:cs="宋体"/>
          <w:b/>
          <w:bCs/>
          <w:color w:val="auto"/>
          <w:sz w:val="24"/>
          <w:highlight w:val="none"/>
        </w:rPr>
      </w:pPr>
      <w:bookmarkStart w:id="28" w:name="_Toc35393795"/>
      <w:bookmarkStart w:id="29" w:name="_Toc35393626"/>
      <w:r>
        <w:rPr>
          <w:rFonts w:hint="eastAsia" w:ascii="宋体" w:hAnsi="宋体" w:cs="宋体"/>
          <w:b/>
          <w:bCs/>
          <w:color w:val="auto"/>
          <w:sz w:val="24"/>
          <w:highlight w:val="none"/>
        </w:rPr>
        <w:t>六、其他补充事宜</w:t>
      </w:r>
      <w:bookmarkEnd w:id="28"/>
      <w:bookmarkEnd w:id="29"/>
    </w:p>
    <w:p w14:paraId="69DF822C">
      <w:pPr>
        <w:spacing w:line="380" w:lineRule="exact"/>
        <w:ind w:firstLine="420" w:firstLineChars="200"/>
        <w:rPr>
          <w:rFonts w:ascii="宋体" w:hAnsi="宋体" w:cs="宋体"/>
          <w:color w:val="auto"/>
          <w:kern w:val="0"/>
          <w:szCs w:val="21"/>
          <w:highlight w:val="none"/>
        </w:rPr>
      </w:pPr>
      <w:bookmarkStart w:id="30" w:name="_Hlk37429585"/>
      <w:bookmarkStart w:id="31" w:name="_Hlk37429595"/>
      <w:r>
        <w:rPr>
          <w:rFonts w:hint="eastAsia" w:ascii="宋体" w:hAnsi="宋体" w:cs="宋体"/>
          <w:color w:val="auto"/>
          <w:kern w:val="0"/>
          <w:szCs w:val="21"/>
          <w:highlight w:val="none"/>
        </w:rPr>
        <w:t>1.网上查询地址</w:t>
      </w:r>
    </w:p>
    <w:p w14:paraId="738234DF">
      <w:pPr>
        <w:spacing w:line="380" w:lineRule="exact"/>
        <w:ind w:left="210" w:leftChars="100"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w:t>
      </w:r>
      <w:bookmarkEnd w:id="30"/>
      <w:r>
        <w:rPr>
          <w:rFonts w:hint="eastAsia" w:ascii="宋体" w:hAnsi="宋体" w:cs="宋体"/>
          <w:color w:val="auto"/>
          <w:kern w:val="0"/>
          <w:szCs w:val="21"/>
          <w:highlight w:val="none"/>
        </w:rPr>
        <w:t>。</w:t>
      </w:r>
    </w:p>
    <w:bookmarkEnd w:id="31"/>
    <w:p w14:paraId="18931C88">
      <w:pPr>
        <w:spacing w:line="380" w:lineRule="exact"/>
        <w:ind w:firstLine="424" w:firstLineChars="202"/>
        <w:rPr>
          <w:rFonts w:ascii="宋体" w:hAnsi="宋体" w:cs="宋体"/>
          <w:color w:val="auto"/>
          <w:kern w:val="0"/>
          <w:szCs w:val="21"/>
          <w:highlight w:val="none"/>
        </w:rPr>
      </w:pPr>
      <w:bookmarkStart w:id="32" w:name="_Hlk37429674"/>
      <w:r>
        <w:rPr>
          <w:rFonts w:hint="eastAsia" w:ascii="宋体" w:hAnsi="宋体" w:cs="宋体"/>
          <w:color w:val="auto"/>
          <w:szCs w:val="21"/>
          <w:highlight w:val="none"/>
        </w:rPr>
        <w:t>2.</w:t>
      </w:r>
      <w:r>
        <w:rPr>
          <w:rFonts w:hint="eastAsia" w:ascii="宋体" w:hAnsi="宋体" w:cs="宋体"/>
          <w:color w:val="auto"/>
          <w:kern w:val="0"/>
          <w:szCs w:val="21"/>
          <w:highlight w:val="none"/>
        </w:rPr>
        <w:t>本项目需要落实的政府采购政策</w:t>
      </w:r>
    </w:p>
    <w:p w14:paraId="38C26534">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（1）政府采购促进中小企业发展；本项目非专门面向中小企业采购。</w:t>
      </w:r>
    </w:p>
    <w:p w14:paraId="45CC9AD8">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58C40258">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（3）本项目强制采购节能产品；优先采购节能产品、环境标志产品。</w:t>
      </w:r>
    </w:p>
    <w:p w14:paraId="516779DA">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0A7E6A2C">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062D0054">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w:t>
      </w:r>
      <w:bookmarkEnd w:id="32"/>
      <w:bookmarkStart w:id="33" w:name="_Toc35393796"/>
      <w:bookmarkStart w:id="34" w:name="_Toc35393627"/>
      <w:bookmarkStart w:id="35" w:name="_Toc28359085"/>
      <w:bookmarkStart w:id="36" w:name="_Toc28359008"/>
      <w:r>
        <w:rPr>
          <w:rFonts w:hint="eastAsia" w:ascii="宋体" w:hAnsi="宋体" w:cs="宋体"/>
          <w:color w:val="auto"/>
          <w:kern w:val="0"/>
          <w:szCs w:val="21"/>
          <w:highlight w:val="none"/>
        </w:rPr>
        <w:t>投标人</w:t>
      </w:r>
      <w:r>
        <w:rPr>
          <w:rFonts w:hint="eastAsia" w:ascii="宋体" w:hAnsi="宋体" w:cs="宋体"/>
          <w:color w:val="auto"/>
          <w:szCs w:val="21"/>
          <w:highlight w:val="none"/>
        </w:rPr>
        <w:t>投标注意事项</w:t>
      </w:r>
    </w:p>
    <w:p w14:paraId="0F7D1DA9">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实行在线电子投标，投标人应先安装“</w:t>
      </w:r>
      <w:r>
        <w:rPr>
          <w:rFonts w:hint="eastAsia" w:ascii="宋体" w:hAnsi="宋体" w:cs="宋体"/>
          <w:color w:val="auto"/>
          <w:highlight w:val="none"/>
        </w:rPr>
        <w:t>广西政府采购云平台</w:t>
      </w:r>
      <w:r>
        <w:rPr>
          <w:rFonts w:hint="eastAsia" w:ascii="宋体" w:hAnsi="宋体" w:cs="宋体"/>
          <w:color w:val="auto"/>
          <w:szCs w:val="21"/>
          <w:highlight w:val="none"/>
        </w:rPr>
        <w:t>电子投标客户端”（请自行前往“</w:t>
      </w:r>
      <w:r>
        <w:rPr>
          <w:rFonts w:hint="eastAsia" w:ascii="宋体" w:hAnsi="宋体" w:cs="宋体"/>
          <w:color w:val="auto"/>
          <w:highlight w:val="none"/>
        </w:rPr>
        <w:t>广西政府采购云平台</w:t>
      </w:r>
      <w:r>
        <w:rPr>
          <w:rFonts w:hint="eastAsia" w:ascii="宋体" w:hAnsi="宋体" w:cs="宋体"/>
          <w:color w:val="auto"/>
          <w:szCs w:val="21"/>
          <w:highlight w:val="none"/>
        </w:rPr>
        <w:t>”进行下载），并按照本项目招标文件和“</w:t>
      </w:r>
      <w:r>
        <w:rPr>
          <w:rFonts w:hint="eastAsia" w:ascii="宋体" w:hAnsi="宋体" w:cs="宋体"/>
          <w:color w:val="auto"/>
          <w:highlight w:val="none"/>
        </w:rPr>
        <w:t>广西政府采购云平台</w:t>
      </w:r>
      <w:r>
        <w:rPr>
          <w:rFonts w:hint="eastAsia" w:ascii="宋体" w:hAnsi="宋体" w:cs="宋体"/>
          <w:color w:val="auto"/>
          <w:szCs w:val="21"/>
          <w:highlight w:val="none"/>
        </w:rPr>
        <w:t>”的要求编制、加密后在投标截止时间前通过网络上传至 “</w:t>
      </w:r>
      <w:r>
        <w:rPr>
          <w:rFonts w:hint="eastAsia" w:ascii="宋体" w:hAnsi="宋体" w:cs="宋体"/>
          <w:color w:val="auto"/>
          <w:highlight w:val="none"/>
        </w:rPr>
        <w:t>广西政府采购云平台</w:t>
      </w:r>
      <w:r>
        <w:rPr>
          <w:rFonts w:hint="eastAsia" w:ascii="宋体" w:hAnsi="宋体" w:cs="宋体"/>
          <w:color w:val="auto"/>
          <w:szCs w:val="21"/>
          <w:highlight w:val="none"/>
        </w:rPr>
        <w:t>”（加密的电子投标文件是指</w:t>
      </w:r>
      <w:r>
        <w:rPr>
          <w:rFonts w:hint="eastAsia" w:ascii="宋体" w:hAnsi="宋体" w:cs="宋体"/>
          <w:color w:val="auto"/>
          <w:highlight w:val="none"/>
        </w:rPr>
        <w:t>后缀名为“jmbs”的文件</w:t>
      </w:r>
      <w:r>
        <w:rPr>
          <w:rFonts w:hint="eastAsia" w:ascii="宋体" w:hAnsi="宋体" w:cs="宋体"/>
          <w:color w:val="auto"/>
          <w:szCs w:val="21"/>
          <w:highlight w:val="none"/>
        </w:rPr>
        <w:t>），</w:t>
      </w:r>
      <w:r>
        <w:rPr>
          <w:rFonts w:hint="eastAsia" w:ascii="宋体" w:hAnsi="宋体" w:cs="宋体"/>
          <w:b/>
          <w:color w:val="auto"/>
          <w:szCs w:val="21"/>
          <w:highlight w:val="none"/>
        </w:rPr>
        <w:t>投标人在</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b/>
          <w:color w:val="auto"/>
          <w:szCs w:val="21"/>
          <w:highlight w:val="none"/>
        </w:rPr>
        <w:t>提交电子投标文件时，请填写参加远程开标活动经办人联系方式。</w:t>
      </w:r>
      <w:r>
        <w:rPr>
          <w:rFonts w:hint="eastAsia" w:ascii="宋体" w:hAnsi="宋体" w:cs="宋体"/>
          <w:color w:val="auto"/>
          <w:szCs w:val="21"/>
          <w:highlight w:val="none"/>
        </w:rPr>
        <w:t>投标人登录“</w:t>
      </w:r>
      <w:r>
        <w:rPr>
          <w:rFonts w:hint="eastAsia" w:ascii="宋体" w:hAnsi="宋体" w:cs="宋体"/>
          <w:color w:val="auto"/>
          <w:highlight w:val="none"/>
        </w:rPr>
        <w:t>广西政府采购云平台</w:t>
      </w:r>
      <w:r>
        <w:rPr>
          <w:rFonts w:hint="eastAsia" w:ascii="宋体" w:hAnsi="宋体" w:cs="宋体"/>
          <w:color w:val="auto"/>
          <w:szCs w:val="21"/>
          <w:highlight w:val="none"/>
        </w:rPr>
        <w:t>”，依次进入“服务中心-项目采购-操作流程-电子招投标-</w:t>
      </w:r>
      <w:r>
        <w:rPr>
          <w:rFonts w:hint="eastAsia" w:ascii="宋体" w:hAnsi="宋体" w:cs="宋体"/>
          <w:color w:val="auto"/>
          <w:highlight w:val="none"/>
        </w:rPr>
        <w:t>政府采购项目电子交易管理操作指南-供应商</w:t>
      </w:r>
      <w:r>
        <w:rPr>
          <w:rFonts w:hint="eastAsia" w:ascii="宋体" w:hAnsi="宋体" w:cs="宋体"/>
          <w:color w:val="auto"/>
          <w:szCs w:val="21"/>
          <w:highlight w:val="none"/>
        </w:rPr>
        <w:t>”查看电子投标具体操作流程。</w:t>
      </w:r>
    </w:p>
    <w:p w14:paraId="17C9B99E">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color w:val="auto"/>
          <w:kern w:val="0"/>
          <w:szCs w:val="21"/>
          <w:highlight w:val="none"/>
        </w:rPr>
        <w:t>，</w:t>
      </w:r>
      <w:r>
        <w:rPr>
          <w:rFonts w:hint="eastAsia" w:ascii="宋体" w:hAnsi="宋体" w:cs="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bCs/>
          <w:color w:val="auto"/>
          <w:kern w:val="0"/>
          <w:szCs w:val="21"/>
          <w:highlight w:val="none"/>
        </w:rPr>
        <w:t>客服热线：95763</w:t>
      </w:r>
      <w:r>
        <w:rPr>
          <w:rFonts w:hint="eastAsia" w:ascii="宋体" w:hAnsi="宋体"/>
          <w:bCs/>
          <w:color w:val="auto"/>
          <w:highlight w:val="none"/>
        </w:rPr>
        <w:t>或者0771-3381253</w:t>
      </w:r>
      <w:r>
        <w:rPr>
          <w:rFonts w:hint="eastAsia" w:ascii="宋体" w:hAnsi="宋体" w:cs="宋体"/>
          <w:color w:val="auto"/>
          <w:szCs w:val="21"/>
          <w:highlight w:val="none"/>
        </w:rPr>
        <w:t>）。</w:t>
      </w:r>
    </w:p>
    <w:p w14:paraId="065B6AEA">
      <w:pPr>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color w:val="auto"/>
          <w:kern w:val="0"/>
          <w:szCs w:val="21"/>
          <w:highlight w:val="none"/>
        </w:rPr>
        <w:t>电子开标大厅现场按规定时间对加密的投标文件进行解密，否则后果自负。</w:t>
      </w:r>
    </w:p>
    <w:p w14:paraId="231B9AF1">
      <w:pPr>
        <w:widowControl/>
        <w:spacing w:line="38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止未完成上传、提交的，视为撤回投标文件。投标截止时间以后上传递交的投标文件，</w:t>
      </w:r>
      <w:r>
        <w:rPr>
          <w:rFonts w:hint="eastAsia" w:ascii="宋体" w:hAnsi="宋体" w:cs="宋体"/>
          <w:color w:val="auto"/>
          <w:szCs w:val="21"/>
          <w:highlight w:val="none"/>
        </w:rPr>
        <w:t>“</w:t>
      </w:r>
      <w:r>
        <w:rPr>
          <w:rFonts w:hint="eastAsia" w:ascii="宋体" w:hAnsi="宋体" w:cs="宋体"/>
          <w:bCs/>
          <w:color w:val="auto"/>
          <w:kern w:val="0"/>
          <w:szCs w:val="21"/>
          <w:highlight w:val="none"/>
        </w:rPr>
        <w:t>政府采购云平台</w:t>
      </w:r>
      <w:r>
        <w:rPr>
          <w:rFonts w:hint="eastAsia" w:ascii="宋体" w:hAnsi="宋体" w:cs="宋体"/>
          <w:color w:val="auto"/>
          <w:szCs w:val="21"/>
          <w:highlight w:val="none"/>
        </w:rPr>
        <w:t>”</w:t>
      </w:r>
      <w:r>
        <w:rPr>
          <w:rFonts w:hint="eastAsia" w:ascii="宋体" w:hAnsi="宋体" w:cs="宋体"/>
          <w:bCs/>
          <w:color w:val="auto"/>
          <w:szCs w:val="21"/>
          <w:highlight w:val="none"/>
        </w:rPr>
        <w:t>将予以拒收。</w:t>
      </w:r>
    </w:p>
    <w:p w14:paraId="0DAD8681">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ascii="宋体" w:hAnsi="宋体" w:cs="宋体"/>
          <w:bCs/>
          <w:color w:val="auto"/>
          <w:szCs w:val="21"/>
          <w:highlight w:val="none"/>
        </w:rPr>
      </w:pPr>
      <w:r>
        <w:rPr>
          <w:rFonts w:hint="eastAsia" w:ascii="宋体" w:hAnsi="宋体" w:cs="宋体"/>
          <w:bCs/>
          <w:color w:val="auto"/>
          <w:szCs w:val="21"/>
          <w:highlight w:val="none"/>
        </w:rPr>
        <w:t>4.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14:paraId="0950EEDA">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bCs/>
          <w:color w:val="auto"/>
          <w:highlight w:val="none"/>
        </w:rPr>
        <w:t>本项目各分标采购代理服务费按招标文件“投标人须知”第39条规定收取，由</w:t>
      </w:r>
      <w:r>
        <w:rPr>
          <w:rFonts w:hint="eastAsia" w:ascii="宋体" w:hAnsi="宋体"/>
          <w:color w:val="auto"/>
          <w:highlight w:val="none"/>
        </w:rPr>
        <w:t>中标人在获取中标通知书前向采购代理机构一次性付清</w:t>
      </w:r>
      <w:r>
        <w:rPr>
          <w:rFonts w:hint="eastAsia" w:ascii="宋体" w:hAnsi="宋体"/>
          <w:bCs/>
          <w:color w:val="auto"/>
          <w:highlight w:val="none"/>
        </w:rPr>
        <w:t>。</w:t>
      </w:r>
    </w:p>
    <w:p w14:paraId="5C9A8DA9">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33"/>
      <w:bookmarkEnd w:id="34"/>
      <w:bookmarkEnd w:id="35"/>
      <w:bookmarkEnd w:id="36"/>
    </w:p>
    <w:p w14:paraId="463634B4">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ascii="宋体" w:hAnsi="宋体" w:cs="宋体"/>
          <w:color w:val="auto"/>
          <w:szCs w:val="21"/>
          <w:highlight w:val="none"/>
        </w:rPr>
      </w:pPr>
      <w:r>
        <w:rPr>
          <w:rFonts w:hint="eastAsia" w:ascii="宋体" w:hAnsi="宋体" w:cs="宋体"/>
          <w:color w:val="auto"/>
          <w:szCs w:val="21"/>
          <w:highlight w:val="none"/>
        </w:rPr>
        <w:t>1.采购人信息</w:t>
      </w:r>
    </w:p>
    <w:p w14:paraId="7D67584A">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ascii="宋体" w:hAnsi="宋体" w:cs="宋体"/>
          <w:color w:val="auto"/>
          <w:szCs w:val="21"/>
          <w:highlight w:val="none"/>
        </w:rPr>
      </w:pPr>
      <w:r>
        <w:rPr>
          <w:rFonts w:hint="eastAsia" w:ascii="宋体" w:hAnsi="宋体" w:cs="宋体"/>
          <w:color w:val="auto"/>
          <w:szCs w:val="21"/>
          <w:highlight w:val="none"/>
        </w:rPr>
        <w:t>名称：桂林医学院附属医院</w:t>
      </w:r>
    </w:p>
    <w:p w14:paraId="211BC88E">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ascii="宋体" w:hAnsi="宋体" w:cs="宋体"/>
          <w:color w:val="auto"/>
          <w:szCs w:val="21"/>
          <w:highlight w:val="none"/>
        </w:rPr>
      </w:pPr>
      <w:r>
        <w:rPr>
          <w:rFonts w:hint="eastAsia" w:ascii="宋体" w:hAnsi="宋体" w:cs="宋体"/>
          <w:color w:val="auto"/>
          <w:szCs w:val="21"/>
          <w:highlight w:val="none"/>
        </w:rPr>
        <w:t>地址：广西桂林市秀峰区乐群路15号　</w:t>
      </w:r>
    </w:p>
    <w:p w14:paraId="5B70D12B">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ascii="宋体" w:hAnsi="宋体" w:cs="宋体"/>
          <w:color w:val="auto"/>
          <w:szCs w:val="21"/>
          <w:highlight w:val="none"/>
        </w:rPr>
      </w:pPr>
      <w:r>
        <w:rPr>
          <w:rFonts w:hint="eastAsia" w:ascii="宋体" w:hAnsi="宋体" w:cs="宋体"/>
          <w:color w:val="auto"/>
          <w:szCs w:val="21"/>
          <w:highlight w:val="none"/>
        </w:rPr>
        <w:t>联系方式：唐奕 0773-2802050</w:t>
      </w:r>
    </w:p>
    <w:p w14:paraId="42F74EBE">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ascii="宋体" w:hAnsi="宋体" w:cs="宋体"/>
          <w:color w:val="auto"/>
          <w:szCs w:val="21"/>
          <w:highlight w:val="none"/>
        </w:rPr>
      </w:pPr>
      <w:r>
        <w:rPr>
          <w:rFonts w:hint="eastAsia" w:ascii="宋体" w:hAnsi="宋体" w:cs="宋体"/>
          <w:color w:val="auto"/>
          <w:szCs w:val="21"/>
          <w:highlight w:val="none"/>
        </w:rPr>
        <w:t>2.采购代理机构信息</w:t>
      </w:r>
    </w:p>
    <w:p w14:paraId="56BE4236">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ascii="宋体" w:hAnsi="宋体" w:cs="宋体"/>
          <w:color w:val="auto"/>
          <w:szCs w:val="21"/>
          <w:highlight w:val="none"/>
        </w:rPr>
      </w:pPr>
      <w:r>
        <w:rPr>
          <w:rFonts w:hint="eastAsia" w:ascii="宋体" w:hAnsi="宋体" w:cs="宋体"/>
          <w:color w:val="auto"/>
          <w:szCs w:val="21"/>
          <w:highlight w:val="none"/>
        </w:rPr>
        <w:t>名称：云之龙咨询集团有限公司</w:t>
      </w:r>
    </w:p>
    <w:p w14:paraId="301AF390">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ascii="宋体" w:hAnsi="宋体" w:cs="宋体"/>
          <w:color w:val="auto"/>
          <w:szCs w:val="21"/>
          <w:highlight w:val="none"/>
        </w:rPr>
      </w:pPr>
      <w:r>
        <w:rPr>
          <w:rFonts w:hint="eastAsia" w:ascii="宋体" w:hAnsi="宋体" w:cs="宋体"/>
          <w:color w:val="auto"/>
          <w:szCs w:val="21"/>
          <w:highlight w:val="none"/>
        </w:rPr>
        <w:t>地址：广西桂林市临桂区西城北路2号耀辉•美好家园2幢12层1号房</w:t>
      </w:r>
    </w:p>
    <w:p w14:paraId="17E3978B">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ascii="宋体" w:hAnsi="宋体" w:cs="宋体"/>
          <w:color w:val="auto"/>
          <w:szCs w:val="21"/>
          <w:highlight w:val="none"/>
        </w:rPr>
      </w:pPr>
      <w:r>
        <w:rPr>
          <w:rFonts w:hint="eastAsia" w:ascii="宋体" w:hAnsi="宋体" w:cs="宋体"/>
          <w:color w:val="auto"/>
          <w:szCs w:val="21"/>
          <w:highlight w:val="none"/>
        </w:rPr>
        <w:t>联系方式：0773-2887388  2887399  传真：0773-2889218</w:t>
      </w:r>
    </w:p>
    <w:p w14:paraId="458E9876">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ascii="宋体" w:hAnsi="宋体" w:cs="宋体"/>
          <w:color w:val="auto"/>
          <w:szCs w:val="21"/>
          <w:highlight w:val="none"/>
        </w:rPr>
      </w:pPr>
      <w:r>
        <w:rPr>
          <w:rFonts w:hint="eastAsia" w:ascii="宋体" w:hAnsi="宋体" w:cs="宋体"/>
          <w:color w:val="auto"/>
          <w:szCs w:val="21"/>
          <w:highlight w:val="none"/>
        </w:rPr>
        <w:t>3.项目联系方式</w:t>
      </w:r>
    </w:p>
    <w:p w14:paraId="605F6709">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ascii="宋体" w:hAnsi="宋体" w:cs="宋体"/>
          <w:color w:val="auto"/>
          <w:szCs w:val="21"/>
          <w:highlight w:val="none"/>
        </w:rPr>
      </w:pPr>
      <w:r>
        <w:rPr>
          <w:rFonts w:hint="eastAsia" w:ascii="宋体" w:hAnsi="宋体" w:cs="宋体"/>
          <w:color w:val="auto"/>
          <w:szCs w:val="21"/>
          <w:highlight w:val="none"/>
        </w:rPr>
        <w:t>项目联系人：吕雯</w:t>
      </w:r>
    </w:p>
    <w:p w14:paraId="071D952E">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ascii="宋体" w:hAnsi="宋体" w:cs="宋体"/>
          <w:color w:val="auto"/>
          <w:szCs w:val="21"/>
          <w:highlight w:val="none"/>
        </w:rPr>
      </w:pPr>
      <w:r>
        <w:rPr>
          <w:rFonts w:hint="eastAsia" w:ascii="宋体" w:hAnsi="宋体" w:cs="宋体"/>
          <w:color w:val="auto"/>
          <w:szCs w:val="21"/>
          <w:highlight w:val="none"/>
        </w:rPr>
        <w:t>电话：0773-2887388  2887399</w:t>
      </w:r>
    </w:p>
    <w:p w14:paraId="0DDAD4E2">
      <w:pPr>
        <w:spacing w:line="380" w:lineRule="exact"/>
        <w:ind w:firstLine="567" w:firstLineChars="270"/>
        <w:jc w:val="left"/>
        <w:rPr>
          <w:rFonts w:ascii="宋体" w:hAnsi="宋体" w:cs="宋体"/>
          <w:color w:val="auto"/>
          <w:szCs w:val="21"/>
          <w:highlight w:val="none"/>
        </w:rPr>
      </w:pPr>
    </w:p>
    <w:p w14:paraId="1EB55D84">
      <w:pPr>
        <w:pStyle w:val="19"/>
        <w:rPr>
          <w:rFonts w:ascii="宋体" w:hAnsi="宋体" w:cs="宋体"/>
          <w:color w:val="auto"/>
          <w:szCs w:val="21"/>
          <w:highlight w:val="none"/>
        </w:rPr>
      </w:pPr>
      <w:bookmarkStart w:id="37" w:name="_Toc143259162"/>
      <w:bookmarkStart w:id="38" w:name="_Toc74320801"/>
    </w:p>
    <w:p w14:paraId="545A154D">
      <w:pPr>
        <w:pStyle w:val="19"/>
        <w:rPr>
          <w:rFonts w:ascii="宋体" w:hAnsi="宋体" w:cs="宋体"/>
          <w:color w:val="auto"/>
          <w:szCs w:val="21"/>
          <w:highlight w:val="none"/>
        </w:rPr>
      </w:pPr>
    </w:p>
    <w:p w14:paraId="66E03FEB">
      <w:pPr>
        <w:pStyle w:val="19"/>
        <w:rPr>
          <w:rFonts w:ascii="宋体" w:hAnsi="宋体" w:cs="宋体"/>
          <w:color w:val="auto"/>
          <w:szCs w:val="21"/>
          <w:highlight w:val="none"/>
        </w:rPr>
      </w:pPr>
    </w:p>
    <w:p w14:paraId="121DFE07">
      <w:pPr>
        <w:pStyle w:val="19"/>
        <w:rPr>
          <w:rFonts w:ascii="宋体" w:hAnsi="宋体" w:cs="宋体"/>
          <w:color w:val="auto"/>
          <w:szCs w:val="21"/>
          <w:highlight w:val="none"/>
        </w:rPr>
      </w:pPr>
    </w:p>
    <w:p w14:paraId="4DAD715D">
      <w:pPr>
        <w:rPr>
          <w:rFonts w:ascii="宋体" w:hAnsi="宋体" w:cs="宋体"/>
          <w:color w:val="auto"/>
          <w:szCs w:val="21"/>
          <w:highlight w:val="none"/>
        </w:rPr>
      </w:pPr>
    </w:p>
    <w:p w14:paraId="0EA21572">
      <w:pPr>
        <w:rPr>
          <w:rFonts w:ascii="宋体" w:hAnsi="宋体" w:cs="宋体"/>
          <w:color w:val="auto"/>
          <w:szCs w:val="21"/>
          <w:highlight w:val="none"/>
        </w:rPr>
      </w:pPr>
    </w:p>
    <w:p w14:paraId="76B00741">
      <w:pPr>
        <w:rPr>
          <w:rFonts w:ascii="宋体" w:hAnsi="宋体" w:cs="宋体"/>
          <w:color w:val="auto"/>
          <w:szCs w:val="21"/>
          <w:highlight w:val="none"/>
        </w:rPr>
      </w:pPr>
    </w:p>
    <w:p w14:paraId="7088375A">
      <w:pPr>
        <w:rPr>
          <w:rFonts w:ascii="宋体" w:hAnsi="宋体" w:cs="宋体"/>
          <w:color w:val="auto"/>
          <w:szCs w:val="21"/>
          <w:highlight w:val="none"/>
        </w:rPr>
      </w:pPr>
    </w:p>
    <w:p w14:paraId="27852A78">
      <w:pPr>
        <w:rPr>
          <w:rFonts w:ascii="宋体" w:hAnsi="宋体" w:cs="宋体"/>
          <w:color w:val="auto"/>
          <w:szCs w:val="21"/>
          <w:highlight w:val="none"/>
        </w:rPr>
      </w:pPr>
    </w:p>
    <w:p w14:paraId="462FFEAB">
      <w:pPr>
        <w:rPr>
          <w:rFonts w:ascii="宋体" w:hAnsi="宋体" w:cs="宋体"/>
          <w:color w:val="auto"/>
          <w:szCs w:val="21"/>
          <w:highlight w:val="none"/>
        </w:rPr>
      </w:pPr>
    </w:p>
    <w:p w14:paraId="4AB58A2D">
      <w:pPr>
        <w:rPr>
          <w:rFonts w:ascii="宋体" w:hAnsi="宋体" w:cs="宋体"/>
          <w:color w:val="auto"/>
          <w:szCs w:val="21"/>
          <w:highlight w:val="none"/>
        </w:rPr>
      </w:pPr>
    </w:p>
    <w:p w14:paraId="097B3DDF">
      <w:pPr>
        <w:rPr>
          <w:rFonts w:ascii="宋体" w:hAnsi="宋体" w:cs="宋体"/>
          <w:color w:val="auto"/>
          <w:szCs w:val="21"/>
          <w:highlight w:val="none"/>
        </w:rPr>
      </w:pPr>
    </w:p>
    <w:p w14:paraId="668EA28B">
      <w:pPr>
        <w:rPr>
          <w:rFonts w:ascii="宋体" w:hAnsi="宋体" w:cs="宋体"/>
          <w:color w:val="auto"/>
          <w:szCs w:val="21"/>
          <w:highlight w:val="none"/>
        </w:rPr>
      </w:pPr>
    </w:p>
    <w:p w14:paraId="70C3EF5D">
      <w:pPr>
        <w:rPr>
          <w:rFonts w:ascii="宋体" w:hAnsi="宋体" w:cs="宋体"/>
          <w:color w:val="auto"/>
          <w:szCs w:val="21"/>
          <w:highlight w:val="none"/>
        </w:rPr>
      </w:pPr>
    </w:p>
    <w:p w14:paraId="491C80D7">
      <w:pPr>
        <w:rPr>
          <w:rFonts w:ascii="宋体" w:hAnsi="宋体" w:cs="宋体"/>
          <w:color w:val="auto"/>
          <w:szCs w:val="21"/>
          <w:highlight w:val="none"/>
        </w:rPr>
      </w:pPr>
    </w:p>
    <w:p w14:paraId="27C71C6D">
      <w:pPr>
        <w:rPr>
          <w:rFonts w:ascii="宋体" w:hAnsi="宋体" w:cs="宋体"/>
          <w:color w:val="auto"/>
          <w:szCs w:val="21"/>
          <w:highlight w:val="none"/>
        </w:rPr>
      </w:pPr>
    </w:p>
    <w:p w14:paraId="6E6DB1B3">
      <w:pPr>
        <w:rPr>
          <w:rFonts w:ascii="宋体" w:hAnsi="宋体" w:cs="宋体"/>
          <w:color w:val="auto"/>
          <w:szCs w:val="21"/>
          <w:highlight w:val="none"/>
        </w:rPr>
      </w:pPr>
    </w:p>
    <w:p w14:paraId="0D23158F">
      <w:pPr>
        <w:rPr>
          <w:rFonts w:ascii="宋体" w:hAnsi="宋体" w:cs="宋体"/>
          <w:color w:val="auto"/>
          <w:szCs w:val="21"/>
          <w:highlight w:val="none"/>
        </w:rPr>
      </w:pPr>
    </w:p>
    <w:p w14:paraId="01502783">
      <w:pPr>
        <w:rPr>
          <w:rFonts w:ascii="宋体" w:hAnsi="宋体" w:cs="宋体"/>
          <w:color w:val="auto"/>
          <w:szCs w:val="21"/>
          <w:highlight w:val="none"/>
        </w:rPr>
      </w:pPr>
    </w:p>
    <w:p w14:paraId="2627314F">
      <w:pPr>
        <w:rPr>
          <w:rFonts w:ascii="宋体" w:hAnsi="宋体" w:cs="宋体"/>
          <w:color w:val="auto"/>
          <w:szCs w:val="21"/>
          <w:highlight w:val="none"/>
        </w:rPr>
      </w:pPr>
    </w:p>
    <w:p w14:paraId="01A19C94">
      <w:pPr>
        <w:rPr>
          <w:rFonts w:ascii="宋体" w:hAnsi="宋体" w:cs="宋体"/>
          <w:color w:val="auto"/>
          <w:szCs w:val="21"/>
          <w:highlight w:val="none"/>
        </w:rPr>
      </w:pPr>
    </w:p>
    <w:p w14:paraId="0EBE66E6">
      <w:pPr>
        <w:rPr>
          <w:rFonts w:ascii="宋体" w:hAnsi="宋体" w:cs="宋体"/>
          <w:color w:val="auto"/>
          <w:szCs w:val="21"/>
          <w:highlight w:val="none"/>
        </w:rPr>
      </w:pPr>
    </w:p>
    <w:p w14:paraId="2B4D2176">
      <w:pPr>
        <w:rPr>
          <w:rFonts w:ascii="宋体" w:hAnsi="宋体" w:cs="宋体"/>
          <w:color w:val="auto"/>
          <w:szCs w:val="21"/>
          <w:highlight w:val="none"/>
        </w:rPr>
      </w:pPr>
    </w:p>
    <w:p w14:paraId="75F3ED73">
      <w:pPr>
        <w:rPr>
          <w:rFonts w:ascii="宋体" w:hAnsi="宋体" w:cs="宋体"/>
          <w:color w:val="auto"/>
          <w:szCs w:val="21"/>
          <w:highlight w:val="none"/>
        </w:rPr>
      </w:pPr>
    </w:p>
    <w:p w14:paraId="5C97569F">
      <w:pPr>
        <w:rPr>
          <w:rFonts w:ascii="宋体" w:hAnsi="宋体" w:cs="宋体"/>
          <w:color w:val="auto"/>
          <w:szCs w:val="21"/>
          <w:highlight w:val="none"/>
        </w:rPr>
      </w:pPr>
    </w:p>
    <w:p w14:paraId="5CBD694C">
      <w:pPr>
        <w:rPr>
          <w:rFonts w:ascii="宋体" w:hAnsi="宋体" w:cs="宋体"/>
          <w:color w:val="auto"/>
          <w:szCs w:val="21"/>
          <w:highlight w:val="none"/>
        </w:rPr>
      </w:pPr>
    </w:p>
    <w:p w14:paraId="53CF5190">
      <w:pPr>
        <w:rPr>
          <w:rFonts w:ascii="宋体" w:hAnsi="宋体" w:cs="宋体"/>
          <w:color w:val="auto"/>
          <w:szCs w:val="21"/>
          <w:highlight w:val="none"/>
        </w:rPr>
      </w:pPr>
    </w:p>
    <w:p w14:paraId="362C185F">
      <w:pPr>
        <w:rPr>
          <w:rFonts w:ascii="宋体" w:hAnsi="宋体" w:cs="宋体"/>
          <w:color w:val="auto"/>
          <w:szCs w:val="21"/>
          <w:highlight w:val="none"/>
        </w:rPr>
      </w:pPr>
    </w:p>
    <w:p w14:paraId="6F6477E6">
      <w:pPr>
        <w:rPr>
          <w:rFonts w:ascii="宋体" w:hAnsi="宋体" w:cs="宋体"/>
          <w:color w:val="auto"/>
          <w:szCs w:val="21"/>
          <w:highlight w:val="none"/>
        </w:rPr>
      </w:pPr>
    </w:p>
    <w:p w14:paraId="548AF950">
      <w:pPr>
        <w:rPr>
          <w:rFonts w:ascii="宋体" w:hAnsi="宋体" w:cs="宋体"/>
          <w:color w:val="auto"/>
          <w:szCs w:val="21"/>
          <w:highlight w:val="none"/>
        </w:rPr>
      </w:pPr>
    </w:p>
    <w:p w14:paraId="00CCA879">
      <w:pPr>
        <w:rPr>
          <w:rFonts w:ascii="宋体" w:hAnsi="宋体" w:cs="宋体"/>
          <w:color w:val="auto"/>
          <w:szCs w:val="21"/>
          <w:highlight w:val="none"/>
        </w:rPr>
      </w:pPr>
    </w:p>
    <w:p w14:paraId="2B2C9D24">
      <w:pPr>
        <w:rPr>
          <w:rFonts w:ascii="宋体" w:hAnsi="宋体" w:cs="宋体"/>
          <w:color w:val="auto"/>
          <w:szCs w:val="21"/>
          <w:highlight w:val="none"/>
        </w:rPr>
      </w:pPr>
    </w:p>
    <w:p w14:paraId="5C57B4B4">
      <w:pPr>
        <w:rPr>
          <w:rFonts w:ascii="宋体" w:hAnsi="宋体" w:cs="宋体"/>
          <w:color w:val="auto"/>
          <w:szCs w:val="21"/>
          <w:highlight w:val="none"/>
        </w:rPr>
      </w:pPr>
    </w:p>
    <w:p w14:paraId="602B7850">
      <w:pPr>
        <w:rPr>
          <w:rFonts w:ascii="宋体" w:hAnsi="宋体" w:cs="宋体"/>
          <w:color w:val="auto"/>
          <w:szCs w:val="21"/>
          <w:highlight w:val="none"/>
        </w:rPr>
      </w:pPr>
    </w:p>
    <w:p w14:paraId="60D36411">
      <w:pPr>
        <w:pStyle w:val="3"/>
        <w:spacing w:after="0" w:line="500" w:lineRule="exact"/>
        <w:jc w:val="center"/>
        <w:rPr>
          <w:rFonts w:ascii="宋体" w:hAnsi="宋体" w:cs="宋体"/>
          <w:color w:val="auto"/>
          <w:highlight w:val="none"/>
        </w:rPr>
      </w:pPr>
      <w:r>
        <w:rPr>
          <w:rFonts w:hint="eastAsia" w:ascii="宋体" w:hAnsi="宋体" w:cs="宋体"/>
          <w:color w:val="auto"/>
          <w:highlight w:val="none"/>
        </w:rPr>
        <w:t>第二章 采购需求</w:t>
      </w:r>
      <w:bookmarkEnd w:id="37"/>
      <w:bookmarkEnd w:id="38"/>
    </w:p>
    <w:p w14:paraId="3A4888E0">
      <w:pPr>
        <w:spacing w:line="460" w:lineRule="exact"/>
        <w:ind w:firstLine="422" w:firstLineChars="200"/>
        <w:jc w:val="left"/>
        <w:rPr>
          <w:rFonts w:ascii="宋体" w:hAnsi="宋体" w:cs="宋体"/>
          <w:b/>
          <w:color w:val="auto"/>
          <w:highlight w:val="none"/>
        </w:rPr>
      </w:pPr>
      <w:bookmarkStart w:id="39" w:name="_Toc254970490"/>
      <w:bookmarkStart w:id="40" w:name="_Toc254970631"/>
      <w:r>
        <w:rPr>
          <w:rFonts w:hint="eastAsia" w:ascii="宋体" w:hAnsi="宋体" w:cs="宋体"/>
          <w:b/>
          <w:color w:val="auto"/>
          <w:highlight w:val="none"/>
        </w:rPr>
        <w:t>Ⅰ.说明：</w:t>
      </w:r>
    </w:p>
    <w:p w14:paraId="10021B55">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1.为落实政府采购政策需满足的要求</w:t>
      </w:r>
    </w:p>
    <w:p w14:paraId="2B0C5BE0">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（1）本招标文件所称中小企业必须符合《政府采购促进中小企业发展管理办法》（财库〔2020〕46号）的规定，本章后附的《中小企业划型标准规定》。</w:t>
      </w:r>
    </w:p>
    <w:p w14:paraId="697E3284">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14:paraId="57A81086">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02EE9627">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（4）根据《财政部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否则按无效投标处理。如本项目包含的货物属于品目清单内非标注“★”的产品时，应优先采购，具体详见“第四章 评标方法及评标标准”。</w:t>
      </w:r>
    </w:p>
    <w:p w14:paraId="2CD3A6B5">
      <w:pPr>
        <w:spacing w:line="460" w:lineRule="exact"/>
        <w:ind w:firstLine="422" w:firstLineChars="200"/>
        <w:jc w:val="left"/>
        <w:rPr>
          <w:rFonts w:ascii="宋体" w:hAnsi="宋体" w:cs="宋体"/>
          <w:b/>
          <w:color w:val="auto"/>
          <w:highlight w:val="none"/>
        </w:rPr>
      </w:pPr>
      <w:bookmarkStart w:id="41" w:name="_Hlk65055179"/>
      <w:r>
        <w:rPr>
          <w:rFonts w:hint="eastAsia" w:ascii="宋体" w:hAnsi="宋体" w:cs="宋体"/>
          <w:b/>
          <w:color w:val="auto"/>
          <w:highlight w:val="none"/>
        </w:rPr>
        <w:t>2.“实质性要求”是指招标文件中已经指明不满足则投标无效的条款，或者不能负偏离的条款，或者采购需求中带“▲”的条款。投标人不满足实质性要求的，按投标无效处理。</w:t>
      </w:r>
    </w:p>
    <w:p w14:paraId="43263B7D">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bookmarkEnd w:id="41"/>
    </w:p>
    <w:p w14:paraId="290BD13F">
      <w:pPr>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4.投标人应根据自身实际情况如实响应招标文件，对招标文件提出的要求和条件作出明确响应。对于招标文件中要求技术参数应当在投标文件中提供技术支持资料的，技术支持资料以招标文件中规定的形式为准，否则将视为无效技术支持资料。</w:t>
      </w:r>
    </w:p>
    <w:p w14:paraId="35052569">
      <w:pPr>
        <w:spacing w:line="460" w:lineRule="exact"/>
        <w:ind w:firstLine="420" w:firstLineChars="200"/>
        <w:jc w:val="left"/>
        <w:rPr>
          <w:rFonts w:ascii="宋体" w:hAnsi="宋体" w:cs="宋体"/>
          <w:b/>
          <w:color w:val="auto"/>
          <w:highlight w:val="none"/>
        </w:rPr>
      </w:pPr>
      <w:r>
        <w:rPr>
          <w:rFonts w:hint="eastAsia" w:ascii="宋体" w:hAnsi="宋体" w:cs="宋体"/>
          <w:color w:val="auto"/>
          <w:highlight w:val="none"/>
        </w:rPr>
        <w:t>5.投标人必须自行为其投标产品侵犯他人的知识产权或者专利成果的行为承担相应法律责任。</w:t>
      </w:r>
    </w:p>
    <w:p w14:paraId="076F2B2E">
      <w:pPr>
        <w:spacing w:line="380" w:lineRule="exact"/>
        <w:ind w:firstLine="310" w:firstLineChars="147"/>
        <w:jc w:val="left"/>
        <w:rPr>
          <w:rFonts w:ascii="宋体" w:hAnsi="宋体" w:cs="宋体"/>
          <w:b/>
          <w:color w:val="auto"/>
          <w:highlight w:val="none"/>
        </w:rPr>
      </w:pPr>
      <w:r>
        <w:rPr>
          <w:rFonts w:hint="eastAsia" w:ascii="宋体" w:hAnsi="宋体" w:cs="宋体"/>
          <w:b/>
          <w:color w:val="auto"/>
          <w:highlight w:val="none"/>
        </w:rPr>
        <w:t>Ⅱ.采购需求一览表</w:t>
      </w:r>
    </w:p>
    <w:p w14:paraId="36F1061A">
      <w:pPr>
        <w:spacing w:line="380" w:lineRule="exact"/>
        <w:jc w:val="left"/>
        <w:rPr>
          <w:rFonts w:ascii="宋体" w:hAnsi="宋体" w:cs="宋体"/>
          <w:b/>
          <w:color w:val="auto"/>
          <w:highlight w:val="none"/>
        </w:rPr>
      </w:pPr>
      <w:r>
        <w:rPr>
          <w:rFonts w:hint="eastAsia" w:ascii="宋体" w:hAnsi="宋体" w:cs="宋体"/>
          <w:b/>
          <w:color w:val="auto"/>
          <w:highlight w:val="none"/>
        </w:rPr>
        <w:t>分标1</w:t>
      </w:r>
    </w:p>
    <w:bookmarkEnd w:id="39"/>
    <w:bookmarkEnd w:id="40"/>
    <w:tbl>
      <w:tblPr>
        <w:tblStyle w:val="47"/>
        <w:tblW w:w="52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5"/>
        <w:gridCol w:w="1305"/>
        <w:gridCol w:w="663"/>
        <w:gridCol w:w="827"/>
        <w:gridCol w:w="836"/>
        <w:gridCol w:w="963"/>
        <w:gridCol w:w="4216"/>
      </w:tblGrid>
      <w:tr w14:paraId="71333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5000" w:type="pct"/>
            <w:gridSpan w:val="7"/>
            <w:vAlign w:val="center"/>
          </w:tcPr>
          <w:p w14:paraId="08D63D9B">
            <w:pPr>
              <w:tabs>
                <w:tab w:val="left" w:pos="180"/>
                <w:tab w:val="left" w:pos="1620"/>
              </w:tabs>
              <w:adjustRightInd w:val="0"/>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一、采购标的及技术需求</w:t>
            </w:r>
          </w:p>
        </w:tc>
      </w:tr>
      <w:tr w14:paraId="7008B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15" w:type="pct"/>
            <w:tcBorders>
              <w:right w:val="single" w:color="auto" w:sz="4" w:space="0"/>
            </w:tcBorders>
            <w:vAlign w:val="center"/>
          </w:tcPr>
          <w:p w14:paraId="3462509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709" w:type="pct"/>
            <w:tcBorders>
              <w:left w:val="single" w:color="auto" w:sz="4" w:space="0"/>
              <w:right w:val="single" w:color="auto" w:sz="4" w:space="0"/>
            </w:tcBorders>
            <w:vAlign w:val="center"/>
          </w:tcPr>
          <w:p w14:paraId="4F9B28D7">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360" w:type="pct"/>
            <w:tcBorders>
              <w:left w:val="single" w:color="auto" w:sz="4" w:space="0"/>
            </w:tcBorders>
            <w:vAlign w:val="center"/>
          </w:tcPr>
          <w:p w14:paraId="5A9783AB">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48" w:type="pct"/>
            <w:vAlign w:val="center"/>
          </w:tcPr>
          <w:p w14:paraId="50AFE159">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54" w:type="pct"/>
            <w:vAlign w:val="center"/>
          </w:tcPr>
          <w:p w14:paraId="63817C0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523" w:type="pct"/>
            <w:tcBorders>
              <w:right w:val="single" w:color="auto" w:sz="4" w:space="0"/>
            </w:tcBorders>
            <w:vAlign w:val="center"/>
          </w:tcPr>
          <w:p w14:paraId="03EEBCF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单价最高限价（万元）</w:t>
            </w:r>
          </w:p>
        </w:tc>
        <w:tc>
          <w:tcPr>
            <w:tcW w:w="2288" w:type="pct"/>
            <w:tcBorders>
              <w:left w:val="single" w:color="auto" w:sz="4" w:space="0"/>
            </w:tcBorders>
            <w:vAlign w:val="center"/>
          </w:tcPr>
          <w:p w14:paraId="3CC4B4FD">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2F0BF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27F21CB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09" w:type="pct"/>
            <w:tcBorders>
              <w:left w:val="single" w:color="auto" w:sz="4" w:space="0"/>
              <w:bottom w:val="single" w:color="auto" w:sz="4" w:space="0"/>
              <w:right w:val="single" w:color="auto" w:sz="4" w:space="0"/>
            </w:tcBorders>
            <w:vAlign w:val="center"/>
          </w:tcPr>
          <w:p w14:paraId="58E2322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1AFF9CA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448" w:type="pct"/>
            <w:vAlign w:val="center"/>
          </w:tcPr>
          <w:p w14:paraId="5AD41EC0">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44C6253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232F5D0F">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1.59</w:t>
            </w:r>
          </w:p>
        </w:tc>
        <w:tc>
          <w:tcPr>
            <w:tcW w:w="2288" w:type="pct"/>
            <w:tcBorders>
              <w:left w:val="single" w:color="auto" w:sz="4" w:space="0"/>
            </w:tcBorders>
          </w:tcPr>
          <w:p w14:paraId="096391D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14D9F196">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▲1.1≥10.1英寸彩色液晶触摸屏，屏幕采用电容屏非电阻屏，分辨率≥1280×800像素，≥6通道波形显示，一体化便携监护仪，整机无风扇设计，配置提手，要求方便移动。</w:t>
            </w:r>
          </w:p>
          <w:p w14:paraId="3532CB2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1.2显示屏可支持亮度自动调节功能，屏幕为倾斜10~15度设计。</w:t>
            </w:r>
          </w:p>
          <w:p w14:paraId="68D6667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1.3可支持遥控器无线远程操作监护仪。</w:t>
            </w:r>
          </w:p>
          <w:p w14:paraId="288CC1D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1.4内置锂电池，插槽式设计，无需螺丝刀工具支持快速拆卸和安装。</w:t>
            </w:r>
          </w:p>
          <w:p w14:paraId="1AB13D8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1.5安全规格：ECG， TEMP， IBP， 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 xml:space="preserve"> ， NIBP监测参数，抗电击程度为防除颤CF型。</w:t>
            </w:r>
          </w:p>
          <w:p w14:paraId="5483256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1.6监护仪设计使用年限≥8年。</w:t>
            </w:r>
          </w:p>
          <w:p w14:paraId="60C95EB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1.7监护仪清洁维护支持的清洁剂≥40种。</w:t>
            </w:r>
          </w:p>
          <w:p w14:paraId="7F838CE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1.8监护仪主机工作大气压环境范围：57.0~107.4kPa，监护仪主机工作温度环境范围：0~40°C，监护仪主机工作湿度环境范围：15~95%。</w:t>
            </w:r>
          </w:p>
          <w:p w14:paraId="52A528F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1.9防水等级≥IPX2。</w:t>
            </w:r>
          </w:p>
          <w:p w14:paraId="2010654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1.10整机抗跌落设计通过≥0.75米6面跌落测试。</w:t>
            </w:r>
          </w:p>
          <w:p w14:paraId="3AF6F9F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5703C01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2.1配置3/5导心电，呼吸，无创血压，血氧饱和度，脉搏和双通道体温参数监测。</w:t>
            </w:r>
          </w:p>
          <w:p w14:paraId="77B5DED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2.2心电监护支持心率，ST段测量，心律失常分析，QT/QTc连续实时测量和对应报警功能，心电算法通过AHA/MIT-BIH数据库验证，心电波形扫描速度支持6.25mm/s、12.5 mm/s、25 mm/s和50 mm/s，提供窗口支持心脏下壁，侧壁和前壁对应多个ST片段的同屏实时显示，提供参考片段和实时片段的对比查看。</w:t>
            </w:r>
          </w:p>
          <w:p w14:paraId="2ECDAA3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2.3支持≥20种心律失常分析，包括房颤分析。</w:t>
            </w:r>
          </w:p>
          <w:p w14:paraId="3651537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 QT和QTc实时监测参数测量范围：200～800 ms。</w:t>
            </w:r>
          </w:p>
          <w:p w14:paraId="26EDD35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2.5支持升级，提供过去24小时心电概览报告查看与打印，包括心率统计结果，心律失常统计结果，ST统计和QT/QTc统计结果。</w:t>
            </w:r>
          </w:p>
          <w:p w14:paraId="324A861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 提供SpO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，PR和PI参数的实时监测，适用于成人，小儿和新生儿。</w:t>
            </w:r>
          </w:p>
          <w:p w14:paraId="321B6D8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2.7支持指套式血氧探头，IPX7防水等级，支持液体浸泡消毒和清洁。</w:t>
            </w:r>
          </w:p>
          <w:p w14:paraId="52B997B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配置无创血压测量，适用于成人，小儿和新生儿，提供手动，自动，连续和序列、整点≥5种测量模式，并提供24小时血压统计结果，满足临床应用，无创血压成人测量范围：收缩压25~290mmHg，舒张压10~250mmHg，平均压15~260mmHg。</w:t>
            </w:r>
          </w:p>
          <w:p w14:paraId="3A0F00A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2.9提供辅助静脉穿刺功能。</w:t>
            </w:r>
          </w:p>
          <w:p w14:paraId="2884D01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2.10提供双通道体温和温差参数的监测，并可根据需要更改体温通道标名。</w:t>
            </w:r>
          </w:p>
          <w:p w14:paraId="64AF347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57BE1EED">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▲3.1支持所有监测参数报警限一键自动设置功能，满足医护团队快速管理患者报警需求，产品用户手册提供报警限自动设置规则。</w:t>
            </w:r>
          </w:p>
          <w:p w14:paraId="3BB524A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3.2支持肾功能计算功能。</w:t>
            </w:r>
          </w:p>
          <w:p w14:paraId="4C9CD31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3.3具有图形化技术报警指示功能，帮助医护团队快速识别报警来源。</w:t>
            </w:r>
          </w:p>
          <w:p w14:paraId="38FA75F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3.4支持≥120小时趋势图和趋势表回顾，支持选择不同趋势组回顾。</w:t>
            </w:r>
          </w:p>
          <w:p w14:paraId="3C7876F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3.5≥1000条事件回顾，每条报警事件至少能够存储32秒三道相关波形，以及报警触发时所有测量参数值。</w:t>
            </w:r>
          </w:p>
          <w:p w14:paraId="0129687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3.6≥1000组NIBP测量结果。</w:t>
            </w:r>
          </w:p>
          <w:p w14:paraId="77B57EA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3.7≥120小时（分辨率1分钟）ST模板存储与回顾。</w:t>
            </w:r>
          </w:p>
          <w:p w14:paraId="3F1DD2C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3.8支持48小时全息波形的存储与回顾功能。</w:t>
            </w:r>
          </w:p>
          <w:p w14:paraId="5A066D0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3.9支持监护仪历史病人数据的存储和回顾，并支持通过USB接口将历史病人数据导出到U盘。</w:t>
            </w:r>
          </w:p>
          <w:p w14:paraId="7177AA7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3.10支持RJ45接口进行有线网络通信，和除颤监护仪一起联网通信到中心监护系统。</w:t>
            </w:r>
          </w:p>
          <w:p w14:paraId="623DAE6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3.11支持监护仪进入夜间模式，隐私模式，演示模式和待机模式。</w:t>
            </w:r>
          </w:p>
          <w:p w14:paraId="63B2808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3.12可升级配置临床评分系统，如MEWS（改良早期预警评分）、NEWS（英国早期预警评分），可支持定时自动EWS评分功能。</w:t>
            </w:r>
          </w:p>
          <w:p w14:paraId="0FBA21F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3.13提供心肌缺血评估工具，可以快速查看ST值的变化。</w:t>
            </w:r>
          </w:p>
          <w:p w14:paraId="2F6B8E9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3.14提供计时器功能，界面区提供设置≥4个计时器，每个计时器支持独立设置和计时功能，计时方向包括正计时和倒计时两种选择。</w:t>
            </w:r>
          </w:p>
          <w:p w14:paraId="1EA84F9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3.15支持格拉斯哥昏迷评分（GCS）功能。</w:t>
            </w:r>
          </w:p>
          <w:p w14:paraId="31CAE31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3.16动态趋势界面可支持统计1-24小时心律失常报警、参数超限报警信息，并对超限报警区间的波形进行高亮显示，帮助医护人员快速识别异常趋势信息。</w:t>
            </w:r>
          </w:p>
          <w:p w14:paraId="257D531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3.17信息互连：支持升级有线和无线（内置Wi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Fi模块）方式直接与同品牌中央监护系统互联，把监测信息参数和波形实时显示到中央监护系统上，满足</w:t>
            </w:r>
            <w:r>
              <w:rPr>
                <w:rFonts w:hint="eastAsia"/>
                <w:color w:val="auto"/>
                <w:highlight w:val="none"/>
              </w:rPr>
              <w:t>采购人使用部门</w:t>
            </w:r>
            <w:r>
              <w:rPr>
                <w:rFonts w:hint="eastAsia" w:ascii="宋体" w:hAnsi="宋体" w:cs="宋体"/>
                <w:color w:val="auto"/>
                <w:szCs w:val="21"/>
                <w:highlight w:val="none"/>
              </w:rPr>
              <w:t>信息化的需求。</w:t>
            </w:r>
          </w:p>
          <w:p w14:paraId="55BE48B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3.18支持升级连接HIS系统，</w:t>
            </w:r>
            <w:r>
              <w:rPr>
                <w:rFonts w:hint="eastAsia" w:ascii="宋体" w:hAnsi="宋体" w:cs="宋体"/>
                <w:color w:val="auto"/>
                <w:szCs w:val="21"/>
                <w:highlight w:val="none"/>
                <w:lang w:eastAsia="zh-CN"/>
              </w:rPr>
              <w:t>开放端口，</w:t>
            </w:r>
            <w:r>
              <w:rPr>
                <w:rFonts w:hint="eastAsia" w:ascii="宋体" w:hAnsi="宋体" w:cs="宋体"/>
                <w:color w:val="auto"/>
                <w:szCs w:val="21"/>
                <w:highlight w:val="none"/>
              </w:rPr>
              <w:t>满足</w:t>
            </w:r>
            <w:r>
              <w:rPr>
                <w:rFonts w:hint="eastAsia"/>
                <w:color w:val="auto"/>
                <w:highlight w:val="none"/>
              </w:rPr>
              <w:t>采购人使用部门</w:t>
            </w:r>
            <w:r>
              <w:rPr>
                <w:rFonts w:hint="eastAsia" w:ascii="宋体" w:hAnsi="宋体" w:cs="宋体"/>
                <w:color w:val="auto"/>
                <w:szCs w:val="21"/>
                <w:highlight w:val="none"/>
              </w:rPr>
              <w:t>信息化的需求</w:t>
            </w:r>
            <w:r>
              <w:rPr>
                <w:rFonts w:hint="eastAsia" w:ascii="宋体" w:hAnsi="宋体" w:cs="宋体"/>
                <w:color w:val="auto"/>
                <w:szCs w:val="21"/>
                <w:highlight w:val="none"/>
                <w:lang w:eastAsia="zh-CN"/>
              </w:rPr>
              <w:t>（费用包含在投标报价中，采购人不再另行支付）</w:t>
            </w:r>
            <w:r>
              <w:rPr>
                <w:rFonts w:hint="eastAsia" w:ascii="宋体" w:hAnsi="宋体" w:cs="宋体"/>
                <w:color w:val="auto"/>
                <w:szCs w:val="21"/>
                <w:highlight w:val="none"/>
              </w:rPr>
              <w:t>。</w:t>
            </w:r>
          </w:p>
        </w:tc>
      </w:tr>
      <w:tr w14:paraId="6D5DE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503F81B0">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09" w:type="pct"/>
            <w:tcBorders>
              <w:left w:val="single" w:color="auto" w:sz="4" w:space="0"/>
              <w:bottom w:val="single" w:color="auto" w:sz="4" w:space="0"/>
              <w:right w:val="single" w:color="auto" w:sz="4" w:space="0"/>
            </w:tcBorders>
            <w:vAlign w:val="center"/>
          </w:tcPr>
          <w:p w14:paraId="60AD70EC">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35ED367B">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448" w:type="pct"/>
            <w:vAlign w:val="center"/>
          </w:tcPr>
          <w:p w14:paraId="685888AD">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13666A1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50F288C7">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w:t>
            </w:r>
          </w:p>
        </w:tc>
        <w:tc>
          <w:tcPr>
            <w:tcW w:w="2288" w:type="pct"/>
            <w:tcBorders>
              <w:left w:val="single" w:color="auto" w:sz="4" w:space="0"/>
            </w:tcBorders>
          </w:tcPr>
          <w:p w14:paraId="2785F53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7F5CF96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1.1模块化监护仪，主机集成内置≥2槽位插件槽，可支持IBP，CO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任意参数模块的即插即用快速扩展临床应用。</w:t>
            </w:r>
          </w:p>
          <w:p w14:paraId="710C0C0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1.2整机无风扇设计，防水等级≥IPX1。 </w:t>
            </w:r>
          </w:p>
          <w:p w14:paraId="1DD9762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1.3≥10.1英寸彩色液晶触摸屏，分辨率≥1280×800像素，≥8通道波形显示。</w:t>
            </w:r>
          </w:p>
          <w:p w14:paraId="0A9E5CE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1.4屏幕采用最新电容屏非电阻屏。</w:t>
            </w:r>
          </w:p>
          <w:p w14:paraId="1DE9F80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1.5显示屏可支持亮度自动调节功能。</w:t>
            </w:r>
          </w:p>
          <w:p w14:paraId="45E34C6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1.6屏幕倾斜10~15度设计，符合人机工程学，便于临床团队观察和操作。</w:t>
            </w:r>
          </w:p>
          <w:p w14:paraId="4E86E8F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1.7监测患者类型为小儿、新生儿，不含成人，所有监测参数适用于新生儿，标配新生儿专用附件。</w:t>
            </w:r>
          </w:p>
          <w:p w14:paraId="5D381CD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1.8内置锂电池，插槽式设计，无需螺丝刀工具支持快速拆卸和安装。锂电池支持监护仪工作时间≥4小时。</w:t>
            </w:r>
          </w:p>
          <w:p w14:paraId="7DD1DED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1.9安全规格：ECG， TEMP， IBP， SpO2 ， NIBP监测参数，抗电击程度为防除颤CF型。</w:t>
            </w:r>
          </w:p>
          <w:p w14:paraId="15C4CEB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1.10监护仪设计使用年限≥8年。</w:t>
            </w:r>
          </w:p>
          <w:p w14:paraId="3BC1595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1.11监护仪清洁维护支持的清洁剂≥40种。</w:t>
            </w:r>
          </w:p>
          <w:p w14:paraId="7AA9186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1.12监护仪主机工作大气压环境范围：57.0~107.4kPa。</w:t>
            </w:r>
          </w:p>
          <w:p w14:paraId="4F8561A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1.13监护仪主机工作温度环境范围：0~40°C。</w:t>
            </w:r>
          </w:p>
          <w:p w14:paraId="1C25C48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1.14监护仪主机工作湿度环境范围：15~95%。</w:t>
            </w:r>
          </w:p>
          <w:p w14:paraId="48CF7BA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369D119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2.1配置3/5导心电，呼吸，无创血压，血氧饱和度，脉搏和双通道体温参数监测。</w:t>
            </w:r>
          </w:p>
          <w:p w14:paraId="73605F4D">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▲2.2心电监护支持心率，ST段测量，心律失常分析，QT/QTc连续实时测量和对应报警功能，适用于新生儿。</w:t>
            </w:r>
          </w:p>
          <w:p w14:paraId="3F3636A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2.3提供新生儿专用心电电缆。</w:t>
            </w:r>
          </w:p>
          <w:p w14:paraId="1B9AC16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2.4心电算法通过AHA/MIT-BIH数据库验证。</w:t>
            </w:r>
          </w:p>
          <w:p w14:paraId="65751A0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2.5心电波形扫描速度支持6.25mm/s、12.5 mm/s、25 mm/s和50 mm/s。</w:t>
            </w:r>
          </w:p>
          <w:p w14:paraId="65E56D4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2.6提供窗口支持心脏下壁，侧壁和前壁对应多个ST片段的同屏实时显示，提供参考片段和实时片段的对比查看。</w:t>
            </w:r>
          </w:p>
          <w:p w14:paraId="58D867E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2.7支持≥20种心律失常分析，适用于新生儿。</w:t>
            </w:r>
          </w:p>
          <w:p w14:paraId="6EAAD0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 QT和QTc实时监测参数测量范围：200～800ms。</w:t>
            </w:r>
          </w:p>
          <w:p w14:paraId="27BEBB7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2.9支持升级提供过去24小时心电概览报告查看与打印，包括心率统计结果，心律失常统计结果，ST统计和QT/QTc统计结果。</w:t>
            </w:r>
          </w:p>
          <w:p w14:paraId="36F56CF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2.10提供SpO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，PR和灌注指数(PI)参数的实时监测，适用于小儿和新生儿。</w:t>
            </w:r>
          </w:p>
          <w:p w14:paraId="1C69091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2.11提供新生儿专用可重复使用血氧探头一个，防水等级IPX7。</w:t>
            </w:r>
          </w:p>
          <w:p w14:paraId="6537B24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2.12配置无创血压测量，适用于小儿和新生儿。</w:t>
            </w:r>
          </w:p>
          <w:p w14:paraId="3B5E6F80">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▲2.13提供手动，自动，连续和序列4种测量模式，并提供24小时血压统计结果，满足临床应用。</w:t>
            </w:r>
          </w:p>
          <w:p w14:paraId="2D8C60D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2.14无创血压小儿测量范围：收缩压25~240mmHg，舒张压10~200mmHg，平均压15~215mmHg；无创血压新生儿测量范围：收缩压25~140mmHg，舒张压10~115mmHg，平均压15~125mmHg。</w:t>
            </w:r>
          </w:p>
          <w:p w14:paraId="54DEF4D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2.15提供新生儿专用血压测量袖带一套，包括≥3个尺寸不同的袖带，满足不同新生儿臂围的监测。</w:t>
            </w:r>
          </w:p>
          <w:p w14:paraId="02DFB7B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2.16提供双通道体温和温差参数的监测， 并可根据需要更改体温通道标名。</w:t>
            </w:r>
          </w:p>
          <w:p w14:paraId="012489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2.17支持升级多达4通道有创压监测，适用于小儿和新生儿。</w:t>
            </w:r>
          </w:p>
          <w:p w14:paraId="0432E88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2.18可升级CO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模块，即插即用，支持新生儿呼末CO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监测，采用微流技术，采样速率50ml/min。</w:t>
            </w:r>
          </w:p>
          <w:p w14:paraId="5995B31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2.19可升级12导联心电监测，支持小儿、新生儿监测。</w:t>
            </w:r>
          </w:p>
          <w:p w14:paraId="5CA4FBE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243FC7D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3.1支持所有监测参数报警限一键自动设置功能，满足医护团队快速管理患者报警需求，产品用户手册提供报警限自动设置规则。</w:t>
            </w:r>
          </w:p>
          <w:p w14:paraId="39C3056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3.2能提供多种新生儿监护界面，包括呼吸氧合、大字体、单血氧界面。</w:t>
            </w:r>
          </w:p>
          <w:p w14:paraId="7906DED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3.3提供单血氧大参数界面，界面显示SpO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，PR，PI和多组SpO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监测值列表相关参数。</w:t>
            </w:r>
          </w:p>
          <w:p w14:paraId="113DA09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3.4提供CCHD筛查工具，支持新生儿先天性心脏病通过患者血氧进行筛查。</w:t>
            </w:r>
          </w:p>
          <w:p w14:paraId="1EECC5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3.5提供新生儿呼吸氧合专用界面，实时识别和标记ABD事件，协助临床对于新生儿的呼吸暂停的监测和管理。</w:t>
            </w:r>
          </w:p>
          <w:p w14:paraId="006B31A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3.6大字体界面支持6个参数区的设置和显示。</w:t>
            </w:r>
          </w:p>
          <w:p w14:paraId="69C2A60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3.7支持肾功能计算功能。</w:t>
            </w:r>
          </w:p>
          <w:p w14:paraId="46C1C40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3.8具有图形化技术报警指示功能，帮助医护团队快速识别报警来源。</w:t>
            </w:r>
          </w:p>
          <w:p w14:paraId="72767A5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3.9支持≥120小时趋势图和趋势表回顾，支持选择不同趋势组回顾。</w:t>
            </w:r>
          </w:p>
          <w:p w14:paraId="2D84E97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3.10≥1000条事件回顾。每条报警事件至少能够存储32秒三道相关波形，以及报警触发时所有测量参数值。</w:t>
            </w:r>
          </w:p>
          <w:p w14:paraId="614EBD9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3.11≥1000组NIBP测量结果。</w:t>
            </w:r>
          </w:p>
          <w:p w14:paraId="353F275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3.12≥120小时（分辨率1分钟）ST模板存储与回顾。</w:t>
            </w:r>
          </w:p>
          <w:p w14:paraId="460898A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3.13支持48小时全息波形的存储与回顾功能。</w:t>
            </w:r>
          </w:p>
          <w:p w14:paraId="4EAC4B9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3.14支持监护仪历史病人数据的存储和回顾，并支持通过USB接口将历史病人数据导出到U盘。</w:t>
            </w:r>
          </w:p>
          <w:p w14:paraId="36325E2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3.15支持RJ45接口进行有线网络通信，和除颤监护仪一起联网通信到中心监护系统。</w:t>
            </w:r>
          </w:p>
          <w:p w14:paraId="17D0501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3.16支持监护仪进入夜间模式，隐私模式，演示模式和待机模式。</w:t>
            </w:r>
          </w:p>
          <w:p w14:paraId="6A28785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3.17提供心肌缺血评估工具，可以快速查看ST值的变化。</w:t>
            </w:r>
          </w:p>
          <w:p w14:paraId="24B8F70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3.18提供计时器功能，界面区提供设置≥4个计时器，每个计时器支持独立设置和计时功能，计时方向包括正计时和倒计时两种选择。</w:t>
            </w:r>
          </w:p>
          <w:p w14:paraId="7724063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3.19支持格拉斯哥昏迷评分（GCS）功能。</w:t>
            </w:r>
          </w:p>
          <w:p w14:paraId="45D86D9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3.20动态趋势界面可支持统计1-24小时心律失常报警、参数超限报警信息，并对超限报警区间的波形进行高亮显示，帮助医护人员快速识别异常趋势信息。</w:t>
            </w:r>
          </w:p>
          <w:p w14:paraId="10CEEDB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3.21提供屏幕截图功能，将屏幕截图通过USB接口导出到U盘。</w:t>
            </w:r>
          </w:p>
        </w:tc>
      </w:tr>
      <w:tr w14:paraId="6FABD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7E827FCB">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09" w:type="pct"/>
            <w:tcBorders>
              <w:left w:val="single" w:color="auto" w:sz="4" w:space="0"/>
              <w:bottom w:val="single" w:color="auto" w:sz="4" w:space="0"/>
              <w:right w:val="single" w:color="auto" w:sz="4" w:space="0"/>
            </w:tcBorders>
            <w:vAlign w:val="center"/>
          </w:tcPr>
          <w:p w14:paraId="3F375FB9">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095DE55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448" w:type="pct"/>
            <w:vAlign w:val="center"/>
          </w:tcPr>
          <w:p w14:paraId="41FA696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0AF721E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02348B7B">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1.85</w:t>
            </w:r>
          </w:p>
        </w:tc>
        <w:tc>
          <w:tcPr>
            <w:tcW w:w="2288" w:type="pct"/>
            <w:tcBorders>
              <w:left w:val="single" w:color="auto" w:sz="4" w:space="0"/>
            </w:tcBorders>
          </w:tcPr>
          <w:p w14:paraId="4EF3748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50F3371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10.1英寸彩色液晶触摸屏，屏幕采用最新电容屏非电阻屏，分辨率≥1280×800像素，≥6通道波形显示，一体化便携监护仪，整机无风扇设计，配置提手，方便移动。显示屏可支持亮度自动调节功能，显示屏采用宽视角技术，支持170度可视范围。</w:t>
            </w:r>
          </w:p>
          <w:p w14:paraId="7598481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1.2可支持遥控器无线远程操作监护仪。</w:t>
            </w:r>
          </w:p>
          <w:p w14:paraId="624A2AE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1.3内置锂电池，插槽式设计，无需螺丝刀工具支持快速拆卸和安装。</w:t>
            </w:r>
          </w:p>
          <w:p w14:paraId="5C1C0504">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▲1.4安全规格：ECG， TEMP， IBP， SpO2 ， NIBP监测参数，抗电击程度为防除颤CF型。</w:t>
            </w:r>
          </w:p>
          <w:p w14:paraId="566591E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1.5监护仪设计使用年限≥8年。</w:t>
            </w:r>
          </w:p>
          <w:p w14:paraId="5E67A6B4">
            <w:pPr>
              <w:tabs>
                <w:tab w:val="left" w:pos="180"/>
                <w:tab w:val="left" w:pos="1620"/>
              </w:tabs>
              <w:adjustRightInd w:val="0"/>
              <w:snapToGrid w:val="0"/>
              <w:spacing w:line="360" w:lineRule="exact"/>
              <w:jc w:val="left"/>
              <w:rPr>
                <w:rFonts w:ascii="宋体" w:hAnsi="宋体" w:cs="宋体"/>
                <w:b/>
                <w:bCs/>
                <w:color w:val="auto"/>
                <w:kern w:val="0"/>
                <w:szCs w:val="21"/>
                <w:highlight w:val="none"/>
              </w:rPr>
            </w:pPr>
            <w:r>
              <w:rPr>
                <w:rFonts w:hint="eastAsia" w:ascii="宋体" w:hAnsi="宋体" w:cs="宋体"/>
                <w:color w:val="auto"/>
                <w:szCs w:val="21"/>
                <w:highlight w:val="none"/>
              </w:rPr>
              <w:t>1.6监护仪清洁维护支持的清洁剂≥40种</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121AEB5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1.7防水等级≥IPX2。</w:t>
            </w:r>
          </w:p>
          <w:p w14:paraId="12AF560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1.8整机抗跌落设计通过≥0.75米6面跌落测试。</w:t>
            </w:r>
          </w:p>
          <w:p w14:paraId="5946426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54714F0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2.1配置3/5导心电，呼吸，无创血压，血氧饱和度，脉搏和双通道体温参数监测。</w:t>
            </w:r>
          </w:p>
          <w:p w14:paraId="35AEE639">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▲2.2心电监护支持心率，ST段测量，心律失常分析，QT/QTc连续实时测量和对应报警功能，心电算法通过AHA/MIT-BIH数据库验证，心电波形扫描速度支持6.25mm/s、12.5 mm/s、25 mm/s和50 mm/s，提供窗口支持心脏下壁，侧壁和前壁对应多个ST片段的同屏实时显示，提供参考片段和实时片段的对比查看。配置无创血压测量，适用于成人，小儿和新生儿，提供手动，自动，连续和序列、整点5种测量模式，并提供24小时血压统计结果，满足临床应用，无创血压成人测量范围：收缩压25~290mmHg，舒张压10~250mmHg，平均压15~260mmHg。</w:t>
            </w:r>
          </w:p>
          <w:p w14:paraId="54F01D3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2.3支持≥20种心律失常分析，包括房颤分析。</w:t>
            </w:r>
          </w:p>
          <w:p w14:paraId="291437C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2.4QT和QTc实时监测参数测量范围：200～800 ms。</w:t>
            </w:r>
          </w:p>
          <w:p w14:paraId="03CC78D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2.5支持升级提供过去24小时心电概览报告查看与打印，包括心率统计结果，心律失常统计结果，ST统计和QT/QTc统计结果。</w:t>
            </w:r>
          </w:p>
          <w:p w14:paraId="3A84146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2.6提供双通道体温和温差参数的监测， 并可根据需要更改体温通道标名。</w:t>
            </w:r>
          </w:p>
          <w:p w14:paraId="0DFBFDE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549E475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3.1支持所有监测参数报警限一键自动设置功能，满足医护团队快速管理患者报警需求，产品用户手册提供报警限自动设置规则。</w:t>
            </w:r>
          </w:p>
          <w:p w14:paraId="640CE06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3.2支持≥120小时趋势图和趋势表回顾，支持选择不同趋势组回顾。</w:t>
            </w:r>
          </w:p>
          <w:p w14:paraId="47BEBA6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3.3≥1000条事件回顾。每条报警事件至少能够存储32秒三道相关波形，以及报警触发时所有测量参数值。</w:t>
            </w:r>
          </w:p>
          <w:p w14:paraId="7C3D77D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3.4≥1000组NIBP测量结果。</w:t>
            </w:r>
          </w:p>
          <w:p w14:paraId="0D0081E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3.5≥120小时（分辨率1分钟）ST模板存储与回顾。</w:t>
            </w:r>
          </w:p>
          <w:p w14:paraId="4B18CE1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3.6支持监护仪历史病人数据的存储和回顾，并支持通过USB接口将历史病人数据导出到U盘。</w:t>
            </w:r>
          </w:p>
          <w:p w14:paraId="3BBF4A3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3.7支持RJ45接口进行有线网络通信，和除颤监护仪一起联网通信到中心监护系统。</w:t>
            </w:r>
          </w:p>
          <w:p w14:paraId="5A6AC5D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3.8支持监护仪进入夜间模式，隐私模式，演示模式和待机模式。</w:t>
            </w:r>
          </w:p>
          <w:p w14:paraId="343D1CB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3.9可升级配置临床评分系统，如MEWS（改良早期预警评分）、NEWS（英国早期预警评分），可支持定时自动EWS评分功能。</w:t>
            </w:r>
          </w:p>
          <w:p w14:paraId="1B03E96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3.10提供心肌缺血评估工具，可以快速查看ST值的变化。</w:t>
            </w:r>
          </w:p>
          <w:p w14:paraId="661C8AA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提供计时器功能，界面区提供设置≥4个计时器，每个计时器支持独立设置和计时功能，计时方向包括正计时和倒计时两种选择。动态趋势界面可支持统计1-24小时心律失常报警、参数超限报警信息，并对超限报警区间的波形进行高亮显示，帮助医护人员快速识别异常趋势信息</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656B7E6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3.12支持格拉斯哥昏迷评分（GCS）功能。</w:t>
            </w:r>
          </w:p>
          <w:p w14:paraId="048D620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3.13信息互连：支持升级有线方式直接与同品牌中央监护系统互联，把监测信息参数和波形实时显示到中央监护系统上，满足科室信息化的需求。配备无线（内置Wi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Fi模块）方式直接与同品牌中央监护系统互联，把监测信息参数和波形实时显示到中央监护系统上，满足</w:t>
            </w:r>
            <w:r>
              <w:rPr>
                <w:rFonts w:hint="eastAsia"/>
                <w:color w:val="auto"/>
                <w:highlight w:val="none"/>
              </w:rPr>
              <w:t>采购人使用部门</w:t>
            </w:r>
            <w:r>
              <w:rPr>
                <w:rFonts w:hint="eastAsia" w:ascii="宋体" w:hAnsi="宋体" w:cs="宋体"/>
                <w:color w:val="auto"/>
                <w:szCs w:val="21"/>
                <w:highlight w:val="none"/>
              </w:rPr>
              <w:t>信息化的需求。</w:t>
            </w:r>
          </w:p>
          <w:p w14:paraId="17C8D76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3.14支持升级连接HIS系统，</w:t>
            </w:r>
            <w:r>
              <w:rPr>
                <w:rFonts w:hint="eastAsia" w:ascii="宋体" w:hAnsi="宋体" w:cs="宋体"/>
                <w:color w:val="auto"/>
                <w:szCs w:val="21"/>
                <w:highlight w:val="none"/>
                <w:lang w:eastAsia="zh-CN"/>
              </w:rPr>
              <w:t>开放端口，</w:t>
            </w:r>
            <w:r>
              <w:rPr>
                <w:rFonts w:hint="eastAsia" w:ascii="宋体" w:hAnsi="宋体" w:cs="宋体"/>
                <w:color w:val="auto"/>
                <w:szCs w:val="21"/>
                <w:highlight w:val="none"/>
              </w:rPr>
              <w:t>满足</w:t>
            </w:r>
            <w:r>
              <w:rPr>
                <w:rFonts w:hint="eastAsia"/>
                <w:color w:val="auto"/>
                <w:highlight w:val="none"/>
              </w:rPr>
              <w:t>采购人使用部门</w:t>
            </w:r>
            <w:r>
              <w:rPr>
                <w:rFonts w:hint="eastAsia" w:ascii="宋体" w:hAnsi="宋体" w:cs="宋体"/>
                <w:color w:val="auto"/>
                <w:szCs w:val="21"/>
                <w:highlight w:val="none"/>
              </w:rPr>
              <w:t>信息化的需求</w:t>
            </w:r>
            <w:r>
              <w:rPr>
                <w:rFonts w:hint="eastAsia" w:ascii="宋体" w:hAnsi="宋体" w:cs="宋体"/>
                <w:color w:val="auto"/>
                <w:szCs w:val="21"/>
                <w:highlight w:val="none"/>
                <w:lang w:eastAsia="zh-CN"/>
              </w:rPr>
              <w:t>（费用包含在投标报价中，采购人不再另行支付）</w:t>
            </w:r>
            <w:r>
              <w:rPr>
                <w:rFonts w:hint="eastAsia" w:ascii="宋体" w:hAnsi="宋体" w:cs="宋体"/>
                <w:color w:val="auto"/>
                <w:szCs w:val="21"/>
                <w:highlight w:val="none"/>
              </w:rPr>
              <w:t>。</w:t>
            </w:r>
          </w:p>
        </w:tc>
      </w:tr>
      <w:tr w14:paraId="505B1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57C6C2A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9" w:type="pct"/>
            <w:tcBorders>
              <w:left w:val="single" w:color="auto" w:sz="4" w:space="0"/>
              <w:bottom w:val="single" w:color="auto" w:sz="4" w:space="0"/>
              <w:right w:val="single" w:color="auto" w:sz="4" w:space="0"/>
            </w:tcBorders>
            <w:vAlign w:val="center"/>
          </w:tcPr>
          <w:p w14:paraId="4FF2CAD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066F4C0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448" w:type="pct"/>
            <w:vAlign w:val="center"/>
          </w:tcPr>
          <w:p w14:paraId="2793211B">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0609CE6C">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3FA8395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2.892</w:t>
            </w:r>
          </w:p>
        </w:tc>
        <w:tc>
          <w:tcPr>
            <w:tcW w:w="2288" w:type="pct"/>
            <w:tcBorders>
              <w:left w:val="single" w:color="auto" w:sz="4" w:space="0"/>
            </w:tcBorders>
          </w:tcPr>
          <w:p w14:paraId="10C0213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39467D7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1.1一体化便携监护仪，整机无风扇设计。</w:t>
            </w:r>
          </w:p>
          <w:p w14:paraId="7E12C53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1.2配置提手，方便移动。</w:t>
            </w:r>
          </w:p>
          <w:p w14:paraId="6E2C174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1.3≥12.1英寸彩色液晶触摸屏，分辨率≥1280×800像素，≥10通道波形显示。安全规格：ECG，TEMP，IBP，SpO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，NIBP监测参数抗电击程度为防除颤CF型。</w:t>
            </w:r>
          </w:p>
          <w:p w14:paraId="6972CC7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1.4屏幕采用最新电容屏非电阻屏。</w:t>
            </w:r>
          </w:p>
          <w:p w14:paraId="6F548C6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1.5显示屏可支持亮度自动调节功能。</w:t>
            </w:r>
          </w:p>
          <w:p w14:paraId="3575362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1.6屏幕倾斜10~15度设计，符合人机工程学，便于临床团队观察和操作。</w:t>
            </w:r>
          </w:p>
          <w:p w14:paraId="4DAC66B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1.7可支持遥控器无线远程操作监护仪。</w:t>
            </w:r>
          </w:p>
          <w:p w14:paraId="6E5519C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1.8内置锂电池，插槽式设计，无需螺丝刀工具支持快速拆卸和安装。</w:t>
            </w:r>
          </w:p>
          <w:p w14:paraId="395C102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1.9监护仪设计使用年限≥8年。</w:t>
            </w:r>
          </w:p>
          <w:p w14:paraId="4877BEB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1.11监护仪清洁维护支持的清洁剂≥40种。</w:t>
            </w:r>
          </w:p>
          <w:p w14:paraId="7FC1461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1.12监护仪主机工作大气压环境范围：57.0~107.4kPa。</w:t>
            </w:r>
          </w:p>
          <w:p w14:paraId="709DE22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1.13监护仪主机工作温度环境范围：0~40°C。</w:t>
            </w:r>
          </w:p>
          <w:p w14:paraId="697DB36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1.14</w:t>
            </w:r>
            <w:r>
              <w:rPr>
                <w:rFonts w:hint="eastAsia" w:ascii="宋体" w:hAnsi="宋体" w:cs="宋体"/>
                <w:color w:val="auto"/>
                <w:spacing w:val="-6"/>
                <w:szCs w:val="21"/>
                <w:highlight w:val="none"/>
              </w:rPr>
              <w:t>监护仪主机工作湿度环境范围：15~95%。</w:t>
            </w:r>
          </w:p>
          <w:p w14:paraId="21431B7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1.15防水等级≥IPX2。</w:t>
            </w:r>
          </w:p>
          <w:p w14:paraId="18B55D6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1.16整机抗跌落设计通过0.75米6面跌落测试</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2EBB607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5BCBBCF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2.1配置3/5导心电，呼吸，无创血压，血氧饱和度，脉搏和双通道体温，有创血压参数监测。</w:t>
            </w:r>
          </w:p>
          <w:p w14:paraId="645B22E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2.2心电监护支持心率，ST段测量，心律失常分析，QT/QTc连续实时测量和对应报警功能。</w:t>
            </w:r>
          </w:p>
          <w:p w14:paraId="37B9715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2.3心电算法通过AHA/MIT-BIH数据库验证。</w:t>
            </w:r>
          </w:p>
          <w:p w14:paraId="45B9355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2.4心电波形扫描速度支持6.25mm/s、12.5 mm/s、25 mm/s和50 mm/s。</w:t>
            </w:r>
          </w:p>
          <w:p w14:paraId="37BAB6E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2.5提供窗口支持心脏下壁，侧壁和前壁对应多个ST片段的同屏实时显示，提供参考片段和实时片段的对比查看。</w:t>
            </w:r>
          </w:p>
          <w:p w14:paraId="2D28B0E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2.6支持≥20种心律失常分析，包括房颤分析。</w:t>
            </w:r>
          </w:p>
          <w:p w14:paraId="48E1C1A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2.7QT和QTc实时监测参数测量范围：200～800 ms。</w:t>
            </w:r>
          </w:p>
          <w:p w14:paraId="7CAFA08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2.8支持升级提供过去24小时心电概览报告查看与打印，包括心率统计结果，心律失常统计结果，ST统计和QT/QTc统计结果。</w:t>
            </w:r>
          </w:p>
          <w:p w14:paraId="33AD0A8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2.9提供SpO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，PR和PI参数的实时监测，适用于成人，小儿和新生儿。</w:t>
            </w:r>
          </w:p>
          <w:p w14:paraId="7D375FE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2.10支持指套式血氧探头，IPX7防水等级，支持液体浸泡消毒和清洁</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0234A5D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2.11配置无创血压测量，适用于成人，小儿和新生儿。</w:t>
            </w:r>
          </w:p>
          <w:p w14:paraId="09D6B53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2.12提供手动，自动，连续、序列和整点，5种测量模式，并提供24小时血压统计结果，满足临床应用。无创血压成人测量范围：收缩压25~290mmHg，舒张压10~250mmHg，平均压15~260mmHg。</w:t>
            </w:r>
          </w:p>
          <w:p w14:paraId="11697C9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2.14提供辅助静脉穿刺功能。</w:t>
            </w:r>
          </w:p>
          <w:p w14:paraId="0F3F064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2.15提供双通道体温和温差参数的监测，并可根据需要更改体温通道标名。</w:t>
            </w:r>
          </w:p>
          <w:p w14:paraId="32D62CA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7679F62B">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▲3.1支持所有监测参数报警限一键自动设置功能，满足医护团队快速管理患者报警需求，产品用户手册提供报警限自动设置规则。信息互连：支持有线和无线（内置Wi</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Fi模块）方式直接与同品牌中央监护系统互联，把监测信息参数和波形实时显示到中央监护系统上，满足采购人使用部门信息化的需求。</w:t>
            </w:r>
          </w:p>
          <w:p w14:paraId="653DB9C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3.2支持肾功能计算功能。</w:t>
            </w:r>
          </w:p>
          <w:p w14:paraId="1382D75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3.3具有图形化技术报警指示功能，帮助医护团队快速识别报警来源。</w:t>
            </w:r>
          </w:p>
          <w:p w14:paraId="60F9FA0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3.4支持≥120小时趋势图和趋势表回顾，支持选择不同趋势组回顾。</w:t>
            </w:r>
          </w:p>
          <w:p w14:paraId="3E8DB46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3.5≥1000条事件回顾。每条报警事件至少能够存储32秒三道相关波形，以及报警触发时所有测量参数值。</w:t>
            </w:r>
          </w:p>
          <w:p w14:paraId="51CB5BB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3.6≥1000组NIBP测量结果。</w:t>
            </w:r>
          </w:p>
          <w:p w14:paraId="7B4055C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3.7≥120小时（分辨率1分钟）ST模板存储与回顾。</w:t>
            </w:r>
          </w:p>
          <w:p w14:paraId="57E5086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3.8支持48小时全息波形的存储与回顾功能。</w:t>
            </w:r>
          </w:p>
          <w:p w14:paraId="793B7E8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3.9支持监护仪历史病人数据的存储和回顾，并支持通过USB接口将历史病人数据导出到U盘。</w:t>
            </w:r>
          </w:p>
          <w:p w14:paraId="4B3A077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3.10支持RJ45接口进行有线网络通信，和除颤监护仪一起联网通信到中心监护系统。</w:t>
            </w:r>
          </w:p>
          <w:p w14:paraId="53C1F91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3.11支持监护仪进入夜间模式，隐私模式，演示模式和待机模式。</w:t>
            </w:r>
          </w:p>
          <w:p w14:paraId="5CF1284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3.12可升级配置临床评分系统，如MEWS（改良早期预警评分）、NEWS（英国早期预警评分），可支持定时自动EWS评分功能。</w:t>
            </w:r>
          </w:p>
          <w:p w14:paraId="053CB88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3.13提供心肌缺血评估工具，可以快速查看ST值的变化。</w:t>
            </w:r>
          </w:p>
          <w:p w14:paraId="57185CB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3.14提供计时器功能，界面区提供设置≥4个计时器，每个计时器支持独立设置和计时功能，计时方向包括正计时和倒计时两种选择。动态趋势界面可支持统计1-24小时心律失常报警、参数超限报警信息，并对超限报警区间的波形进行高亮显示，帮助医护人员快速识别异常趋势信息。</w:t>
            </w:r>
          </w:p>
          <w:p w14:paraId="313A517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3.15支持格拉斯哥昏迷评分（GCS）功能。</w:t>
            </w:r>
          </w:p>
        </w:tc>
      </w:tr>
      <w:tr w14:paraId="075D5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5" w:type="pct"/>
            <w:tcBorders>
              <w:bottom w:val="single" w:color="auto" w:sz="4" w:space="0"/>
              <w:right w:val="single" w:color="auto" w:sz="4" w:space="0"/>
            </w:tcBorders>
            <w:vAlign w:val="center"/>
          </w:tcPr>
          <w:p w14:paraId="31E7827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09" w:type="pct"/>
            <w:tcBorders>
              <w:left w:val="single" w:color="auto" w:sz="4" w:space="0"/>
              <w:bottom w:val="single" w:color="auto" w:sz="4" w:space="0"/>
              <w:right w:val="single" w:color="auto" w:sz="4" w:space="0"/>
            </w:tcBorders>
            <w:vAlign w:val="center"/>
          </w:tcPr>
          <w:p w14:paraId="614EA2E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4902A0A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448" w:type="pct"/>
            <w:vAlign w:val="center"/>
          </w:tcPr>
          <w:p w14:paraId="2B8BB74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0DA3C98F">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22162190">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2.19</w:t>
            </w:r>
          </w:p>
        </w:tc>
        <w:tc>
          <w:tcPr>
            <w:tcW w:w="2288" w:type="pct"/>
            <w:tcBorders>
              <w:left w:val="single" w:color="auto" w:sz="4" w:space="0"/>
            </w:tcBorders>
          </w:tcPr>
          <w:p w14:paraId="2C57CD7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1.适用于成人、小儿、新生儿的监测。整机重量＜1</w:t>
            </w:r>
            <w:r>
              <w:rPr>
                <w:rFonts w:hint="eastAsia" w:ascii="宋体" w:hAnsi="宋体" w:cs="宋体"/>
                <w:color w:val="auto"/>
                <w:szCs w:val="21"/>
                <w:highlight w:val="none"/>
                <w:lang w:val="en-US" w:eastAsia="zh-CN"/>
              </w:rPr>
              <w:t>kg</w:t>
            </w:r>
            <w:r>
              <w:rPr>
                <w:rFonts w:hint="eastAsia" w:ascii="宋体" w:hAnsi="宋体" w:cs="宋体"/>
                <w:color w:val="auto"/>
                <w:szCs w:val="21"/>
                <w:highlight w:val="none"/>
              </w:rPr>
              <w:t>。</w:t>
            </w:r>
          </w:p>
          <w:p w14:paraId="041F153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2.转运监护仪，满足救护车，直升飞机和固定翼飞机，通过相关转运标准。</w:t>
            </w:r>
          </w:p>
          <w:p w14:paraId="3100BF5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3.≥5.5英寸彩色触摸电容显示屏，支持屏幕手势滑动操作，支持穿戴医用防护手套操作。</w:t>
            </w:r>
          </w:p>
          <w:p w14:paraId="6FBDA41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4.IP44防尘防水，易清洁和适用医院内外不同临床救治环境。</w:t>
            </w:r>
          </w:p>
          <w:p w14:paraId="3A78FC7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5.要求坚固耐用，抗1.2米6面跌落，满足转运过程中的复杂临床救治环境。</w:t>
            </w:r>
          </w:p>
          <w:p w14:paraId="5107681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6.整机无风扇设计。</w:t>
            </w:r>
          </w:p>
          <w:p w14:paraId="0403738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7.内置锂电池供电，支持≥5小时的持续监测。</w:t>
            </w:r>
          </w:p>
          <w:p w14:paraId="5DA1B50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8.内置DC电源接口，可以进行车载充电。</w:t>
            </w:r>
          </w:p>
          <w:p w14:paraId="2532DC5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9.具备3/5导心电，阻抗呼吸，血氧、无创血压、2通道体温。</w:t>
            </w:r>
          </w:p>
          <w:p w14:paraId="7357C57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10.可根据采购人后期需要增配便携插件箱，可扩展1个参数插槽，满足插入更多参数模块的监测扩展。</w:t>
            </w:r>
          </w:p>
          <w:p w14:paraId="1D1478C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11.可升级双通道有创血压；可选配外置2通道IBP有创血压监测模块，主机最多支持4通道IBP有创压力监测。</w:t>
            </w:r>
          </w:p>
          <w:p w14:paraId="0EF673C7">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▲12.可选配内置EtCO</w:t>
            </w:r>
            <w:r>
              <w:rPr>
                <w:rFonts w:hint="eastAsia" w:ascii="宋体" w:hAnsi="宋体" w:cs="宋体"/>
                <w:b/>
                <w:bCs/>
                <w:color w:val="auto"/>
                <w:szCs w:val="21"/>
                <w:highlight w:val="none"/>
                <w:vertAlign w:val="subscript"/>
              </w:rPr>
              <w:t>2</w:t>
            </w:r>
            <w:r>
              <w:rPr>
                <w:rFonts w:hint="eastAsia" w:ascii="宋体" w:hAnsi="宋体" w:cs="宋体"/>
                <w:b/>
                <w:bCs/>
                <w:color w:val="auto"/>
                <w:szCs w:val="21"/>
                <w:highlight w:val="none"/>
              </w:rPr>
              <w:t>监测，与主机一体化设计，最小抽气流速50ml/min。可选配外置主流、旁流、微流EtCO</w:t>
            </w:r>
            <w:r>
              <w:rPr>
                <w:rFonts w:hint="eastAsia" w:ascii="宋体" w:hAnsi="宋体" w:cs="宋体"/>
                <w:b/>
                <w:bCs/>
                <w:color w:val="auto"/>
                <w:szCs w:val="21"/>
                <w:highlight w:val="none"/>
                <w:vertAlign w:val="subscript"/>
              </w:rPr>
              <w:t>2</w:t>
            </w:r>
            <w:r>
              <w:rPr>
                <w:rFonts w:hint="eastAsia" w:ascii="宋体" w:hAnsi="宋体" w:cs="宋体"/>
                <w:b/>
                <w:bCs/>
                <w:color w:val="auto"/>
                <w:szCs w:val="21"/>
                <w:highlight w:val="none"/>
              </w:rPr>
              <w:t>监测模块</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56DC893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13.可选配外置PiCCO技术监测功能模块或PiCCO技术单机产品，非漂浮导管热稀释法或无创阻抗法，可监测胸腔内血容量(ITBV)、血管外肺水(EVLW)，肺毛细血管通透性指数(PVPI)等参数，提供完整的血流动力学参数监测</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r>
              <w:rPr>
                <w:rFonts w:hint="eastAsia"/>
                <w:color w:val="auto"/>
                <w:highlight w:val="none"/>
              </w:rPr>
              <w:t>。</w:t>
            </w:r>
          </w:p>
          <w:p w14:paraId="701AEE1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14.可根据采购人后期需要</w:t>
            </w:r>
            <w:r>
              <w:rPr>
                <w:rFonts w:hint="eastAsia"/>
                <w:color w:val="auto"/>
                <w:highlight w:val="none"/>
              </w:rPr>
              <w:t>增配</w:t>
            </w:r>
            <w:r>
              <w:rPr>
                <w:rFonts w:hint="eastAsia" w:ascii="宋体" w:hAnsi="宋体" w:cs="宋体"/>
                <w:color w:val="auto"/>
                <w:szCs w:val="21"/>
                <w:highlight w:val="none"/>
              </w:rPr>
              <w:t>≥19英寸外接显示屏，将模块数据传输显示，进行大屏幕监护，满足临床护理人员在床旁的监护需要。</w:t>
            </w:r>
          </w:p>
          <w:p w14:paraId="67B907A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b/>
                <w:bCs/>
                <w:color w:val="auto"/>
                <w:szCs w:val="21"/>
                <w:highlight w:val="none"/>
              </w:rPr>
              <w:t>▲15.支持升级麻醉平衡软件工具，数字化指标显示病人镇静、镇痛、肌松三方面麻醉状态，自动提示病人三低状态，并予以计时，图形化显示病人脑状态，可进行Aldrete复苏评分，满足临床对病人复苏拔管的评估</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r>
              <w:rPr>
                <w:rFonts w:hint="eastAsia" w:ascii="宋体" w:hAnsi="宋体" w:cs="宋体"/>
                <w:b/>
                <w:bCs/>
                <w:color w:val="auto"/>
                <w:szCs w:val="21"/>
                <w:highlight w:val="none"/>
              </w:rPr>
              <w:t>。</w:t>
            </w:r>
          </w:p>
          <w:p w14:paraId="4AC1F8A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16.转运监护仪支持插入床旁监护仪插槽作为参数模块使用，即插即用。</w:t>
            </w:r>
          </w:p>
          <w:p w14:paraId="31379E8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17.具有多导心电监护算法 ，同步分析≥4通道心电波形，能够良好抗干扰。</w:t>
            </w:r>
          </w:p>
          <w:p w14:paraId="1DE6FA4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18.心率测量范围：成人15~300 bpm，小儿/新生儿15~350 bpm。</w:t>
            </w:r>
          </w:p>
          <w:p w14:paraId="40410BA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19.波速提供50mm/s，25 mm/s、12.5 mm/s、6.25 mm/s可选。</w:t>
            </w:r>
          </w:p>
          <w:p w14:paraId="435FC69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20.滤波模式提供诊断模式（0.05 -150Hz），监护模式（0.5~40Hz），ST模式（0.05~40Hz），手术模式（1~20Hz）。</w:t>
            </w:r>
          </w:p>
          <w:p w14:paraId="0E0547E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21.支持房颤及室上性心律失常分析功能，如：室上性心动过速，SVCs/min等，标配支持≥25种实时心律失常分析。</w:t>
            </w:r>
          </w:p>
          <w:p w14:paraId="30EFC35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22.提供ST段分析，提供显示和存储ST值和每个ST的模板。</w:t>
            </w:r>
          </w:p>
          <w:p w14:paraId="2807CFD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23.具有QT/QTc测量功能，提供QT，QTc和ΔQTc参数值。</w:t>
            </w:r>
          </w:p>
          <w:p w14:paraId="3447823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24.可显示弱灌注指数（PI）。</w:t>
            </w:r>
          </w:p>
          <w:p w14:paraId="66F53EE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25.提供双通道体温测量，提供两通道体温测量差值显示。</w:t>
            </w:r>
          </w:p>
          <w:p w14:paraId="715CB68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26.提供手动、自动间隔、连续、序列以及整点无种无创血压测量模式。收缩压25~290mmHg，舒张压10~250mmHg，平均压15~260mmHg。</w:t>
            </w:r>
          </w:p>
          <w:p w14:paraId="56D031B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27.IBP测量范围：-50~360 mmHg，支持实时PPV测量。</w:t>
            </w:r>
          </w:p>
          <w:p w14:paraId="188279D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28.≥800条事件回顾。每条报警事件至少能够存储32秒三道相关波形，以及报警触发时所有测量参数值。</w:t>
            </w:r>
          </w:p>
          <w:p w14:paraId="75922DE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29.≥800条NIBP测量结果回顾。</w:t>
            </w:r>
          </w:p>
          <w:p w14:paraId="0D199F3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30.≥40小时全息波形回顾。</w:t>
            </w:r>
          </w:p>
          <w:p w14:paraId="583CA95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31.≥100小时趋势数据回顾。</w:t>
            </w:r>
          </w:p>
          <w:p w14:paraId="05B96BE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b/>
                <w:bCs/>
                <w:color w:val="auto"/>
                <w:szCs w:val="21"/>
                <w:highlight w:val="none"/>
              </w:rPr>
              <w:t>▲32.信息互连：支持有线和无线（内置Wi</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Fi模块）方式直接与“病人监护仪”同品牌中央监护系统互联，把监测信息参数和波形实时显示到中央监护系统上，满足采购人使用部门信息化的需求。</w:t>
            </w:r>
          </w:p>
        </w:tc>
      </w:tr>
      <w:tr w14:paraId="62465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6AB6D6B7">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709" w:type="pct"/>
            <w:tcBorders>
              <w:left w:val="single" w:color="auto" w:sz="4" w:space="0"/>
              <w:bottom w:val="single" w:color="auto" w:sz="4" w:space="0"/>
              <w:right w:val="single" w:color="auto" w:sz="4" w:space="0"/>
            </w:tcBorders>
            <w:vAlign w:val="center"/>
          </w:tcPr>
          <w:p w14:paraId="0246E1D9">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012090ED">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448" w:type="pct"/>
            <w:vAlign w:val="center"/>
          </w:tcPr>
          <w:p w14:paraId="602658D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4A05387C">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73B7CF9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2.89</w:t>
            </w:r>
          </w:p>
        </w:tc>
        <w:tc>
          <w:tcPr>
            <w:tcW w:w="2288" w:type="pct"/>
            <w:tcBorders>
              <w:left w:val="single" w:color="auto" w:sz="4" w:space="0"/>
            </w:tcBorders>
          </w:tcPr>
          <w:p w14:paraId="5B95A7B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1.适用于成人、小儿、新生儿的监测。整机重量＜1</w:t>
            </w:r>
            <w:r>
              <w:rPr>
                <w:rFonts w:hint="eastAsia" w:ascii="宋体" w:hAnsi="宋体" w:cs="宋体"/>
                <w:color w:val="auto"/>
                <w:szCs w:val="21"/>
                <w:highlight w:val="none"/>
                <w:lang w:val="en-US" w:eastAsia="zh-CN"/>
              </w:rPr>
              <w:t>kg</w:t>
            </w:r>
            <w:r>
              <w:rPr>
                <w:rFonts w:hint="eastAsia" w:ascii="宋体" w:hAnsi="宋体" w:cs="宋体"/>
                <w:color w:val="auto"/>
                <w:szCs w:val="21"/>
                <w:highlight w:val="none"/>
              </w:rPr>
              <w:t>。</w:t>
            </w:r>
          </w:p>
          <w:p w14:paraId="7959C94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2.转运监护仪，满足救护车，直升飞机和固定翼飞机，通过相关转运标准。</w:t>
            </w:r>
          </w:p>
          <w:p w14:paraId="5CEC1B7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3.≥5.5英寸彩色触摸电容显示屏，支持屏幕手势滑动操作，支持穿戴医用防护手套操作</w:t>
            </w:r>
          </w:p>
          <w:p w14:paraId="0951377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4.IP44防尘防水，易清洁和适用医院内外不同临床救治环境。</w:t>
            </w:r>
          </w:p>
          <w:p w14:paraId="56263EA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5.要求坚固耐用，抗1.2米6面跌落，满足转运过程中的复杂临床救治环境。</w:t>
            </w:r>
          </w:p>
          <w:p w14:paraId="7F04C64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6.整机无风扇设计。</w:t>
            </w:r>
          </w:p>
          <w:p w14:paraId="325E6AA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7.内置锂电池供电，支持≥5小时的持续监测。</w:t>
            </w:r>
          </w:p>
          <w:p w14:paraId="4973B1F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8.内置DC电源接口，可以进行车载充电。</w:t>
            </w:r>
          </w:p>
          <w:p w14:paraId="69474C5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9.具备3/5导心电，阻抗呼吸，血氧、无创血压、2通道体温。</w:t>
            </w:r>
          </w:p>
          <w:p w14:paraId="12B8FF0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10.选配便携插件箱，可扩展1个参数插槽，满足插入更多参数模块的监测扩展。</w:t>
            </w:r>
          </w:p>
          <w:p w14:paraId="089E3D2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11.配备内置双通道有创血压；可选配外置2通道IBP有创血压监测模块，主机最多支持4通道IBP有创压力监测。</w:t>
            </w:r>
          </w:p>
          <w:p w14:paraId="762ABFF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b/>
                <w:bCs/>
                <w:color w:val="auto"/>
                <w:szCs w:val="21"/>
                <w:highlight w:val="none"/>
              </w:rPr>
              <w:t>▲12.可选配内置EtCO</w:t>
            </w:r>
            <w:r>
              <w:rPr>
                <w:rFonts w:hint="eastAsia" w:ascii="宋体" w:hAnsi="宋体" w:cs="宋体"/>
                <w:b/>
                <w:bCs/>
                <w:color w:val="auto"/>
                <w:szCs w:val="21"/>
                <w:highlight w:val="none"/>
                <w:vertAlign w:val="subscript"/>
              </w:rPr>
              <w:t>2</w:t>
            </w:r>
            <w:r>
              <w:rPr>
                <w:rFonts w:hint="eastAsia" w:ascii="宋体" w:hAnsi="宋体" w:cs="宋体"/>
                <w:b/>
                <w:bCs/>
                <w:color w:val="auto"/>
                <w:szCs w:val="21"/>
                <w:highlight w:val="none"/>
              </w:rPr>
              <w:t>监测，与主机一体化设计，最小抽气流速50ml/min。可选配外置主流、旁流、微流EtCO</w:t>
            </w:r>
            <w:r>
              <w:rPr>
                <w:rFonts w:hint="eastAsia" w:ascii="宋体" w:hAnsi="宋体" w:cs="宋体"/>
                <w:b/>
                <w:bCs/>
                <w:color w:val="auto"/>
                <w:szCs w:val="21"/>
                <w:highlight w:val="none"/>
                <w:vertAlign w:val="subscript"/>
              </w:rPr>
              <w:t>2</w:t>
            </w:r>
            <w:r>
              <w:rPr>
                <w:rFonts w:hint="eastAsia" w:ascii="宋体" w:hAnsi="宋体" w:cs="宋体"/>
                <w:b/>
                <w:bCs/>
                <w:color w:val="auto"/>
                <w:szCs w:val="21"/>
                <w:highlight w:val="none"/>
              </w:rPr>
              <w:t>监测模块</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492B9B8C">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▲13.可选配外置PiCCO技术监测功能模块或PiCCO技术单机产品，非漂浮导管热稀释法或无创阻抗法，可监测胸腔内血容量(ITBV)、血管外肺水(EVLW)，肺毛细血管通透性指数(PVPI)等参数，提供完整的血流动力学参数监测</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52962B0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14.可根据采购人后期需要</w:t>
            </w:r>
            <w:r>
              <w:rPr>
                <w:rFonts w:hint="eastAsia"/>
                <w:color w:val="auto"/>
                <w:highlight w:val="none"/>
              </w:rPr>
              <w:t>增配</w:t>
            </w:r>
            <w:r>
              <w:rPr>
                <w:rFonts w:hint="eastAsia" w:ascii="宋体" w:hAnsi="宋体" w:cs="宋体"/>
                <w:color w:val="auto"/>
                <w:szCs w:val="21"/>
                <w:highlight w:val="none"/>
              </w:rPr>
              <w:t>≥19英寸外接显示屏，将模块数据传输显示，进行大屏幕监护，满足临床护理人员在床旁的监护需要。</w:t>
            </w:r>
          </w:p>
          <w:p w14:paraId="65947F4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15.支持升级麻醉平衡软件工具，数字化指标显示病人镇静、镇痛、肌松三方面麻醉状态，自动提示病人三低状态，并予以计时，图形化显示病人脑状态，可进行Aldrete复苏评分，满足临床对病人复苏拔管的评估</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r>
              <w:rPr>
                <w:rFonts w:hint="eastAsia" w:ascii="宋体" w:hAnsi="宋体" w:cs="宋体"/>
                <w:color w:val="auto"/>
                <w:szCs w:val="21"/>
                <w:highlight w:val="none"/>
              </w:rPr>
              <w:t>。</w:t>
            </w:r>
          </w:p>
          <w:p w14:paraId="79B0C9E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16.转运监护仪支持插入床旁监护仪插槽作为参数模块使用，即插即用。</w:t>
            </w:r>
          </w:p>
          <w:p w14:paraId="5E00E5D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17.具有多导心电监护算法，同步分析≥4通道心电波形，能够良好抗干扰。</w:t>
            </w:r>
          </w:p>
          <w:p w14:paraId="54D550D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18.心率测量范围：成人15~300 bpm，小儿/新生儿15~350 bpm。</w:t>
            </w:r>
          </w:p>
          <w:p w14:paraId="40ECE16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19.波速提供50mm/s，25 mm/s、12.5 mm/s、6.25 mm/s可选。</w:t>
            </w:r>
          </w:p>
          <w:p w14:paraId="72BE026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20.滤波模式提供诊断模式（0.05~150Hz），监护模式（0.5~40Hz），ST模式（0.05~ 40Hz），手术模式（1~20Hz）。</w:t>
            </w:r>
          </w:p>
          <w:p w14:paraId="7CBED60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21.支持房颤及室上性心律失常分析功能，如：室上性心动过速，SVCs/min等，标配支持≥25种实时心律失常分析。</w:t>
            </w:r>
          </w:p>
          <w:p w14:paraId="2A7BD68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22.提供ST段分析，提供显示和存储ST值和每个ST的模板。</w:t>
            </w:r>
          </w:p>
          <w:p w14:paraId="7998360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23.具有QT/QTc测量功能，提供QT，QTc和ΔQTc参数值。</w:t>
            </w:r>
          </w:p>
          <w:p w14:paraId="6430C99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24.可显示弱灌注指数（PI）。</w:t>
            </w:r>
          </w:p>
          <w:p w14:paraId="31D5EDD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25.提供双通道体温测量，提供两通道体温测量差值显示。</w:t>
            </w:r>
          </w:p>
          <w:p w14:paraId="69EA60E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26.提供手动、自动间隔、连续、序列以及整点无种无创血压测量模式。收缩压25~290mmHg，舒张压10~250mmHg，平均压15~260mmHg。</w:t>
            </w:r>
          </w:p>
          <w:p w14:paraId="256AC8F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27.IBP测量范围：-50~360mmHg，支持实时PPV测量。</w:t>
            </w:r>
          </w:p>
          <w:p w14:paraId="44635AE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28.≥800条事件回顾。每条报警事件至少能够存储32秒三道相关波形，以及报警触发时所有测量参数值。</w:t>
            </w:r>
          </w:p>
          <w:p w14:paraId="13A724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29.≥800条NIBP测量结果回顾。</w:t>
            </w:r>
          </w:p>
          <w:p w14:paraId="6287AE4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30.≥40小时全息波形回顾。</w:t>
            </w:r>
          </w:p>
          <w:p w14:paraId="2CB1D44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31.≥100小时趋势数据回顾。</w:t>
            </w:r>
          </w:p>
          <w:p w14:paraId="463000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32.信息互连：支持有线和无线（内置Wi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Fi模块）方式直接与同品牌中央监护系统互联，把监测信息参数和波形实时显示到中央监护系统上，满足</w:t>
            </w:r>
            <w:r>
              <w:rPr>
                <w:rFonts w:hint="eastAsia"/>
                <w:color w:val="auto"/>
                <w:highlight w:val="none"/>
              </w:rPr>
              <w:t>采购人使用部门</w:t>
            </w:r>
            <w:r>
              <w:rPr>
                <w:rFonts w:hint="eastAsia" w:ascii="宋体" w:hAnsi="宋体" w:cs="宋体"/>
                <w:color w:val="auto"/>
                <w:szCs w:val="21"/>
                <w:highlight w:val="none"/>
              </w:rPr>
              <w:t>信息化的需求。</w:t>
            </w:r>
          </w:p>
        </w:tc>
      </w:tr>
      <w:tr w14:paraId="2390F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215" w:type="pct"/>
            <w:tcBorders>
              <w:bottom w:val="single" w:color="auto" w:sz="4" w:space="0"/>
              <w:right w:val="single" w:color="auto" w:sz="4" w:space="0"/>
            </w:tcBorders>
            <w:vAlign w:val="center"/>
          </w:tcPr>
          <w:p w14:paraId="38DEEF1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709" w:type="pct"/>
            <w:tcBorders>
              <w:left w:val="single" w:color="auto" w:sz="4" w:space="0"/>
              <w:bottom w:val="single" w:color="auto" w:sz="4" w:space="0"/>
              <w:right w:val="single" w:color="auto" w:sz="4" w:space="0"/>
            </w:tcBorders>
            <w:vAlign w:val="center"/>
          </w:tcPr>
          <w:p w14:paraId="71CFAD1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1D26BA7A">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448" w:type="pct"/>
            <w:vAlign w:val="center"/>
          </w:tcPr>
          <w:p w14:paraId="684B4297">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1BD6558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64F9C27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5.95</w:t>
            </w:r>
          </w:p>
        </w:tc>
        <w:tc>
          <w:tcPr>
            <w:tcW w:w="2288" w:type="pct"/>
            <w:tcBorders>
              <w:left w:val="single" w:color="auto" w:sz="4" w:space="0"/>
            </w:tcBorders>
          </w:tcPr>
          <w:p w14:paraId="3521A0D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1.模块化插件式床边监护仪，主机、显示屏和插件槽一体化设计，主机插槽位数4个，每个槽位具备插件模块红外通讯接口和金属硬件通讯接口双接口。</w:t>
            </w:r>
          </w:p>
          <w:p w14:paraId="01E14C8C">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2.主机显示屏≥12英寸彩色电容触摸屏、多点触摸，高分辨率≥1280×800像素，≥8通道显示，监护仪会根据环境光强度自动调节屏幕亮度。整机无风扇设计，标配内置高能锂离子电池，供电时间≥2小时。</w:t>
            </w:r>
          </w:p>
          <w:p w14:paraId="2D477C9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3.配置≥4个USB接口，支持连接存储介质、鼠标、键盘、条码扫描枪等USB设备。</w:t>
            </w:r>
          </w:p>
          <w:p w14:paraId="2A35610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4.支持扩展镜像显示屏，支持升级扩展独立显示屏。</w:t>
            </w:r>
          </w:p>
          <w:p w14:paraId="3B1A108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5.支持心电，呼吸，心率，无创血压，血氧饱和度，脉搏，双通道体温和双通道有创血压同时监测。</w:t>
            </w:r>
          </w:p>
          <w:p w14:paraId="2416EEC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6.支持3/5导心电监测，支持升级≥12导心电测量，并在监护仪上完成≥12导静息分析。</w:t>
            </w:r>
          </w:p>
          <w:p w14:paraId="676BA01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7.支持≥3通道心电波形同步分析算法。支持双通道有创压IBP监测，适用于成人，小儿和新生儿，支持升级≥8通道有创压监测。</w:t>
            </w:r>
          </w:p>
          <w:p w14:paraId="557AE3C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8.支持房颤心律失常分析功能，支持≥27种实时心律失常分析。</w:t>
            </w:r>
          </w:p>
          <w:p w14:paraId="40E10C9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9.提供ST段分析功能，支持在专门的窗口中分组显示心脏前壁，下壁和侧壁的ST实时片段和参考片段。</w:t>
            </w:r>
          </w:p>
          <w:p w14:paraId="0C45C73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10.具有QT/QTc测量功能，提供QT，QTc和ΔQTc参数值，并提供QTc和ΔQTc报警。</w:t>
            </w:r>
          </w:p>
          <w:p w14:paraId="798636F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11.支持RR呼吸率测量，测量范围：1～200rpm。</w:t>
            </w:r>
          </w:p>
          <w:p w14:paraId="1AD512A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12.无创血压，适用于成人，小儿和新生儿，提供手动、自动间隔、连续、序列和整点≥5种测量模式。无创血压成人测量范围：25~290mmHg（收缩压），10~250mmHg（舒张压），15~260mmHg（平均压）。</w:t>
            </w:r>
          </w:p>
          <w:p w14:paraId="2AD03E6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13.血氧监测提供灌注指数（PI）的监测，支持升级CQI心肺复苏质量指数显示。</w:t>
            </w:r>
          </w:p>
          <w:p w14:paraId="032D1EC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14.配置指套式血氧探头，支持浸泡清洁与消毒，防水等级≥IPx7。</w:t>
            </w:r>
          </w:p>
          <w:p w14:paraId="0E79420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16.提供肺动脉锲压（PAWP）的监测和PPV参数监测。</w:t>
            </w:r>
          </w:p>
          <w:p w14:paraId="658BC5E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17.支持≥4道IBP波形叠加显示，满足临床对比查看和节约显示空间的需求。</w:t>
            </w:r>
          </w:p>
          <w:p w14:paraId="2D30362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18.可升级 EtCO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+顺磁氧集成监测模块，单槽位设计。</w:t>
            </w:r>
          </w:p>
          <w:p w14:paraId="44A570D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19.支持升级BISx4监测模块或者单机，提供不少于4通道EEG，双频指数（BIS），肌电活动（EMG），抑制比（SR），频谱边缘频率（SEF）等参数的监测</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31FF5ED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20.支持升级提供功率谱密度（DSA）显示界面，显示一段时间内的双侧功率谱分布变化的情况。</w:t>
            </w:r>
          </w:p>
          <w:p w14:paraId="1D12840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21.可支持升级PiCCO监测模块，采用PiCCO技术股动脉和中心静脉常规穿刺实现微创CCO等血液动力学监测参数，并提供蛛网图，观察病人的变化情况</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2814CD7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22.支持升级RM呼吸力学监测，监测参数包括FEV1.0，RSBI，WOB等≥17种参数。</w:t>
            </w:r>
          </w:p>
          <w:p w14:paraId="1247D1DB">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▲23.支持升级NMT监测参数，采用三轴加速度方向识别技术，支持TOF，ST0.1，ST1.0，DBS3.2，DBS3.3，PTC测量模式。</w:t>
            </w:r>
          </w:p>
          <w:p w14:paraId="61DD3A2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24.支持升级EEG监测参数，支持进行≥4通道脑电的监测</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27A54A3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25.支持升级rSO2组织氧饱和度的监测，无创，连续，适用于成人，小儿和新生儿。</w:t>
            </w:r>
          </w:p>
          <w:p w14:paraId="2210A59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26.支持升级FloTrac监测功能模块，非漂浮导管热稀释法或无创阻抗法，可通过监测桡动脉压力提供连续心排量（CCO），每搏量变异（SVV），实时外周血管阻力（SVR）等监测参数，满足连续血流动力学监测需求。</w:t>
            </w:r>
          </w:p>
          <w:p w14:paraId="1DDD823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27.支持升级与呼吸机、输注泵，CRRT设备相连，实现床旁设备的信息在监护仪上显示、存储、记录、打印或者用于参与计算。</w:t>
            </w:r>
          </w:p>
          <w:p w14:paraId="2DE6FDC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28.大字体界面支持≥6个参数的设置和显示。</w:t>
            </w:r>
          </w:p>
          <w:p w14:paraId="6C08EF5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29.具有图形化报警指示功能。</w:t>
            </w:r>
          </w:p>
          <w:p w14:paraId="1BFBEF9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30.所有参数报警限提供一键自动设置。</w:t>
            </w:r>
          </w:p>
          <w:p w14:paraId="1B9A494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31.能够设置护理组，一个护理组能够设置6-12个病人。</w:t>
            </w:r>
          </w:p>
          <w:p w14:paraId="2F8BB3D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32.标配具备血液动力学，药物计算，氧合计算，通气计算和肾功能计算功能。</w:t>
            </w:r>
          </w:p>
          <w:p w14:paraId="0FCB720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120小时趋势表和趋势图回顾。≥1000条事件回顾，事件回顾时能够提供报警事件列表。能够根据时间、报警优先级、报警类型和参数组对事件进行筛选。具备≥48小时全息波形的存储与回顾功能。≥120小时ST片段回顾。</w:t>
            </w:r>
          </w:p>
          <w:p w14:paraId="0336BD1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34.具有在线帮助功能。</w:t>
            </w:r>
          </w:p>
          <w:p w14:paraId="3B4CF55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35.具有高级参数指导功能。</w:t>
            </w:r>
          </w:p>
          <w:p w14:paraId="41EFA36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36.工作模式提供：监护模式、待机模式、体外循环模式、插管模式，夜间模式、隐私模式、演示模式。</w:t>
            </w:r>
          </w:p>
          <w:p w14:paraId="4A4B332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37.支持升级具有血流动力学辅助应用，能够图形化显示监测参数，体现参数之间的关系，提供目标治疗决策建议，提供抬腿试验辅助工具，提供心功能图指示，提供蛛网图参数跟踪。</w:t>
            </w:r>
          </w:p>
          <w:p w14:paraId="10FB356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38.提供心肌缺血评估工具，可以快速查看ST值的变化。</w:t>
            </w:r>
          </w:p>
          <w:p w14:paraId="16C2587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39.支持升级脓毒症筛查工具，以及满足最新 SSC指南和Sepsis3.0的治疗建议检查清单，并提供治疗建议。</w:t>
            </w:r>
          </w:p>
          <w:p w14:paraId="34D9666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40.支持升级输注泵用药信息回顾工具，可同时间轴显示病人生命体征参数及用药信息回顾，呈现病人生命体征变化趋势与药物输注流速变化之间的关系。</w:t>
            </w:r>
          </w:p>
          <w:p w14:paraId="66D583C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41.具备趋势共存界面、呼吸氧合图界面，大字体显示界面及标准显示界面等多种显示界面。</w:t>
            </w:r>
          </w:p>
          <w:p w14:paraId="7FF31AB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42.支持与除颤监护仪，遥测，生命体征监测仪、呼吸机、输注泵、超声混合联通至中心监护系统，实现护士站的集中管理</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tc>
      </w:tr>
      <w:tr w14:paraId="6976D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4A2674C7">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709" w:type="pct"/>
            <w:tcBorders>
              <w:left w:val="single" w:color="auto" w:sz="4" w:space="0"/>
              <w:bottom w:val="single" w:color="auto" w:sz="4" w:space="0"/>
              <w:right w:val="single" w:color="auto" w:sz="4" w:space="0"/>
            </w:tcBorders>
            <w:vAlign w:val="center"/>
          </w:tcPr>
          <w:p w14:paraId="541E29E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112FE09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48" w:type="pct"/>
            <w:vAlign w:val="center"/>
          </w:tcPr>
          <w:p w14:paraId="251E54B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1E45FD3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4C90F6D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1.58</w:t>
            </w:r>
          </w:p>
        </w:tc>
        <w:tc>
          <w:tcPr>
            <w:tcW w:w="2288" w:type="pct"/>
            <w:tcBorders>
              <w:left w:val="single" w:color="auto" w:sz="4" w:space="0"/>
            </w:tcBorders>
          </w:tcPr>
          <w:p w14:paraId="24C43E8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0DD7C22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1.1便携一体式监护仪，整机无风扇设计，降低环境噪音干扰。</w:t>
            </w:r>
          </w:p>
          <w:p w14:paraId="36C30BF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1.2≥12英寸彩色LED背光液晶显示屏，彩色高分辨率≥800×600，≥9通道波形显示。</w:t>
            </w:r>
          </w:p>
          <w:p w14:paraId="132D592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1.3标配锂电池，工作时间≥4小时，可根据采购人后期需要</w:t>
            </w:r>
            <w:r>
              <w:rPr>
                <w:rFonts w:hint="eastAsia"/>
                <w:color w:val="auto"/>
                <w:highlight w:val="none"/>
              </w:rPr>
              <w:t>增配</w:t>
            </w:r>
            <w:r>
              <w:rPr>
                <w:rFonts w:hint="eastAsia" w:ascii="宋体" w:hAnsi="宋体" w:cs="宋体"/>
                <w:color w:val="auto"/>
                <w:szCs w:val="21"/>
                <w:highlight w:val="none"/>
              </w:rPr>
              <w:t>大容量锂电池，工作时间≥8小时。</w:t>
            </w:r>
          </w:p>
          <w:p w14:paraId="0CE1B4B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1.4安全规格：ECG，TEMP，SpO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，NIBP监测参数抗电击程度为防除颤CF型。</w:t>
            </w:r>
          </w:p>
          <w:p w14:paraId="116706A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1.5监护仪设计使用年限≥10年，主机防水等级≥IPX1，支持0.75米抗跌落。</w:t>
            </w:r>
          </w:p>
          <w:p w14:paraId="2407D45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pacing w:val="-6"/>
                <w:szCs w:val="21"/>
                <w:highlight w:val="none"/>
              </w:rPr>
              <w:t>监护仪主机工作温度环境范围：0~40°C，</w:t>
            </w:r>
            <w:r>
              <w:rPr>
                <w:rFonts w:hint="eastAsia" w:ascii="宋体" w:hAnsi="宋体" w:cs="宋体"/>
                <w:color w:val="auto"/>
                <w:szCs w:val="21"/>
                <w:highlight w:val="none"/>
              </w:rPr>
              <w:t>监护仪主机工作湿度环境范围；15~95%。</w:t>
            </w:r>
          </w:p>
          <w:p w14:paraId="238B228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7E4F09B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2.1标准配置可监测心电，呼吸，无创血压，血氧饱和度，脉搏和体温，适用于成人、小儿和新生儿。</w:t>
            </w:r>
          </w:p>
          <w:p w14:paraId="54C285C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采用ECG多导同步分析技术，保证心电监护的优异性。提供心率变化统计界面，包括患者平均心率、夜间平均心率、白天平均心率、最快心率和最慢心率等，直观快速了解过去24小时患者的心率变化和心率分布情况。</w:t>
            </w:r>
          </w:p>
          <w:p w14:paraId="595719C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2.3心电波形速度支持6.25、12.5、25和50mm/s不少于4种选择。</w:t>
            </w:r>
          </w:p>
          <w:p w14:paraId="2821EE3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2.4具备智能导联脱落监测功能，个别导联脱落的情况下仍能保持监护。</w:t>
            </w:r>
          </w:p>
          <w:p w14:paraId="3CD9370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2.5提供SpO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和PR的实时监测，适用于成人，小儿和新生儿。来自SpO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的PR测量范围：20~250。血氧监测时标配支持PI血氧灌注指数的监测，有效反映血氧灌注情况，PI测量范围：0.05%~20%，分辨率0.01%。</w:t>
            </w:r>
          </w:p>
          <w:p w14:paraId="44C5BD2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2.6采用抗干扰和弱灌注血氧技术保证血氧监护的优异性。</w:t>
            </w:r>
          </w:p>
          <w:p w14:paraId="08BEA55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2.7无创血压支持手动、连续、自动和序列测量模式，支持整点测量。</w:t>
            </w:r>
          </w:p>
          <w:p w14:paraId="432F5EA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2.8配置无创血压测量，适用于成人，小儿和新生儿。无创血压成人测量范围：收缩压30~290mmH</w:t>
            </w:r>
            <w:r>
              <w:rPr>
                <w:rFonts w:hint="eastAsia" w:ascii="宋体" w:hAnsi="宋体" w:cs="宋体"/>
                <w:color w:val="auto"/>
                <w:szCs w:val="21"/>
                <w:highlight w:val="none"/>
                <w:lang w:eastAsia="zh-CN"/>
              </w:rPr>
              <w:t>；舒张压</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250</w:t>
            </w:r>
            <w:r>
              <w:rPr>
                <w:rFonts w:hint="eastAsia" w:ascii="宋体" w:hAnsi="宋体" w:cs="宋体"/>
                <w:color w:val="auto"/>
                <w:szCs w:val="21"/>
                <w:highlight w:val="none"/>
              </w:rPr>
              <w:t>mmH。</w:t>
            </w:r>
          </w:p>
          <w:p w14:paraId="572C013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2.9提供动态血压分析界面，包括平均血压、白天平均血压、夜间平均血压、最高血压、最低血压和正常血压比例等，能直观快速了解过去24小时患者血压变化和分布情况。</w:t>
            </w:r>
          </w:p>
          <w:p w14:paraId="5F9816F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6921BEC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3.1具有三级声光报警，参数报警级别可调。</w:t>
            </w:r>
          </w:p>
          <w:p w14:paraId="7CC8DFD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3.2支持所有监测参数报警限一键自动设置功能，满足医护团队快速管理患者报警需求，产品用户手册提供报警限自动设置规则。</w:t>
            </w:r>
          </w:p>
          <w:p w14:paraId="71D26F7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3.3可升级存储卡，支持≥1200小时趋势数据的存储与回顾功能，≥1800条报警事件以及每条报警事件至少能够存储30秒三道相关波形和报警触发时所有测量参数值。</w:t>
            </w:r>
          </w:p>
          <w:p w14:paraId="3FFF114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3.4具备监护模式、待机模式，演示模式、隐私模式和夜间模式不少于5种工作模式。</w:t>
            </w:r>
          </w:p>
          <w:p w14:paraId="0ABA96F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3.5具备趋势共存界面、呼吸氧合图界面，大字体显示界面，标准显示界面等多种显示界面。</w:t>
            </w:r>
          </w:p>
          <w:p w14:paraId="7BBA33A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3.6支持RJ45接口进行有线网络通信，和除颤监护仪一起联网通信到中心监护系统。</w:t>
            </w:r>
          </w:p>
          <w:p w14:paraId="3C01A3E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3.7支持监护仪的系统日志向U盘设备的导出功能，日志包括：系统状态、异常和技术报警等，满足设备管理的日常维护需求。</w:t>
            </w:r>
          </w:p>
          <w:p w14:paraId="676823E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3.8主机集成附件收纳槽，支持将心电、血氧和无创血压等导联线附件进行收纳放置，方便监护仪设备的高效管理和转移。</w:t>
            </w:r>
          </w:p>
          <w:p w14:paraId="664578B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3.9心电、血氧、血压附件兼容同品牌其他所有在线系列监护仪。</w:t>
            </w:r>
          </w:p>
          <w:p w14:paraId="028307E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3.10可升级内置记录仪。</w:t>
            </w:r>
          </w:p>
          <w:p w14:paraId="17070E8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3.11支持它床观察，可同时监视≥10它床的报警信息。</w:t>
            </w:r>
          </w:p>
          <w:p w14:paraId="0CD90365">
            <w:pPr>
              <w:widowControl/>
              <w:jc w:val="left"/>
              <w:rPr>
                <w:color w:val="auto"/>
                <w:highlight w:val="none"/>
              </w:rPr>
            </w:pPr>
            <w:r>
              <w:rPr>
                <w:rFonts w:hint="eastAsia" w:ascii="宋体" w:hAnsi="宋体" w:cs="宋体"/>
                <w:color w:val="auto"/>
                <w:szCs w:val="21"/>
                <w:highlight w:val="none"/>
              </w:rPr>
              <w:t>3.12信息互连：支持升级有线和配备无线（内置Wi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Fi模块及无线安装）直接与同品牌中央监护系统互联，把监测信息参数和波形实时显示到中央监护系统上，满足</w:t>
            </w:r>
            <w:r>
              <w:rPr>
                <w:rFonts w:hint="eastAsia"/>
                <w:color w:val="auto"/>
                <w:highlight w:val="none"/>
              </w:rPr>
              <w:t>采购人使</w:t>
            </w:r>
            <w:r>
              <w:rPr>
                <w:rFonts w:ascii="宋体" w:hAnsi="宋体" w:cs="宋体"/>
                <w:color w:val="auto"/>
                <w:kern w:val="0"/>
                <w:sz w:val="24"/>
                <w:highlight w:val="none"/>
              </w:rPr>
              <w:drawing>
                <wp:inline distT="0" distB="0" distL="114300" distR="114300">
                  <wp:extent cx="457200" cy="114300"/>
                  <wp:effectExtent l="0" t="0" r="0" b="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16"/>
                          <a:stretch>
                            <a:fillRect/>
                          </a:stretch>
                        </pic:blipFill>
                        <pic:spPr>
                          <a:xfrm>
                            <a:off x="0" y="0"/>
                            <a:ext cx="457200" cy="114300"/>
                          </a:xfrm>
                          <a:prstGeom prst="rect">
                            <a:avLst/>
                          </a:prstGeom>
                          <a:noFill/>
                          <a:ln w="9525">
                            <a:noFill/>
                          </a:ln>
                        </pic:spPr>
                      </pic:pic>
                    </a:graphicData>
                  </a:graphic>
                </wp:inline>
              </w:drawing>
            </w:r>
          </w:p>
          <w:p w14:paraId="0E98E8D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color w:val="auto"/>
                <w:highlight w:val="none"/>
              </w:rPr>
              <w:t>用部门</w:t>
            </w:r>
            <w:r>
              <w:rPr>
                <w:rFonts w:hint="eastAsia" w:ascii="宋体" w:hAnsi="宋体" w:cs="宋体"/>
                <w:color w:val="auto"/>
                <w:szCs w:val="21"/>
                <w:highlight w:val="none"/>
              </w:rPr>
              <w:t>信息化的需求。</w:t>
            </w:r>
          </w:p>
          <w:p w14:paraId="2B0A7A2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3.13支持升级连接HIS系统，满足</w:t>
            </w:r>
            <w:r>
              <w:rPr>
                <w:rFonts w:hint="eastAsia"/>
                <w:color w:val="auto"/>
                <w:highlight w:val="none"/>
              </w:rPr>
              <w:t>采购人使用部门</w:t>
            </w:r>
            <w:r>
              <w:rPr>
                <w:rFonts w:hint="eastAsia" w:ascii="宋体" w:hAnsi="宋体" w:cs="宋体"/>
                <w:color w:val="auto"/>
                <w:szCs w:val="21"/>
                <w:highlight w:val="none"/>
              </w:rPr>
              <w:t>信息化的需求。</w:t>
            </w:r>
          </w:p>
        </w:tc>
      </w:tr>
      <w:tr w14:paraId="7410C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2" w:hRule="atLeast"/>
          <w:jc w:val="center"/>
        </w:trPr>
        <w:tc>
          <w:tcPr>
            <w:tcW w:w="215" w:type="pct"/>
            <w:tcBorders>
              <w:bottom w:val="single" w:color="auto" w:sz="4" w:space="0"/>
              <w:right w:val="single" w:color="auto" w:sz="4" w:space="0"/>
            </w:tcBorders>
            <w:vAlign w:val="center"/>
          </w:tcPr>
          <w:p w14:paraId="3854C98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709" w:type="pct"/>
            <w:tcBorders>
              <w:left w:val="single" w:color="auto" w:sz="4" w:space="0"/>
              <w:bottom w:val="single" w:color="auto" w:sz="4" w:space="0"/>
              <w:right w:val="single" w:color="auto" w:sz="4" w:space="0"/>
            </w:tcBorders>
            <w:vAlign w:val="center"/>
          </w:tcPr>
          <w:p w14:paraId="0305C36A">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中心监护系统</w:t>
            </w:r>
          </w:p>
        </w:tc>
        <w:tc>
          <w:tcPr>
            <w:tcW w:w="360" w:type="pct"/>
            <w:tcBorders>
              <w:left w:val="single" w:color="auto" w:sz="4" w:space="0"/>
            </w:tcBorders>
            <w:vAlign w:val="center"/>
          </w:tcPr>
          <w:p w14:paraId="203246B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48" w:type="pct"/>
            <w:vAlign w:val="center"/>
          </w:tcPr>
          <w:p w14:paraId="60392E4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54" w:type="pct"/>
            <w:tcBorders>
              <w:bottom w:val="single" w:color="auto" w:sz="4" w:space="0"/>
            </w:tcBorders>
            <w:vAlign w:val="center"/>
          </w:tcPr>
          <w:p w14:paraId="4CCED2BC">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70F63BCF">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43</w:t>
            </w:r>
          </w:p>
        </w:tc>
        <w:tc>
          <w:tcPr>
            <w:tcW w:w="2288" w:type="pct"/>
            <w:tcBorders>
              <w:left w:val="single" w:color="auto" w:sz="4" w:space="0"/>
            </w:tcBorders>
          </w:tcPr>
          <w:p w14:paraId="70FD8CC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（一）中央站</w:t>
            </w:r>
          </w:p>
          <w:p w14:paraId="0132312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1.中心监护系统支持中央站，工作站，浏览站，远程查询系统等多种产品形态互连。</w:t>
            </w:r>
          </w:p>
          <w:p w14:paraId="129FA07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2.中央站提供其他产品形态访问中央站的权限设置，且提供单个床位是否允许外部进行访问的设置。</w:t>
            </w:r>
          </w:p>
          <w:p w14:paraId="4238C20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3.工作站支持远程集中监护中央站上接收的病人，并提供不同控制权限的设置，满足不同临床场景下的部署要求。</w:t>
            </w:r>
          </w:p>
          <w:p w14:paraId="031B634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4.浏览站提供远程集中监护中央站上接收的病人。</w:t>
            </w:r>
          </w:p>
          <w:p w14:paraId="19CDE6F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5.远程查询支持远程浏览中央站上接收的病人。</w:t>
            </w:r>
          </w:p>
          <w:p w14:paraId="3B6ED42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6.中心监护系统支持有线、无线、遥测多元化的组网方式，中心监护网络中支持多达1200台床旁设备互连。</w:t>
            </w:r>
          </w:p>
          <w:p w14:paraId="6F1600E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7.中心监护系统可支持参数监测ECG， ST， QT/QTc， RESP，SPO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 PR， TEMP，NIBP， IBP， C.O.，CCO， ScvO2，ICG，BIS，RM，CO2，AG，EEG，NMT，rSO2，TcGas</w:t>
            </w:r>
          </w:p>
          <w:p w14:paraId="7DEBB71C">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▲8.支持连接输液泵、彩超、呼吸机、麻醉机、监护仪、心电图机、除颤仪等设备。</w:t>
            </w:r>
          </w:p>
          <w:p w14:paraId="48814C3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9.中心监护系统支持Window 10中、英文操作系统。</w:t>
            </w:r>
          </w:p>
          <w:p w14:paraId="023025E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10.中心监护系统支持≥24英寸液晶屏幕显示，1280×1024高分辨率彩色液晶显示。</w:t>
            </w:r>
          </w:p>
          <w:p w14:paraId="68637B2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11.可同时集中监护多达64个病人，单个屏幕可支持16个病人的同时集中监护，支持多达4个显示屏显示。</w:t>
            </w:r>
          </w:p>
          <w:p w14:paraId="674CF3D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12.多床观察时每床支持5个参数、4道波形的观察，支持大字体显示。</w:t>
            </w:r>
          </w:p>
          <w:p w14:paraId="77BA0B9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13.多床支持床标识显示，可用来区分护理组、病人组等。</w:t>
            </w:r>
          </w:p>
          <w:p w14:paraId="2E1008E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14.支持重点观察某床病人，双屏和多屏时可支持固定一个辅助屏显示重点单床观察。</w:t>
            </w:r>
          </w:p>
          <w:p w14:paraId="7C44B4E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15.重点观察床支持多达11道波形显示。</w:t>
            </w:r>
          </w:p>
          <w:p w14:paraId="6AF9E6B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16.重点观察床支持多导心电、呼吸氧合图、动态短趋势、NIBP LIST等多种视图显示，适用不同科室的观察习惯。</w:t>
            </w:r>
          </w:p>
          <w:p w14:paraId="36407DD8">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▲17.提供声、光、文字多重报警提醒功能，提供高、中、低三级报警。具有报警自动记录或打印功能。保存报警时刻前后32秒的波形</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629BCCA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18.支持系统报警声音关闭功能。</w:t>
            </w:r>
          </w:p>
          <w:p w14:paraId="53A08E5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19.提供全床位最近24h的报警事件浏览功能。</w:t>
            </w:r>
          </w:p>
          <w:p w14:paraId="29C19E6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20.支持至少240小时长趋势回顾和4小时短趋势回顾，至少240小时全息波形回顾，至少720条报警事件回顾，至少720条12导分析报告回顾，至少240小时的ST片段回顾，至少720条C.O. 测量结果回顾，至少100条呼吸氧合事件回顾。</w:t>
            </w:r>
          </w:p>
          <w:p w14:paraId="5BD182E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21.支持至少24小时动态血压分析与回顾功能。</w:t>
            </w:r>
          </w:p>
          <w:p w14:paraId="15F65A4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22.支持至少2万个历史病人数据存储与回顾。</w:t>
            </w:r>
          </w:p>
          <w:p w14:paraId="47BF86A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23.支持至少75条药物计算结果回顾，至少100条血液动力学计算结果回顾，至少100条氧合计算结果回顾，至少100条通气计算结果回顾，至少100条肾功能计算结果回顾</w:t>
            </w:r>
          </w:p>
          <w:p w14:paraId="4B4904C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24.支持热敏记录仪及激光打印机输出病人报告。</w:t>
            </w:r>
          </w:p>
          <w:p w14:paraId="62FFCBB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25.支持报警报告、波形报告、趋势报告、ARR统计报告、24h动态血压报告等。</w:t>
            </w:r>
          </w:p>
          <w:p w14:paraId="5DE3F7A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26.可远程控制对床旁监护仪进行病人信息设置，解除病人，进行standby。</w:t>
            </w:r>
          </w:p>
          <w:p w14:paraId="53488DC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27.支持远程控制床旁监护仪报警暂停、报警复位，设置报警开关、报警级别、报警上下限等。</w:t>
            </w:r>
          </w:p>
          <w:p w14:paraId="223F1B7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28.支持远程控制床旁监护仪启动NIBP测量，设置NIBP测量模式和时间间隔，支持远程控制床旁监护仪进入隐私、夜间模式。</w:t>
            </w:r>
          </w:p>
          <w:p w14:paraId="3F9D4EE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（二）遥测监护系统</w:t>
            </w:r>
          </w:p>
          <w:p w14:paraId="15D39DE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7B92A6D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1.1遥测发射盒重量≤170克（含电池）。</w:t>
            </w:r>
          </w:p>
          <w:p w14:paraId="515259A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1.2遥测发射盒尺寸≤99×60×24mm。</w:t>
            </w:r>
          </w:p>
          <w:p w14:paraId="15876F6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b/>
                <w:bCs/>
                <w:color w:val="auto"/>
                <w:szCs w:val="21"/>
                <w:highlight w:val="none"/>
              </w:rPr>
              <w:t>▲1.3遥测发射盒防水等级符合IPX7要求，抗跌落测试通过1.5米跌落测试，电击防护等级CF（包括ECG、SpO</w:t>
            </w:r>
            <w:r>
              <w:rPr>
                <w:rFonts w:hint="eastAsia" w:ascii="宋体" w:hAnsi="宋体" w:cs="宋体"/>
                <w:b/>
                <w:bCs/>
                <w:color w:val="auto"/>
                <w:szCs w:val="21"/>
                <w:highlight w:val="none"/>
                <w:vertAlign w:val="subscript"/>
              </w:rPr>
              <w:t>2</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444FA52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1.4遥测发射盒采用彩色屏，屏幕尺寸≥1.5英寸，屏幕分辨率≥240×240像素。遥测发射盒屏幕可同时显示至少2个参数和1道波形。</w:t>
            </w:r>
          </w:p>
          <w:p w14:paraId="7769352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1D978F3B">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▲2.1标配心电监护，提供HR，ST，PVC测量值，血氧监测，选配NIBP，PR，测量值（ST，PVC在中央站上显示）。</w:t>
            </w:r>
          </w:p>
          <w:p w14:paraId="23F6E3A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2.2具有多参融合算法，良好的抗干扰性能。</w:t>
            </w:r>
          </w:p>
          <w:p w14:paraId="348F32C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2.3支持≥3通道心电波形同步分析，可进行多导心电分析</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2CCFAE4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2.4具有抗运动算法，良好的抗干扰性。</w:t>
            </w:r>
          </w:p>
          <w:p w14:paraId="0E3AED0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2.5提供3/5导心电监护，心率测量范围：成人15~300 bpm，小儿15~350 bpm。</w:t>
            </w:r>
          </w:p>
          <w:p w14:paraId="5F1E10A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2.6心电滤波模式提供监护模式（0.5~40Hz），ST模式（0.05~40Hz）， 运动模式（1~20 Hz）。</w:t>
            </w:r>
          </w:p>
          <w:p w14:paraId="3FD4188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2.7提供ST段分析，提供ST值，和每个ST的模板（中央站上显示）。</w:t>
            </w:r>
          </w:p>
          <w:p w14:paraId="73B834D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2.8提供ST图像化显示界面，可以快速查看ST值的变化（中央站上显示）。</w:t>
            </w:r>
          </w:p>
          <w:p w14:paraId="3B8F1D9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2.9提供单个，多个ST值报警，并支持相对的报警限设置。</w:t>
            </w:r>
          </w:p>
          <w:p w14:paraId="5F2465B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2.10提供起搏分析。</w:t>
            </w:r>
          </w:p>
          <w:p w14:paraId="5A25D4A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2.11具有QT/QTc测量功能，提供QT，QTc和ΔQTc参数值（中央站上显示）。</w:t>
            </w:r>
          </w:p>
          <w:p w14:paraId="5796C80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2.12QTc计算公式提供：Bazett， Fridericia，Framingham，Hodges。</w:t>
            </w:r>
          </w:p>
          <w:p w14:paraId="463BE46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2.13支持房颤及室上性心律失常分析功能，如：室上性心动过速，SVCs/min等，标配支持≥27种实时心律失常分析</w:t>
            </w:r>
            <w:r>
              <w:rPr>
                <w:rFonts w:hint="eastAsia" w:ascii="宋体" w:hAnsi="宋体" w:cs="宋体"/>
                <w:b/>
                <w:bCs/>
                <w:color w:val="auto"/>
                <w:kern w:val="0"/>
                <w:szCs w:val="21"/>
                <w:highlight w:val="none"/>
              </w:rPr>
              <w:t>【投标人于投标文件中提供所投产品符合此项技术要求的相关有效证明材料复印件（加盖投标人电子签章），可以是由国家认可的第三方出具的检测报告复印件、产品彩页或使用说明书等】。</w:t>
            </w:r>
          </w:p>
          <w:p w14:paraId="463FE0E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2.14血氧饱和度测量范围：0~100%，来自于血氧的脉率测量范围：20~300 bpm。</w:t>
            </w:r>
          </w:p>
          <w:p w14:paraId="031DA37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2.15可显示弱灌注指数（PI）。</w:t>
            </w:r>
          </w:p>
          <w:p w14:paraId="33C3CC3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79BCB3C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3.1遥测发射盒有三个硬按键：开关机/关屏，护士呼叫和主界面键。</w:t>
            </w:r>
          </w:p>
          <w:p w14:paraId="00519E1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3.2遥测发射盒主界面上能够显示病人信息。</w:t>
            </w:r>
          </w:p>
          <w:p w14:paraId="7927EAD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3.3投标人所投第1-8项号产品“病人监护仪”需与本项号产品为同一生产厂家生产的产品，支持在同品牌监护仪上通过它床观察的方式查看连接到中央站的遥测监测数据和报警。</w:t>
            </w:r>
          </w:p>
          <w:p w14:paraId="253C8BEC">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▲3.4支持设备实时定位和设备历史位置追踪功能。支持给患者发送消息。配备两块可充电锂电池供电，使用全新充满电的锂电池，工作时间不小于170h；可以采用3 节AA 电池供电，全新3 节AA 电池，工作时间不小于110h</w:t>
            </w:r>
            <w:r>
              <w:rPr>
                <w:rFonts w:hint="eastAsia" w:ascii="宋体" w:hAnsi="宋体" w:cs="宋体"/>
                <w:b/>
                <w:bCs/>
                <w:color w:val="auto"/>
                <w:kern w:val="0"/>
                <w:szCs w:val="21"/>
                <w:highlight w:val="none"/>
              </w:rPr>
              <w:t>【投标人于投标文件中必须提供所投产品符合此项技术要求的相关有效证明材料复印件（加盖投标人电子签章），可以是由国家认可的第三方出具的检测报告复印件、产品彩页或使用说明书等】。</w:t>
            </w:r>
          </w:p>
          <w:p w14:paraId="6AD7067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3.5采用608M WMTS无线网络传输技术，实现遥测数据的传输。</w:t>
            </w:r>
          </w:p>
          <w:p w14:paraId="2E3925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3.6锂电池集中充电器能够同时提供不少10块电池同时充电，每个充电位都提供电池充电状态指示灯，一块电池充电到90%的时间不大于5小时。</w:t>
            </w:r>
          </w:p>
          <w:p w14:paraId="672BEC0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3.7投标产品适用于成人、小儿的监测。</w:t>
            </w:r>
          </w:p>
          <w:p w14:paraId="0BA336D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3.8除标配电池外每台增配1块电池。</w:t>
            </w:r>
          </w:p>
          <w:p w14:paraId="171A81C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（三）病人监护仪：</w:t>
            </w:r>
          </w:p>
          <w:p w14:paraId="0E40853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1.整机要求：</w:t>
            </w:r>
          </w:p>
          <w:p w14:paraId="7435C3C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1.1≥10.1英寸彩色液晶触摸屏，屏幕采用最新电容屏非电阻屏，分辨率高达1280×800像素或更高，≤10通道波形显示，一体化便携监护仪，整机无风扇设计，配置提手，方便移动。</w:t>
            </w:r>
          </w:p>
          <w:p w14:paraId="6084790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1.2显示屏可支持亮度自动调节功能，屏幕倾斜10~15度设计，符合人机工程学，便于临床团队观察和操作。</w:t>
            </w:r>
          </w:p>
          <w:p w14:paraId="7FF0B9E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1.3可支持遥控器无线远程操作监护仪。</w:t>
            </w:r>
          </w:p>
          <w:p w14:paraId="4B0F8FA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1.4内置锂电池，插槽式设计，无需螺丝刀工具支持快速拆卸和安装。</w:t>
            </w:r>
          </w:p>
          <w:p w14:paraId="45CE84B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1.5安全规格：ECG，TEMP，IBP， 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，NIBP监测参数抗电击程度为防除颤CF型。</w:t>
            </w:r>
          </w:p>
          <w:p w14:paraId="752A1CF2">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1.6监护仪设计使用年限≥8年。</w:t>
            </w:r>
          </w:p>
          <w:p w14:paraId="2E358B1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1.7监护仪清洁维护支持的清洁剂≥40种。</w:t>
            </w:r>
          </w:p>
          <w:p w14:paraId="17D1A60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1.8监护仪主机工作大气压环境范围：57.0~107.4kPa，监护仪主机工作温度环境范围：0~40°C，监护仪主机工作湿度环境范围；15~95%。</w:t>
            </w:r>
          </w:p>
          <w:p w14:paraId="3F0BDAB1">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1.9防水等级≥IPX2</w:t>
            </w:r>
          </w:p>
          <w:p w14:paraId="381FC09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1.10整机抗跌落设计通过≥0.75米6面跌落测试。</w:t>
            </w:r>
          </w:p>
          <w:p w14:paraId="72765BB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2.监测参数：</w:t>
            </w:r>
          </w:p>
          <w:p w14:paraId="3A34DAF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2.1配置3/5导心电，呼吸，无创血压，血氧饱和度，脉搏和双通道体温参数监测。</w:t>
            </w:r>
          </w:p>
          <w:p w14:paraId="5CFDB43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2.2心电监护支持心率，ST段测量，心律失常分析，QT/QTc连续实时测量和对应报警功能，心电算法通过AHA/MIT-BIH数据库验证，心电波形扫描速度支持6.25mm/s、12.5 mm/s、25 mm/s和50 mm/s，提供窗口支持心脏下壁，侧壁和前壁对应多个ST片段的同屏实时显示，提供参考片段和实时片段的对比查看。配置无创血压测量，适用于成人，小儿和新生儿，提供手动，自动，连续和序列、整点5种测量模式，并提供24小时血压统计结果，满足临床应用，无创血压成人测量范围：收缩压25~290mmHg，舒张压10~250mmHg，平均压15~260mmHg。</w:t>
            </w:r>
          </w:p>
          <w:p w14:paraId="3F46B50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2.3支持≥20种心律失常分析，包括房颤分析。</w:t>
            </w:r>
          </w:p>
          <w:p w14:paraId="6D58065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2.4 QT和QTc实时监测参数测量范围：200～800 ms。</w:t>
            </w:r>
          </w:p>
          <w:p w14:paraId="093FCBF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2.5支持升级提供过去24小时心电概览报告查看与打印，包括心率统计结果，心律失常统计结果，ST统计和QT/QTc统计结果。</w:t>
            </w:r>
          </w:p>
          <w:p w14:paraId="6E7C710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2.6提供SpO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，PR和PI参数的实时监测，适用于成人，小儿和新生儿。</w:t>
            </w:r>
          </w:p>
          <w:p w14:paraId="4C9CEDD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2.7支持指套式血氧探头，IPX7防水等级，支持液体浸泡消毒和清洁。</w:t>
            </w:r>
          </w:p>
          <w:p w14:paraId="067A490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2.8提供辅助静脉穿刺功能。</w:t>
            </w:r>
          </w:p>
          <w:p w14:paraId="76D0987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2.9提供双通道体温和温差参数的监测， 并可根据需要更改体温通道标名。</w:t>
            </w:r>
          </w:p>
          <w:p w14:paraId="1368C7E7">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3.系统功能：</w:t>
            </w:r>
          </w:p>
          <w:p w14:paraId="6F89E36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3.1支持所有监测参数报警限一键自动设置功能，满足医护团队快速管理患者报警需求，产品用户手册提供报警限自动设置规则。</w:t>
            </w:r>
          </w:p>
          <w:p w14:paraId="160E021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3.2支持肾功能计算功能。</w:t>
            </w:r>
          </w:p>
          <w:p w14:paraId="2FE0050C">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3.3具有图形化技术报警指示功能，帮助医护团队快速识别报警来源。</w:t>
            </w:r>
          </w:p>
          <w:p w14:paraId="78EDFE43">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3.4支持≥120小时趋势图和趋势表回顾，支持选择不同趋势组回顾。</w:t>
            </w:r>
          </w:p>
          <w:p w14:paraId="00673FEA">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3.5≥1000条事件回顾。每条报警事件至少能够存储32秒三道相关波形，以及报警触发时所有测量参数值。</w:t>
            </w:r>
          </w:p>
          <w:p w14:paraId="7949AE85">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3.6≥1000组NIBP测量结果。</w:t>
            </w:r>
          </w:p>
          <w:p w14:paraId="4EF4E534">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3.7≥120小时（分辨率1分钟）ST模板存储与回顾。</w:t>
            </w:r>
          </w:p>
          <w:p w14:paraId="2089D77E">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3.8支持48小时全息波形的存储与回顾功能。</w:t>
            </w:r>
          </w:p>
          <w:p w14:paraId="17BAD896">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3.9支持监护仪历史病人数据的存储和回顾，并支持通过USB接口将历史病人数据导出到U盘。</w:t>
            </w:r>
          </w:p>
          <w:p w14:paraId="1CE52F3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3.10支持RJ45接口进行有线网络通信，和除颤监护仪一起联网通信到中心监护系统。</w:t>
            </w:r>
          </w:p>
          <w:p w14:paraId="61536C5B">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3.11支持监护仪进入夜间模式，隐私模式，演示模式和待机模式。</w:t>
            </w:r>
          </w:p>
          <w:p w14:paraId="0A059FF8">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3.12可升级配置临床评分系统，如MEWS（改良早期预警评分）、NEWS（英国早期预警评分），可支持定时自动EWS评分功能。</w:t>
            </w:r>
          </w:p>
          <w:p w14:paraId="70E948CD">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3.13提供心肌缺血评估工具，可以快速查看ST值的变化。</w:t>
            </w:r>
          </w:p>
          <w:p w14:paraId="68DD226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3.14提供计时器功能，界面区提供设置≥4个计时器，每个计时器支持独立设置和计时功能，计时方向包括正计时和倒计时两种选择。动态趋势界面可支持统计1-24小时心律失常报警、参数超限报警信息，并对超限报警区间的波形进行高亮显示，帮助医护人员快速识别异常趋势信息。</w:t>
            </w:r>
          </w:p>
          <w:p w14:paraId="54930C09">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3.15支持格拉斯哥昏迷评分（GCS）功能。</w:t>
            </w:r>
          </w:p>
          <w:p w14:paraId="01285830">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3.16支持升级连接HIS系统，满足科室信息化的需求。信息互连：配备有线和无线（内置Wi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Fi模块及无线安装）直接与同品牌中央监护系统互联，把监测信息参数和波形实时显示到中央监护系统上，满足科室信息化的需求。</w:t>
            </w:r>
          </w:p>
          <w:p w14:paraId="49488B48">
            <w:pPr>
              <w:tabs>
                <w:tab w:val="left" w:pos="180"/>
                <w:tab w:val="left" w:pos="1620"/>
              </w:tabs>
              <w:adjustRightInd w:val="0"/>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▲4.配置清单</w:t>
            </w:r>
          </w:p>
          <w:tbl>
            <w:tblPr>
              <w:tblStyle w:val="152"/>
              <w:tblW w:w="37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968"/>
              <w:gridCol w:w="571"/>
              <w:gridCol w:w="514"/>
            </w:tblGrid>
            <w:tr w14:paraId="188A8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5" w:type="dxa"/>
                  <w:vAlign w:val="center"/>
                </w:tcPr>
                <w:p w14:paraId="7630BAE4">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序号</w:t>
                  </w:r>
                </w:p>
              </w:tc>
              <w:tc>
                <w:tcPr>
                  <w:tcW w:w="1968" w:type="dxa"/>
                  <w:vAlign w:val="center"/>
                </w:tcPr>
                <w:p w14:paraId="52943598">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产品名称</w:t>
                  </w:r>
                </w:p>
              </w:tc>
              <w:tc>
                <w:tcPr>
                  <w:tcW w:w="571" w:type="dxa"/>
                  <w:vAlign w:val="center"/>
                </w:tcPr>
                <w:p w14:paraId="6E56BA4C">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单位</w:t>
                  </w:r>
                </w:p>
              </w:tc>
              <w:tc>
                <w:tcPr>
                  <w:tcW w:w="514" w:type="dxa"/>
                  <w:vAlign w:val="center"/>
                </w:tcPr>
                <w:p w14:paraId="36CB7B7F">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数量</w:t>
                  </w:r>
                </w:p>
              </w:tc>
            </w:tr>
            <w:tr w14:paraId="1A98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51A49068">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1</w:t>
                  </w:r>
                </w:p>
              </w:tc>
              <w:tc>
                <w:tcPr>
                  <w:tcW w:w="1968" w:type="dxa"/>
                  <w:vAlign w:val="center"/>
                </w:tcPr>
                <w:p w14:paraId="5BC66FC4">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中央站</w:t>
                  </w:r>
                </w:p>
              </w:tc>
              <w:tc>
                <w:tcPr>
                  <w:tcW w:w="571" w:type="dxa"/>
                  <w:vAlign w:val="center"/>
                </w:tcPr>
                <w:p w14:paraId="234BADF3">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套</w:t>
                  </w:r>
                </w:p>
              </w:tc>
              <w:tc>
                <w:tcPr>
                  <w:tcW w:w="514" w:type="dxa"/>
                  <w:vAlign w:val="center"/>
                </w:tcPr>
                <w:p w14:paraId="78D5FF35">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1</w:t>
                  </w:r>
                </w:p>
              </w:tc>
            </w:tr>
            <w:tr w14:paraId="34226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2DA476C1">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w:t>
                  </w:r>
                </w:p>
              </w:tc>
              <w:tc>
                <w:tcPr>
                  <w:tcW w:w="1968" w:type="dxa"/>
                  <w:vAlign w:val="center"/>
                </w:tcPr>
                <w:p w14:paraId="5C645F28">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遥测监护系统</w:t>
                  </w:r>
                </w:p>
              </w:tc>
              <w:tc>
                <w:tcPr>
                  <w:tcW w:w="571" w:type="dxa"/>
                  <w:vAlign w:val="center"/>
                </w:tcPr>
                <w:p w14:paraId="5EA925B0">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个</w:t>
                  </w:r>
                </w:p>
              </w:tc>
              <w:tc>
                <w:tcPr>
                  <w:tcW w:w="514" w:type="dxa"/>
                  <w:vAlign w:val="center"/>
                </w:tcPr>
                <w:p w14:paraId="702ABE37">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16</w:t>
                  </w:r>
                </w:p>
              </w:tc>
            </w:tr>
            <w:tr w14:paraId="56110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85" w:type="dxa"/>
                  <w:vAlign w:val="center"/>
                </w:tcPr>
                <w:p w14:paraId="0D02DA6C">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3</w:t>
                  </w:r>
                </w:p>
              </w:tc>
              <w:tc>
                <w:tcPr>
                  <w:tcW w:w="1968" w:type="dxa"/>
                  <w:vAlign w:val="center"/>
                </w:tcPr>
                <w:p w14:paraId="3CAAF45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病人监护仪</w:t>
                  </w:r>
                </w:p>
              </w:tc>
              <w:tc>
                <w:tcPr>
                  <w:tcW w:w="571" w:type="dxa"/>
                  <w:vAlign w:val="center"/>
                </w:tcPr>
                <w:p w14:paraId="32C1997A">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台</w:t>
                  </w:r>
                </w:p>
              </w:tc>
              <w:tc>
                <w:tcPr>
                  <w:tcW w:w="514" w:type="dxa"/>
                  <w:vAlign w:val="center"/>
                </w:tcPr>
                <w:p w14:paraId="493E4B30">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szCs w:val="21"/>
                      <w:highlight w:val="none"/>
                      <w:lang w:eastAsia="en-US"/>
                    </w:rPr>
                    <w:t>4</w:t>
                  </w:r>
                </w:p>
              </w:tc>
            </w:tr>
          </w:tbl>
          <w:p w14:paraId="2D850AB9">
            <w:pPr>
              <w:numPr>
                <w:ilvl w:val="0"/>
                <w:numId w:val="3"/>
              </w:numPr>
              <w:tabs>
                <w:tab w:val="left" w:pos="180"/>
                <w:tab w:val="left" w:pos="1620"/>
                <w:tab w:val="clear" w:pos="312"/>
              </w:tabs>
              <w:adjustRightInd w:val="0"/>
              <w:snapToGrid w:val="0"/>
              <w:spacing w:line="360" w:lineRule="exact"/>
              <w:jc w:val="left"/>
              <w:rPr>
                <w:rFonts w:ascii="宋体" w:hAnsi="宋体" w:cs="宋体"/>
                <w:color w:val="auto"/>
                <w:szCs w:val="21"/>
                <w:highlight w:val="none"/>
              </w:rPr>
            </w:pPr>
          </w:p>
        </w:tc>
      </w:tr>
      <w:tr w14:paraId="3D01C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5000" w:type="pct"/>
            <w:gridSpan w:val="7"/>
            <w:tcBorders>
              <w:bottom w:val="single" w:color="auto" w:sz="4" w:space="0"/>
            </w:tcBorders>
            <w:vAlign w:val="center"/>
          </w:tcPr>
          <w:p w14:paraId="5E9168CF">
            <w:pPr>
              <w:tabs>
                <w:tab w:val="left" w:pos="180"/>
                <w:tab w:val="left" w:pos="1620"/>
              </w:tabs>
              <w:adjustRightInd w:val="0"/>
              <w:snapToGrid w:val="0"/>
              <w:spacing w:line="360" w:lineRule="exact"/>
              <w:jc w:val="left"/>
              <w:rPr>
                <w:rFonts w:ascii="宋体" w:hAnsi="宋体" w:cs="宋体"/>
                <w:color w:val="auto"/>
                <w:szCs w:val="21"/>
                <w:highlight w:val="none"/>
              </w:rPr>
            </w:pPr>
            <w:r>
              <w:rPr>
                <w:rFonts w:hint="eastAsia" w:ascii="宋体" w:hAnsi="宋体" w:cs="宋体"/>
                <w:b/>
                <w:color w:val="auto"/>
                <w:szCs w:val="21"/>
                <w:highlight w:val="none"/>
              </w:rPr>
              <w:t>核心产品：本分标核心产品为第9项标的“中心监护系统”。</w:t>
            </w:r>
          </w:p>
        </w:tc>
      </w:tr>
      <w:tr w14:paraId="5B2B0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7888C217">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▲二、商务要求</w:t>
            </w:r>
          </w:p>
        </w:tc>
      </w:tr>
      <w:tr w14:paraId="6851C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8D31CE7">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（一）售后服务基本要求</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0D13F9C4">
            <w:pPr>
              <w:spacing w:line="360" w:lineRule="exact"/>
              <w:jc w:val="left"/>
              <w:rPr>
                <w:rFonts w:ascii="宋体" w:hAnsi="宋体" w:cs="宋体"/>
                <w:color w:val="auto"/>
                <w:highlight w:val="none"/>
              </w:rPr>
            </w:pPr>
            <w:r>
              <w:rPr>
                <w:rFonts w:hint="eastAsia" w:ascii="宋体" w:hAnsi="宋体" w:cs="宋体"/>
                <w:color w:val="auto"/>
                <w:highlight w:val="none"/>
              </w:rPr>
              <w:t>投标人提供的以下售后服务产生的费用均应综合包含在投标报价中，采购人不再就此另行支付任何费用：</w:t>
            </w:r>
          </w:p>
          <w:p w14:paraId="34D21AE0">
            <w:pPr>
              <w:spacing w:line="360" w:lineRule="exact"/>
              <w:jc w:val="left"/>
              <w:rPr>
                <w:rFonts w:ascii="宋体" w:hAnsi="宋体" w:cs="宋体"/>
                <w:color w:val="auto"/>
                <w:highlight w:val="none"/>
              </w:rPr>
            </w:pPr>
            <w:r>
              <w:rPr>
                <w:rFonts w:hint="eastAsia" w:ascii="宋体" w:hAnsi="宋体" w:cs="宋体"/>
                <w:color w:val="auto"/>
                <w:highlight w:val="none"/>
              </w:rPr>
              <w:t>1.保修期：按国家有关产品“三包”规定执行“三包”</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病人监护仪</w:t>
            </w:r>
            <w:r>
              <w:rPr>
                <w:rFonts w:hint="eastAsia" w:ascii="宋体" w:hAnsi="宋体" w:cs="宋体"/>
                <w:color w:val="auto"/>
                <w:highlight w:val="none"/>
              </w:rPr>
              <w:t>保修期不得少于5年</w:t>
            </w:r>
            <w:r>
              <w:rPr>
                <w:rFonts w:hint="eastAsia" w:ascii="宋体" w:hAnsi="宋体" w:cs="宋体"/>
                <w:color w:val="auto"/>
                <w:highlight w:val="none"/>
                <w:lang w:eastAsia="zh-CN"/>
              </w:rPr>
              <w:t>，</w:t>
            </w:r>
            <w:r>
              <w:rPr>
                <w:rFonts w:hint="eastAsia"/>
                <w:color w:val="auto"/>
                <w:highlight w:val="none"/>
                <w:lang w:val="en-US" w:eastAsia="zh-CN"/>
              </w:rPr>
              <w:t>中心监护系统</w:t>
            </w:r>
            <w:r>
              <w:rPr>
                <w:rFonts w:hint="eastAsia" w:ascii="宋体" w:hAnsi="宋体" w:cs="宋体"/>
                <w:color w:val="auto"/>
                <w:highlight w:val="none"/>
                <w:lang w:val="en-US" w:eastAsia="zh-CN"/>
              </w:rPr>
              <w:t>保修期不得少于3年</w:t>
            </w:r>
            <w:r>
              <w:rPr>
                <w:rFonts w:hint="eastAsia" w:ascii="宋体" w:hAnsi="宋体" w:cs="宋体"/>
                <w:color w:val="auto"/>
                <w:highlight w:val="none"/>
              </w:rPr>
              <w:t>（保修期从设备验收合格之日起计算），保修期内上门维修不收取任何费用。</w:t>
            </w:r>
          </w:p>
          <w:p w14:paraId="280A1530">
            <w:pPr>
              <w:spacing w:line="360" w:lineRule="exact"/>
              <w:jc w:val="left"/>
              <w:rPr>
                <w:rFonts w:ascii="宋体" w:hAnsi="宋体" w:cs="宋体"/>
                <w:color w:val="auto"/>
                <w:szCs w:val="21"/>
                <w:highlight w:val="none"/>
              </w:rPr>
            </w:pPr>
            <w:r>
              <w:rPr>
                <w:rFonts w:hint="eastAsia" w:ascii="宋体" w:hAnsi="宋体" w:cs="宋体"/>
                <w:color w:val="auto"/>
                <w:highlight w:val="none"/>
              </w:rPr>
              <w:t>2.采购范围内的货物</w:t>
            </w:r>
            <w:r>
              <w:rPr>
                <w:rFonts w:hint="eastAsia" w:ascii="宋体" w:hAnsi="宋体" w:cs="宋体"/>
                <w:color w:val="auto"/>
                <w:szCs w:val="21"/>
                <w:highlight w:val="none"/>
              </w:rPr>
              <w:t>送货上门、安装调试合格(仪器到货后1周内到采购人处安装调试)，提供技术及使用培训服务（</w:t>
            </w:r>
            <w:r>
              <w:rPr>
                <w:rFonts w:hint="eastAsia" w:ascii="宋体" w:hAnsi="宋体" w:cs="宋体"/>
                <w:color w:val="auto"/>
                <w:spacing w:val="9"/>
                <w:szCs w:val="21"/>
                <w:highlight w:val="none"/>
              </w:rPr>
              <w:t>包含医护人员及工程人员的培训计划，其中医护人员省</w:t>
            </w:r>
            <w:r>
              <w:rPr>
                <w:rFonts w:hint="eastAsia" w:ascii="宋体" w:hAnsi="宋体" w:cs="宋体"/>
                <w:color w:val="auto"/>
                <w:spacing w:val="8"/>
                <w:szCs w:val="21"/>
                <w:highlight w:val="none"/>
                <w:u w:val="single"/>
              </w:rPr>
              <w:t>区内/省区</w:t>
            </w:r>
            <w:r>
              <w:rPr>
                <w:rFonts w:hint="eastAsia" w:ascii="宋体" w:hAnsi="宋体" w:cs="宋体"/>
                <w:color w:val="auto"/>
                <w:spacing w:val="8"/>
                <w:szCs w:val="21"/>
                <w:highlight w:val="none"/>
              </w:rPr>
              <w:t>外专项操作培训至少</w:t>
            </w:r>
            <w:r>
              <w:rPr>
                <w:rFonts w:hint="eastAsia" w:ascii="宋体" w:hAnsi="宋体" w:cs="宋体"/>
                <w:color w:val="auto"/>
                <w:spacing w:val="4"/>
                <w:szCs w:val="21"/>
                <w:highlight w:val="none"/>
                <w:u w:val="single"/>
              </w:rPr>
              <w:t>2</w:t>
            </w:r>
            <w:r>
              <w:rPr>
                <w:rFonts w:hint="eastAsia" w:ascii="宋体" w:hAnsi="宋体" w:cs="宋体"/>
                <w:color w:val="auto"/>
                <w:spacing w:val="8"/>
                <w:szCs w:val="21"/>
                <w:highlight w:val="none"/>
              </w:rPr>
              <w:t>人次；工程人员</w:t>
            </w:r>
            <w:r>
              <w:rPr>
                <w:rFonts w:hint="eastAsia" w:ascii="宋体" w:hAnsi="宋体" w:cs="宋体"/>
                <w:color w:val="auto"/>
                <w:spacing w:val="8"/>
                <w:szCs w:val="21"/>
                <w:highlight w:val="none"/>
                <w:u w:val="single"/>
              </w:rPr>
              <w:t>省区内/省区外</w:t>
            </w:r>
            <w:r>
              <w:rPr>
                <w:rFonts w:hint="eastAsia" w:ascii="宋体" w:hAnsi="宋体" w:cs="宋体"/>
                <w:color w:val="auto"/>
                <w:spacing w:val="8"/>
                <w:szCs w:val="21"/>
                <w:highlight w:val="none"/>
              </w:rPr>
              <w:t>专项维保培训至少</w:t>
            </w:r>
            <w:r>
              <w:rPr>
                <w:rFonts w:hint="eastAsia" w:ascii="宋体" w:hAnsi="宋体" w:cs="宋体"/>
                <w:color w:val="auto"/>
                <w:spacing w:val="8"/>
                <w:szCs w:val="21"/>
                <w:highlight w:val="none"/>
                <w:u w:val="single"/>
              </w:rPr>
              <w:t>2</w:t>
            </w:r>
            <w:r>
              <w:rPr>
                <w:rFonts w:hint="eastAsia" w:ascii="宋体" w:hAnsi="宋体" w:cs="宋体"/>
                <w:color w:val="auto"/>
                <w:spacing w:val="8"/>
                <w:szCs w:val="21"/>
                <w:highlight w:val="none"/>
              </w:rPr>
              <w:t>人次</w:t>
            </w:r>
            <w:r>
              <w:rPr>
                <w:rFonts w:hint="eastAsia" w:ascii="宋体" w:hAnsi="宋体" w:cs="宋体"/>
                <w:color w:val="auto"/>
                <w:szCs w:val="21"/>
                <w:highlight w:val="none"/>
              </w:rPr>
              <w:t>），保证操作人员能正常操作设备的各种功能；若设备自带软件，则在保修期内提供升级服务（采购人不再另行支付费用）。</w:t>
            </w:r>
          </w:p>
          <w:p w14:paraId="1A8872E9">
            <w:pPr>
              <w:spacing w:line="360" w:lineRule="exact"/>
              <w:jc w:val="left"/>
              <w:rPr>
                <w:rFonts w:ascii="宋体" w:hAnsi="宋体" w:cs="宋体"/>
                <w:color w:val="auto"/>
                <w:highlight w:val="none"/>
              </w:rPr>
            </w:pPr>
            <w:r>
              <w:rPr>
                <w:rFonts w:hint="eastAsia" w:ascii="宋体" w:hAnsi="宋体" w:cs="宋体"/>
                <w:color w:val="auto"/>
                <w:szCs w:val="21"/>
                <w:highlight w:val="none"/>
              </w:rPr>
              <w:t>3.保修期内仪器设备出现故障，在接到</w:t>
            </w:r>
            <w:r>
              <w:rPr>
                <w:rFonts w:hint="eastAsia" w:ascii="宋体" w:hAnsi="宋体" w:cs="宋体"/>
                <w:color w:val="auto"/>
                <w:highlight w:val="none"/>
              </w:rPr>
              <w:t>电话通知后，2小时内做出响应，24小时内到达维修现场。一般问题应在48小时内解决。重大问题或</w:t>
            </w:r>
            <w:r>
              <w:rPr>
                <w:rFonts w:hint="eastAsia" w:ascii="宋体" w:hAnsi="宋体" w:cs="宋体"/>
                <w:color w:val="auto"/>
                <w:highlight w:val="none"/>
                <w:lang w:eastAsia="zh-CN"/>
              </w:rPr>
              <w:t>其他</w:t>
            </w:r>
            <w:r>
              <w:rPr>
                <w:rFonts w:hint="eastAsia" w:ascii="宋体" w:hAnsi="宋体" w:cs="宋体"/>
                <w:color w:val="auto"/>
                <w:highlight w:val="none"/>
              </w:rPr>
              <w:t>无法迅速解决的问题应在一周内解决。</w:t>
            </w:r>
          </w:p>
          <w:p w14:paraId="0122C0CB">
            <w:pPr>
              <w:spacing w:line="360" w:lineRule="exact"/>
              <w:jc w:val="left"/>
              <w:rPr>
                <w:rFonts w:ascii="宋体" w:hAnsi="宋体" w:cs="宋体"/>
                <w:color w:val="auto"/>
                <w:highlight w:val="none"/>
              </w:rPr>
            </w:pPr>
            <w:r>
              <w:rPr>
                <w:rFonts w:hint="eastAsia" w:ascii="宋体" w:hAnsi="宋体" w:cs="宋体"/>
                <w:color w:val="auto"/>
                <w:highlight w:val="none"/>
              </w:rPr>
              <w:t>4.提供每半年一次定期回访以及对设备维护服务。</w:t>
            </w:r>
          </w:p>
          <w:p w14:paraId="1F4B7F01">
            <w:pPr>
              <w:spacing w:line="360" w:lineRule="exact"/>
              <w:rPr>
                <w:rFonts w:ascii="Arial" w:hAnsi="Arial" w:cs="Arial"/>
                <w:color w:val="auto"/>
                <w:kern w:val="0"/>
                <w:szCs w:val="21"/>
                <w:highlight w:val="none"/>
              </w:rPr>
            </w:pPr>
            <w:r>
              <w:rPr>
                <w:rFonts w:hint="eastAsia" w:ascii="宋体" w:hAnsi="宋体" w:cs="宋体"/>
                <w:color w:val="auto"/>
                <w:kern w:val="0"/>
                <w:szCs w:val="21"/>
                <w:highlight w:val="none"/>
              </w:rPr>
              <w:t>5.本项目为交钥匙项目。在保修期内，投标人必须保证采购人能够合法应用该器械，并办理相关证</w:t>
            </w:r>
            <w:r>
              <w:rPr>
                <w:rFonts w:ascii="Arial" w:hAnsi="Arial" w:cs="Arial"/>
                <w:color w:val="auto"/>
                <w:kern w:val="0"/>
                <w:szCs w:val="21"/>
                <w:highlight w:val="none"/>
              </w:rPr>
              <w:t>件、手续</w:t>
            </w:r>
            <w:r>
              <w:rPr>
                <w:rFonts w:hint="eastAsia" w:ascii="Arial" w:hAnsi="Arial" w:cs="Arial"/>
                <w:color w:val="auto"/>
                <w:kern w:val="0"/>
                <w:szCs w:val="21"/>
                <w:highlight w:val="none"/>
              </w:rPr>
              <w:t>，</w:t>
            </w:r>
            <w:r>
              <w:rPr>
                <w:rFonts w:ascii="Arial" w:hAnsi="Arial" w:cs="Arial"/>
                <w:color w:val="auto"/>
                <w:kern w:val="0"/>
                <w:szCs w:val="21"/>
                <w:highlight w:val="none"/>
              </w:rPr>
              <w:t>产生的费用包含在合同/协议价格中。在此过程中</w:t>
            </w:r>
            <w:r>
              <w:rPr>
                <w:rFonts w:hint="eastAsia" w:ascii="Arial" w:hAnsi="Arial" w:cs="Arial"/>
                <w:color w:val="auto"/>
                <w:kern w:val="0"/>
                <w:szCs w:val="21"/>
                <w:highlight w:val="none"/>
              </w:rPr>
              <w:t>，采购人</w:t>
            </w:r>
            <w:r>
              <w:rPr>
                <w:rFonts w:ascii="Arial" w:hAnsi="Arial" w:cs="Arial"/>
                <w:color w:val="auto"/>
                <w:kern w:val="0"/>
                <w:szCs w:val="21"/>
                <w:highlight w:val="none"/>
              </w:rPr>
              <w:t>应当提供必要支持。若可能出现的后续证件、手续</w:t>
            </w:r>
            <w:r>
              <w:rPr>
                <w:rFonts w:hint="eastAsia" w:ascii="Arial" w:hAnsi="Arial" w:cs="Arial"/>
                <w:color w:val="auto"/>
                <w:kern w:val="0"/>
                <w:szCs w:val="21"/>
                <w:highlight w:val="none"/>
              </w:rPr>
              <w:t>，投标人</w:t>
            </w:r>
            <w:r>
              <w:rPr>
                <w:rFonts w:ascii="Arial" w:hAnsi="Arial" w:cs="Arial"/>
                <w:color w:val="auto"/>
                <w:kern w:val="0"/>
                <w:szCs w:val="21"/>
                <w:highlight w:val="none"/>
              </w:rPr>
              <w:t>必须提供办理的流程及方法。</w:t>
            </w:r>
          </w:p>
          <w:p w14:paraId="4952C660">
            <w:pPr>
              <w:spacing w:line="360" w:lineRule="exact"/>
              <w:jc w:val="left"/>
              <w:rPr>
                <w:rFonts w:ascii="宋体" w:hAnsi="宋体" w:cs="宋体"/>
                <w:color w:val="auto"/>
                <w:highlight w:val="none"/>
              </w:rPr>
            </w:pPr>
            <w:r>
              <w:rPr>
                <w:rFonts w:hint="eastAsia" w:ascii="宋体" w:hAnsi="宋体" w:cs="宋体"/>
                <w:color w:val="auto"/>
                <w:highlight w:val="none"/>
              </w:rPr>
              <w:t>6.易损零配件和专机专用试剂耗材价格表：本项目签订合同时，应附易损零配件和专机专用试剂耗材价格表。</w:t>
            </w:r>
          </w:p>
          <w:p w14:paraId="1BFC7D2B">
            <w:pPr>
              <w:spacing w:line="360" w:lineRule="exact"/>
              <w:jc w:val="left"/>
              <w:rPr>
                <w:rFonts w:ascii="宋体" w:hAnsi="宋体" w:cs="宋体"/>
                <w:color w:val="auto"/>
                <w:highlight w:val="none"/>
              </w:rPr>
            </w:pPr>
            <w:r>
              <w:rPr>
                <w:rFonts w:hint="eastAsia" w:ascii="宋体" w:hAnsi="宋体" w:cs="宋体"/>
                <w:color w:val="auto"/>
                <w:highlight w:val="none"/>
              </w:rPr>
              <w:t>7.维修技术支持：投标人一次性提供维护手册、维修手册、软件备份、故障代码表、备件清单等维护维修必需的材料和信息，否则不予验收。保修期外，提供维修密码及软件在该项目中的使用权，按合同约定价格提供零部件，以及快速响应的技术支持。保修期外，如在使用过程中发生质量问题，投标人在接到采购人通知后在24小时/天内到达采购人现场处理。以上涉及的费用均包含在投标报价中，采购人不再另行支付。</w:t>
            </w:r>
          </w:p>
          <w:p w14:paraId="001757ED">
            <w:pPr>
              <w:spacing w:line="360" w:lineRule="exact"/>
              <w:jc w:val="left"/>
              <w:rPr>
                <w:rFonts w:ascii="宋体" w:hAnsi="宋体" w:cs="宋体"/>
                <w:color w:val="auto"/>
                <w:highlight w:val="none"/>
              </w:rPr>
            </w:pPr>
            <w:r>
              <w:rPr>
                <w:rFonts w:hint="eastAsia" w:ascii="宋体" w:hAnsi="宋体" w:cs="宋体"/>
                <w:color w:val="auto"/>
                <w:highlight w:val="none"/>
              </w:rPr>
              <w:t>8.投标人应保证采购人获得合同约定范围内所有软件功能，终身单机软件使用权。不得限制硬件配件采购，并在采购人自主更换配件后，帮助采购人恢复原有的软件及系统，使采购人能够正常使用该器械/设备、项目。以上涉及的费用均包含在投标报价中，采购人不再另行支付。</w:t>
            </w:r>
          </w:p>
          <w:p w14:paraId="1EF25ED6">
            <w:pPr>
              <w:spacing w:line="360" w:lineRule="exact"/>
              <w:jc w:val="left"/>
              <w:rPr>
                <w:rFonts w:ascii="宋体" w:hAnsi="宋体" w:cs="宋体"/>
                <w:color w:val="auto"/>
                <w:highlight w:val="none"/>
              </w:rPr>
            </w:pPr>
            <w:r>
              <w:rPr>
                <w:rFonts w:hint="eastAsia" w:ascii="宋体" w:hAnsi="宋体" w:cs="宋体"/>
                <w:color w:val="auto"/>
                <w:highlight w:val="none"/>
              </w:rPr>
              <w:t>9.投标人承诺保修期内，按国家相关规定，执行保养及预防性维护，并提供报告。</w:t>
            </w:r>
          </w:p>
          <w:p w14:paraId="1AF2C3E4">
            <w:pPr>
              <w:spacing w:line="360" w:lineRule="exact"/>
              <w:jc w:val="left"/>
              <w:rPr>
                <w:rFonts w:ascii="宋体" w:hAnsi="宋体" w:cs="宋体"/>
                <w:color w:val="auto"/>
                <w:highlight w:val="none"/>
              </w:rPr>
            </w:pPr>
            <w:r>
              <w:rPr>
                <w:rFonts w:hint="eastAsia" w:ascii="宋体" w:hAnsi="宋体" w:cs="宋体"/>
                <w:color w:val="auto"/>
                <w:highlight w:val="none"/>
              </w:rPr>
              <w:t>10.在设备规定的使用期限内，投标人必须保证配件供应。并承诺过保修期后的维修及配件更换不需预付款，按照医院正常付款流程办理。</w:t>
            </w:r>
          </w:p>
          <w:p w14:paraId="7B3F0BC0">
            <w:pPr>
              <w:spacing w:line="360" w:lineRule="exact"/>
              <w:jc w:val="left"/>
              <w:rPr>
                <w:color w:val="auto"/>
                <w:highlight w:val="none"/>
              </w:rPr>
            </w:pPr>
            <w:r>
              <w:rPr>
                <w:rFonts w:hint="eastAsia" w:ascii="宋体" w:hAnsi="宋体" w:cs="宋体"/>
                <w:color w:val="auto"/>
                <w:highlight w:val="none"/>
              </w:rPr>
              <w:t>11.保修期外维修应同样提供不收取费用的咨询服务，需上门维修的不收取维修费，仅收取材料费。</w:t>
            </w:r>
          </w:p>
        </w:tc>
      </w:tr>
      <w:tr w14:paraId="3C8D9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57750CEE">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（二）合同签订时间</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5534AE3A">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自中标通知书发出之日起 25日内签订采购合同。</w:t>
            </w:r>
          </w:p>
        </w:tc>
      </w:tr>
      <w:tr w14:paraId="6DE4B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99BE829">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（三）交付时间和地点</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2405FC75">
            <w:pPr>
              <w:spacing w:line="340" w:lineRule="exact"/>
              <w:rPr>
                <w:rFonts w:ascii="宋体" w:hAnsi="宋体" w:cs="宋体"/>
                <w:b/>
                <w:color w:val="auto"/>
                <w:szCs w:val="21"/>
                <w:highlight w:val="none"/>
              </w:rPr>
            </w:pPr>
            <w:r>
              <w:rPr>
                <w:rFonts w:hint="eastAsia" w:ascii="宋体" w:hAnsi="宋体" w:cs="宋体"/>
                <w:b/>
                <w:color w:val="auto"/>
                <w:szCs w:val="21"/>
                <w:highlight w:val="none"/>
              </w:rPr>
              <w:t>1.交付时间：</w:t>
            </w:r>
            <w:r>
              <w:rPr>
                <w:rFonts w:hint="eastAsia" w:ascii="宋体" w:hAnsi="宋体" w:cs="宋体"/>
                <w:color w:val="auto"/>
                <w:highlight w:val="none"/>
              </w:rPr>
              <w:t>合同签订，</w:t>
            </w:r>
            <w:r>
              <w:rPr>
                <w:rFonts w:hint="eastAsia" w:ascii="宋体" w:hAnsi="宋体" w:cs="宋体"/>
                <w:color w:val="auto"/>
                <w:highlight w:val="none"/>
                <w:lang w:eastAsia="zh-CN"/>
              </w:rPr>
              <w:t>接到采购人供货通知</w:t>
            </w:r>
            <w:r>
              <w:rPr>
                <w:rFonts w:hint="eastAsia" w:ascii="宋体" w:hAnsi="宋体" w:cs="宋体"/>
                <w:color w:val="auto"/>
                <w:highlight w:val="none"/>
              </w:rPr>
              <w:t>后</w:t>
            </w:r>
            <w:r>
              <w:rPr>
                <w:rFonts w:hint="eastAsia" w:ascii="宋体" w:hAnsi="宋体" w:cs="宋体"/>
                <w:color w:val="auto"/>
                <w:highlight w:val="none"/>
                <w:u w:val="single"/>
              </w:rPr>
              <w:t>60</w:t>
            </w:r>
            <w:r>
              <w:rPr>
                <w:rFonts w:hint="eastAsia" w:ascii="宋体" w:hAnsi="宋体" w:cs="宋体"/>
                <w:color w:val="auto"/>
                <w:highlight w:val="none"/>
              </w:rPr>
              <w:t>个工作日内到货并安装调试完毕，达到正常使用状态</w:t>
            </w:r>
            <w:r>
              <w:rPr>
                <w:rFonts w:hint="eastAsia" w:hAnsi="宋体"/>
                <w:color w:val="auto"/>
                <w:szCs w:val="21"/>
                <w:highlight w:val="none"/>
              </w:rPr>
              <w:t>。</w:t>
            </w:r>
          </w:p>
          <w:p w14:paraId="07E64249">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2.交付地点：</w:t>
            </w:r>
            <w:r>
              <w:rPr>
                <w:rFonts w:hint="eastAsia" w:ascii="宋体" w:hAnsi="宋体" w:cs="宋体"/>
                <w:bCs/>
                <w:color w:val="auto"/>
                <w:szCs w:val="21"/>
                <w:highlight w:val="none"/>
              </w:rPr>
              <w:t>广西桂林市采购人医院内指定地点。</w:t>
            </w:r>
          </w:p>
        </w:tc>
      </w:tr>
      <w:tr w14:paraId="091A7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23703566">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（四）付款方式</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7E545989">
            <w:pPr>
              <w:spacing w:line="400" w:lineRule="exact"/>
              <w:rPr>
                <w:rFonts w:ascii="宋体" w:hAnsi="宋体" w:cs="宋体"/>
                <w:color w:val="auto"/>
                <w:szCs w:val="21"/>
                <w:highlight w:val="none"/>
              </w:rPr>
            </w:pPr>
            <w:r>
              <w:rPr>
                <w:rFonts w:hint="eastAsia" w:ascii="宋体" w:hAnsi="宋体" w:cs="宋体"/>
                <w:color w:val="auto"/>
                <w:szCs w:val="21"/>
                <w:highlight w:val="none"/>
              </w:rPr>
              <w:t>1.本仪器设备验收合格后，中标人开具全额税务发票，采购人在收到发票后转账支付合同款的95%（无息），可采用汇票、云信、供应链、信用证等付款方式。合同款的5%在设备验收合格满1年后的三个月内转账支付（无息）。采购人付款前，中标人未按上述要求开具符合采购人要求的正规财务票据的，采购人有权暂缓或拒付款项且不构成违约。</w:t>
            </w:r>
          </w:p>
          <w:p w14:paraId="7D928737">
            <w:pPr>
              <w:spacing w:line="340" w:lineRule="exact"/>
              <w:rPr>
                <w:rFonts w:ascii="宋体" w:hAnsi="宋体" w:cs="宋体"/>
                <w:color w:val="auto"/>
                <w:szCs w:val="21"/>
                <w:highlight w:val="none"/>
              </w:rPr>
            </w:pPr>
            <w:r>
              <w:rPr>
                <w:rFonts w:hint="eastAsia" w:ascii="宋体" w:hAnsi="宋体" w:cs="宋体"/>
                <w:color w:val="auto"/>
                <w:szCs w:val="21"/>
                <w:highlight w:val="none"/>
              </w:rPr>
              <w:t>2.票据要求：中标人必须按照采购人要求提供真实、有效、合法的正式税务发票。一旦发现中标人提供虚假税务发票，除须向采购人补开合法的税务发票外，须赔偿采购人发票票面金额一倍的违约金，且采购人有权终止合同，中标人不得提出异议，因终止合同而产生的一切损失均由中标人承担。</w:t>
            </w:r>
          </w:p>
        </w:tc>
      </w:tr>
      <w:tr w14:paraId="1BCCD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4600E7C1">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（五）包装和运输</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751F3B34">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1.中标人应在货物发运前对其进行满足于运输距离、防潮、防震、防锈和防破损装卸要求的包装，以保证货物安全无损的运输到达采购人指定地点。</w:t>
            </w:r>
          </w:p>
          <w:p w14:paraId="0C1F2D8D">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2.使用说明书、质量检验证明书、随配附件和工具以及配置清单等一并附于货物内交付采购人。</w:t>
            </w:r>
          </w:p>
          <w:p w14:paraId="06022B67">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3.中标人负责将货物安全运送到采购人指定地点，并负责清理回收采购人抛弃的相关大件包装， 不另收任何费用。货到采购人前48小时，由中标人通知采购人，但在验收前采购人原则上不负责接收货物。</w:t>
            </w:r>
          </w:p>
        </w:tc>
      </w:tr>
      <w:tr w14:paraId="464DD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355E2DB">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（六）保险</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4D7E6094">
            <w:pPr>
              <w:adjustRightInd w:val="0"/>
              <w:snapToGrid w:val="0"/>
              <w:spacing w:line="340" w:lineRule="exact"/>
              <w:rPr>
                <w:rFonts w:ascii="宋体" w:hAnsi="宋体" w:cs="宋体"/>
                <w:b/>
                <w:color w:val="auto"/>
                <w:szCs w:val="21"/>
                <w:highlight w:val="none"/>
              </w:rPr>
            </w:pPr>
            <w:r>
              <w:rPr>
                <w:rFonts w:hint="eastAsia" w:ascii="宋体" w:hAnsi="宋体" w:cs="宋体"/>
                <w:b/>
                <w:bCs/>
                <w:color w:val="auto"/>
                <w:kern w:val="0"/>
                <w:szCs w:val="21"/>
                <w:highlight w:val="none"/>
              </w:rPr>
              <w:t>若投标人为本项目标的及标的涉及的相关材料、设备、人员、运输等购买保险的，相关费用由投标人自行承担。</w:t>
            </w:r>
          </w:p>
        </w:tc>
      </w:tr>
      <w:tr w14:paraId="52A24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5107C090">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（七）验收标准</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5E4244A1">
            <w:pPr>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1.中标人交货前应对产品作出全面检查和对验收文件进行整理列出清单，作为采购人收货验收和使用的技术条件依据，检验的结果应随货物交采购人。</w:t>
            </w:r>
          </w:p>
          <w:p w14:paraId="0B2D9EEC">
            <w:pPr>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2.采购人对中标人所交货物依照国家有关标准，进行现场验收，性能达到技术要求的给予签收，验收不合格不予签收，后果由中标人负责。</w:t>
            </w:r>
          </w:p>
          <w:p w14:paraId="7D6335A8">
            <w:pPr>
              <w:adjustRightInd w:val="0"/>
              <w:snapToGrid w:val="0"/>
              <w:spacing w:line="340" w:lineRule="exact"/>
              <w:rPr>
                <w:rFonts w:ascii="宋体" w:hAnsi="宋体" w:cs="宋体"/>
                <w:color w:val="auto"/>
                <w:szCs w:val="21"/>
                <w:highlight w:val="none"/>
              </w:rPr>
            </w:pPr>
            <w:r>
              <w:rPr>
                <w:rFonts w:hint="eastAsia" w:ascii="宋体" w:hAnsi="宋体" w:cs="宋体"/>
                <w:b/>
                <w:color w:val="auto"/>
                <w:szCs w:val="21"/>
                <w:highlight w:val="none"/>
              </w:rPr>
              <w:t>3.中标人应在货到指定地点安装、调试完毕，确保正常使用，并及时配合采购人验收。</w:t>
            </w:r>
          </w:p>
        </w:tc>
      </w:tr>
      <w:tr w14:paraId="2AA87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92CD3E5">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（八）知识产权</w:t>
            </w:r>
          </w:p>
        </w:tc>
        <w:tc>
          <w:tcPr>
            <w:tcW w:w="3266" w:type="pct"/>
            <w:gridSpan w:val="3"/>
            <w:tcBorders>
              <w:top w:val="single" w:color="auto" w:sz="4" w:space="0"/>
              <w:left w:val="single" w:color="auto" w:sz="4" w:space="0"/>
              <w:bottom w:val="single" w:color="auto" w:sz="4" w:space="0"/>
              <w:right w:val="single" w:color="auto" w:sz="4" w:space="0"/>
            </w:tcBorders>
          </w:tcPr>
          <w:p w14:paraId="5C34B11A">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1.采购人在履行合同过程中提供给中标人的全部文件和其他含有数据和信息的资料，其知识产权属于采购人。</w:t>
            </w:r>
          </w:p>
          <w:p w14:paraId="2848818C">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2.除招标文件采购需求另有约定外，采购人不因签署和履行合同而享有中标人在履行合同过程中提供给采购人的文件、配套软件、电子辅助程序和其他含有数据和信息的资料的知识产权。</w:t>
            </w:r>
          </w:p>
          <w:p w14:paraId="488DF5FC">
            <w:pPr>
              <w:spacing w:line="340" w:lineRule="exact"/>
              <w:jc w:val="left"/>
              <w:rPr>
                <w:rFonts w:ascii="宋体" w:hAnsi="宋体" w:cs="宋体"/>
                <w:color w:val="auto"/>
                <w:szCs w:val="21"/>
                <w:highlight w:val="none"/>
              </w:rPr>
            </w:pPr>
            <w:r>
              <w:rPr>
                <w:rFonts w:hint="eastAsia" w:ascii="宋体" w:hAnsi="宋体" w:cs="宋体"/>
                <w:b/>
                <w:color w:val="auto"/>
                <w:szCs w:val="21"/>
                <w:highlight w:val="none"/>
              </w:rPr>
              <w:t>3.中标人应保证所提供货物在使用时不会侵犯任何第三方的知识产权或者其他权利。如合同货物涉及知识产权，则中标人保证采购人在使用合同货物过程中免于受到第三方提出的有关知识产权侵权的主张、索赔或诉讼的伤害。</w:t>
            </w:r>
          </w:p>
        </w:tc>
      </w:tr>
      <w:tr w14:paraId="7E12C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01249C3B">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（九）违约责任</w:t>
            </w:r>
          </w:p>
        </w:tc>
        <w:tc>
          <w:tcPr>
            <w:tcW w:w="3266" w:type="pct"/>
            <w:gridSpan w:val="3"/>
            <w:tcBorders>
              <w:top w:val="single" w:color="auto" w:sz="4" w:space="0"/>
              <w:left w:val="single" w:color="auto" w:sz="4" w:space="0"/>
              <w:bottom w:val="single" w:color="auto" w:sz="4" w:space="0"/>
              <w:right w:val="single" w:color="auto" w:sz="4" w:space="0"/>
            </w:tcBorders>
          </w:tcPr>
          <w:p w14:paraId="29CC7E7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1.保修期内，如在使用过程中发生质量问题，中标人在接到采购人通知后按承诺的时间内到达采购人现场处理。中标人未在承诺时间内到达处理，每次需按照该设备中标金额的1%支付违约金，违约金总金额不超过该设备总金额的5%，扣款直接以留存的5%合同价款抵扣，不足抵扣的，中标人须承担补足责任。否则中标人需按合同总金额的30%向采购人支付违约金并承担相应的法律责任。</w:t>
            </w:r>
          </w:p>
          <w:p w14:paraId="1C97B88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2.中标人无正当理由拒收的，违约方每天按合同标的0.3%支付违约金。</w:t>
            </w:r>
          </w:p>
          <w:p w14:paraId="60281EB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3.中标人逾期交付货物的，每逾期一日应支付违约金1000元，中标人逾期超过7天仍不能交货的,采购人有权单方面终止合同，中标人应按合同总金额的30%向采购人支付违约金，造成采购人损失的，由中标人负责赔偿，赔偿范围包括但不限于直接损失、逾期损失、以及维权产生的相关费用。</w:t>
            </w:r>
          </w:p>
          <w:p w14:paraId="5B341F1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4.中标人货物不符合约定及采购人要求的，须无条件免费予以更换或弥补，由此导致的逾期交付责任由中标人承担；中标人拒绝更换或弥补，更换三次仍不能达到采购人要求的，采购人有权解除合同，中标人应按合同总金额的30%向采购人支付违约金并赔偿采购人全部损失</w:t>
            </w:r>
          </w:p>
          <w:p w14:paraId="0C07A14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5.中标人未按约定履行售后服务或维保责任的，每发生一次应向采购人支付违约金1000元，采购人有权自行或委托第三方进行维保，由此产生的全部费用由中标人承担。</w:t>
            </w:r>
          </w:p>
          <w:p w14:paraId="0BEF5DDF">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b/>
                <w:color w:val="auto"/>
                <w:szCs w:val="21"/>
                <w:highlight w:val="none"/>
              </w:rPr>
            </w:pPr>
            <w:r>
              <w:rPr>
                <w:rFonts w:hint="eastAsia" w:ascii="宋体" w:hAnsi="宋体" w:cs="宋体"/>
                <w:b/>
                <w:color w:val="auto"/>
                <w:szCs w:val="21"/>
                <w:highlight w:val="none"/>
              </w:rPr>
              <w:t>6.中标人提供的投标文件如有虚假，视为中标人根本性违约，采购人有权单方面解除合同，并追究中标人相关法律责任。</w:t>
            </w:r>
          </w:p>
        </w:tc>
      </w:tr>
      <w:tr w14:paraId="36F10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14524D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b/>
                <w:color w:val="auto"/>
                <w:szCs w:val="21"/>
                <w:highlight w:val="none"/>
              </w:rPr>
            </w:pPr>
            <w:r>
              <w:rPr>
                <w:rFonts w:hint="eastAsia" w:ascii="宋体" w:hAnsi="宋体" w:cs="宋体"/>
                <w:b/>
                <w:color w:val="auto"/>
                <w:kern w:val="0"/>
                <w:szCs w:val="21"/>
                <w:highlight w:val="none"/>
              </w:rPr>
              <w:t>（十）医疗器械管理相应有效证明材料</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03E51AEA">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b/>
                <w:color w:val="auto"/>
                <w:szCs w:val="21"/>
                <w:highlight w:val="none"/>
              </w:rPr>
            </w:pPr>
            <w:r>
              <w:rPr>
                <w:rFonts w:hint="eastAsia" w:ascii="宋体" w:hAnsi="宋体" w:cs="宋体"/>
                <w:b/>
                <w:color w:val="auto"/>
                <w:szCs w:val="21"/>
                <w:highlight w:val="none"/>
              </w:rPr>
              <w:t>投标人所投本分标产品如属第二类或第三类医疗器械管理的，必须具有相应有效的“医疗器械注册证”（投标人于投标文件中必须提供相应有效的医疗器械注册证复印件，加盖投标人电子签章）。</w:t>
            </w:r>
          </w:p>
        </w:tc>
      </w:tr>
      <w:tr w14:paraId="3EE40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48F9DFD">
            <w:pPr>
              <w:pStyle w:val="19"/>
              <w:keepNext w:val="0"/>
              <w:keepLines w:val="0"/>
              <w:pageBreakBefore w:val="0"/>
              <w:widowControl w:val="0"/>
              <w:kinsoku/>
              <w:wordWrap/>
              <w:overflowPunct/>
              <w:topLinePunct w:val="0"/>
              <w:autoSpaceDE/>
              <w:autoSpaceDN/>
              <w:bidi w:val="0"/>
              <w:spacing w:line="300" w:lineRule="exact"/>
              <w:jc w:val="center"/>
              <w:textAlignment w:val="auto"/>
              <w:rPr>
                <w:rFonts w:ascii="宋体" w:hAnsi="宋体" w:cs="宋体"/>
                <w:b/>
                <w:color w:val="auto"/>
                <w:kern w:val="2"/>
                <w:sz w:val="21"/>
                <w:szCs w:val="21"/>
                <w:highlight w:val="none"/>
              </w:rPr>
            </w:pPr>
            <w:r>
              <w:rPr>
                <w:rFonts w:hint="eastAsia" w:ascii="宋体" w:hAnsi="宋体" w:cs="宋体"/>
                <w:b/>
                <w:color w:val="auto"/>
                <w:sz w:val="21"/>
                <w:szCs w:val="21"/>
                <w:highlight w:val="none"/>
              </w:rPr>
              <w:t>（十一）进口产品说明</w:t>
            </w:r>
          </w:p>
        </w:tc>
        <w:tc>
          <w:tcPr>
            <w:tcW w:w="3266" w:type="pct"/>
            <w:gridSpan w:val="3"/>
            <w:tcBorders>
              <w:top w:val="single" w:color="auto" w:sz="4" w:space="0"/>
              <w:left w:val="single" w:color="auto" w:sz="4" w:space="0"/>
              <w:bottom w:val="single" w:color="auto" w:sz="4" w:space="0"/>
              <w:right w:val="single" w:color="auto" w:sz="4" w:space="0"/>
            </w:tcBorders>
          </w:tcPr>
          <w:p w14:paraId="720B7629">
            <w:pPr>
              <w:keepNext w:val="0"/>
              <w:keepLines w:val="0"/>
              <w:pageBreakBefore w:val="0"/>
              <w:widowControl w:val="0"/>
              <w:kinsoku/>
              <w:wordWrap/>
              <w:overflowPunct/>
              <w:topLinePunct w:val="0"/>
              <w:autoSpaceDE/>
              <w:autoSpaceDN/>
              <w:bidi w:val="0"/>
              <w:spacing w:line="300" w:lineRule="exact"/>
              <w:textAlignment w:val="auto"/>
              <w:rPr>
                <w:rFonts w:ascii="宋体" w:hAnsi="宋体" w:cs="宋体"/>
                <w:b/>
                <w:color w:val="auto"/>
                <w:szCs w:val="21"/>
                <w:highlight w:val="none"/>
              </w:rPr>
            </w:pPr>
            <w:r>
              <w:rPr>
                <w:rFonts w:hint="eastAsia" w:ascii="宋体" w:hAnsi="宋体" w:cs="宋体"/>
                <w:b/>
                <w:color w:val="auto"/>
                <w:szCs w:val="21"/>
                <w:highlight w:val="none"/>
              </w:rPr>
              <w:t>本分标货物不接受进口产品（即通过中国海关报关验放进入中国境内且产自关境外的产品）参与投标，如有进口产品参与投标的作无效标处理。</w:t>
            </w:r>
          </w:p>
        </w:tc>
      </w:tr>
      <w:tr w14:paraId="74ACF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41C60A1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（十二）采购预算及最高限价</w:t>
            </w:r>
          </w:p>
        </w:tc>
        <w:tc>
          <w:tcPr>
            <w:tcW w:w="3266" w:type="pct"/>
            <w:gridSpan w:val="3"/>
            <w:tcBorders>
              <w:top w:val="single" w:color="auto" w:sz="4" w:space="0"/>
              <w:left w:val="single" w:color="auto" w:sz="4" w:space="0"/>
              <w:bottom w:val="single" w:color="auto" w:sz="4" w:space="0"/>
              <w:right w:val="single" w:color="auto" w:sz="4" w:space="0"/>
            </w:tcBorders>
          </w:tcPr>
          <w:p w14:paraId="1A48C6E6">
            <w:pPr>
              <w:keepNext w:val="0"/>
              <w:keepLines w:val="0"/>
              <w:pageBreakBefore w:val="0"/>
              <w:widowControl w:val="0"/>
              <w:kinsoku/>
              <w:wordWrap/>
              <w:overflowPunct/>
              <w:topLinePunct w:val="0"/>
              <w:autoSpaceDE/>
              <w:autoSpaceDN/>
              <w:bidi w:val="0"/>
              <w:spacing w:line="300" w:lineRule="exact"/>
              <w:textAlignment w:val="auto"/>
              <w:rPr>
                <w:rFonts w:ascii="宋体" w:hAnsi="宋体" w:cs="宋体"/>
                <w:b/>
                <w:color w:val="auto"/>
                <w:szCs w:val="21"/>
                <w:highlight w:val="none"/>
              </w:rPr>
            </w:pPr>
            <w:r>
              <w:rPr>
                <w:rFonts w:hint="eastAsia" w:ascii="宋体" w:hAnsi="宋体" w:cs="宋体"/>
                <w:b/>
                <w:bCs/>
                <w:color w:val="auto"/>
                <w:highlight w:val="none"/>
              </w:rPr>
              <w:t>本</w:t>
            </w:r>
            <w:r>
              <w:rPr>
                <w:rFonts w:hint="eastAsia" w:ascii="宋体" w:hAnsi="宋体" w:cs="宋体"/>
                <w:b/>
                <w:color w:val="auto"/>
                <w:szCs w:val="21"/>
                <w:highlight w:val="none"/>
              </w:rPr>
              <w:t>分标</w:t>
            </w:r>
            <w:r>
              <w:rPr>
                <w:rFonts w:hint="eastAsia" w:ascii="宋体" w:hAnsi="宋体" w:cs="宋体"/>
                <w:b/>
                <w:bCs/>
                <w:color w:val="auto"/>
                <w:highlight w:val="none"/>
              </w:rPr>
              <w:t>采购预算为</w:t>
            </w:r>
            <w:r>
              <w:rPr>
                <w:rFonts w:hint="eastAsia" w:ascii="宋体" w:hAnsi="宋体"/>
                <w:b/>
                <w:bCs/>
                <w:color w:val="auto"/>
                <w:highlight w:val="none"/>
              </w:rPr>
              <w:t>贰佰柒拾贰万玖仟元整（¥2729000.00）</w:t>
            </w:r>
            <w:r>
              <w:rPr>
                <w:rFonts w:hint="eastAsia" w:ascii="宋体" w:hAnsi="宋体" w:cs="宋体"/>
                <w:b/>
                <w:bCs/>
                <w:color w:val="auto"/>
                <w:highlight w:val="none"/>
              </w:rPr>
              <w:t>，最高限价为壹佰玖拾柒万贰仟捌佰捌拾元整（¥1972880.00），</w:t>
            </w:r>
            <w:r>
              <w:rPr>
                <w:rFonts w:hint="eastAsia" w:ascii="宋体" w:hAnsi="宋体" w:cs="宋体"/>
                <w:b/>
                <w:bCs/>
                <w:color w:val="auto"/>
                <w:szCs w:val="21"/>
                <w:highlight w:val="none"/>
              </w:rPr>
              <w:t>投标人投标报价超最高限价的或</w:t>
            </w:r>
            <w:r>
              <w:rPr>
                <w:rFonts w:hint="eastAsia" w:ascii="宋体" w:hAnsi="宋体"/>
                <w:b/>
                <w:color w:val="auto"/>
                <w:szCs w:val="21"/>
                <w:highlight w:val="none"/>
              </w:rPr>
              <w:t>投标人所投分标各分项的单价报价超相应标的的单价最高限价的</w:t>
            </w:r>
            <w:r>
              <w:rPr>
                <w:rFonts w:hint="eastAsia" w:ascii="宋体" w:hAnsi="宋体" w:cs="宋体"/>
                <w:b/>
                <w:bCs/>
                <w:color w:val="auto"/>
                <w:szCs w:val="21"/>
                <w:highlight w:val="none"/>
              </w:rPr>
              <w:t>，投标文件均按无效处理。</w:t>
            </w:r>
          </w:p>
        </w:tc>
      </w:tr>
      <w:tr w14:paraId="42246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4E24EB78">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
                <w:color w:val="auto"/>
                <w:szCs w:val="21"/>
                <w:highlight w:val="none"/>
              </w:rPr>
            </w:pPr>
            <w:r>
              <w:rPr>
                <w:rFonts w:hint="eastAsia" w:ascii="宋体" w:hAnsi="宋体" w:cs="宋体"/>
                <w:b/>
                <w:bCs/>
                <w:color w:val="auto"/>
                <w:szCs w:val="21"/>
                <w:highlight w:val="none"/>
              </w:rPr>
              <w:t>五、与实现项目目标相关的其他要求</w:t>
            </w:r>
          </w:p>
        </w:tc>
      </w:tr>
      <w:tr w14:paraId="267C4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C8EE18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（一）安装实施方案</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736593B9">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安装实施方案</w:t>
            </w:r>
            <w:r>
              <w:rPr>
                <w:rFonts w:hint="eastAsia" w:ascii="宋体" w:hAnsi="宋体" w:cs="宋体"/>
                <w:color w:val="auto"/>
                <w:szCs w:val="21"/>
                <w:highlight w:val="none"/>
              </w:rPr>
              <w:t>，包含但不限于：①安装方案；②设备调试方案；③设备试运行方案等</w:t>
            </w:r>
            <w:r>
              <w:rPr>
                <w:rFonts w:hint="eastAsia" w:ascii="宋体" w:hAnsi="宋体" w:cs="宋体"/>
                <w:bCs/>
                <w:color w:val="auto"/>
                <w:szCs w:val="21"/>
                <w:highlight w:val="none"/>
              </w:rPr>
              <w:t>。</w:t>
            </w:r>
          </w:p>
          <w:p w14:paraId="57BBC577">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16308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43E51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（二）增值售后服务方案</w:t>
            </w:r>
          </w:p>
        </w:tc>
        <w:tc>
          <w:tcPr>
            <w:tcW w:w="32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C1D0C9">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增值售后服务方案</w:t>
            </w:r>
            <w:r>
              <w:rPr>
                <w:rFonts w:hint="eastAsia" w:ascii="宋体" w:hAnsi="宋体" w:cs="宋体"/>
                <w:color w:val="auto"/>
                <w:szCs w:val="21"/>
                <w:highlight w:val="none"/>
              </w:rPr>
              <w:t>，包含但不限于：①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r>
              <w:rPr>
                <w:rFonts w:hint="eastAsia" w:ascii="宋体" w:hAnsi="宋体" w:cs="宋体"/>
                <w:bCs/>
                <w:color w:val="auto"/>
                <w:szCs w:val="21"/>
                <w:highlight w:val="none"/>
              </w:rPr>
              <w:t>。</w:t>
            </w:r>
          </w:p>
          <w:p w14:paraId="41322A41">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3BB2D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522B28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i/>
                <w:color w:val="auto"/>
                <w:szCs w:val="21"/>
                <w:highlight w:val="none"/>
              </w:rPr>
            </w:pPr>
            <w:r>
              <w:rPr>
                <w:rFonts w:hint="eastAsia" w:ascii="宋体" w:hAnsi="宋体" w:cs="宋体"/>
                <w:color w:val="auto"/>
                <w:szCs w:val="21"/>
                <w:highlight w:val="none"/>
              </w:rPr>
              <w:t>（三）履约能力要求</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3F1950A3">
            <w:pPr>
              <w:keepNext w:val="0"/>
              <w:keepLines w:val="0"/>
              <w:pageBreakBefore w:val="0"/>
              <w:widowControl w:val="0"/>
              <w:kinsoku/>
              <w:wordWrap/>
              <w:overflowPunct/>
              <w:topLinePunct w:val="0"/>
              <w:autoSpaceDE/>
              <w:autoSpaceDN/>
              <w:bidi w:val="0"/>
              <w:spacing w:line="300" w:lineRule="exact"/>
              <w:textAlignment w:val="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投标人或所投核心产品生产厂家通过ISO13485</w:t>
            </w:r>
            <w:r>
              <w:rPr>
                <w:rFonts w:hint="eastAsia" w:ascii="宋体" w:hAnsi="宋体" w:cs="宋体"/>
                <w:color w:val="auto"/>
                <w:highlight w:val="none"/>
              </w:rPr>
              <w:t>医疗器械质量管理体系认证</w:t>
            </w:r>
            <w:r>
              <w:rPr>
                <w:rFonts w:hint="eastAsia" w:ascii="宋体" w:hAnsi="宋体" w:cs="宋体"/>
                <w:color w:val="auto"/>
                <w:szCs w:val="21"/>
                <w:highlight w:val="none"/>
              </w:rPr>
              <w:t>、ISO9001质量管理体系认证且有效的。</w:t>
            </w:r>
          </w:p>
          <w:p w14:paraId="43F60050">
            <w:pPr>
              <w:keepNext w:val="0"/>
              <w:keepLines w:val="0"/>
              <w:pageBreakBefore w:val="0"/>
              <w:widowControl w:val="0"/>
              <w:kinsoku/>
              <w:wordWrap/>
              <w:overflowPunct/>
              <w:topLinePunct w:val="0"/>
              <w:autoSpaceDE/>
              <w:autoSpaceDN/>
              <w:bidi w:val="0"/>
              <w:spacing w:line="300" w:lineRule="exact"/>
              <w:textAlignment w:val="auto"/>
              <w:rPr>
                <w:rFonts w:ascii="宋体" w:hAnsi="宋体" w:cs="宋体"/>
                <w:color w:val="auto"/>
                <w:highlight w:val="none"/>
              </w:rPr>
            </w:pPr>
            <w:r>
              <w:rPr>
                <w:rFonts w:hint="eastAsia" w:ascii="宋体" w:hAnsi="宋体" w:cs="宋体"/>
                <w:bCs/>
                <w:color w:val="auto"/>
                <w:highlight w:val="none"/>
              </w:rPr>
              <w:t>2.</w:t>
            </w:r>
            <w:r>
              <w:rPr>
                <w:rFonts w:hint="eastAsia" w:ascii="宋体" w:hAnsi="宋体" w:cs="宋体"/>
                <w:color w:val="auto"/>
                <w:highlight w:val="none"/>
              </w:rPr>
              <w:t>投标人或所投核心产品生产厂家2021年以来具有同类产品的销售业绩的。</w:t>
            </w:r>
          </w:p>
          <w:p w14:paraId="138D33DB">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
                <w:i/>
                <w:color w:val="auto"/>
                <w:szCs w:val="21"/>
                <w:highlight w:val="none"/>
              </w:rPr>
            </w:pPr>
            <w:r>
              <w:rPr>
                <w:rFonts w:hint="eastAsia" w:ascii="宋体" w:hAnsi="宋体" w:cs="宋体"/>
                <w:b/>
                <w:bCs/>
                <w:color w:val="auto"/>
                <w:highlight w:val="none"/>
              </w:rPr>
              <w:t>注：上述履约能力加分详见“第四章 评标办法及评标标准”。</w:t>
            </w:r>
          </w:p>
        </w:tc>
      </w:tr>
      <w:tr w14:paraId="69142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60E31F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cs="宋体"/>
                <w:i/>
                <w:color w:val="auto"/>
                <w:szCs w:val="21"/>
                <w:highlight w:val="none"/>
              </w:rPr>
            </w:pPr>
            <w:r>
              <w:rPr>
                <w:rFonts w:hint="eastAsia" w:ascii="宋体" w:hAnsi="宋体" w:cs="宋体"/>
                <w:color w:val="auto"/>
                <w:szCs w:val="21"/>
                <w:highlight w:val="none"/>
              </w:rPr>
              <w:t>（四）政策性加分条件</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6B52557A">
            <w:pPr>
              <w:keepNext w:val="0"/>
              <w:keepLines w:val="0"/>
              <w:pageBreakBefore w:val="0"/>
              <w:widowControl w:val="0"/>
              <w:kinsoku/>
              <w:wordWrap/>
              <w:overflowPunct/>
              <w:topLinePunct w:val="0"/>
              <w:autoSpaceDE/>
              <w:autoSpaceDN/>
              <w:bidi w:val="0"/>
              <w:spacing w:line="300" w:lineRule="exact"/>
              <w:textAlignment w:val="auto"/>
              <w:rPr>
                <w:rFonts w:ascii="宋体" w:hAnsi="宋体" w:cs="宋体"/>
                <w:color w:val="auto"/>
                <w:highlight w:val="none"/>
              </w:rPr>
            </w:pPr>
            <w:r>
              <w:rPr>
                <w:rFonts w:hint="eastAsia" w:ascii="宋体" w:hAnsi="宋体" w:cs="宋体"/>
                <w:color w:val="auto"/>
                <w:highlight w:val="none"/>
              </w:rPr>
              <w:t>1.节能产品：属于财政部《节能产品政府采购品目清单》内优先采购（清单内未标注“★”的品目）的产品（投标文件中提供有效的认证证书复印件，并加盖投标人电子签章）。</w:t>
            </w:r>
          </w:p>
          <w:p w14:paraId="1CDA232B">
            <w:pPr>
              <w:keepNext w:val="0"/>
              <w:keepLines w:val="0"/>
              <w:pageBreakBefore w:val="0"/>
              <w:widowControl w:val="0"/>
              <w:kinsoku/>
              <w:wordWrap/>
              <w:overflowPunct/>
              <w:topLinePunct w:val="0"/>
              <w:autoSpaceDE/>
              <w:autoSpaceDN/>
              <w:bidi w:val="0"/>
              <w:spacing w:line="300" w:lineRule="exact"/>
              <w:textAlignment w:val="auto"/>
              <w:rPr>
                <w:rFonts w:ascii="宋体" w:hAnsi="宋体" w:cs="宋体"/>
                <w:color w:val="auto"/>
                <w:highlight w:val="none"/>
              </w:rPr>
            </w:pPr>
            <w:r>
              <w:rPr>
                <w:rFonts w:hint="eastAsia" w:ascii="宋体" w:hAnsi="宋体" w:cs="宋体"/>
                <w:color w:val="auto"/>
                <w:highlight w:val="none"/>
              </w:rPr>
              <w:t>2.环境标志产品：属于财政部《环境标志产品政府采购品目清单》内的产品（投标文件中提供有效的认证证书复印件，并加盖投标人电子签章）。</w:t>
            </w:r>
          </w:p>
          <w:p w14:paraId="55C54893">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b/>
                <w:color w:val="auto"/>
                <w:szCs w:val="21"/>
                <w:highlight w:val="none"/>
              </w:rPr>
            </w:pPr>
            <w:r>
              <w:rPr>
                <w:rFonts w:hint="eastAsia" w:ascii="宋体" w:hAnsi="宋体" w:cs="宋体"/>
                <w:b/>
                <w:color w:val="auto"/>
                <w:highlight w:val="none"/>
              </w:rPr>
              <w:t>注：上述政策性加分详见“第四章 评标办法及评标标准”。</w:t>
            </w:r>
          </w:p>
        </w:tc>
      </w:tr>
    </w:tbl>
    <w:p w14:paraId="528874BC">
      <w:pPr>
        <w:spacing w:line="380" w:lineRule="exact"/>
        <w:jc w:val="left"/>
        <w:rPr>
          <w:rFonts w:hint="eastAsia" w:ascii="宋体" w:hAnsi="宋体" w:cs="宋体"/>
          <w:b/>
          <w:color w:val="auto"/>
          <w:highlight w:val="none"/>
        </w:rPr>
      </w:pPr>
    </w:p>
    <w:p w14:paraId="57823654">
      <w:pPr>
        <w:spacing w:line="380" w:lineRule="exact"/>
        <w:jc w:val="left"/>
        <w:rPr>
          <w:rFonts w:ascii="宋体" w:hAnsi="宋体" w:cs="宋体"/>
          <w:b/>
          <w:color w:val="auto"/>
          <w:highlight w:val="none"/>
        </w:rPr>
      </w:pPr>
      <w:r>
        <w:rPr>
          <w:rFonts w:hint="eastAsia" w:ascii="宋体" w:hAnsi="宋体" w:cs="宋体"/>
          <w:b/>
          <w:color w:val="auto"/>
          <w:highlight w:val="none"/>
        </w:rPr>
        <w:t>分标2</w:t>
      </w:r>
    </w:p>
    <w:tbl>
      <w:tblPr>
        <w:tblStyle w:val="47"/>
        <w:tblW w:w="52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5"/>
        <w:gridCol w:w="1305"/>
        <w:gridCol w:w="663"/>
        <w:gridCol w:w="827"/>
        <w:gridCol w:w="836"/>
        <w:gridCol w:w="963"/>
        <w:gridCol w:w="4216"/>
      </w:tblGrid>
      <w:tr w14:paraId="397E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5000" w:type="pct"/>
            <w:gridSpan w:val="7"/>
            <w:vAlign w:val="center"/>
          </w:tcPr>
          <w:p w14:paraId="7F3C983B">
            <w:pPr>
              <w:tabs>
                <w:tab w:val="left" w:pos="180"/>
                <w:tab w:val="left" w:pos="1620"/>
              </w:tabs>
              <w:adjustRightInd w:val="0"/>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一、采购标的及技术需求</w:t>
            </w:r>
          </w:p>
        </w:tc>
      </w:tr>
      <w:tr w14:paraId="4BF68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15" w:type="pct"/>
            <w:tcBorders>
              <w:right w:val="single" w:color="auto" w:sz="4" w:space="0"/>
            </w:tcBorders>
            <w:vAlign w:val="center"/>
          </w:tcPr>
          <w:p w14:paraId="58F39ABF">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709" w:type="pct"/>
            <w:tcBorders>
              <w:left w:val="single" w:color="auto" w:sz="4" w:space="0"/>
              <w:right w:val="single" w:color="auto" w:sz="4" w:space="0"/>
            </w:tcBorders>
            <w:vAlign w:val="center"/>
          </w:tcPr>
          <w:p w14:paraId="7E7BBA30">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360" w:type="pct"/>
            <w:tcBorders>
              <w:left w:val="single" w:color="auto" w:sz="4" w:space="0"/>
            </w:tcBorders>
            <w:vAlign w:val="center"/>
          </w:tcPr>
          <w:p w14:paraId="0172DE6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48" w:type="pct"/>
            <w:vAlign w:val="center"/>
          </w:tcPr>
          <w:p w14:paraId="29D0A300">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54" w:type="pct"/>
            <w:vAlign w:val="center"/>
          </w:tcPr>
          <w:p w14:paraId="419AA57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523" w:type="pct"/>
            <w:tcBorders>
              <w:right w:val="single" w:color="auto" w:sz="4" w:space="0"/>
            </w:tcBorders>
            <w:vAlign w:val="center"/>
          </w:tcPr>
          <w:p w14:paraId="52D58F69">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单价最高限价（万元）</w:t>
            </w:r>
          </w:p>
        </w:tc>
        <w:tc>
          <w:tcPr>
            <w:tcW w:w="2288" w:type="pct"/>
            <w:tcBorders>
              <w:left w:val="single" w:color="auto" w:sz="4" w:space="0"/>
            </w:tcBorders>
            <w:vAlign w:val="center"/>
          </w:tcPr>
          <w:p w14:paraId="1B1760A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62124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5" w:type="pct"/>
            <w:tcBorders>
              <w:bottom w:val="single" w:color="auto" w:sz="4" w:space="0"/>
              <w:right w:val="single" w:color="auto" w:sz="4" w:space="0"/>
            </w:tcBorders>
            <w:vAlign w:val="center"/>
          </w:tcPr>
          <w:p w14:paraId="62DDA98D">
            <w:pPr>
              <w:adjustRightInd w:val="0"/>
              <w:snapToGri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09" w:type="pct"/>
            <w:tcBorders>
              <w:left w:val="single" w:color="auto" w:sz="4" w:space="0"/>
              <w:bottom w:val="single" w:color="auto" w:sz="4" w:space="0"/>
              <w:right w:val="single" w:color="auto" w:sz="4" w:space="0"/>
            </w:tcBorders>
            <w:vAlign w:val="center"/>
          </w:tcPr>
          <w:p w14:paraId="1C9B6BC4">
            <w:pPr>
              <w:adjustRightInd w:val="0"/>
              <w:snapToGri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病人监护仪</w:t>
            </w:r>
          </w:p>
        </w:tc>
        <w:tc>
          <w:tcPr>
            <w:tcW w:w="360" w:type="pct"/>
            <w:tcBorders>
              <w:left w:val="single" w:color="auto" w:sz="4" w:space="0"/>
            </w:tcBorders>
            <w:vAlign w:val="center"/>
          </w:tcPr>
          <w:p w14:paraId="4B72293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448" w:type="pct"/>
            <w:vAlign w:val="center"/>
          </w:tcPr>
          <w:p w14:paraId="381B2E7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156E55C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4153EE0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288" w:type="pct"/>
            <w:tcBorders>
              <w:left w:val="single" w:color="auto" w:sz="4" w:space="0"/>
            </w:tcBorders>
          </w:tcPr>
          <w:p w14:paraId="6CA447C3">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1.整机要求</w:t>
            </w:r>
          </w:p>
          <w:p w14:paraId="79D18843">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投标产品适用于成人、小儿、新生儿的监测。</w:t>
            </w:r>
          </w:p>
          <w:p w14:paraId="1959F244">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2.物理指标  </w:t>
            </w:r>
          </w:p>
          <w:p w14:paraId="4780073C">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2.1一体化多参数监护仪，彩色显示屏＞10英寸，分辨率不低于1280×800，支持同屏显示8道波形以同时观察信息。</w:t>
            </w:r>
          </w:p>
          <w:p w14:paraId="0A4DC37B">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2.2正面纯平设计，不易积累灰尘，易清洁。</w:t>
            </w:r>
          </w:p>
          <w:p w14:paraId="710BED83">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2.3电容触摸屏设计，显示屏可视角≥170 度。</w:t>
            </w:r>
          </w:p>
          <w:p w14:paraId="5E2BAAAD">
            <w:pPr>
              <w:spacing w:line="360" w:lineRule="exac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2.4 具备心电、呼吸、无创血压、血氧饱和度、脉率和体温监测功能。可升级双血氧、6/12电极心电监测。支持升级心电信号进行诊断分析，诊断算法通过欧洲CSE数据库测试。</w:t>
            </w:r>
          </w:p>
          <w:p w14:paraId="4F0C6346">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2.5支持选配同品牌呼末二氧化碳（EtCO</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w:t>
            </w:r>
          </w:p>
          <w:p w14:paraId="19BFDF59">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2.6支持升级IBP、C.O.等高级参数。</w:t>
            </w:r>
          </w:p>
          <w:p w14:paraId="7163EB45">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2.7主机不少于2个USB口，可用于外接条码枪扫描枪、键盘、U盘储存等设备，支持选配HDMI视频输出接口。</w:t>
            </w:r>
          </w:p>
          <w:p w14:paraId="2D0CE79D">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2.8支持待机模式、夜间模式、演示模式、插管模式、隐私模式。</w:t>
            </w:r>
          </w:p>
          <w:p w14:paraId="2840515B">
            <w:pPr>
              <w:spacing w:line="360" w:lineRule="exac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3.性能</w:t>
            </w:r>
            <w:r>
              <w:rPr>
                <w:rFonts w:hint="eastAsia" w:ascii="宋体" w:hAnsi="宋体" w:cs="宋体"/>
                <w:color w:val="auto"/>
                <w:kern w:val="0"/>
                <w:szCs w:val="21"/>
                <w:highlight w:val="none"/>
                <w:lang w:val="en-US" w:eastAsia="zh-CN"/>
              </w:rPr>
              <w:t>特点</w:t>
            </w:r>
          </w:p>
          <w:p w14:paraId="045E554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3.1主机重量＜3.5kg。</w:t>
            </w:r>
          </w:p>
          <w:p w14:paraId="1C5250CF">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3.2界面显示能根据用户选择的参数数量和波形数量调节布局，最大程度的合理利用界面空间。</w:t>
            </w:r>
          </w:p>
          <w:p w14:paraId="61F553C0">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3.3显示屏亮度支持自动、手动调节。</w:t>
            </w:r>
          </w:p>
          <w:p w14:paraId="7523C4A8">
            <w:pPr>
              <w:spacing w:line="360" w:lineRule="exact"/>
              <w:rPr>
                <w:rFonts w:ascii="宋体" w:hAnsi="宋体" w:cs="宋体"/>
                <w:b/>
                <w:bCs/>
                <w:color w:val="auto"/>
                <w:kern w:val="0"/>
                <w:szCs w:val="21"/>
                <w:highlight w:val="none"/>
              </w:rPr>
            </w:pPr>
            <w:r>
              <w:rPr>
                <w:rFonts w:hint="eastAsia" w:ascii="宋体" w:hAnsi="宋体"/>
                <w:b/>
                <w:bCs/>
                <w:color w:val="auto"/>
                <w:szCs w:val="21"/>
                <w:highlight w:val="none"/>
              </w:rPr>
              <w:t>▲</w:t>
            </w:r>
            <w:r>
              <w:rPr>
                <w:rFonts w:hint="eastAsia" w:ascii="宋体" w:hAnsi="宋体" w:cs="宋体"/>
                <w:b/>
                <w:bCs/>
                <w:color w:val="auto"/>
                <w:kern w:val="0"/>
                <w:szCs w:val="21"/>
                <w:highlight w:val="none"/>
              </w:rPr>
              <w:t>3.4配有锁屏键，避免在某些使用中误操作。用户通过点击进入锁屏状态。</w:t>
            </w:r>
          </w:p>
          <w:p w14:paraId="091B485A">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3.5具有多导心电监护算法，同步分析至少 2 通道心电波形，能够良好抗干扰。</w:t>
            </w:r>
          </w:p>
          <w:p w14:paraId="4018E0C7">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3.6可设置智能导联脱落功能，如果当前所选导联无法检测心电信号，监护仪自动切换相应的导联作为计算导联。</w:t>
            </w:r>
          </w:p>
          <w:p w14:paraId="21CFABA9">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3.7支持不少于27种实时心律失常分析。</w:t>
            </w:r>
          </w:p>
          <w:p w14:paraId="2A17C580">
            <w:pPr>
              <w:spacing w:line="360" w:lineRule="exact"/>
              <w:rPr>
                <w:rFonts w:ascii="宋体" w:hAnsi="宋体" w:cs="宋体"/>
                <w:b/>
                <w:bCs/>
                <w:color w:val="auto"/>
                <w:kern w:val="0"/>
                <w:szCs w:val="21"/>
                <w:highlight w:val="none"/>
              </w:rPr>
            </w:pPr>
            <w:r>
              <w:rPr>
                <w:rFonts w:hint="eastAsia" w:ascii="宋体" w:hAnsi="宋体" w:cs="宋体"/>
                <w:b w:val="0"/>
                <w:bCs w:val="0"/>
                <w:color w:val="auto"/>
                <w:kern w:val="0"/>
                <w:szCs w:val="21"/>
                <w:highlight w:val="none"/>
              </w:rPr>
              <w:t>3.8支持0.67Hz高通滤波，确保波形有更好的稳定性。</w:t>
            </w:r>
          </w:p>
          <w:p w14:paraId="372874CA">
            <w:pPr>
              <w:spacing w:line="360" w:lineRule="exac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3.9支持显示ECG信号质量指数，指示10个不同级别的心率信号强度。</w:t>
            </w:r>
          </w:p>
          <w:p w14:paraId="012460C0">
            <w:pPr>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▲3.10支持≥2种NIBP测量算法，最快测量时间不超过20秒。</w:t>
            </w:r>
          </w:p>
          <w:p w14:paraId="21EE1E15">
            <w:pPr>
              <w:spacing w:line="360" w:lineRule="exact"/>
              <w:rPr>
                <w:rFonts w:ascii="宋体" w:hAnsi="宋体" w:cs="宋体"/>
                <w:b w:val="0"/>
                <w:bCs w:val="0"/>
                <w:color w:val="auto"/>
                <w:kern w:val="0"/>
                <w:szCs w:val="21"/>
                <w:highlight w:val="none"/>
              </w:rPr>
            </w:pPr>
            <w:r>
              <w:rPr>
                <w:rFonts w:hint="eastAsia" w:ascii="宋体" w:hAnsi="宋体" w:cs="宋体"/>
                <w:b/>
                <w:bCs/>
                <w:color w:val="auto"/>
                <w:kern w:val="0"/>
                <w:szCs w:val="21"/>
                <w:highlight w:val="none"/>
              </w:rPr>
              <w:t>▲3.11支持连续无创血压功能，实时无创监测病人血压，而非NIBP的连续测量模式。</w:t>
            </w:r>
          </w:p>
          <w:p w14:paraId="415B2D1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3.12 RR测量范围0</w:t>
            </w:r>
            <w:r>
              <w:rPr>
                <w:rFonts w:hint="eastAsia" w:ascii="宋体" w:hAnsi="宋体" w:cs="宋体"/>
                <w:color w:val="auto"/>
                <w:szCs w:val="21"/>
                <w:highlight w:val="none"/>
              </w:rPr>
              <w:t>~</w:t>
            </w:r>
            <w:r>
              <w:rPr>
                <w:rFonts w:hint="eastAsia" w:ascii="宋体" w:hAnsi="宋体" w:cs="宋体"/>
                <w:color w:val="auto"/>
                <w:kern w:val="0"/>
                <w:szCs w:val="21"/>
                <w:highlight w:val="none"/>
              </w:rPr>
              <w:t>200 rpm，精度6rpm~200rpm：±2rpm，0rpm~5rpm：不定义。</w:t>
            </w:r>
          </w:p>
          <w:p w14:paraId="7B54C3D5">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3.13无创血压成人测量范围：收缩压25~290mmHg，舒张压10~250 mmHg。</w:t>
            </w:r>
          </w:p>
          <w:p w14:paraId="4085A8B6">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3.14无创血压成人测量范围：收缩压25~290mmHg，舒张压10~250 mmHg。无创血压提供手动、自动、连续、序列四种测量模式。自动模式支持自定义设置血压测量间隔，间隔时间支持从1</w:t>
            </w:r>
            <w:r>
              <w:rPr>
                <w:rFonts w:hint="eastAsia" w:ascii="宋体" w:hAnsi="宋体" w:cs="宋体"/>
                <w:color w:val="auto"/>
                <w:szCs w:val="21"/>
                <w:highlight w:val="none"/>
              </w:rPr>
              <w:t>~</w:t>
            </w:r>
            <w:r>
              <w:rPr>
                <w:rFonts w:hint="eastAsia" w:ascii="宋体" w:hAnsi="宋体" w:cs="宋体"/>
                <w:color w:val="auto"/>
                <w:kern w:val="0"/>
                <w:szCs w:val="21"/>
                <w:highlight w:val="none"/>
              </w:rPr>
              <w:t>460分钟内的任意整数数值。</w:t>
            </w:r>
          </w:p>
          <w:p w14:paraId="1FCEBF9D">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3.15 支持在同一肢体上同时测量血氧和血压。</w:t>
            </w:r>
          </w:p>
          <w:p w14:paraId="1A4D2811">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3.16 实时监测弱灌注指数（PI），测量范围0</w:t>
            </w:r>
            <w:r>
              <w:rPr>
                <w:rFonts w:hint="eastAsia" w:ascii="宋体" w:hAnsi="宋体" w:cs="宋体"/>
                <w:color w:val="auto"/>
                <w:szCs w:val="21"/>
                <w:highlight w:val="none"/>
              </w:rPr>
              <w:t>~</w:t>
            </w:r>
            <w:r>
              <w:rPr>
                <w:rFonts w:hint="eastAsia" w:ascii="宋体" w:hAnsi="宋体" w:cs="宋体"/>
                <w:color w:val="auto"/>
                <w:kern w:val="0"/>
                <w:szCs w:val="21"/>
                <w:highlight w:val="none"/>
              </w:rPr>
              <w:t>20%。</w:t>
            </w:r>
          </w:p>
          <w:p w14:paraId="68051D2C">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3.17 IBP测量范围-50 mmHg ~ +400 mmHg。</w:t>
            </w:r>
          </w:p>
          <w:p w14:paraId="0845EE7F">
            <w:pPr>
              <w:spacing w:line="360" w:lineRule="exac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3.18血氧探头光强五级别显示，可帮助临床快速判断探头光衰程度。</w:t>
            </w:r>
          </w:p>
          <w:p w14:paraId="53CEFE2B">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3.19在新生儿模式下支持CCHD新生儿先心病筛查。</w:t>
            </w:r>
          </w:p>
          <w:p w14:paraId="259BF928">
            <w:pPr>
              <w:spacing w:line="360" w:lineRule="exact"/>
              <w:rPr>
                <w:rFonts w:ascii="宋体" w:hAnsi="宋体" w:cs="宋体"/>
                <w:color w:val="auto"/>
                <w:kern w:val="0"/>
                <w:szCs w:val="21"/>
                <w:highlight w:val="none"/>
              </w:rPr>
            </w:pPr>
            <w:r>
              <w:rPr>
                <w:rFonts w:hint="eastAsia" w:ascii="宋体" w:hAnsi="宋体" w:cs="宋体"/>
                <w:b w:val="0"/>
                <w:bCs w:val="0"/>
                <w:color w:val="auto"/>
                <w:kern w:val="0"/>
                <w:szCs w:val="21"/>
                <w:highlight w:val="none"/>
              </w:rPr>
              <w:t>3.20支持心率变异性分析、ST分析、QT分析、24小时心电概览、24小时血压概览、早期预警评分等临床辅助功能。</w:t>
            </w:r>
          </w:p>
          <w:p w14:paraId="1C648C73">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3.21监护仪设计使用年限≥9年。</w:t>
            </w:r>
          </w:p>
        </w:tc>
      </w:tr>
      <w:tr w14:paraId="7A5D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15" w:type="pct"/>
            <w:tcBorders>
              <w:bottom w:val="single" w:color="auto" w:sz="4" w:space="0"/>
              <w:right w:val="single" w:color="auto" w:sz="4" w:space="0"/>
            </w:tcBorders>
            <w:vAlign w:val="center"/>
          </w:tcPr>
          <w:p w14:paraId="101D47D1">
            <w:pPr>
              <w:adjustRightInd w:val="0"/>
              <w:snapToGri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09" w:type="pct"/>
            <w:tcBorders>
              <w:left w:val="single" w:color="auto" w:sz="4" w:space="0"/>
              <w:bottom w:val="single" w:color="auto" w:sz="4" w:space="0"/>
              <w:right w:val="single" w:color="auto" w:sz="4" w:space="0"/>
            </w:tcBorders>
            <w:vAlign w:val="center"/>
          </w:tcPr>
          <w:p w14:paraId="1DC7FE96">
            <w:pPr>
              <w:adjustRightInd w:val="0"/>
              <w:snapToGri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遥测监护仪</w:t>
            </w:r>
          </w:p>
        </w:tc>
        <w:tc>
          <w:tcPr>
            <w:tcW w:w="360" w:type="pct"/>
            <w:tcBorders>
              <w:left w:val="single" w:color="auto" w:sz="4" w:space="0"/>
            </w:tcBorders>
            <w:vAlign w:val="center"/>
          </w:tcPr>
          <w:p w14:paraId="29529BB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448" w:type="pct"/>
            <w:vAlign w:val="center"/>
          </w:tcPr>
          <w:p w14:paraId="53388B9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454" w:type="pct"/>
            <w:tcBorders>
              <w:bottom w:val="single" w:color="auto" w:sz="4" w:space="0"/>
            </w:tcBorders>
            <w:vAlign w:val="center"/>
          </w:tcPr>
          <w:p w14:paraId="75398DB7">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41F0E73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88" w:type="pct"/>
            <w:tcBorders>
              <w:left w:val="single" w:color="auto" w:sz="4" w:space="0"/>
            </w:tcBorders>
          </w:tcPr>
          <w:p w14:paraId="3C8DDC40">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1.遥测设备</w:t>
            </w:r>
          </w:p>
          <w:p w14:paraId="71F26D6E">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1.1适用于成人、小儿的监测。</w:t>
            </w:r>
          </w:p>
          <w:p w14:paraId="2205494A">
            <w:pPr>
              <w:spacing w:line="360" w:lineRule="exact"/>
              <w:rPr>
                <w:rFonts w:ascii="宋体" w:hAnsi="宋体" w:cs="宋体"/>
                <w:b w:val="0"/>
                <w:bCs w:val="0"/>
                <w:color w:val="auto"/>
                <w:kern w:val="0"/>
                <w:szCs w:val="21"/>
                <w:highlight w:val="none"/>
              </w:rPr>
            </w:pPr>
            <w:r>
              <w:rPr>
                <w:rFonts w:hint="eastAsia" w:ascii="宋体" w:hAnsi="宋体" w:cs="宋体"/>
                <w:b/>
                <w:bCs/>
                <w:color w:val="auto"/>
                <w:kern w:val="0"/>
                <w:szCs w:val="21"/>
                <w:highlight w:val="none"/>
              </w:rPr>
              <w:t>▲1.2 一体式主机支持心电、呼吸、血氧、脉率、血压的监测，整体尺寸不超过76×136×30mm，重量＜360g，标配挂包，便于病人随身携带。</w:t>
            </w:r>
          </w:p>
          <w:p w14:paraId="2BB8B439">
            <w:pPr>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▲1.3 防水防尘等级符合IP44要求。</w:t>
            </w:r>
          </w:p>
          <w:p w14:paraId="4649F1BA">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1.4 满足1.5米跌落测试要求。</w:t>
            </w:r>
          </w:p>
          <w:p w14:paraId="5720AA43">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1.5 显示屏幕尺寸＞3.5英寸，分辨率不小于480×320，且支持触摸屏。</w:t>
            </w:r>
          </w:p>
          <w:p w14:paraId="670E1496">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1.6 具有自动息屏功能，支持用户自定义时间，在无操作时进入低功耗模式。</w:t>
            </w:r>
          </w:p>
          <w:p w14:paraId="4A2E6424">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1.7 提供3/5导心电监护，支持升级6/12导心电监护。</w:t>
            </w:r>
          </w:p>
          <w:p w14:paraId="45C13CCC">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1.8 具有多导心电监护算法，具有抗干扰性能。</w:t>
            </w:r>
          </w:p>
          <w:p w14:paraId="196E995F">
            <w:pPr>
              <w:spacing w:line="360" w:lineRule="exact"/>
              <w:rPr>
                <w:rFonts w:ascii="宋体" w:hAnsi="宋体" w:cs="宋体"/>
                <w:b/>
                <w:bCs/>
                <w:color w:val="auto"/>
                <w:kern w:val="0"/>
                <w:szCs w:val="21"/>
                <w:highlight w:val="none"/>
              </w:rPr>
            </w:pPr>
            <w:r>
              <w:rPr>
                <w:rFonts w:hint="eastAsia" w:ascii="宋体" w:hAnsi="宋体" w:cs="宋体"/>
                <w:b w:val="0"/>
                <w:bCs w:val="0"/>
                <w:color w:val="auto"/>
                <w:kern w:val="0"/>
                <w:szCs w:val="21"/>
                <w:highlight w:val="none"/>
              </w:rPr>
              <w:t>1.9 主机支持袖带血压测量，典型测量时间≤20秒。</w:t>
            </w:r>
          </w:p>
          <w:p w14:paraId="403D2246">
            <w:pPr>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▲1.10 支持升级连续无创血压测量，可以实现无创血压的每搏监测。</w:t>
            </w:r>
          </w:p>
          <w:p w14:paraId="30A80E45">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1.11 具备电池充电站，方便临床进行统一的电池管理。</w:t>
            </w:r>
          </w:p>
          <w:p w14:paraId="77D2009C">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1.12具有一键实现呼叫护士功能，支持对病人远程监护，并具</w:t>
            </w:r>
            <w:r>
              <w:rPr>
                <w:rStyle w:val="55"/>
                <w:rFonts w:hint="eastAsia"/>
                <w:color w:val="auto"/>
                <w:highlight w:val="none"/>
              </w:rPr>
              <w:t>有</w:t>
            </w:r>
            <w:r>
              <w:rPr>
                <w:rFonts w:hint="eastAsia" w:ascii="宋体" w:hAnsi="宋体" w:cs="宋体"/>
                <w:color w:val="auto"/>
                <w:kern w:val="0"/>
                <w:szCs w:val="21"/>
                <w:highlight w:val="none"/>
              </w:rPr>
              <w:t>呼叫病人功能，保证监护安全。</w:t>
            </w:r>
          </w:p>
          <w:p w14:paraId="0935F7D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2.遥测中央工作站系统</w:t>
            </w:r>
          </w:p>
          <w:p w14:paraId="04500122">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2.1中央监护系统支持对监护设备心电（ECG）、ST段、QT\QTc、心率(HR)、呼吸(RESP)，血压(NIBP)，血氧(SpO</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)，脉率(PR)，体温(TEMP)，双有创血压(IBP)，呼气末二氧化碳（EtCO2）、心排（C.O.）、麻醉（AG）等参数值及波形的显示。</w:t>
            </w:r>
          </w:p>
          <w:p w14:paraId="2B6F98DF">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2.2可支持显示双血氧、CNBP无创连续血压参数监测。</w:t>
            </w:r>
          </w:p>
          <w:p w14:paraId="12C74005">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2.3软件界面显示适应19英寸、22英寸液晶屏显示,包括宽屏和标准屏，方便根据科室需求进行灵活配置。 </w:t>
            </w:r>
          </w:p>
          <w:p w14:paraId="4574688B">
            <w:pPr>
              <w:spacing w:line="360" w:lineRule="exact"/>
              <w:rPr>
                <w:rFonts w:ascii="宋体" w:hAnsi="宋体" w:cs="宋体"/>
                <w:b w:val="0"/>
                <w:bCs w:val="0"/>
                <w:color w:val="auto"/>
                <w:kern w:val="0"/>
                <w:szCs w:val="21"/>
                <w:highlight w:val="none"/>
              </w:rPr>
            </w:pPr>
            <w:r>
              <w:rPr>
                <w:rFonts w:hint="eastAsia" w:ascii="宋体" w:hAnsi="宋体" w:cs="宋体"/>
                <w:b/>
                <w:bCs/>
                <w:color w:val="auto"/>
                <w:kern w:val="0"/>
                <w:szCs w:val="21"/>
                <w:highlight w:val="none"/>
              </w:rPr>
              <w:t>▲2.4支持全院各科室的同品牌中央站信息可以相互访问，可以实现全院多参数监护仪的统一管理，支持数据在院内各科室之间流通。</w:t>
            </w:r>
          </w:p>
          <w:p w14:paraId="3A7BBC2F">
            <w:pPr>
              <w:spacing w:line="360" w:lineRule="exac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2.5在护士站，中央监护系统软件支持扩展≥2个屏幕显示，同时接入的监护设备数量不少于120床。</w:t>
            </w:r>
          </w:p>
          <w:p w14:paraId="5070AA32">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2.6支持在移动端（包括安卓或IOS系统）显示系统界面，实时查看多个患者和单个患者的体征数据，且可以进行接收病人并进行病人列表管理。</w:t>
            </w:r>
          </w:p>
          <w:p w14:paraId="71A6E218">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2.7采用无线、有线等方式联网通讯，支持床边监护仪和遥测设备共用一套网络联网通讯，同时接入的监护设备台数最大不低于1200台。</w:t>
            </w:r>
          </w:p>
          <w:p w14:paraId="3F545C7A">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2.8为充分保证数据安全性、完整性，系统需要提供基于用户名、密码的用户身份认证和基于角色、基于观察设备的用户权限管理功能。</w:t>
            </w:r>
          </w:p>
          <w:p w14:paraId="46442763">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2.9支持双向控制，且中央站可以远程控制监护仪进行报警暂停/关闭、报警复位和血压测量。</w:t>
            </w:r>
          </w:p>
          <w:p w14:paraId="7EF0BC2A">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2.10支持双向呼叫，具备护士呼叫和呼叫病人功能，可以最大程度保障患者生命安全。</w:t>
            </w:r>
          </w:p>
          <w:p w14:paraId="02AFCB8C">
            <w:pPr>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▲2.11具备护理管理功能，支持病人列表管理、护理记录单管理、体温记录单管理，实现护理记录的快捷录入与保存。</w:t>
            </w:r>
          </w:p>
          <w:p w14:paraId="2F840020">
            <w:pPr>
              <w:spacing w:line="360" w:lineRule="exac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2.12中央监护系统可以接入HIS系统，在HIS系统可以自动获取中央站的监测数据。</w:t>
            </w:r>
          </w:p>
          <w:p w14:paraId="760B6AEE">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2.13中央站软件可接收、储存和打印血气分析仪测试报告，内容包括：PH、PO2、PCO2、Na＋、K＋、CL-、Ca++、 Hct、Glu、Lac, 10项参数。</w:t>
            </w:r>
          </w:p>
          <w:p w14:paraId="29A65367">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2.14中央站软件可导出数据进行动态心电、动态血压分析。</w:t>
            </w:r>
          </w:p>
        </w:tc>
      </w:tr>
      <w:tr w14:paraId="0F58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5000" w:type="pct"/>
            <w:gridSpan w:val="7"/>
            <w:tcBorders>
              <w:bottom w:val="single" w:color="auto" w:sz="4" w:space="0"/>
            </w:tcBorders>
            <w:vAlign w:val="center"/>
          </w:tcPr>
          <w:p w14:paraId="6E6598B5">
            <w:pPr>
              <w:spacing w:line="360" w:lineRule="exact"/>
              <w:rPr>
                <w:rFonts w:ascii="宋体" w:hAnsi="宋体" w:cs="宋体"/>
                <w:color w:val="auto"/>
                <w:kern w:val="0"/>
                <w:szCs w:val="21"/>
                <w:highlight w:val="none"/>
              </w:rPr>
            </w:pPr>
            <w:r>
              <w:rPr>
                <w:rFonts w:hint="eastAsia" w:ascii="宋体" w:hAnsi="宋体" w:cs="宋体"/>
                <w:b/>
                <w:color w:val="auto"/>
                <w:szCs w:val="21"/>
                <w:highlight w:val="none"/>
              </w:rPr>
              <w:t>核心产品：本分标核心产品为第1项标的“病人监护仪”。</w:t>
            </w:r>
          </w:p>
        </w:tc>
      </w:tr>
      <w:tr w14:paraId="2EE63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10C0B832">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▲二、商务要求</w:t>
            </w:r>
          </w:p>
        </w:tc>
      </w:tr>
      <w:tr w14:paraId="079A5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5EEACC06">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（一）售后服务基本要求</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11FB0DE6">
            <w:pPr>
              <w:spacing w:line="360" w:lineRule="exact"/>
              <w:jc w:val="left"/>
              <w:rPr>
                <w:rFonts w:ascii="宋体" w:hAnsi="宋体" w:cs="宋体"/>
                <w:color w:val="auto"/>
                <w:highlight w:val="none"/>
              </w:rPr>
            </w:pPr>
            <w:r>
              <w:rPr>
                <w:rFonts w:hint="eastAsia" w:ascii="宋体" w:hAnsi="宋体" w:cs="宋体"/>
                <w:color w:val="auto"/>
                <w:highlight w:val="none"/>
              </w:rPr>
              <w:t>投标人提供的以下售后服务产生的费用均应综合包含在投标报价中，采购人不再就此另行支付任何费用：</w:t>
            </w:r>
          </w:p>
          <w:p w14:paraId="7C06F7F7">
            <w:pPr>
              <w:spacing w:line="360" w:lineRule="exact"/>
              <w:jc w:val="left"/>
              <w:rPr>
                <w:rFonts w:ascii="宋体" w:hAnsi="宋体" w:cs="宋体"/>
                <w:color w:val="auto"/>
                <w:szCs w:val="21"/>
                <w:highlight w:val="none"/>
              </w:rPr>
            </w:pPr>
            <w:r>
              <w:rPr>
                <w:rFonts w:hint="eastAsia" w:ascii="宋体" w:hAnsi="宋体" w:cs="宋体"/>
                <w:color w:val="auto"/>
                <w:highlight w:val="none"/>
              </w:rPr>
              <w:t>1.保修期：</w:t>
            </w:r>
            <w:r>
              <w:rPr>
                <w:rFonts w:hint="eastAsia" w:ascii="宋体" w:hAnsi="宋体" w:cs="宋体"/>
                <w:bCs/>
                <w:color w:val="auto"/>
                <w:szCs w:val="21"/>
                <w:highlight w:val="none"/>
              </w:rPr>
              <w:t>按国家有关产品“三包”规定执行“三包”；</w:t>
            </w:r>
            <w:r>
              <w:rPr>
                <w:rFonts w:hint="eastAsia" w:ascii="宋体" w:hAnsi="宋体" w:cs="宋体"/>
                <w:color w:val="auto"/>
                <w:szCs w:val="20"/>
                <w:highlight w:val="none"/>
              </w:rPr>
              <w:t>病人监护仪</w:t>
            </w:r>
            <w:r>
              <w:rPr>
                <w:rFonts w:hint="eastAsia" w:ascii="宋体" w:hAnsi="宋体" w:cs="宋体"/>
                <w:bCs/>
                <w:color w:val="auto"/>
                <w:szCs w:val="21"/>
                <w:highlight w:val="none"/>
              </w:rPr>
              <w:t>保修期不得少于5年,</w:t>
            </w:r>
            <w:r>
              <w:rPr>
                <w:rFonts w:hint="eastAsia" w:ascii="宋体" w:hAnsi="宋体" w:cs="宋体"/>
                <w:color w:val="auto"/>
                <w:szCs w:val="21"/>
                <w:highlight w:val="none"/>
              </w:rPr>
              <w:t xml:space="preserve"> 遥测监护仪</w:t>
            </w:r>
            <w:r>
              <w:rPr>
                <w:rFonts w:hint="eastAsia" w:ascii="宋体" w:hAnsi="宋体" w:cs="宋体"/>
                <w:bCs/>
                <w:color w:val="auto"/>
                <w:szCs w:val="21"/>
                <w:highlight w:val="none"/>
              </w:rPr>
              <w:t>保修期不得少于3年</w:t>
            </w:r>
            <w:r>
              <w:rPr>
                <w:rFonts w:hint="eastAsia" w:ascii="宋体" w:hAnsi="宋体" w:cs="宋体"/>
                <w:color w:val="auto"/>
                <w:szCs w:val="21"/>
                <w:highlight w:val="none"/>
              </w:rPr>
              <w:t>（保修期从设备验收合格之日起计算），保修期内上门维修不收取任何费用。</w:t>
            </w:r>
          </w:p>
          <w:p w14:paraId="304CF88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2.采购范围内的货物送货上门、安装调试合格(仪器到货后1周内到采购人处安装调试)，提供技术及使用培训服务（</w:t>
            </w:r>
            <w:r>
              <w:rPr>
                <w:rFonts w:hint="eastAsia" w:ascii="宋体" w:hAnsi="宋体" w:cs="宋体"/>
                <w:color w:val="auto"/>
                <w:spacing w:val="9"/>
                <w:szCs w:val="21"/>
                <w:highlight w:val="none"/>
              </w:rPr>
              <w:t>包含医护人员及工程人员的培训计划，其中医护人员省</w:t>
            </w:r>
            <w:r>
              <w:rPr>
                <w:rFonts w:hint="eastAsia" w:ascii="宋体" w:hAnsi="宋体" w:cs="宋体"/>
                <w:color w:val="auto"/>
                <w:spacing w:val="8"/>
                <w:szCs w:val="21"/>
                <w:highlight w:val="none"/>
                <w:u w:val="single"/>
              </w:rPr>
              <w:t>区内/省区</w:t>
            </w:r>
            <w:r>
              <w:rPr>
                <w:rFonts w:hint="eastAsia" w:ascii="宋体" w:hAnsi="宋体" w:cs="宋体"/>
                <w:color w:val="auto"/>
                <w:spacing w:val="8"/>
                <w:szCs w:val="21"/>
                <w:highlight w:val="none"/>
              </w:rPr>
              <w:t>外专项操作培训至少</w:t>
            </w:r>
            <w:r>
              <w:rPr>
                <w:rFonts w:hint="eastAsia" w:ascii="宋体" w:hAnsi="宋体" w:cs="宋体"/>
                <w:color w:val="auto"/>
                <w:spacing w:val="4"/>
                <w:szCs w:val="21"/>
                <w:highlight w:val="none"/>
                <w:u w:val="single"/>
              </w:rPr>
              <w:t>2</w:t>
            </w:r>
            <w:r>
              <w:rPr>
                <w:rFonts w:hint="eastAsia" w:ascii="宋体" w:hAnsi="宋体" w:cs="宋体"/>
                <w:color w:val="auto"/>
                <w:spacing w:val="8"/>
                <w:szCs w:val="21"/>
                <w:highlight w:val="none"/>
              </w:rPr>
              <w:t>人次；工程人员</w:t>
            </w:r>
            <w:r>
              <w:rPr>
                <w:rFonts w:hint="eastAsia" w:ascii="宋体" w:hAnsi="宋体" w:cs="宋体"/>
                <w:color w:val="auto"/>
                <w:spacing w:val="8"/>
                <w:szCs w:val="21"/>
                <w:highlight w:val="none"/>
                <w:u w:val="single"/>
              </w:rPr>
              <w:t>省区内/省区外</w:t>
            </w:r>
            <w:r>
              <w:rPr>
                <w:rFonts w:hint="eastAsia" w:ascii="宋体" w:hAnsi="宋体" w:cs="宋体"/>
                <w:color w:val="auto"/>
                <w:spacing w:val="8"/>
                <w:szCs w:val="21"/>
                <w:highlight w:val="none"/>
              </w:rPr>
              <w:t>专项维保培训至少</w:t>
            </w:r>
            <w:r>
              <w:rPr>
                <w:rFonts w:hint="eastAsia" w:ascii="宋体" w:hAnsi="宋体" w:cs="宋体"/>
                <w:color w:val="auto"/>
                <w:spacing w:val="8"/>
                <w:szCs w:val="21"/>
                <w:highlight w:val="none"/>
                <w:u w:val="single"/>
              </w:rPr>
              <w:t>2</w:t>
            </w:r>
            <w:r>
              <w:rPr>
                <w:rFonts w:hint="eastAsia" w:ascii="宋体" w:hAnsi="宋体" w:cs="宋体"/>
                <w:color w:val="auto"/>
                <w:spacing w:val="8"/>
                <w:szCs w:val="21"/>
                <w:highlight w:val="none"/>
              </w:rPr>
              <w:t>人次</w:t>
            </w:r>
            <w:r>
              <w:rPr>
                <w:rFonts w:hint="eastAsia" w:ascii="宋体" w:hAnsi="宋体" w:cs="宋体"/>
                <w:color w:val="auto"/>
                <w:szCs w:val="21"/>
                <w:highlight w:val="none"/>
              </w:rPr>
              <w:t>），保证操作人员能正常操作设备的各种功能；若设备自带软件，则在保修期内提供升级服务（采购人不再另行支付费用）。</w:t>
            </w:r>
          </w:p>
          <w:p w14:paraId="0955870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3.保修期内仪器设备出现故障，在接到电话通知后，2小时内做出响应，24小时内到达维修现场。一般问题应在48小时内解决。重大问题或</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无法迅速解决的问题应在一周内解决。</w:t>
            </w:r>
          </w:p>
          <w:p w14:paraId="3868502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4.提供每半年一次定期回访以及对设备维护服务。</w:t>
            </w:r>
          </w:p>
          <w:p w14:paraId="11D91971">
            <w:pPr>
              <w:spacing w:line="360" w:lineRule="exact"/>
              <w:rPr>
                <w:rFonts w:ascii="Arial" w:hAnsi="Arial" w:cs="Arial"/>
                <w:color w:val="auto"/>
                <w:kern w:val="0"/>
                <w:szCs w:val="21"/>
                <w:highlight w:val="none"/>
              </w:rPr>
            </w:pPr>
            <w:r>
              <w:rPr>
                <w:rFonts w:hint="eastAsia" w:ascii="宋体" w:hAnsi="宋体" w:cs="宋体"/>
                <w:color w:val="auto"/>
                <w:kern w:val="0"/>
                <w:szCs w:val="21"/>
                <w:highlight w:val="none"/>
              </w:rPr>
              <w:t>5.本项目为交钥匙项目。在保修期内，投标人必须保证采购人能够合法应用该器械，并办理相关证</w:t>
            </w:r>
            <w:r>
              <w:rPr>
                <w:rFonts w:ascii="Arial" w:hAnsi="Arial" w:cs="Arial"/>
                <w:color w:val="auto"/>
                <w:kern w:val="0"/>
                <w:szCs w:val="21"/>
                <w:highlight w:val="none"/>
              </w:rPr>
              <w:t>件、手续</w:t>
            </w:r>
            <w:r>
              <w:rPr>
                <w:rFonts w:hint="eastAsia" w:ascii="Arial" w:hAnsi="Arial" w:cs="Arial"/>
                <w:color w:val="auto"/>
                <w:kern w:val="0"/>
                <w:szCs w:val="21"/>
                <w:highlight w:val="none"/>
              </w:rPr>
              <w:t>，</w:t>
            </w:r>
            <w:r>
              <w:rPr>
                <w:rFonts w:ascii="Arial" w:hAnsi="Arial" w:cs="Arial"/>
                <w:color w:val="auto"/>
                <w:kern w:val="0"/>
                <w:szCs w:val="21"/>
                <w:highlight w:val="none"/>
              </w:rPr>
              <w:t>产生的费用包含在合同/协议价格中。在此过程中</w:t>
            </w:r>
            <w:r>
              <w:rPr>
                <w:rFonts w:hint="eastAsia" w:ascii="Arial" w:hAnsi="Arial" w:cs="Arial"/>
                <w:color w:val="auto"/>
                <w:kern w:val="0"/>
                <w:szCs w:val="21"/>
                <w:highlight w:val="none"/>
              </w:rPr>
              <w:t>，采购人</w:t>
            </w:r>
            <w:r>
              <w:rPr>
                <w:rFonts w:ascii="Arial" w:hAnsi="Arial" w:cs="Arial"/>
                <w:color w:val="auto"/>
                <w:kern w:val="0"/>
                <w:szCs w:val="21"/>
                <w:highlight w:val="none"/>
              </w:rPr>
              <w:t>应当提供必要支持。若可能出现的后续证件、手续</w:t>
            </w:r>
            <w:r>
              <w:rPr>
                <w:rFonts w:hint="eastAsia" w:ascii="Arial" w:hAnsi="Arial" w:cs="Arial"/>
                <w:color w:val="auto"/>
                <w:kern w:val="0"/>
                <w:szCs w:val="21"/>
                <w:highlight w:val="none"/>
              </w:rPr>
              <w:t>，投标人</w:t>
            </w:r>
            <w:r>
              <w:rPr>
                <w:rFonts w:ascii="Arial" w:hAnsi="Arial" w:cs="Arial"/>
                <w:color w:val="auto"/>
                <w:kern w:val="0"/>
                <w:szCs w:val="21"/>
                <w:highlight w:val="none"/>
              </w:rPr>
              <w:t>必须提供办理的流程及方法。</w:t>
            </w:r>
          </w:p>
          <w:p w14:paraId="004AF58E">
            <w:pPr>
              <w:spacing w:line="360" w:lineRule="exact"/>
              <w:jc w:val="left"/>
              <w:rPr>
                <w:rFonts w:ascii="宋体" w:hAnsi="宋体" w:cs="宋体"/>
                <w:color w:val="auto"/>
                <w:highlight w:val="none"/>
              </w:rPr>
            </w:pPr>
            <w:r>
              <w:rPr>
                <w:rFonts w:hint="eastAsia" w:ascii="宋体" w:hAnsi="宋体" w:cs="宋体"/>
                <w:color w:val="auto"/>
                <w:highlight w:val="none"/>
              </w:rPr>
              <w:t>6.易损零配件和专机专用试剂耗材价格表：本项目签订合同时，应附易损零配件和专机专用试剂耗材价格表。</w:t>
            </w:r>
          </w:p>
          <w:p w14:paraId="50137817">
            <w:pPr>
              <w:spacing w:line="360" w:lineRule="exact"/>
              <w:jc w:val="left"/>
              <w:rPr>
                <w:rFonts w:ascii="宋体" w:hAnsi="宋体" w:cs="宋体"/>
                <w:color w:val="auto"/>
                <w:highlight w:val="none"/>
              </w:rPr>
            </w:pPr>
            <w:r>
              <w:rPr>
                <w:rFonts w:hint="eastAsia" w:ascii="宋体" w:hAnsi="宋体" w:cs="宋体"/>
                <w:color w:val="auto"/>
                <w:highlight w:val="none"/>
              </w:rPr>
              <w:t>7.维修技术支持：投标人一次性提供维护手册、维修手册、软件备份、故障代码表、备件清单等维护维修必需的材料和信息，否则不予验收。保修期外，提供维修密码及软件在该项目中的使用权，按合同约定价格提供零部件，以及快速响应的技术支持。保修期外，如在使用过程中发生质量问题，投标人在接到采购人通知后在24小时/天内到达采购人现场处理。以上涉及的费用均包含在投标报价中，采购人不再另行支付。</w:t>
            </w:r>
          </w:p>
          <w:p w14:paraId="5DCC58F0">
            <w:pPr>
              <w:spacing w:line="360" w:lineRule="exact"/>
              <w:jc w:val="left"/>
              <w:rPr>
                <w:rFonts w:ascii="宋体" w:hAnsi="宋体" w:cs="宋体"/>
                <w:color w:val="auto"/>
                <w:highlight w:val="none"/>
              </w:rPr>
            </w:pPr>
            <w:r>
              <w:rPr>
                <w:rFonts w:hint="eastAsia" w:ascii="宋体" w:hAnsi="宋体" w:cs="宋体"/>
                <w:color w:val="auto"/>
                <w:highlight w:val="none"/>
              </w:rPr>
              <w:t>8.投标人应保证采购人获得合同约定范围内所有软件功能，终身单机软件使用权。不得限制硬件配件采购，并在采购人自主更换配件后，帮助采购人恢复原有的软件及系统，使采购人能够正常使用该器械/设备、项目。以上涉及的费用均包含在投标报价中，采购人不再另行支付。</w:t>
            </w:r>
          </w:p>
          <w:p w14:paraId="79EC5CAA">
            <w:pPr>
              <w:spacing w:line="360" w:lineRule="exact"/>
              <w:jc w:val="left"/>
              <w:rPr>
                <w:rFonts w:ascii="宋体" w:hAnsi="宋体" w:cs="宋体"/>
                <w:color w:val="auto"/>
                <w:highlight w:val="none"/>
              </w:rPr>
            </w:pPr>
            <w:r>
              <w:rPr>
                <w:rFonts w:hint="eastAsia" w:ascii="宋体" w:hAnsi="宋体" w:cs="宋体"/>
                <w:color w:val="auto"/>
                <w:highlight w:val="none"/>
              </w:rPr>
              <w:t>9.投标人承诺保修期内，按国家相关规定，执行保养及预防性维护，并提供报告。</w:t>
            </w:r>
          </w:p>
          <w:p w14:paraId="0D140435">
            <w:pPr>
              <w:spacing w:line="360" w:lineRule="exact"/>
              <w:jc w:val="left"/>
              <w:rPr>
                <w:rFonts w:ascii="宋体" w:hAnsi="宋体" w:cs="宋体"/>
                <w:color w:val="auto"/>
                <w:highlight w:val="none"/>
              </w:rPr>
            </w:pPr>
            <w:r>
              <w:rPr>
                <w:rFonts w:hint="eastAsia" w:ascii="宋体" w:hAnsi="宋体" w:cs="宋体"/>
                <w:color w:val="auto"/>
                <w:highlight w:val="none"/>
              </w:rPr>
              <w:t>10.在设备规定的使用期限内，投标人必须保证配件供应。并承诺过保修期后的维修及配件更换不需预付款，按照医院正常付款流程办理。</w:t>
            </w:r>
          </w:p>
          <w:p w14:paraId="0291FC8A">
            <w:pPr>
              <w:spacing w:line="360" w:lineRule="exact"/>
              <w:jc w:val="left"/>
              <w:rPr>
                <w:color w:val="auto"/>
                <w:highlight w:val="none"/>
              </w:rPr>
            </w:pPr>
            <w:r>
              <w:rPr>
                <w:rFonts w:hint="eastAsia" w:ascii="宋体" w:hAnsi="宋体" w:cs="宋体"/>
                <w:color w:val="auto"/>
                <w:highlight w:val="none"/>
              </w:rPr>
              <w:t>11.保修期外维修应同样提供不收取费用的咨询服务，需上门维修的不收取维修费，仅收取材料费。</w:t>
            </w:r>
          </w:p>
        </w:tc>
      </w:tr>
      <w:tr w14:paraId="4B3A7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4D4BA790">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（二）合同签订时间</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0AFC6947">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自中标通知书发出之日起 25日内签订采购合同。</w:t>
            </w:r>
          </w:p>
        </w:tc>
      </w:tr>
      <w:tr w14:paraId="36151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0B99EF8D">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（三）交付时间和地点</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2370E6F4">
            <w:pPr>
              <w:spacing w:line="340" w:lineRule="exact"/>
              <w:rPr>
                <w:rFonts w:ascii="宋体" w:hAnsi="宋体" w:cs="宋体"/>
                <w:b/>
                <w:color w:val="auto"/>
                <w:szCs w:val="21"/>
                <w:highlight w:val="none"/>
              </w:rPr>
            </w:pPr>
            <w:r>
              <w:rPr>
                <w:rFonts w:hint="eastAsia" w:ascii="宋体" w:hAnsi="宋体" w:cs="宋体"/>
                <w:b/>
                <w:color w:val="auto"/>
                <w:szCs w:val="21"/>
                <w:highlight w:val="none"/>
              </w:rPr>
              <w:t>1.交付时间：</w:t>
            </w:r>
            <w:r>
              <w:rPr>
                <w:rFonts w:hint="eastAsia" w:ascii="宋体" w:hAnsi="宋体" w:cs="宋体"/>
                <w:color w:val="auto"/>
                <w:highlight w:val="none"/>
              </w:rPr>
              <w:t>合同签订，</w:t>
            </w:r>
            <w:r>
              <w:rPr>
                <w:rFonts w:hint="eastAsia" w:ascii="宋体" w:hAnsi="宋体" w:cs="宋体"/>
                <w:color w:val="auto"/>
                <w:highlight w:val="none"/>
                <w:lang w:eastAsia="zh-CN"/>
              </w:rPr>
              <w:t>接到采购人供货通知</w:t>
            </w:r>
            <w:r>
              <w:rPr>
                <w:rFonts w:hint="eastAsia" w:ascii="宋体" w:hAnsi="宋体" w:cs="宋体"/>
                <w:color w:val="auto"/>
                <w:highlight w:val="none"/>
              </w:rPr>
              <w:t>后</w:t>
            </w:r>
            <w:r>
              <w:rPr>
                <w:rFonts w:hint="eastAsia" w:ascii="宋体" w:hAnsi="宋体" w:cs="宋体"/>
                <w:color w:val="auto"/>
                <w:highlight w:val="none"/>
                <w:u w:val="single"/>
              </w:rPr>
              <w:t>60</w:t>
            </w:r>
            <w:r>
              <w:rPr>
                <w:rFonts w:hint="eastAsia" w:ascii="宋体" w:hAnsi="宋体" w:cs="宋体"/>
                <w:color w:val="auto"/>
                <w:highlight w:val="none"/>
              </w:rPr>
              <w:t>个工作日内到货并安装调试完毕，达到正常使用状态</w:t>
            </w:r>
            <w:r>
              <w:rPr>
                <w:rFonts w:hint="eastAsia" w:hAnsi="宋体"/>
                <w:color w:val="auto"/>
                <w:szCs w:val="21"/>
                <w:highlight w:val="none"/>
              </w:rPr>
              <w:t>。</w:t>
            </w:r>
          </w:p>
          <w:p w14:paraId="7B2D2822">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2.交付地点：广西桂林市采购人医院内指定地点。</w:t>
            </w:r>
          </w:p>
        </w:tc>
      </w:tr>
      <w:tr w14:paraId="63F5E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7A0C10A3">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（四）付款方式</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3685AFAE">
            <w:pPr>
              <w:spacing w:line="400" w:lineRule="exact"/>
              <w:rPr>
                <w:rFonts w:ascii="宋体" w:hAnsi="宋体" w:cs="宋体"/>
                <w:color w:val="auto"/>
                <w:szCs w:val="21"/>
                <w:highlight w:val="none"/>
              </w:rPr>
            </w:pPr>
            <w:r>
              <w:rPr>
                <w:rFonts w:hint="eastAsia" w:ascii="宋体" w:hAnsi="宋体" w:cs="宋体"/>
                <w:color w:val="auto"/>
                <w:szCs w:val="21"/>
                <w:highlight w:val="none"/>
              </w:rPr>
              <w:t>1.本仪器设备验收合格后，中标人开具全额税务发票，采购人在收到发票后转账支付合同款的95%（无息），可采用汇票、云信、供应链、信用证等付款方式。合同款的5%在设备验收合格满1年后的三个月内转账支付（无息）。采购人付款前，中标人未按上述要求开具符合采购人要求的正规财务票据的，采购人有权暂缓或拒付款项且不构成违约。</w:t>
            </w:r>
          </w:p>
          <w:p w14:paraId="1634115B">
            <w:pPr>
              <w:spacing w:line="340" w:lineRule="exact"/>
              <w:rPr>
                <w:rFonts w:ascii="宋体" w:hAnsi="宋体" w:cs="宋体"/>
                <w:color w:val="auto"/>
                <w:szCs w:val="21"/>
                <w:highlight w:val="none"/>
              </w:rPr>
            </w:pPr>
            <w:r>
              <w:rPr>
                <w:rFonts w:hint="eastAsia" w:ascii="宋体" w:hAnsi="宋体" w:cs="宋体"/>
                <w:color w:val="auto"/>
                <w:szCs w:val="21"/>
                <w:highlight w:val="none"/>
              </w:rPr>
              <w:t>2.票据要求：中标人必须按照采购人要求提供真实、有效、合法的正式税务发票。一旦发现中标人提供虚假税务发票，除须向采购人补开合法的税务发票外，须赔偿采购人发票票面金额一倍的违约金，且采购人有权终止合同，中标人不得提出异议，因终止合同而产生的一切损失均由中标人承担。</w:t>
            </w:r>
          </w:p>
        </w:tc>
      </w:tr>
      <w:tr w14:paraId="2C80B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1CF702E">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（五）包装和运输</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1D87EE9B">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1.中标人应在货物发运前对其进行满足于运输距离、防潮、防震、防锈和防破损装卸要求的包装，以保证货物安全无损的运输到达采购人指定地点。</w:t>
            </w:r>
          </w:p>
          <w:p w14:paraId="1F424BB3">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2.使用说明书、质量检验证明书、随配附件和工具以及配置清单等一并附于货物内交付采购人。</w:t>
            </w:r>
          </w:p>
          <w:p w14:paraId="413990B6">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3.中标人负责将货物安全运送到采购人指定地点，并负责清理回收采购人抛弃的相关大件包装， 不另收任何费用。货到采购人前48小时，由中标人通知采购人，但在验收前采购人原则上不负责接收货物。</w:t>
            </w:r>
          </w:p>
        </w:tc>
      </w:tr>
      <w:tr w14:paraId="3B29C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476F42A6">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（六）保险</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6FFED3D4">
            <w:pPr>
              <w:adjustRightInd w:val="0"/>
              <w:snapToGrid w:val="0"/>
              <w:spacing w:line="340" w:lineRule="exact"/>
              <w:rPr>
                <w:rFonts w:ascii="宋体" w:hAnsi="宋体" w:cs="宋体"/>
                <w:b/>
                <w:color w:val="auto"/>
                <w:szCs w:val="21"/>
                <w:highlight w:val="none"/>
              </w:rPr>
            </w:pPr>
            <w:r>
              <w:rPr>
                <w:rFonts w:hint="eastAsia" w:ascii="宋体" w:hAnsi="宋体" w:cs="宋体"/>
                <w:b/>
                <w:bCs/>
                <w:color w:val="auto"/>
                <w:kern w:val="0"/>
                <w:szCs w:val="21"/>
                <w:highlight w:val="none"/>
              </w:rPr>
              <w:t>若投标人为本项目标的及标的涉及的相关材料、设备、人员、运输等购买保险的，相关费用由投标人自行承担。</w:t>
            </w:r>
          </w:p>
        </w:tc>
      </w:tr>
      <w:tr w14:paraId="43D5E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84AFCC7">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（七）验收标准</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1B2F473C">
            <w:pPr>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1.中标人交货前应对产品作出全面检查和对验收文件进行整理列出清单，作为采购人收货验收和使用的技术条件依据，检验的结果应随货物交采购人。</w:t>
            </w:r>
          </w:p>
          <w:p w14:paraId="30441FD5">
            <w:pPr>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2.采购人对中标人所交货物依照国家有关标准，进行现场验收，性能达到技术要求的给予签收，验收不合格不予签收，后果由中标人负责。</w:t>
            </w:r>
          </w:p>
          <w:p w14:paraId="268BC793">
            <w:pPr>
              <w:adjustRightInd w:val="0"/>
              <w:snapToGrid w:val="0"/>
              <w:spacing w:line="340" w:lineRule="exact"/>
              <w:rPr>
                <w:rFonts w:ascii="宋体" w:hAnsi="宋体" w:cs="宋体"/>
                <w:color w:val="auto"/>
                <w:szCs w:val="21"/>
                <w:highlight w:val="none"/>
              </w:rPr>
            </w:pPr>
            <w:r>
              <w:rPr>
                <w:rFonts w:hint="eastAsia" w:ascii="宋体" w:hAnsi="宋体" w:cs="宋体"/>
                <w:b/>
                <w:color w:val="auto"/>
                <w:szCs w:val="21"/>
                <w:highlight w:val="none"/>
              </w:rPr>
              <w:t>3.中标人应在货到指定地点安装、调试完毕，确保正常使用，并及时配合采购人验收。</w:t>
            </w:r>
          </w:p>
        </w:tc>
      </w:tr>
      <w:tr w14:paraId="5543B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7FCE7F86">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（八）知识产权</w:t>
            </w:r>
          </w:p>
        </w:tc>
        <w:tc>
          <w:tcPr>
            <w:tcW w:w="3266" w:type="pct"/>
            <w:gridSpan w:val="3"/>
            <w:tcBorders>
              <w:top w:val="single" w:color="auto" w:sz="4" w:space="0"/>
              <w:left w:val="single" w:color="auto" w:sz="4" w:space="0"/>
              <w:bottom w:val="single" w:color="auto" w:sz="4" w:space="0"/>
              <w:right w:val="single" w:color="auto" w:sz="4" w:space="0"/>
            </w:tcBorders>
          </w:tcPr>
          <w:p w14:paraId="5E063C16">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1.采购人在履行合同过程中提供给中标人的全部文件和其他含有数据和信息的资料，其知识产权属于采购人。</w:t>
            </w:r>
          </w:p>
          <w:p w14:paraId="164AD0E1">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2.除招标文件采购需求另有约定外，采购人不因签署和履行合同而享有中标人在履行合同过程中提供给采购人的文件、配套软件、电子辅助程序和其他含有数据和信息的资料的知识产权。</w:t>
            </w:r>
          </w:p>
          <w:p w14:paraId="3A741C98">
            <w:pPr>
              <w:spacing w:line="340" w:lineRule="exact"/>
              <w:jc w:val="left"/>
              <w:rPr>
                <w:rFonts w:ascii="宋体" w:hAnsi="宋体" w:cs="宋体"/>
                <w:color w:val="auto"/>
                <w:szCs w:val="21"/>
                <w:highlight w:val="none"/>
              </w:rPr>
            </w:pPr>
            <w:r>
              <w:rPr>
                <w:rFonts w:hint="eastAsia" w:ascii="宋体" w:hAnsi="宋体" w:cs="宋体"/>
                <w:b/>
                <w:color w:val="auto"/>
                <w:szCs w:val="21"/>
                <w:highlight w:val="none"/>
              </w:rPr>
              <w:t>3.中标人应保证所提供货物在使用时不会侵犯任何第三方的知识产权或者其他权利。如合同货物涉及知识产权，则中标人保证采购人在使用合同货物过程中免于受到第三方提出的有关知识产权侵权的主张、索赔或诉讼的伤害。</w:t>
            </w:r>
          </w:p>
        </w:tc>
      </w:tr>
      <w:tr w14:paraId="1B9F0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729C67EF">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（九）违约责任</w:t>
            </w:r>
          </w:p>
        </w:tc>
        <w:tc>
          <w:tcPr>
            <w:tcW w:w="3266" w:type="pct"/>
            <w:gridSpan w:val="3"/>
            <w:tcBorders>
              <w:top w:val="single" w:color="auto" w:sz="4" w:space="0"/>
              <w:left w:val="single" w:color="auto" w:sz="4" w:space="0"/>
              <w:bottom w:val="single" w:color="auto" w:sz="4" w:space="0"/>
              <w:right w:val="single" w:color="auto" w:sz="4" w:space="0"/>
            </w:tcBorders>
          </w:tcPr>
          <w:p w14:paraId="0C9C14B8">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1.保修期内，如在使用过程中发生质量问题，中标人在接到采购人通知后按承诺的时间内到达采购人现场处理。中标人未在承诺时间内到达处理，每次需按照该设备中标金额的1%支付违约金，违约金总金额不超过该设备总金额的5%，扣款直接以留存的5%合同价款抵扣，不足抵扣的，中标人须承担补足责任。否则中标人需按合同总金额的30%向采购人支付违约金并承担相应的法律责任。</w:t>
            </w:r>
          </w:p>
          <w:p w14:paraId="5D028758">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2.中标人无正当理由拒收的，违约方每天按合同标的0.3%支付违约金。</w:t>
            </w:r>
          </w:p>
          <w:p w14:paraId="784B36D9">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3.中标人逾期交付货物的，每逾期一日应支付违约金1000元，中标人逾期超过7天仍不能交货的,采购人有权单方面终止合同，中标人应按合同总金额的30%向采购人支付违约金，造成采购人损失的，由中标人负责赔偿，赔偿范围包括但不限于直接损失、逾期损失、以及维权产生的相关费用。</w:t>
            </w:r>
          </w:p>
          <w:p w14:paraId="464552F5">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4.中标人货物不符合约定及采购人要求的，须无条件免费予以更换或弥补，由此导致的逾期交付责任由中标人承担；中标人拒绝更换或弥补，更换三次仍不能达到采购人要求的，采购人有权解除合同，中标人应按合同总金额的30%向采购人支付违约金并赔偿采购人全部损失</w:t>
            </w:r>
          </w:p>
          <w:p w14:paraId="210375E2">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5.中标人未按约定履行售后服务或维保责任的，每发生一次应向采购人支付违约金1000元，采购人有权自行或委托第三方进行维保，由此产生的全部费用由中标人承担。</w:t>
            </w:r>
          </w:p>
          <w:p w14:paraId="73DD68BD">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6.中标人提供的投标文件如有虚假，视为中标人根本性违约，采购人有权单方面解除合同，并追究中标人相关法律责任。</w:t>
            </w:r>
          </w:p>
        </w:tc>
      </w:tr>
      <w:tr w14:paraId="41406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70BFD0A1">
            <w:pPr>
              <w:adjustRightInd w:val="0"/>
              <w:snapToGrid w:val="0"/>
              <w:spacing w:line="350" w:lineRule="exact"/>
              <w:jc w:val="center"/>
              <w:rPr>
                <w:rFonts w:ascii="宋体" w:hAnsi="宋体" w:cs="宋体"/>
                <w:b/>
                <w:color w:val="auto"/>
                <w:szCs w:val="21"/>
                <w:highlight w:val="none"/>
              </w:rPr>
            </w:pPr>
            <w:r>
              <w:rPr>
                <w:rFonts w:hint="eastAsia" w:ascii="宋体" w:hAnsi="宋体" w:cs="宋体"/>
                <w:b/>
                <w:color w:val="auto"/>
                <w:kern w:val="0"/>
                <w:szCs w:val="21"/>
                <w:highlight w:val="none"/>
              </w:rPr>
              <w:t>（十）医疗器械管理相应有效证明材料</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4D64D7D6">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投标人所投本分标产品如属第二类或第三类医疗器械管理的，必须具有相应有效的“医疗器械注册证”（投标人于投标文件中必须提供相应有效的医疗器械注册证复印件，加盖投标人电子签章）。</w:t>
            </w:r>
          </w:p>
        </w:tc>
      </w:tr>
      <w:tr w14:paraId="6F510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72B1D880">
            <w:pPr>
              <w:pStyle w:val="19"/>
              <w:spacing w:line="360" w:lineRule="exact"/>
              <w:jc w:val="center"/>
              <w:rPr>
                <w:rFonts w:ascii="宋体" w:hAnsi="宋体" w:cs="宋体"/>
                <w:b/>
                <w:color w:val="auto"/>
                <w:kern w:val="2"/>
                <w:sz w:val="21"/>
                <w:szCs w:val="21"/>
                <w:highlight w:val="none"/>
              </w:rPr>
            </w:pPr>
            <w:r>
              <w:rPr>
                <w:rFonts w:hint="eastAsia" w:ascii="宋体" w:hAnsi="宋体" w:cs="宋体"/>
                <w:b/>
                <w:color w:val="auto"/>
                <w:sz w:val="21"/>
                <w:szCs w:val="21"/>
                <w:highlight w:val="none"/>
              </w:rPr>
              <w:t>（十一）进口产品说明</w:t>
            </w:r>
          </w:p>
        </w:tc>
        <w:tc>
          <w:tcPr>
            <w:tcW w:w="3266" w:type="pct"/>
            <w:gridSpan w:val="3"/>
            <w:tcBorders>
              <w:top w:val="single" w:color="auto" w:sz="4" w:space="0"/>
              <w:left w:val="single" w:color="auto" w:sz="4" w:space="0"/>
              <w:bottom w:val="single" w:color="auto" w:sz="4" w:space="0"/>
              <w:right w:val="single" w:color="auto" w:sz="4" w:space="0"/>
            </w:tcBorders>
          </w:tcPr>
          <w:p w14:paraId="79FFDE26">
            <w:pPr>
              <w:spacing w:line="340" w:lineRule="exact"/>
              <w:rPr>
                <w:rFonts w:ascii="宋体" w:hAnsi="宋体" w:cs="宋体"/>
                <w:b/>
                <w:color w:val="auto"/>
                <w:szCs w:val="21"/>
                <w:highlight w:val="none"/>
              </w:rPr>
            </w:pPr>
            <w:r>
              <w:rPr>
                <w:rFonts w:hint="eastAsia" w:ascii="宋体" w:hAnsi="宋体" w:cs="宋体"/>
                <w:b/>
                <w:color w:val="auto"/>
                <w:szCs w:val="21"/>
                <w:highlight w:val="none"/>
              </w:rPr>
              <w:t>本分标货物不接受进口产品（即通过中国海关报关验放进入中国境内且产自关境外的产品）参与投标，如有进口产品参与投标的作无效标处理。</w:t>
            </w:r>
          </w:p>
        </w:tc>
      </w:tr>
      <w:tr w14:paraId="5DE63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3057B81">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（十二）采购预算及最高限价</w:t>
            </w:r>
          </w:p>
        </w:tc>
        <w:tc>
          <w:tcPr>
            <w:tcW w:w="3266" w:type="pct"/>
            <w:gridSpan w:val="3"/>
            <w:tcBorders>
              <w:top w:val="single" w:color="auto" w:sz="4" w:space="0"/>
              <w:left w:val="single" w:color="auto" w:sz="4" w:space="0"/>
              <w:bottom w:val="single" w:color="auto" w:sz="4" w:space="0"/>
              <w:right w:val="single" w:color="auto" w:sz="4" w:space="0"/>
            </w:tcBorders>
          </w:tcPr>
          <w:p w14:paraId="222045D4">
            <w:pPr>
              <w:spacing w:line="340" w:lineRule="exact"/>
              <w:rPr>
                <w:rFonts w:ascii="宋体" w:hAnsi="宋体" w:cs="宋体"/>
                <w:b/>
                <w:color w:val="auto"/>
                <w:szCs w:val="21"/>
                <w:highlight w:val="none"/>
              </w:rPr>
            </w:pPr>
            <w:r>
              <w:rPr>
                <w:rFonts w:hint="eastAsia" w:ascii="宋体" w:hAnsi="宋体" w:cs="宋体"/>
                <w:b/>
                <w:bCs/>
                <w:color w:val="auto"/>
                <w:highlight w:val="none"/>
              </w:rPr>
              <w:t>本</w:t>
            </w:r>
            <w:r>
              <w:rPr>
                <w:rFonts w:hint="eastAsia" w:ascii="宋体" w:hAnsi="宋体" w:cs="宋体"/>
                <w:b/>
                <w:color w:val="auto"/>
                <w:szCs w:val="21"/>
                <w:highlight w:val="none"/>
              </w:rPr>
              <w:t>分标</w:t>
            </w:r>
            <w:r>
              <w:rPr>
                <w:rFonts w:hint="eastAsia" w:ascii="宋体" w:hAnsi="宋体" w:cs="宋体"/>
                <w:b/>
                <w:bCs/>
                <w:color w:val="auto"/>
                <w:highlight w:val="none"/>
              </w:rPr>
              <w:t>采购预算为</w:t>
            </w:r>
            <w:r>
              <w:rPr>
                <w:rFonts w:hint="eastAsia" w:ascii="宋体" w:hAnsi="宋体"/>
                <w:b/>
                <w:bCs/>
                <w:color w:val="auto"/>
                <w:highlight w:val="none"/>
              </w:rPr>
              <w:t>陆拾肆万陆仟元整（¥646000.00），</w:t>
            </w:r>
            <w:r>
              <w:rPr>
                <w:rFonts w:hint="eastAsia" w:ascii="宋体" w:hAnsi="宋体" w:cs="宋体"/>
                <w:b/>
                <w:bCs/>
                <w:color w:val="auto"/>
                <w:highlight w:val="none"/>
              </w:rPr>
              <w:t>最高限价为伍拾万零肆仟元整（¥504000.00），</w:t>
            </w:r>
            <w:r>
              <w:rPr>
                <w:rFonts w:hint="eastAsia" w:ascii="宋体" w:hAnsi="宋体" w:cs="宋体"/>
                <w:b/>
                <w:bCs/>
                <w:color w:val="auto"/>
                <w:szCs w:val="21"/>
                <w:highlight w:val="none"/>
              </w:rPr>
              <w:t>投标人投标报价超最高限价的或</w:t>
            </w:r>
            <w:r>
              <w:rPr>
                <w:rFonts w:hint="eastAsia" w:ascii="宋体" w:hAnsi="宋体"/>
                <w:b/>
                <w:color w:val="auto"/>
                <w:szCs w:val="21"/>
                <w:highlight w:val="none"/>
              </w:rPr>
              <w:t>投标人所投分标各分项的单价报价超相应标的的单价最高限价的</w:t>
            </w:r>
            <w:r>
              <w:rPr>
                <w:rFonts w:hint="eastAsia" w:ascii="宋体" w:hAnsi="宋体" w:cs="宋体"/>
                <w:b/>
                <w:bCs/>
                <w:color w:val="auto"/>
                <w:szCs w:val="21"/>
                <w:highlight w:val="none"/>
              </w:rPr>
              <w:t>，投标文件均按无效处理。</w:t>
            </w:r>
          </w:p>
        </w:tc>
      </w:tr>
      <w:tr w14:paraId="08BEB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61819C44">
            <w:pPr>
              <w:adjustRightInd w:val="0"/>
              <w:snapToGrid w:val="0"/>
              <w:spacing w:line="340" w:lineRule="exact"/>
              <w:rPr>
                <w:rFonts w:ascii="宋体" w:hAnsi="宋体" w:cs="宋体"/>
                <w:b/>
                <w:color w:val="auto"/>
                <w:szCs w:val="21"/>
                <w:highlight w:val="none"/>
              </w:rPr>
            </w:pPr>
            <w:r>
              <w:rPr>
                <w:rFonts w:hint="eastAsia" w:ascii="宋体" w:hAnsi="宋体" w:cs="宋体"/>
                <w:b/>
                <w:bCs/>
                <w:color w:val="auto"/>
                <w:szCs w:val="21"/>
                <w:highlight w:val="none"/>
              </w:rPr>
              <w:t>五、与实现项目目标相关的其他要求</w:t>
            </w:r>
          </w:p>
        </w:tc>
      </w:tr>
      <w:tr w14:paraId="35480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6CF8522">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（一）安装实施方案</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0049B74A">
            <w:pPr>
              <w:adjustRightInd w:val="0"/>
              <w:snapToGrid w:val="0"/>
              <w:spacing w:line="34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安装实施方案</w:t>
            </w:r>
            <w:r>
              <w:rPr>
                <w:rFonts w:hint="eastAsia" w:ascii="宋体" w:hAnsi="宋体" w:cs="宋体"/>
                <w:color w:val="auto"/>
                <w:szCs w:val="21"/>
                <w:highlight w:val="none"/>
              </w:rPr>
              <w:t>，包含但不限于：①安装方案；②设备调试方案；③设备试运行方案等</w:t>
            </w:r>
            <w:r>
              <w:rPr>
                <w:rFonts w:hint="eastAsia" w:ascii="宋体" w:hAnsi="宋体" w:cs="宋体"/>
                <w:bCs/>
                <w:color w:val="auto"/>
                <w:szCs w:val="21"/>
                <w:highlight w:val="none"/>
              </w:rPr>
              <w:t>。</w:t>
            </w:r>
          </w:p>
          <w:p w14:paraId="0AEFF641">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600F1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5597CA">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（二）增值售后服务方案</w:t>
            </w:r>
          </w:p>
        </w:tc>
        <w:tc>
          <w:tcPr>
            <w:tcW w:w="32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787B54">
            <w:pPr>
              <w:adjustRightInd w:val="0"/>
              <w:snapToGrid w:val="0"/>
              <w:spacing w:line="34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增值售后服务方案</w:t>
            </w:r>
            <w:r>
              <w:rPr>
                <w:rFonts w:hint="eastAsia" w:ascii="宋体" w:hAnsi="宋体" w:cs="宋体"/>
                <w:color w:val="auto"/>
                <w:szCs w:val="21"/>
                <w:highlight w:val="none"/>
              </w:rPr>
              <w:t>，包含但不限于：①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r>
              <w:rPr>
                <w:rFonts w:hint="eastAsia" w:ascii="宋体" w:hAnsi="宋体" w:cs="宋体"/>
                <w:bCs/>
                <w:color w:val="auto"/>
                <w:szCs w:val="21"/>
                <w:highlight w:val="none"/>
              </w:rPr>
              <w:t>。</w:t>
            </w:r>
          </w:p>
          <w:p w14:paraId="56E1AAD5">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06518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28F81E4A">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（三）履约能力要求</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6FAE534D">
            <w:pPr>
              <w:spacing w:line="34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投标人或所投核心产品生产厂家通过ISO13485</w:t>
            </w:r>
            <w:r>
              <w:rPr>
                <w:rFonts w:hint="eastAsia" w:ascii="宋体" w:hAnsi="宋体" w:cs="宋体"/>
                <w:color w:val="auto"/>
                <w:highlight w:val="none"/>
              </w:rPr>
              <w:t>医疗器械质量管理体系认证</w:t>
            </w:r>
            <w:r>
              <w:rPr>
                <w:rFonts w:hint="eastAsia" w:ascii="宋体" w:hAnsi="宋体" w:cs="宋体"/>
                <w:color w:val="auto"/>
                <w:szCs w:val="21"/>
                <w:highlight w:val="none"/>
              </w:rPr>
              <w:t>、ISO9001质量管理体系认证且有效的。</w:t>
            </w:r>
          </w:p>
          <w:p w14:paraId="6B3058C2">
            <w:pPr>
              <w:spacing w:line="340" w:lineRule="exact"/>
              <w:rPr>
                <w:rFonts w:ascii="宋体" w:hAnsi="宋体" w:cs="宋体"/>
                <w:color w:val="auto"/>
                <w:highlight w:val="none"/>
              </w:rPr>
            </w:pPr>
            <w:r>
              <w:rPr>
                <w:rFonts w:hint="eastAsia" w:ascii="宋体" w:hAnsi="宋体" w:cs="宋体"/>
                <w:bCs/>
                <w:color w:val="auto"/>
                <w:highlight w:val="none"/>
              </w:rPr>
              <w:t>2.</w:t>
            </w:r>
            <w:r>
              <w:rPr>
                <w:rFonts w:hint="eastAsia" w:ascii="宋体" w:hAnsi="宋体" w:cs="宋体"/>
                <w:color w:val="auto"/>
                <w:highlight w:val="none"/>
              </w:rPr>
              <w:t>投标人或所投核心产品生产厂家2021年以来具有同类产品的销售业绩的。</w:t>
            </w:r>
          </w:p>
          <w:p w14:paraId="0572AF5C">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注：上述履约能力加分详见“第四章 评标办法及评标标准”。</w:t>
            </w:r>
          </w:p>
        </w:tc>
      </w:tr>
      <w:tr w14:paraId="2A792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0F8E32C6">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（四）政策性加分条件</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291E035A">
            <w:pPr>
              <w:spacing w:line="340" w:lineRule="exact"/>
              <w:rPr>
                <w:rFonts w:ascii="宋体" w:hAnsi="宋体" w:cs="宋体"/>
                <w:color w:val="auto"/>
                <w:highlight w:val="none"/>
              </w:rPr>
            </w:pPr>
            <w:r>
              <w:rPr>
                <w:rFonts w:hint="eastAsia" w:ascii="宋体" w:hAnsi="宋体" w:cs="宋体"/>
                <w:color w:val="auto"/>
                <w:highlight w:val="none"/>
              </w:rPr>
              <w:t>1.节能产品：属于财政部《节能产品政府采购品目清单》内优先采购（清单内未标注“★”的品目）的产品（投标文件中提供有效的认证证书复印件，并加盖投标人电子签章）。</w:t>
            </w:r>
          </w:p>
          <w:p w14:paraId="6563FCA0">
            <w:pPr>
              <w:spacing w:line="340" w:lineRule="exact"/>
              <w:rPr>
                <w:rFonts w:ascii="宋体" w:hAnsi="宋体" w:cs="宋体"/>
                <w:color w:val="auto"/>
                <w:highlight w:val="none"/>
              </w:rPr>
            </w:pPr>
            <w:r>
              <w:rPr>
                <w:rFonts w:hint="eastAsia" w:ascii="宋体" w:hAnsi="宋体" w:cs="宋体"/>
                <w:color w:val="auto"/>
                <w:highlight w:val="none"/>
              </w:rPr>
              <w:t>2.环境标志产品：属于财政部《环境标志产品政府采购品目清单》内的产品（投标文件中提供有效的认证证书复印件，并加盖投标人电子签章）。</w:t>
            </w:r>
          </w:p>
          <w:p w14:paraId="7F185684">
            <w:pPr>
              <w:adjustRightInd w:val="0"/>
              <w:snapToGrid w:val="0"/>
              <w:spacing w:line="340" w:lineRule="exact"/>
              <w:rPr>
                <w:rFonts w:ascii="宋体" w:hAnsi="宋体" w:cs="宋体"/>
                <w:b/>
                <w:color w:val="auto"/>
                <w:szCs w:val="21"/>
                <w:highlight w:val="none"/>
              </w:rPr>
            </w:pPr>
            <w:r>
              <w:rPr>
                <w:rFonts w:hint="eastAsia" w:ascii="宋体" w:hAnsi="宋体" w:cs="宋体"/>
                <w:b/>
                <w:color w:val="auto"/>
                <w:highlight w:val="none"/>
              </w:rPr>
              <w:t>注：上述政策性加分详见“第四章 评标办法及评标标准”。</w:t>
            </w:r>
          </w:p>
        </w:tc>
      </w:tr>
    </w:tbl>
    <w:p w14:paraId="41CC8D50">
      <w:pPr>
        <w:rPr>
          <w:rFonts w:ascii="宋体" w:hAnsi="宋体" w:cs="宋体"/>
          <w:color w:val="auto"/>
          <w:highlight w:val="none"/>
        </w:rPr>
      </w:pPr>
    </w:p>
    <w:p w14:paraId="0EC03D79">
      <w:pPr>
        <w:pStyle w:val="46"/>
        <w:ind w:firstLine="640"/>
        <w:rPr>
          <w:rFonts w:ascii="宋体" w:hAnsi="宋体" w:cs="宋体"/>
          <w:color w:val="auto"/>
          <w:highlight w:val="none"/>
        </w:rPr>
      </w:pPr>
    </w:p>
    <w:p w14:paraId="1B1F5533">
      <w:pPr>
        <w:pStyle w:val="46"/>
        <w:ind w:firstLine="640"/>
        <w:rPr>
          <w:rFonts w:ascii="宋体" w:hAnsi="宋体" w:cs="宋体"/>
          <w:color w:val="auto"/>
          <w:highlight w:val="none"/>
        </w:rPr>
      </w:pPr>
    </w:p>
    <w:p w14:paraId="7A66A92A">
      <w:pPr>
        <w:pStyle w:val="46"/>
        <w:ind w:firstLine="640"/>
        <w:rPr>
          <w:rFonts w:ascii="宋体" w:hAnsi="宋体" w:cs="宋体"/>
          <w:color w:val="auto"/>
          <w:highlight w:val="none"/>
        </w:rPr>
      </w:pPr>
    </w:p>
    <w:p w14:paraId="6BB98B66">
      <w:pPr>
        <w:pStyle w:val="46"/>
        <w:ind w:firstLine="640"/>
        <w:rPr>
          <w:rFonts w:ascii="宋体" w:hAnsi="宋体" w:cs="宋体"/>
          <w:color w:val="auto"/>
          <w:highlight w:val="none"/>
        </w:rPr>
      </w:pPr>
    </w:p>
    <w:p w14:paraId="5E0B41FA">
      <w:pPr>
        <w:pStyle w:val="46"/>
        <w:ind w:firstLine="640"/>
        <w:rPr>
          <w:rFonts w:ascii="宋体" w:hAnsi="宋体" w:cs="宋体"/>
          <w:color w:val="auto"/>
          <w:highlight w:val="none"/>
        </w:rPr>
      </w:pPr>
    </w:p>
    <w:p w14:paraId="13E528AD">
      <w:pPr>
        <w:pStyle w:val="46"/>
        <w:ind w:firstLine="640"/>
        <w:rPr>
          <w:rFonts w:ascii="宋体" w:hAnsi="宋体" w:cs="宋体"/>
          <w:color w:val="auto"/>
          <w:highlight w:val="none"/>
        </w:rPr>
      </w:pPr>
    </w:p>
    <w:p w14:paraId="205FE5AD">
      <w:pPr>
        <w:pStyle w:val="46"/>
        <w:ind w:firstLine="640"/>
        <w:rPr>
          <w:rFonts w:ascii="宋体" w:hAnsi="宋体" w:cs="宋体"/>
          <w:color w:val="auto"/>
          <w:highlight w:val="none"/>
        </w:rPr>
      </w:pPr>
    </w:p>
    <w:p w14:paraId="30530CB0">
      <w:pPr>
        <w:spacing w:line="380" w:lineRule="exact"/>
        <w:jc w:val="left"/>
        <w:rPr>
          <w:rFonts w:hint="eastAsia" w:ascii="宋体" w:hAnsi="宋体" w:cs="宋体"/>
          <w:b/>
          <w:color w:val="auto"/>
          <w:highlight w:val="none"/>
        </w:rPr>
      </w:pPr>
    </w:p>
    <w:p w14:paraId="37BFBBBB">
      <w:pPr>
        <w:spacing w:line="380" w:lineRule="exact"/>
        <w:jc w:val="left"/>
        <w:rPr>
          <w:rFonts w:ascii="宋体" w:hAnsi="宋体" w:cs="宋体"/>
          <w:b/>
          <w:color w:val="auto"/>
          <w:highlight w:val="none"/>
        </w:rPr>
      </w:pPr>
      <w:r>
        <w:rPr>
          <w:rFonts w:hint="eastAsia" w:ascii="宋体" w:hAnsi="宋体" w:cs="宋体"/>
          <w:b/>
          <w:color w:val="auto"/>
          <w:highlight w:val="none"/>
        </w:rPr>
        <w:t>分标3</w:t>
      </w:r>
    </w:p>
    <w:tbl>
      <w:tblPr>
        <w:tblStyle w:val="47"/>
        <w:tblW w:w="52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5"/>
        <w:gridCol w:w="1305"/>
        <w:gridCol w:w="663"/>
        <w:gridCol w:w="827"/>
        <w:gridCol w:w="836"/>
        <w:gridCol w:w="963"/>
        <w:gridCol w:w="4216"/>
      </w:tblGrid>
      <w:tr w14:paraId="0859F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5000" w:type="pct"/>
            <w:gridSpan w:val="7"/>
            <w:vAlign w:val="center"/>
          </w:tcPr>
          <w:p w14:paraId="37486A9E">
            <w:pPr>
              <w:tabs>
                <w:tab w:val="left" w:pos="180"/>
                <w:tab w:val="left" w:pos="1620"/>
              </w:tabs>
              <w:adjustRightInd w:val="0"/>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一、采购标的及技术需求</w:t>
            </w:r>
          </w:p>
        </w:tc>
      </w:tr>
      <w:tr w14:paraId="27F60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15" w:type="pct"/>
            <w:tcBorders>
              <w:right w:val="single" w:color="auto" w:sz="4" w:space="0"/>
            </w:tcBorders>
            <w:vAlign w:val="center"/>
          </w:tcPr>
          <w:p w14:paraId="7F491DB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709" w:type="pct"/>
            <w:tcBorders>
              <w:left w:val="single" w:color="auto" w:sz="4" w:space="0"/>
              <w:right w:val="single" w:color="auto" w:sz="4" w:space="0"/>
            </w:tcBorders>
            <w:vAlign w:val="center"/>
          </w:tcPr>
          <w:p w14:paraId="10F6515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360" w:type="pct"/>
            <w:tcBorders>
              <w:left w:val="single" w:color="auto" w:sz="4" w:space="0"/>
            </w:tcBorders>
            <w:vAlign w:val="center"/>
          </w:tcPr>
          <w:p w14:paraId="02603AC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48" w:type="pct"/>
            <w:vAlign w:val="center"/>
          </w:tcPr>
          <w:p w14:paraId="45ED345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54" w:type="pct"/>
            <w:vAlign w:val="center"/>
          </w:tcPr>
          <w:p w14:paraId="084D47D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523" w:type="pct"/>
            <w:tcBorders>
              <w:right w:val="single" w:color="auto" w:sz="4" w:space="0"/>
            </w:tcBorders>
            <w:vAlign w:val="center"/>
          </w:tcPr>
          <w:p w14:paraId="7F0750A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单价最高限价（万元）</w:t>
            </w:r>
          </w:p>
        </w:tc>
        <w:tc>
          <w:tcPr>
            <w:tcW w:w="2288" w:type="pct"/>
            <w:tcBorders>
              <w:left w:val="single" w:color="auto" w:sz="4" w:space="0"/>
            </w:tcBorders>
            <w:vAlign w:val="center"/>
          </w:tcPr>
          <w:p w14:paraId="3C44F7F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5386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5" w:type="pct"/>
            <w:tcBorders>
              <w:bottom w:val="single" w:color="auto" w:sz="4" w:space="0"/>
              <w:right w:val="single" w:color="auto" w:sz="4" w:space="0"/>
            </w:tcBorders>
            <w:vAlign w:val="center"/>
          </w:tcPr>
          <w:p w14:paraId="00C85647">
            <w:pPr>
              <w:adjustRightInd w:val="0"/>
              <w:snapToGri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09" w:type="pct"/>
            <w:tcBorders>
              <w:left w:val="single" w:color="auto" w:sz="4" w:space="0"/>
              <w:bottom w:val="single" w:color="auto" w:sz="4" w:space="0"/>
              <w:right w:val="single" w:color="auto" w:sz="4" w:space="0"/>
            </w:tcBorders>
            <w:vAlign w:val="center"/>
          </w:tcPr>
          <w:p w14:paraId="1B72EBB0">
            <w:pPr>
              <w:adjustRightInd w:val="0"/>
              <w:snapToGrid w:val="0"/>
              <w:spacing w:line="340" w:lineRule="exact"/>
              <w:jc w:val="center"/>
              <w:rPr>
                <w:rFonts w:ascii="宋体" w:hAnsi="宋体" w:cs="宋体"/>
                <w:color w:val="auto"/>
                <w:szCs w:val="21"/>
                <w:highlight w:val="none"/>
              </w:rPr>
            </w:pPr>
            <w:r>
              <w:rPr>
                <w:rFonts w:hint="eastAsia" w:ascii="宋体" w:hAnsi="宋体" w:cs="宋体"/>
                <w:bCs/>
                <w:color w:val="auto"/>
                <w:szCs w:val="21"/>
                <w:highlight w:val="none"/>
              </w:rPr>
              <w:t>无线移动多参数监护仪（1拖10）</w:t>
            </w:r>
          </w:p>
        </w:tc>
        <w:tc>
          <w:tcPr>
            <w:tcW w:w="360" w:type="pct"/>
            <w:tcBorders>
              <w:left w:val="single" w:color="auto" w:sz="4" w:space="0"/>
            </w:tcBorders>
            <w:vAlign w:val="center"/>
          </w:tcPr>
          <w:p w14:paraId="2E9E273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448" w:type="pct"/>
            <w:vAlign w:val="center"/>
          </w:tcPr>
          <w:p w14:paraId="239F755B">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54" w:type="pct"/>
            <w:tcBorders>
              <w:bottom w:val="single" w:color="auto" w:sz="4" w:space="0"/>
            </w:tcBorders>
            <w:vAlign w:val="center"/>
          </w:tcPr>
          <w:p w14:paraId="133E8CC0">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523" w:type="pct"/>
            <w:tcBorders>
              <w:right w:val="single" w:color="auto" w:sz="4" w:space="0"/>
            </w:tcBorders>
            <w:vAlign w:val="center"/>
          </w:tcPr>
          <w:p w14:paraId="2EFDA07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42.69</w:t>
            </w:r>
          </w:p>
        </w:tc>
        <w:tc>
          <w:tcPr>
            <w:tcW w:w="2288" w:type="pct"/>
            <w:tcBorders>
              <w:left w:val="single" w:color="auto" w:sz="4" w:space="0"/>
            </w:tcBorders>
          </w:tcPr>
          <w:p w14:paraId="1CF9BE91">
            <w:pPr>
              <w:spacing w:line="340" w:lineRule="exact"/>
              <w:rPr>
                <w:rFonts w:ascii="宋体" w:hAnsi="宋体" w:cs="宋体"/>
                <w:color w:val="auto"/>
                <w:highlight w:val="none"/>
                <w:lang w:val="zh-CN"/>
              </w:rPr>
            </w:pPr>
            <w:r>
              <w:rPr>
                <w:rFonts w:hint="eastAsia" w:ascii="宋体" w:hAnsi="宋体" w:cs="宋体"/>
                <w:color w:val="auto"/>
                <w:highlight w:val="none"/>
              </w:rPr>
              <w:t>1.组成部件：</w:t>
            </w:r>
            <w:r>
              <w:rPr>
                <w:rFonts w:hint="eastAsia" w:ascii="宋体" w:hAnsi="宋体" w:cs="宋体"/>
                <w:color w:val="auto"/>
                <w:highlight w:val="none"/>
                <w:lang w:val="zh-CN"/>
              </w:rPr>
              <w:t>主要由多参数监护主机、显示终端、温度组件、脉搏血氧组件、无创血压组件和心电组件组成。</w:t>
            </w:r>
          </w:p>
          <w:p w14:paraId="0FECD366">
            <w:pPr>
              <w:spacing w:line="340" w:lineRule="exact"/>
              <w:rPr>
                <w:rFonts w:ascii="宋体" w:hAnsi="宋体" w:cs="宋体"/>
                <w:color w:val="auto"/>
                <w:highlight w:val="none"/>
              </w:rPr>
            </w:pPr>
            <w:r>
              <w:rPr>
                <w:rFonts w:hint="eastAsia" w:ascii="宋体" w:hAnsi="宋体" w:cs="宋体"/>
                <w:color w:val="auto"/>
                <w:highlight w:val="none"/>
              </w:rPr>
              <w:t>2.可移动监测：监护设备可进行穿戴式监测，随时随地监测六项生命体征，支持患者转运过程中监测生命体征。</w:t>
            </w:r>
          </w:p>
          <w:p w14:paraId="1A8009E4">
            <w:pPr>
              <w:spacing w:line="340" w:lineRule="exac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zh-CN"/>
              </w:rPr>
              <w:t>工作条件：环境温度：0℃～40℃；相对湿度：≤95%</w:t>
            </w:r>
            <w:r>
              <w:rPr>
                <w:rFonts w:hint="eastAsia" w:ascii="宋体" w:hAnsi="宋体" w:cs="宋体"/>
                <w:color w:val="auto"/>
                <w:highlight w:val="none"/>
              </w:rPr>
              <w:t>。</w:t>
            </w:r>
          </w:p>
          <w:p w14:paraId="2371EA03">
            <w:pPr>
              <w:spacing w:line="340" w:lineRule="exact"/>
              <w:rPr>
                <w:rFonts w:ascii="宋体" w:hAnsi="宋体" w:cs="宋体"/>
                <w:color w:val="auto"/>
                <w:highlight w:val="none"/>
              </w:rPr>
            </w:pPr>
            <w:r>
              <w:rPr>
                <w:rFonts w:hint="eastAsia" w:ascii="宋体" w:hAnsi="宋体" w:cs="宋体"/>
                <w:color w:val="auto"/>
                <w:highlight w:val="none"/>
              </w:rPr>
              <w:t>4.监测性能</w:t>
            </w:r>
          </w:p>
          <w:p w14:paraId="20EE5A6E">
            <w:pPr>
              <w:spacing w:line="340" w:lineRule="exact"/>
              <w:rPr>
                <w:rFonts w:ascii="宋体" w:hAnsi="宋体" w:cs="宋体"/>
                <w:color w:val="auto"/>
                <w:highlight w:val="none"/>
                <w:lang w:val="zh-CN"/>
              </w:rPr>
            </w:pPr>
            <w:r>
              <w:rPr>
                <w:rFonts w:hint="eastAsia" w:ascii="宋体" w:hAnsi="宋体" w:cs="宋体"/>
                <w:color w:val="auto"/>
                <w:highlight w:val="none"/>
              </w:rPr>
              <w:t>4.1心电监测功能：具备心电监测功能，</w:t>
            </w:r>
            <w:r>
              <w:rPr>
                <w:rFonts w:hint="eastAsia" w:ascii="宋体" w:hAnsi="宋体" w:cs="宋体"/>
                <w:color w:val="auto"/>
                <w:highlight w:val="none"/>
                <w:lang w:val="zh-CN"/>
              </w:rPr>
              <w:t>导联</w:t>
            </w:r>
            <w:r>
              <w:rPr>
                <w:rFonts w:hint="eastAsia" w:ascii="宋体" w:hAnsi="宋体" w:cs="宋体"/>
                <w:color w:val="auto"/>
                <w:highlight w:val="none"/>
              </w:rPr>
              <w:t>标配</w:t>
            </w:r>
            <w:r>
              <w:rPr>
                <w:rFonts w:hint="eastAsia" w:ascii="宋体" w:hAnsi="宋体" w:cs="宋体"/>
                <w:color w:val="auto"/>
                <w:highlight w:val="none"/>
                <w:lang w:val="zh-CN"/>
              </w:rPr>
              <w:t xml:space="preserve">三导联、可选择五导联、十二导联。 </w:t>
            </w:r>
          </w:p>
          <w:p w14:paraId="124DEA2D">
            <w:pPr>
              <w:spacing w:line="340" w:lineRule="exact"/>
              <w:rPr>
                <w:rFonts w:ascii="宋体" w:hAnsi="宋体" w:cs="宋体"/>
                <w:color w:val="auto"/>
                <w:highlight w:val="none"/>
              </w:rPr>
            </w:pPr>
            <w:r>
              <w:rPr>
                <w:rFonts w:hint="eastAsia" w:ascii="宋体" w:hAnsi="宋体" w:cs="宋体"/>
                <w:color w:val="auto"/>
                <w:highlight w:val="none"/>
              </w:rPr>
              <w:t>4.2监测参数：具有心电、脉搏血氧、血压、心率、呼吸、温度测量功能一体。</w:t>
            </w:r>
          </w:p>
          <w:p w14:paraId="78901CFC">
            <w:pPr>
              <w:spacing w:line="340" w:lineRule="exact"/>
              <w:rPr>
                <w:rFonts w:ascii="宋体" w:hAnsi="宋体" w:cs="宋体"/>
                <w:color w:val="auto"/>
                <w:highlight w:val="none"/>
              </w:rPr>
            </w:pPr>
            <w:r>
              <w:rPr>
                <w:rFonts w:hint="eastAsia" w:ascii="宋体" w:hAnsi="宋体" w:cs="宋体"/>
                <w:color w:val="auto"/>
                <w:highlight w:val="none"/>
              </w:rPr>
              <w:t>4.3测量功能：</w:t>
            </w:r>
          </w:p>
          <w:p w14:paraId="1A57CC4B">
            <w:pPr>
              <w:spacing w:line="340" w:lineRule="exact"/>
              <w:rPr>
                <w:rFonts w:ascii="宋体" w:hAnsi="宋体" w:cs="宋体"/>
                <w:color w:val="auto"/>
                <w:highlight w:val="none"/>
              </w:rPr>
            </w:pPr>
            <w:r>
              <w:rPr>
                <w:rFonts w:hint="eastAsia" w:ascii="宋体" w:hAnsi="宋体" w:cs="宋体"/>
                <w:color w:val="auto"/>
                <w:highlight w:val="none"/>
              </w:rPr>
              <w:t>4.3.1静态压力测量范围0kpa(0mmHg)</w:t>
            </w:r>
            <w:r>
              <w:rPr>
                <w:rFonts w:hint="eastAsia" w:ascii="宋体" w:hAnsi="宋体" w:cs="宋体"/>
                <w:color w:val="auto"/>
                <w:highlight w:val="none"/>
                <w:lang w:val="zh-CN"/>
              </w:rPr>
              <w:t>～</w:t>
            </w:r>
            <w:r>
              <w:rPr>
                <w:rFonts w:hint="eastAsia" w:ascii="宋体" w:hAnsi="宋体" w:cs="宋体"/>
                <w:color w:val="auto"/>
                <w:highlight w:val="none"/>
              </w:rPr>
              <w:t>40kpa(300mmHg)</w:t>
            </w:r>
            <w:r>
              <w:rPr>
                <w:rFonts w:hint="eastAsia" w:ascii="宋体" w:hAnsi="宋体" w:cs="宋体"/>
                <w:color w:val="auto"/>
                <w:highlight w:val="none"/>
                <w:lang w:val="zh-CN"/>
              </w:rPr>
              <w:t>，</w:t>
            </w:r>
            <w:r>
              <w:rPr>
                <w:rFonts w:hint="eastAsia" w:ascii="宋体" w:hAnsi="宋体" w:cs="宋体"/>
                <w:color w:val="auto"/>
                <w:highlight w:val="none"/>
              </w:rPr>
              <w:t>误差应不大于±0.4kpa（3mmHg）。</w:t>
            </w:r>
          </w:p>
          <w:p w14:paraId="736A4C02">
            <w:pPr>
              <w:spacing w:line="340" w:lineRule="exact"/>
              <w:rPr>
                <w:rFonts w:ascii="宋体" w:hAnsi="宋体" w:cs="宋体"/>
                <w:color w:val="auto"/>
                <w:highlight w:val="none"/>
              </w:rPr>
            </w:pPr>
            <w:r>
              <w:rPr>
                <w:rFonts w:hint="eastAsia" w:ascii="宋体" w:hAnsi="宋体" w:cs="宋体"/>
                <w:color w:val="auto"/>
                <w:highlight w:val="none"/>
              </w:rPr>
              <w:t>4.3.2心电测量范围成人30bpm~300bpm;儿童测量范围30bpm~350bpm。误差应不大于±1%或±1bpm。</w:t>
            </w:r>
          </w:p>
          <w:p w14:paraId="2E76BF92">
            <w:pPr>
              <w:spacing w:line="340" w:lineRule="exact"/>
              <w:rPr>
                <w:rFonts w:ascii="宋体" w:hAnsi="宋体" w:cs="宋体"/>
                <w:color w:val="auto"/>
                <w:highlight w:val="none"/>
                <w:lang w:val="zh-CN"/>
              </w:rPr>
            </w:pPr>
            <w:r>
              <w:rPr>
                <w:rFonts w:hint="eastAsia" w:ascii="宋体" w:hAnsi="宋体" w:cs="宋体"/>
                <w:color w:val="auto"/>
                <w:highlight w:val="none"/>
              </w:rPr>
              <w:t>4.3.3</w:t>
            </w:r>
            <w:r>
              <w:rPr>
                <w:rFonts w:hint="eastAsia" w:ascii="宋体" w:hAnsi="宋体" w:cs="宋体"/>
                <w:color w:val="auto"/>
                <w:highlight w:val="none"/>
                <w:lang w:val="zh-CN"/>
              </w:rPr>
              <w:t>血氧测量范围</w:t>
            </w:r>
            <w:bookmarkStart w:id="42" w:name="OLE_LINK1"/>
            <w:r>
              <w:rPr>
                <w:rFonts w:hint="eastAsia" w:ascii="宋体" w:hAnsi="宋体" w:cs="宋体"/>
                <w:color w:val="auto"/>
                <w:highlight w:val="none"/>
                <w:lang w:val="zh-CN"/>
              </w:rPr>
              <w:t>70%～100%，精度70% ～100% 、±2%</w:t>
            </w:r>
            <w:bookmarkEnd w:id="42"/>
            <w:r>
              <w:rPr>
                <w:rFonts w:hint="eastAsia" w:ascii="宋体" w:hAnsi="宋体" w:cs="宋体"/>
                <w:color w:val="auto"/>
                <w:highlight w:val="none"/>
              </w:rPr>
              <w:t>。</w:t>
            </w:r>
          </w:p>
          <w:p w14:paraId="18F37019">
            <w:pPr>
              <w:spacing w:line="340" w:lineRule="exact"/>
              <w:rPr>
                <w:rFonts w:ascii="宋体" w:hAnsi="宋体" w:cs="宋体"/>
                <w:color w:val="auto"/>
                <w:highlight w:val="none"/>
              </w:rPr>
            </w:pPr>
            <w:r>
              <w:rPr>
                <w:rFonts w:hint="eastAsia" w:ascii="宋体" w:hAnsi="宋体" w:cs="宋体"/>
                <w:color w:val="auto"/>
                <w:highlight w:val="none"/>
              </w:rPr>
              <w:t>4.3.4</w:t>
            </w:r>
            <w:r>
              <w:rPr>
                <w:rFonts w:hint="eastAsia" w:ascii="宋体" w:hAnsi="宋体" w:cs="宋体"/>
                <w:color w:val="auto"/>
                <w:highlight w:val="none"/>
                <w:lang w:val="zh-CN"/>
              </w:rPr>
              <w:t>脉率测量范围30bpm～200bpm，精度±1bpm或±1%</w:t>
            </w:r>
            <w:r>
              <w:rPr>
                <w:rFonts w:hint="eastAsia" w:ascii="宋体" w:hAnsi="宋体" w:cs="宋体"/>
                <w:color w:val="auto"/>
                <w:highlight w:val="none"/>
              </w:rPr>
              <w:t>。</w:t>
            </w:r>
          </w:p>
          <w:p w14:paraId="3762885D">
            <w:pPr>
              <w:spacing w:line="340" w:lineRule="exact"/>
              <w:rPr>
                <w:rFonts w:ascii="宋体" w:hAnsi="宋体" w:cs="宋体"/>
                <w:color w:val="auto"/>
                <w:highlight w:val="none"/>
                <w:lang w:val="zh-CN"/>
              </w:rPr>
            </w:pPr>
            <w:r>
              <w:rPr>
                <w:rFonts w:hint="eastAsia" w:ascii="宋体" w:hAnsi="宋体" w:cs="宋体"/>
                <w:color w:val="auto"/>
                <w:highlight w:val="none"/>
              </w:rPr>
              <w:t>4.3.5</w:t>
            </w:r>
            <w:r>
              <w:rPr>
                <w:rFonts w:hint="eastAsia" w:ascii="宋体" w:hAnsi="宋体" w:cs="宋体"/>
                <w:color w:val="auto"/>
                <w:highlight w:val="none"/>
                <w:lang w:val="zh-CN"/>
              </w:rPr>
              <w:t>呼吸率测量范围10rpm～120rpm，精度±2rpm或±2%</w:t>
            </w:r>
            <w:r>
              <w:rPr>
                <w:rFonts w:hint="eastAsia" w:ascii="宋体" w:hAnsi="宋体" w:cs="宋体"/>
                <w:color w:val="auto"/>
                <w:highlight w:val="none"/>
              </w:rPr>
              <w:t>。</w:t>
            </w:r>
          </w:p>
          <w:p w14:paraId="48D9F883">
            <w:pPr>
              <w:spacing w:line="340" w:lineRule="exact"/>
              <w:rPr>
                <w:rFonts w:ascii="宋体" w:hAnsi="宋体" w:cs="宋体"/>
                <w:color w:val="auto"/>
                <w:highlight w:val="none"/>
                <w:lang w:val="zh-CN"/>
              </w:rPr>
            </w:pPr>
            <w:r>
              <w:rPr>
                <w:rFonts w:hint="eastAsia" w:ascii="宋体" w:hAnsi="宋体" w:cs="宋体"/>
                <w:color w:val="auto"/>
                <w:highlight w:val="none"/>
              </w:rPr>
              <w:t>4.3.6</w:t>
            </w:r>
            <w:r>
              <w:rPr>
                <w:rFonts w:hint="eastAsia" w:ascii="宋体" w:hAnsi="宋体" w:cs="宋体"/>
                <w:color w:val="auto"/>
                <w:highlight w:val="none"/>
                <w:lang w:val="zh-CN"/>
              </w:rPr>
              <w:t>温度测量范围15</w:t>
            </w:r>
            <w:r>
              <w:rPr>
                <w:rFonts w:hint="eastAsia" w:ascii="宋体" w:hAnsi="宋体" w:cs="宋体"/>
                <w:color w:val="auto"/>
                <w:szCs w:val="21"/>
                <w:highlight w:val="none"/>
              </w:rPr>
              <w:t>~</w:t>
            </w:r>
            <w:r>
              <w:rPr>
                <w:rFonts w:hint="eastAsia" w:ascii="宋体" w:hAnsi="宋体" w:cs="宋体"/>
                <w:color w:val="auto"/>
                <w:highlight w:val="none"/>
                <w:lang w:val="zh-CN"/>
              </w:rPr>
              <w:t>45℃，精度在37.0</w:t>
            </w:r>
            <w:r>
              <w:rPr>
                <w:rFonts w:hint="eastAsia" w:ascii="宋体" w:hAnsi="宋体" w:cs="宋体"/>
                <w:color w:val="auto"/>
                <w:szCs w:val="21"/>
                <w:highlight w:val="none"/>
              </w:rPr>
              <w:t>~</w:t>
            </w:r>
            <w:r>
              <w:rPr>
                <w:rFonts w:hint="eastAsia" w:ascii="宋体" w:hAnsi="宋体" w:cs="宋体"/>
                <w:color w:val="auto"/>
                <w:highlight w:val="none"/>
                <w:lang w:val="zh-CN"/>
              </w:rPr>
              <w:t>39.0℃范围内最大允许误差±0.1℃，在其他测量范围最大允许误差±0.2℃。</w:t>
            </w:r>
          </w:p>
          <w:p w14:paraId="2FDDD7DE">
            <w:pPr>
              <w:spacing w:line="340" w:lineRule="exact"/>
              <w:rPr>
                <w:rFonts w:ascii="宋体" w:hAnsi="宋体" w:cs="宋体"/>
                <w:color w:val="auto"/>
                <w:highlight w:val="none"/>
              </w:rPr>
            </w:pPr>
            <w:r>
              <w:rPr>
                <w:rFonts w:hint="eastAsia" w:ascii="宋体" w:hAnsi="宋体" w:cs="宋体"/>
                <w:color w:val="auto"/>
                <w:highlight w:val="none"/>
              </w:rPr>
              <w:t>5.交互功能</w:t>
            </w:r>
          </w:p>
          <w:p w14:paraId="1B9B0819">
            <w:pPr>
              <w:spacing w:line="340" w:lineRule="exact"/>
              <w:rPr>
                <w:rFonts w:ascii="宋体" w:hAnsi="宋体" w:cs="宋体"/>
                <w:color w:val="auto"/>
                <w:highlight w:val="none"/>
                <w:lang w:val="zh-CN"/>
              </w:rPr>
            </w:pPr>
            <w:r>
              <w:rPr>
                <w:rFonts w:hint="eastAsia" w:ascii="宋体" w:hAnsi="宋体" w:cs="宋体"/>
                <w:color w:val="auto"/>
                <w:highlight w:val="none"/>
              </w:rPr>
              <w:t>5.1智能功能：</w:t>
            </w:r>
            <w:r>
              <w:rPr>
                <w:rFonts w:hint="eastAsia" w:ascii="宋体" w:hAnsi="宋体" w:cs="宋体"/>
                <w:color w:val="auto"/>
                <w:highlight w:val="none"/>
                <w:lang w:val="zh-CN"/>
              </w:rPr>
              <w:t>拥有人机交互，医患交互功能，可实现病人与监护中央站语音/视频/对话。</w:t>
            </w:r>
          </w:p>
          <w:p w14:paraId="7BD160F6">
            <w:pPr>
              <w:spacing w:line="340" w:lineRule="exact"/>
              <w:rPr>
                <w:rFonts w:ascii="宋体" w:hAnsi="宋体" w:cs="宋体"/>
                <w:color w:val="auto"/>
                <w:highlight w:val="none"/>
              </w:rPr>
            </w:pPr>
            <w:r>
              <w:rPr>
                <w:rFonts w:hint="eastAsia" w:ascii="宋体" w:hAnsi="宋体" w:cs="宋体"/>
                <w:color w:val="auto"/>
                <w:highlight w:val="none"/>
              </w:rPr>
              <w:t>5.2语音控制功能：具备语音控制功能。</w:t>
            </w:r>
          </w:p>
          <w:p w14:paraId="474C8236">
            <w:pPr>
              <w:spacing w:line="340" w:lineRule="exact"/>
              <w:rPr>
                <w:rFonts w:ascii="宋体" w:hAnsi="宋体" w:cs="宋体"/>
                <w:color w:val="auto"/>
                <w:highlight w:val="none"/>
              </w:rPr>
            </w:pPr>
            <w:r>
              <w:rPr>
                <w:rFonts w:hint="eastAsia" w:ascii="宋体" w:hAnsi="宋体" w:cs="宋体"/>
                <w:color w:val="auto"/>
                <w:highlight w:val="none"/>
              </w:rPr>
              <w:t>5.3触摸屏功能：设备具有触摸屏功能。</w:t>
            </w:r>
          </w:p>
          <w:p w14:paraId="3B5E3735">
            <w:pPr>
              <w:spacing w:line="340" w:lineRule="exact"/>
              <w:rPr>
                <w:rFonts w:ascii="宋体" w:hAnsi="宋体" w:cs="宋体"/>
                <w:color w:val="auto"/>
                <w:highlight w:val="none"/>
              </w:rPr>
            </w:pPr>
            <w:r>
              <w:rPr>
                <w:rFonts w:hint="eastAsia" w:ascii="宋体" w:hAnsi="宋体" w:cs="宋体"/>
                <w:color w:val="auto"/>
                <w:highlight w:val="none"/>
              </w:rPr>
              <w:t>6.提示功能</w:t>
            </w:r>
          </w:p>
          <w:p w14:paraId="6F16F583">
            <w:pPr>
              <w:spacing w:line="340" w:lineRule="exact"/>
              <w:rPr>
                <w:rFonts w:ascii="宋体" w:hAnsi="宋体" w:cs="宋体"/>
                <w:color w:val="auto"/>
                <w:highlight w:val="none"/>
              </w:rPr>
            </w:pPr>
            <w:r>
              <w:rPr>
                <w:rFonts w:hint="eastAsia" w:ascii="宋体" w:hAnsi="宋体" w:cs="宋体"/>
                <w:color w:val="auto"/>
                <w:highlight w:val="none"/>
              </w:rPr>
              <w:t>6.1低电量提醒：当电压低于额定压的90%时，会在终端出现电量不足提示。</w:t>
            </w:r>
          </w:p>
          <w:p w14:paraId="402058DB">
            <w:pPr>
              <w:spacing w:line="340" w:lineRule="exact"/>
              <w:rPr>
                <w:rFonts w:ascii="宋体" w:hAnsi="宋体" w:cs="宋体"/>
                <w:color w:val="auto"/>
                <w:highlight w:val="none"/>
              </w:rPr>
            </w:pPr>
            <w:r>
              <w:rPr>
                <w:rFonts w:hint="eastAsia" w:ascii="宋体" w:hAnsi="宋体" w:cs="宋体"/>
                <w:color w:val="auto"/>
                <w:highlight w:val="none"/>
              </w:rPr>
              <w:t>6.2断开提醒：当监测终端与显示终端断开连接时会在终端出现断开连接的提示。</w:t>
            </w:r>
          </w:p>
          <w:p w14:paraId="1C1F296A">
            <w:pPr>
              <w:spacing w:line="340" w:lineRule="exact"/>
              <w:rPr>
                <w:rFonts w:ascii="宋体" w:hAnsi="宋体" w:cs="宋体"/>
                <w:color w:val="auto"/>
                <w:highlight w:val="none"/>
              </w:rPr>
            </w:pPr>
            <w:r>
              <w:rPr>
                <w:rFonts w:hint="eastAsia" w:ascii="宋体" w:hAnsi="宋体" w:cs="宋体"/>
                <w:color w:val="auto"/>
                <w:highlight w:val="none"/>
              </w:rPr>
              <w:t>7.数据管理与分析</w:t>
            </w:r>
          </w:p>
          <w:p w14:paraId="7E7F2507">
            <w:pPr>
              <w:spacing w:line="340" w:lineRule="exact"/>
              <w:rPr>
                <w:rFonts w:ascii="宋体" w:hAnsi="宋体" w:cs="宋体"/>
                <w:color w:val="auto"/>
                <w:highlight w:val="none"/>
              </w:rPr>
            </w:pPr>
            <w:r>
              <w:rPr>
                <w:rFonts w:hint="eastAsia" w:ascii="宋体" w:hAnsi="宋体" w:cs="宋体"/>
                <w:color w:val="auto"/>
                <w:highlight w:val="none"/>
              </w:rPr>
              <w:t>7.1数据和趋势存储与回顾功能：监测数据和趋势可实时存储，全参数可实时回顾，多通道可全息回放。</w:t>
            </w:r>
          </w:p>
          <w:p w14:paraId="7F613AA4">
            <w:pPr>
              <w:spacing w:line="340" w:lineRule="exact"/>
              <w:rPr>
                <w:rFonts w:ascii="宋体" w:hAnsi="宋体" w:cs="宋体"/>
                <w:color w:val="auto"/>
                <w:highlight w:val="none"/>
              </w:rPr>
            </w:pPr>
            <w:r>
              <w:rPr>
                <w:rFonts w:hint="eastAsia" w:ascii="宋体" w:hAnsi="宋体" w:cs="宋体"/>
                <w:color w:val="auto"/>
                <w:highlight w:val="none"/>
              </w:rPr>
              <w:t>7.2中央监护数据储存：10000例以上且储存空间可拓展。</w:t>
            </w:r>
          </w:p>
          <w:p w14:paraId="79043DC8">
            <w:pPr>
              <w:spacing w:line="340" w:lineRule="exact"/>
              <w:rPr>
                <w:rFonts w:ascii="宋体" w:hAnsi="宋体" w:cs="宋体"/>
                <w:color w:val="auto"/>
                <w:highlight w:val="none"/>
              </w:rPr>
            </w:pPr>
            <w:r>
              <w:rPr>
                <w:rFonts w:hint="eastAsia" w:ascii="宋体" w:hAnsi="宋体" w:cs="宋体"/>
                <w:color w:val="auto"/>
                <w:highlight w:val="none"/>
              </w:rPr>
              <w:t>7.3监护分析和报告功能软件：中央监护对各监护患者进行24小时高精度心律异常统计分析与编辑，24小时血压趋势统计分析与编辑，24小时综合参数汇总统计与分析，并可对分析或编辑后的结果进行打印或保存。</w:t>
            </w:r>
          </w:p>
          <w:p w14:paraId="0B3ED7B1">
            <w:pPr>
              <w:spacing w:line="340" w:lineRule="exact"/>
              <w:rPr>
                <w:rFonts w:ascii="宋体" w:hAnsi="宋体" w:cs="宋体"/>
                <w:color w:val="auto"/>
                <w:highlight w:val="none"/>
              </w:rPr>
            </w:pPr>
            <w:r>
              <w:rPr>
                <w:rFonts w:hint="eastAsia" w:ascii="宋体" w:hAnsi="宋体" w:cs="宋体"/>
                <w:color w:val="auto"/>
                <w:highlight w:val="none"/>
              </w:rPr>
              <w:t>8.显示功能</w:t>
            </w:r>
          </w:p>
          <w:p w14:paraId="35119161">
            <w:pPr>
              <w:spacing w:line="340" w:lineRule="exact"/>
              <w:rPr>
                <w:rFonts w:ascii="宋体" w:hAnsi="宋体" w:cs="宋体"/>
                <w:color w:val="auto"/>
                <w:highlight w:val="none"/>
              </w:rPr>
            </w:pPr>
            <w:r>
              <w:rPr>
                <w:rFonts w:hint="eastAsia" w:ascii="宋体" w:hAnsi="宋体" w:cs="宋体"/>
                <w:color w:val="auto"/>
                <w:highlight w:val="none"/>
              </w:rPr>
              <w:t>8.1监护仪显示功能：可将多参数监护仪的监测数据无线传输，数据兼容匹配</w:t>
            </w:r>
            <w:r>
              <w:rPr>
                <w:rFonts w:hint="eastAsia" w:ascii="宋体" w:hAnsi="宋体" w:cs="宋体"/>
                <w:color w:val="auto"/>
                <w:highlight w:val="none"/>
                <w:lang w:eastAsia="zh-CN"/>
              </w:rPr>
              <w:t>其他</w:t>
            </w:r>
            <w:r>
              <w:rPr>
                <w:rFonts w:hint="eastAsia" w:ascii="宋体" w:hAnsi="宋体" w:cs="宋体"/>
                <w:color w:val="auto"/>
                <w:highlight w:val="none"/>
              </w:rPr>
              <w:t>品牌监护仪实时显示。</w:t>
            </w:r>
          </w:p>
          <w:p w14:paraId="2BFB5FA7">
            <w:pPr>
              <w:spacing w:line="340" w:lineRule="exact"/>
              <w:rPr>
                <w:rFonts w:ascii="宋体" w:hAnsi="宋体" w:cs="宋体"/>
                <w:color w:val="auto"/>
                <w:highlight w:val="none"/>
                <w:lang w:val="zh-CN"/>
              </w:rPr>
            </w:pPr>
            <w:r>
              <w:rPr>
                <w:rFonts w:hint="eastAsia" w:ascii="宋体" w:hAnsi="宋体" w:cs="宋体"/>
                <w:color w:val="auto"/>
                <w:highlight w:val="none"/>
              </w:rPr>
              <w:t>8.2系统及显示：</w:t>
            </w:r>
            <w:r>
              <w:rPr>
                <w:rFonts w:hint="eastAsia" w:ascii="宋体" w:hAnsi="宋体" w:cs="宋体"/>
                <w:color w:val="auto"/>
                <w:highlight w:val="none"/>
                <w:lang w:val="zh-CN"/>
              </w:rPr>
              <w:t>采用≥4.3英寸触摸屏，智能安卓系统、软件可</w:t>
            </w:r>
            <w:r>
              <w:rPr>
                <w:rFonts w:hint="eastAsia" w:ascii="宋体" w:hAnsi="宋体" w:cs="宋体"/>
                <w:color w:val="auto"/>
                <w:highlight w:val="none"/>
              </w:rPr>
              <w:t>扩</w:t>
            </w:r>
            <w:r>
              <w:rPr>
                <w:rFonts w:hint="eastAsia" w:ascii="宋体" w:hAnsi="宋体" w:cs="宋体"/>
                <w:color w:val="auto"/>
                <w:highlight w:val="none"/>
                <w:lang w:val="zh-CN"/>
              </w:rPr>
              <w:t>展性强。</w:t>
            </w:r>
          </w:p>
          <w:p w14:paraId="7E23C491">
            <w:pPr>
              <w:spacing w:line="340" w:lineRule="exact"/>
              <w:rPr>
                <w:rFonts w:ascii="宋体" w:hAnsi="宋体" w:cs="宋体"/>
                <w:color w:val="auto"/>
                <w:highlight w:val="none"/>
              </w:rPr>
            </w:pPr>
            <w:r>
              <w:rPr>
                <w:rFonts w:hint="eastAsia" w:ascii="宋体" w:hAnsi="宋体" w:cs="宋体"/>
                <w:color w:val="auto"/>
                <w:highlight w:val="none"/>
              </w:rPr>
              <w:t>8.3中央监护支持PC/手机APP端：同时支持手机APP端和PC端中央监护显示功能。</w:t>
            </w:r>
          </w:p>
          <w:p w14:paraId="01C1EF38">
            <w:pPr>
              <w:spacing w:line="340" w:lineRule="exact"/>
              <w:rPr>
                <w:rFonts w:ascii="宋体" w:hAnsi="宋体" w:cs="宋体"/>
                <w:color w:val="auto"/>
                <w:highlight w:val="none"/>
              </w:rPr>
            </w:pPr>
            <w:r>
              <w:rPr>
                <w:rFonts w:hint="eastAsia" w:ascii="宋体" w:hAnsi="宋体" w:cs="宋体"/>
                <w:color w:val="auto"/>
                <w:highlight w:val="none"/>
              </w:rPr>
              <w:t>9.报警功能</w:t>
            </w:r>
          </w:p>
          <w:p w14:paraId="23F964F1">
            <w:pPr>
              <w:spacing w:line="340" w:lineRule="exact"/>
              <w:rPr>
                <w:rFonts w:ascii="宋体" w:hAnsi="宋体" w:cs="宋体"/>
                <w:color w:val="auto"/>
                <w:highlight w:val="none"/>
              </w:rPr>
            </w:pPr>
            <w:r>
              <w:rPr>
                <w:rFonts w:hint="eastAsia" w:ascii="宋体" w:hAnsi="宋体" w:cs="宋体"/>
                <w:color w:val="auto"/>
                <w:highlight w:val="none"/>
              </w:rPr>
              <w:t>9.1报警参数下发及远程操控功能：可以在中央监护端远程设置多参数监护终端的全参数报警上下限，并可远程控制多参监护仪进行血压监测</w:t>
            </w:r>
          </w:p>
          <w:p w14:paraId="17C96C57">
            <w:pPr>
              <w:spacing w:line="340" w:lineRule="exact"/>
              <w:rPr>
                <w:rFonts w:ascii="宋体" w:hAnsi="宋体" w:cs="宋体"/>
                <w:color w:val="auto"/>
                <w:highlight w:val="none"/>
              </w:rPr>
            </w:pPr>
            <w:r>
              <w:rPr>
                <w:rFonts w:hint="eastAsia" w:ascii="宋体" w:hAnsi="宋体" w:cs="宋体"/>
                <w:color w:val="auto"/>
                <w:highlight w:val="none"/>
              </w:rPr>
              <w:t>9.2报警功能：</w:t>
            </w:r>
            <w:r>
              <w:rPr>
                <w:rFonts w:hint="eastAsia" w:ascii="宋体" w:hAnsi="宋体" w:cs="宋体"/>
                <w:color w:val="auto"/>
                <w:highlight w:val="none"/>
                <w:lang w:val="zh-CN"/>
              </w:rPr>
              <w:t>具有动态血压、心电、</w:t>
            </w:r>
            <w:r>
              <w:rPr>
                <w:rFonts w:hint="eastAsia" w:ascii="宋体" w:hAnsi="宋体" w:cs="宋体"/>
                <w:color w:val="auto"/>
                <w:highlight w:val="none"/>
              </w:rPr>
              <w:t>血</w:t>
            </w:r>
            <w:r>
              <w:rPr>
                <w:rFonts w:hint="eastAsia" w:ascii="宋体" w:hAnsi="宋体" w:cs="宋体"/>
                <w:color w:val="auto"/>
                <w:highlight w:val="none"/>
                <w:lang w:val="zh-CN"/>
              </w:rPr>
              <w:t>氧饱和度、温度和呼吸率报警功能选择和消警功能，</w:t>
            </w:r>
            <w:r>
              <w:rPr>
                <w:rFonts w:hint="eastAsia" w:ascii="宋体" w:hAnsi="宋体" w:cs="宋体"/>
                <w:color w:val="auto"/>
                <w:highlight w:val="none"/>
              </w:rPr>
              <w:t>生理参数预警支持自定义。</w:t>
            </w:r>
          </w:p>
          <w:p w14:paraId="7DD3FEDA">
            <w:pPr>
              <w:spacing w:line="340" w:lineRule="exact"/>
              <w:rPr>
                <w:rFonts w:ascii="宋体" w:hAnsi="宋体" w:cs="宋体"/>
                <w:color w:val="auto"/>
                <w:highlight w:val="none"/>
              </w:rPr>
            </w:pPr>
            <w:r>
              <w:rPr>
                <w:rFonts w:hint="eastAsia" w:ascii="宋体" w:hAnsi="宋体" w:cs="宋体"/>
                <w:color w:val="auto"/>
                <w:highlight w:val="none"/>
              </w:rPr>
              <w:t>10.多种无线组网方式：可以通过4G/</w:t>
            </w:r>
            <w:r>
              <w:rPr>
                <w:rFonts w:hint="eastAsia" w:ascii="宋体" w:hAnsi="宋体" w:cs="宋体"/>
                <w:color w:val="auto"/>
                <w:szCs w:val="21"/>
                <w:highlight w:val="none"/>
              </w:rPr>
              <w:t>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w:t>
            </w:r>
            <w:r>
              <w:rPr>
                <w:rFonts w:hint="eastAsia" w:ascii="宋体" w:hAnsi="宋体" w:cs="宋体"/>
                <w:color w:val="auto"/>
                <w:highlight w:val="none"/>
              </w:rPr>
              <w:t>等方式进行无线组网。并可与医院有线网络扩展对接，与医院信息系统进行单向或双向信息互通。</w:t>
            </w:r>
          </w:p>
          <w:p w14:paraId="04590FF2">
            <w:pPr>
              <w:spacing w:line="340" w:lineRule="exact"/>
              <w:rPr>
                <w:rFonts w:ascii="宋体" w:hAnsi="宋体" w:cs="宋体"/>
                <w:color w:val="auto"/>
                <w:highlight w:val="none"/>
              </w:rPr>
            </w:pPr>
            <w:r>
              <w:rPr>
                <w:rFonts w:hint="eastAsia" w:ascii="宋体" w:hAnsi="宋体" w:cs="宋体"/>
                <w:color w:val="auto"/>
                <w:highlight w:val="none"/>
              </w:rPr>
              <w:t>11.无线传输功能：</w:t>
            </w:r>
            <w:r>
              <w:rPr>
                <w:rFonts w:hint="eastAsia" w:ascii="宋体" w:hAnsi="宋体" w:cs="宋体"/>
                <w:color w:val="auto"/>
                <w:highlight w:val="none"/>
                <w:lang w:val="zh-CN"/>
              </w:rPr>
              <w:t>设备具有4G/</w:t>
            </w:r>
            <w:r>
              <w:rPr>
                <w:rFonts w:hint="eastAsia" w:ascii="宋体" w:hAnsi="宋体" w:cs="宋体"/>
                <w:color w:val="auto"/>
                <w:szCs w:val="21"/>
                <w:highlight w:val="none"/>
              </w:rPr>
              <w:t>Wi</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Fi</w:t>
            </w:r>
            <w:r>
              <w:rPr>
                <w:rFonts w:hint="eastAsia" w:ascii="宋体" w:hAnsi="宋体" w:cs="宋体"/>
                <w:color w:val="auto"/>
                <w:highlight w:val="none"/>
                <w:lang w:val="zh-CN"/>
              </w:rPr>
              <w:t>等无线网络接入功能，</w:t>
            </w:r>
            <w:r>
              <w:rPr>
                <w:rFonts w:hint="eastAsia" w:ascii="宋体" w:hAnsi="宋体" w:cs="宋体"/>
                <w:color w:val="auto"/>
                <w:highlight w:val="none"/>
              </w:rPr>
              <w:t>可实现无线传输。</w:t>
            </w:r>
          </w:p>
          <w:p w14:paraId="505B16DC">
            <w:pPr>
              <w:spacing w:line="340" w:lineRule="exact"/>
              <w:rPr>
                <w:rFonts w:ascii="宋体" w:hAnsi="宋体" w:cs="宋体"/>
                <w:color w:val="auto"/>
                <w:highlight w:val="none"/>
              </w:rPr>
            </w:pPr>
            <w:r>
              <w:rPr>
                <w:rFonts w:hint="eastAsia" w:ascii="宋体" w:hAnsi="宋体" w:cs="宋体"/>
                <w:color w:val="auto"/>
                <w:highlight w:val="none"/>
              </w:rPr>
              <w:t>12.电外科干扰抑制：</w:t>
            </w:r>
            <w:r>
              <w:rPr>
                <w:rFonts w:hint="eastAsia" w:ascii="宋体" w:hAnsi="宋体" w:cs="宋体"/>
                <w:color w:val="auto"/>
                <w:highlight w:val="none"/>
                <w:lang w:val="zh-CN"/>
              </w:rPr>
              <w:t>具备电外科干扰抑制功能。</w:t>
            </w:r>
          </w:p>
          <w:p w14:paraId="1367B095">
            <w:pPr>
              <w:spacing w:line="340" w:lineRule="exact"/>
              <w:rPr>
                <w:rFonts w:ascii="宋体" w:hAnsi="宋体" w:cs="宋体"/>
                <w:color w:val="auto"/>
                <w:highlight w:val="none"/>
              </w:rPr>
            </w:pPr>
            <w:r>
              <w:rPr>
                <w:rFonts w:hint="eastAsia" w:ascii="宋体" w:hAnsi="宋体" w:cs="宋体"/>
                <w:color w:val="auto"/>
                <w:highlight w:val="none"/>
              </w:rPr>
              <w:t>13.输入阻抗：对具有心电图波形显示能力的监护仪，输入阻抗不小于10MΩ。</w:t>
            </w:r>
          </w:p>
          <w:p w14:paraId="67A3BEDF">
            <w:pPr>
              <w:spacing w:line="340" w:lineRule="exact"/>
              <w:rPr>
                <w:rFonts w:ascii="宋体" w:hAnsi="宋体" w:cs="宋体"/>
                <w:color w:val="auto"/>
                <w:highlight w:val="none"/>
              </w:rPr>
            </w:pPr>
            <w:r>
              <w:rPr>
                <w:rFonts w:hint="eastAsia" w:ascii="宋体" w:hAnsi="宋体" w:cs="宋体"/>
                <w:color w:val="auto"/>
                <w:highlight w:val="none"/>
              </w:rPr>
              <w:t xml:space="preserve">14.共模抑制：监护仪的共模信号抑制能力分别为诊断＞90dB，监护＞105dB，手术＞105dB </w:t>
            </w:r>
          </w:p>
          <w:p w14:paraId="460695C9">
            <w:pPr>
              <w:spacing w:line="340" w:lineRule="exact"/>
              <w:rPr>
                <w:rFonts w:ascii="宋体" w:hAnsi="宋体" w:cs="宋体"/>
                <w:color w:val="auto"/>
                <w:highlight w:val="none"/>
              </w:rPr>
            </w:pPr>
            <w:r>
              <w:rPr>
                <w:rFonts w:hint="eastAsia" w:ascii="宋体" w:hAnsi="宋体" w:cs="宋体"/>
                <w:color w:val="auto"/>
                <w:highlight w:val="none"/>
              </w:rPr>
              <w:t>15.防水等级：≥IPX2。</w:t>
            </w:r>
          </w:p>
          <w:p w14:paraId="2709E8B7">
            <w:pPr>
              <w:spacing w:line="340" w:lineRule="exact"/>
              <w:rPr>
                <w:rFonts w:ascii="宋体" w:hAnsi="宋体" w:cs="宋体"/>
                <w:color w:val="auto"/>
                <w:highlight w:val="none"/>
              </w:rPr>
            </w:pPr>
            <w:r>
              <w:rPr>
                <w:rFonts w:hint="eastAsia" w:ascii="宋体" w:hAnsi="宋体" w:cs="宋体"/>
                <w:color w:val="auto"/>
                <w:highlight w:val="none"/>
              </w:rPr>
              <w:t>16.显示功能：支持多屏显示、同时拥有手机 APP 端和 PC 端中央监护显示功能。</w:t>
            </w:r>
          </w:p>
          <w:p w14:paraId="0B7C3024">
            <w:pPr>
              <w:spacing w:line="340" w:lineRule="exact"/>
              <w:rPr>
                <w:rFonts w:ascii="宋体" w:hAnsi="宋体" w:cs="宋体"/>
                <w:color w:val="auto"/>
                <w:highlight w:val="none"/>
              </w:rPr>
            </w:pPr>
            <w:r>
              <w:rPr>
                <w:rFonts w:hint="eastAsia" w:ascii="宋体" w:hAnsi="宋体" w:cs="宋体"/>
                <w:color w:val="auto"/>
                <w:highlight w:val="none"/>
              </w:rPr>
              <w:t>17.中央监护系统技术要求</w:t>
            </w:r>
          </w:p>
          <w:p w14:paraId="49F831B9">
            <w:pPr>
              <w:spacing w:line="340" w:lineRule="exact"/>
              <w:rPr>
                <w:rFonts w:ascii="宋体" w:hAnsi="宋体" w:cs="宋体"/>
                <w:color w:val="auto"/>
                <w:highlight w:val="none"/>
              </w:rPr>
            </w:pPr>
            <w:r>
              <w:rPr>
                <w:rFonts w:hint="eastAsia" w:ascii="宋体" w:hAnsi="宋体" w:cs="宋体"/>
                <w:color w:val="auto"/>
                <w:highlight w:val="none"/>
              </w:rPr>
              <w:t>17.1显示功能</w:t>
            </w:r>
          </w:p>
          <w:p w14:paraId="1E9E6554">
            <w:pPr>
              <w:spacing w:line="340" w:lineRule="exact"/>
              <w:rPr>
                <w:rFonts w:ascii="宋体" w:hAnsi="宋体" w:cs="宋体"/>
                <w:color w:val="auto"/>
                <w:highlight w:val="none"/>
              </w:rPr>
            </w:pPr>
            <w:r>
              <w:rPr>
                <w:rFonts w:hint="eastAsia" w:ascii="宋体" w:hAnsi="宋体" w:cs="宋体"/>
                <w:color w:val="auto"/>
                <w:highlight w:val="none"/>
              </w:rPr>
              <w:t>17.1.1信息输入：系统支持输入患者姓名、住院号。</w:t>
            </w:r>
          </w:p>
          <w:p w14:paraId="5A270B8B">
            <w:pPr>
              <w:spacing w:line="340" w:lineRule="exact"/>
              <w:rPr>
                <w:rFonts w:ascii="宋体" w:hAnsi="宋体" w:cs="宋体"/>
                <w:color w:val="auto"/>
                <w:highlight w:val="none"/>
              </w:rPr>
            </w:pPr>
            <w:r>
              <w:rPr>
                <w:rFonts w:hint="eastAsia" w:ascii="宋体" w:hAnsi="宋体" w:cs="宋体"/>
                <w:color w:val="auto"/>
                <w:highlight w:val="none"/>
              </w:rPr>
              <w:t>17.1.2中央监护数据存储：≥10000例以上病人数据存储，且存储空间可扩展。</w:t>
            </w:r>
          </w:p>
          <w:p w14:paraId="7C35EE0C">
            <w:pPr>
              <w:spacing w:line="340" w:lineRule="exact"/>
              <w:rPr>
                <w:rFonts w:ascii="宋体" w:hAnsi="宋体" w:cs="宋体"/>
                <w:color w:val="auto"/>
                <w:highlight w:val="none"/>
              </w:rPr>
            </w:pPr>
            <w:r>
              <w:rPr>
                <w:rFonts w:hint="eastAsia" w:ascii="宋体" w:hAnsi="宋体" w:cs="宋体"/>
                <w:color w:val="auto"/>
                <w:highlight w:val="none"/>
              </w:rPr>
              <w:t>17.1.3数据和趋势存储与回顾功能：监测数据和趋势可实时存储，实时回顾，多通道可全息回放。</w:t>
            </w:r>
          </w:p>
          <w:p w14:paraId="5496750A">
            <w:pPr>
              <w:spacing w:line="340" w:lineRule="exact"/>
              <w:rPr>
                <w:rFonts w:ascii="宋体" w:hAnsi="宋体" w:cs="宋体"/>
                <w:color w:val="auto"/>
                <w:highlight w:val="none"/>
              </w:rPr>
            </w:pPr>
            <w:r>
              <w:rPr>
                <w:rFonts w:hint="eastAsia" w:ascii="宋体" w:hAnsi="宋体" w:cs="宋体"/>
                <w:color w:val="auto"/>
                <w:highlight w:val="none"/>
              </w:rPr>
              <w:t>17.1.4数据无线传输：数据可无线传输至中央监护系统。</w:t>
            </w:r>
          </w:p>
          <w:p w14:paraId="287C4AD5">
            <w:pPr>
              <w:spacing w:line="340" w:lineRule="exact"/>
              <w:rPr>
                <w:rFonts w:ascii="宋体" w:hAnsi="宋体" w:cs="宋体"/>
                <w:color w:val="auto"/>
                <w:highlight w:val="none"/>
              </w:rPr>
            </w:pPr>
            <w:r>
              <w:rPr>
                <w:rFonts w:hint="eastAsia" w:ascii="宋体" w:hAnsi="宋体" w:cs="宋体"/>
                <w:color w:val="auto"/>
                <w:highlight w:val="none"/>
              </w:rPr>
              <w:t>17.1.5数据分析与统计功能：对监护患者体温数据可进行统计分析与编辑，显示主动保温率、低体温发生率、测温人数、主动保温人数。</w:t>
            </w:r>
          </w:p>
          <w:p w14:paraId="4040DE5A">
            <w:pPr>
              <w:spacing w:line="340" w:lineRule="exact"/>
              <w:rPr>
                <w:rFonts w:ascii="宋体" w:hAnsi="宋体" w:cs="宋体"/>
                <w:color w:val="auto"/>
                <w:highlight w:val="none"/>
              </w:rPr>
            </w:pPr>
            <w:r>
              <w:rPr>
                <w:rFonts w:hint="eastAsia" w:ascii="宋体" w:hAnsi="宋体" w:cs="宋体"/>
                <w:color w:val="auto"/>
                <w:highlight w:val="none"/>
              </w:rPr>
              <w:t xml:space="preserve">17.2中央监护系统具有独立的软件著作权登记证书。      </w:t>
            </w:r>
          </w:p>
          <w:p w14:paraId="4B828E5D">
            <w:pPr>
              <w:spacing w:line="340" w:lineRule="exact"/>
              <w:rPr>
                <w:rFonts w:ascii="宋体" w:hAnsi="宋体" w:cs="宋体"/>
                <w:b/>
                <w:bCs/>
                <w:color w:val="auto"/>
                <w:highlight w:val="none"/>
              </w:rPr>
            </w:pPr>
            <w:r>
              <w:rPr>
                <w:rFonts w:hint="eastAsia" w:ascii="宋体" w:hAnsi="宋体" w:cs="宋体"/>
                <w:b/>
                <w:bCs/>
                <w:color w:val="auto"/>
                <w:kern w:val="0"/>
                <w:szCs w:val="21"/>
                <w:highlight w:val="none"/>
              </w:rPr>
              <w:t>▲</w:t>
            </w:r>
            <w:r>
              <w:rPr>
                <w:rFonts w:hint="eastAsia" w:ascii="宋体" w:hAnsi="宋体" w:cs="宋体"/>
                <w:b/>
                <w:bCs/>
                <w:color w:val="auto"/>
                <w:highlight w:val="none"/>
              </w:rPr>
              <w:t xml:space="preserve">18.无线移动多参数监护仪配置清单      </w:t>
            </w:r>
          </w:p>
          <w:tbl>
            <w:tblPr>
              <w:tblStyle w:val="152"/>
              <w:tblW w:w="37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968"/>
              <w:gridCol w:w="571"/>
              <w:gridCol w:w="514"/>
            </w:tblGrid>
            <w:tr w14:paraId="7BE8A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5" w:type="dxa"/>
                  <w:vAlign w:val="center"/>
                </w:tcPr>
                <w:p w14:paraId="66AFA64E">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序号</w:t>
                  </w:r>
                </w:p>
              </w:tc>
              <w:tc>
                <w:tcPr>
                  <w:tcW w:w="1968" w:type="dxa"/>
                  <w:vAlign w:val="center"/>
                </w:tcPr>
                <w:p w14:paraId="2D80C540">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产品名称</w:t>
                  </w:r>
                </w:p>
              </w:tc>
              <w:tc>
                <w:tcPr>
                  <w:tcW w:w="571" w:type="dxa"/>
                  <w:vAlign w:val="center"/>
                </w:tcPr>
                <w:p w14:paraId="0F4EC85A">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单位</w:t>
                  </w:r>
                </w:p>
              </w:tc>
              <w:tc>
                <w:tcPr>
                  <w:tcW w:w="514" w:type="dxa"/>
                  <w:vAlign w:val="center"/>
                </w:tcPr>
                <w:p w14:paraId="3217CC47">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数量</w:t>
                  </w:r>
                </w:p>
              </w:tc>
            </w:tr>
            <w:tr w14:paraId="1E571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1992B9A1">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1</w:t>
                  </w:r>
                </w:p>
              </w:tc>
              <w:tc>
                <w:tcPr>
                  <w:tcW w:w="1968" w:type="dxa"/>
                  <w:vAlign w:val="center"/>
                </w:tcPr>
                <w:p w14:paraId="77BAA92E">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多参数监护仪</w:t>
                  </w:r>
                </w:p>
              </w:tc>
              <w:tc>
                <w:tcPr>
                  <w:tcW w:w="571" w:type="dxa"/>
                  <w:vAlign w:val="center"/>
                </w:tcPr>
                <w:p w14:paraId="5E650CA4">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台</w:t>
                  </w:r>
                </w:p>
              </w:tc>
              <w:tc>
                <w:tcPr>
                  <w:tcW w:w="514" w:type="dxa"/>
                  <w:vAlign w:val="center"/>
                </w:tcPr>
                <w:p w14:paraId="3D99837D">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13E87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4094CF26">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w:t>
                  </w:r>
                </w:p>
              </w:tc>
              <w:tc>
                <w:tcPr>
                  <w:tcW w:w="1968" w:type="dxa"/>
                  <w:vAlign w:val="center"/>
                </w:tcPr>
                <w:p w14:paraId="6FE2715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血压袖带</w:t>
                  </w:r>
                </w:p>
              </w:tc>
              <w:tc>
                <w:tcPr>
                  <w:tcW w:w="571" w:type="dxa"/>
                  <w:vAlign w:val="center"/>
                </w:tcPr>
                <w:p w14:paraId="7F770F33">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vAlign w:val="center"/>
                </w:tcPr>
                <w:p w14:paraId="12F121E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30</w:t>
                  </w:r>
                </w:p>
              </w:tc>
            </w:tr>
            <w:tr w14:paraId="6403A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85" w:type="dxa"/>
                  <w:vAlign w:val="center"/>
                </w:tcPr>
                <w:p w14:paraId="27EE4E6E">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3</w:t>
                  </w:r>
                </w:p>
              </w:tc>
              <w:tc>
                <w:tcPr>
                  <w:tcW w:w="1968" w:type="dxa"/>
                  <w:vAlign w:val="center"/>
                </w:tcPr>
                <w:p w14:paraId="1E82F70C">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重复性脉搏血氧饱和度探头</w:t>
                  </w:r>
                </w:p>
              </w:tc>
              <w:tc>
                <w:tcPr>
                  <w:tcW w:w="571" w:type="dxa"/>
                  <w:vAlign w:val="center"/>
                </w:tcPr>
                <w:p w14:paraId="11CBB267">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vAlign w:val="center"/>
                </w:tcPr>
                <w:p w14:paraId="6177A128">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30</w:t>
                  </w:r>
                </w:p>
              </w:tc>
            </w:tr>
            <w:tr w14:paraId="3063E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shd w:val="clear" w:color="auto" w:fill="auto"/>
                  <w:vAlign w:val="center"/>
                </w:tcPr>
                <w:p w14:paraId="0B626C0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4</w:t>
                  </w:r>
                </w:p>
              </w:tc>
              <w:tc>
                <w:tcPr>
                  <w:tcW w:w="1968" w:type="dxa"/>
                  <w:shd w:val="clear" w:color="auto" w:fill="auto"/>
                  <w:vAlign w:val="center"/>
                </w:tcPr>
                <w:p w14:paraId="1C63C1AA">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心电导联线</w:t>
                  </w:r>
                </w:p>
              </w:tc>
              <w:tc>
                <w:tcPr>
                  <w:tcW w:w="571" w:type="dxa"/>
                  <w:shd w:val="clear" w:color="auto" w:fill="auto"/>
                  <w:vAlign w:val="center"/>
                </w:tcPr>
                <w:p w14:paraId="772BB7B4">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shd w:val="clear" w:color="auto" w:fill="auto"/>
                  <w:vAlign w:val="center"/>
                </w:tcPr>
                <w:p w14:paraId="5F2400F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30</w:t>
                  </w:r>
                </w:p>
              </w:tc>
            </w:tr>
            <w:tr w14:paraId="3FE12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shd w:val="clear" w:color="auto" w:fill="auto"/>
                  <w:vAlign w:val="center"/>
                </w:tcPr>
                <w:p w14:paraId="52AD221C">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5</w:t>
                  </w:r>
                </w:p>
              </w:tc>
              <w:tc>
                <w:tcPr>
                  <w:tcW w:w="1968" w:type="dxa"/>
                  <w:shd w:val="clear" w:color="auto" w:fill="auto"/>
                  <w:vAlign w:val="center"/>
                </w:tcPr>
                <w:p w14:paraId="3E346FDA">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一次性温度传感器</w:t>
                  </w:r>
                </w:p>
              </w:tc>
              <w:tc>
                <w:tcPr>
                  <w:tcW w:w="571" w:type="dxa"/>
                  <w:shd w:val="clear" w:color="auto" w:fill="auto"/>
                  <w:vAlign w:val="center"/>
                </w:tcPr>
                <w:p w14:paraId="4AC158B9">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shd w:val="clear" w:color="auto" w:fill="auto"/>
                  <w:vAlign w:val="center"/>
                </w:tcPr>
                <w:p w14:paraId="2CD62335">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31ECB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1EF19BE3">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6</w:t>
                  </w:r>
                </w:p>
              </w:tc>
              <w:tc>
                <w:tcPr>
                  <w:tcW w:w="1968" w:type="dxa"/>
                  <w:vAlign w:val="center"/>
                </w:tcPr>
                <w:p w14:paraId="4552F3D1">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螺丝刀</w:t>
                  </w:r>
                </w:p>
              </w:tc>
              <w:tc>
                <w:tcPr>
                  <w:tcW w:w="571" w:type="dxa"/>
                  <w:vAlign w:val="center"/>
                </w:tcPr>
                <w:p w14:paraId="4006F213">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vAlign w:val="center"/>
                </w:tcPr>
                <w:p w14:paraId="5A58872D">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29CEA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74756394">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7</w:t>
                  </w:r>
                </w:p>
              </w:tc>
              <w:tc>
                <w:tcPr>
                  <w:tcW w:w="1968" w:type="dxa"/>
                  <w:vAlign w:val="center"/>
                </w:tcPr>
                <w:p w14:paraId="055F60E1">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手动螺钉</w:t>
                  </w:r>
                </w:p>
              </w:tc>
              <w:tc>
                <w:tcPr>
                  <w:tcW w:w="571" w:type="dxa"/>
                  <w:vAlign w:val="center"/>
                </w:tcPr>
                <w:p w14:paraId="3DFE176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vAlign w:val="center"/>
                </w:tcPr>
                <w:p w14:paraId="3F867EE1">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40</w:t>
                  </w:r>
                </w:p>
              </w:tc>
            </w:tr>
            <w:tr w14:paraId="289B0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1ECF81C3">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8</w:t>
                  </w:r>
                </w:p>
              </w:tc>
              <w:tc>
                <w:tcPr>
                  <w:tcW w:w="1968" w:type="dxa"/>
                  <w:vAlign w:val="center"/>
                </w:tcPr>
                <w:p w14:paraId="4AA13808">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电池</w:t>
                  </w:r>
                </w:p>
              </w:tc>
              <w:tc>
                <w:tcPr>
                  <w:tcW w:w="571" w:type="dxa"/>
                  <w:vAlign w:val="center"/>
                </w:tcPr>
                <w:p w14:paraId="1E88BEF1">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个</w:t>
                  </w:r>
                </w:p>
              </w:tc>
              <w:tc>
                <w:tcPr>
                  <w:tcW w:w="514" w:type="dxa"/>
                  <w:vAlign w:val="center"/>
                </w:tcPr>
                <w:p w14:paraId="237C43AF">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60</w:t>
                  </w:r>
                </w:p>
              </w:tc>
            </w:tr>
            <w:tr w14:paraId="0C1DC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207E7619">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9</w:t>
                  </w:r>
                </w:p>
              </w:tc>
              <w:tc>
                <w:tcPr>
                  <w:tcW w:w="1968" w:type="dxa"/>
                  <w:vAlign w:val="center"/>
                </w:tcPr>
                <w:p w14:paraId="669F063F">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说明书</w:t>
                  </w:r>
                </w:p>
              </w:tc>
              <w:tc>
                <w:tcPr>
                  <w:tcW w:w="571" w:type="dxa"/>
                  <w:vAlign w:val="center"/>
                </w:tcPr>
                <w:p w14:paraId="0EE069ED">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本</w:t>
                  </w:r>
                </w:p>
              </w:tc>
              <w:tc>
                <w:tcPr>
                  <w:tcW w:w="514" w:type="dxa"/>
                  <w:vAlign w:val="center"/>
                </w:tcPr>
                <w:p w14:paraId="19FB55A4">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7A724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46264EA0">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10</w:t>
                  </w:r>
                </w:p>
              </w:tc>
              <w:tc>
                <w:tcPr>
                  <w:tcW w:w="1968" w:type="dxa"/>
                  <w:vAlign w:val="center"/>
                </w:tcPr>
                <w:p w14:paraId="6568E7BA">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操作指南</w:t>
                  </w:r>
                </w:p>
              </w:tc>
              <w:tc>
                <w:tcPr>
                  <w:tcW w:w="571" w:type="dxa"/>
                  <w:vAlign w:val="center"/>
                </w:tcPr>
                <w:p w14:paraId="2BD655C3">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份</w:t>
                  </w:r>
                </w:p>
              </w:tc>
              <w:tc>
                <w:tcPr>
                  <w:tcW w:w="514" w:type="dxa"/>
                  <w:vAlign w:val="center"/>
                </w:tcPr>
                <w:p w14:paraId="52D1074B">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61386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0906E8EC">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11</w:t>
                  </w:r>
                </w:p>
              </w:tc>
              <w:tc>
                <w:tcPr>
                  <w:tcW w:w="1968" w:type="dxa"/>
                  <w:vAlign w:val="center"/>
                </w:tcPr>
                <w:p w14:paraId="146E5E4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保修卡</w:t>
                  </w:r>
                </w:p>
              </w:tc>
              <w:tc>
                <w:tcPr>
                  <w:tcW w:w="571" w:type="dxa"/>
                  <w:vAlign w:val="center"/>
                </w:tcPr>
                <w:p w14:paraId="3C3ACE0B">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份</w:t>
                  </w:r>
                </w:p>
              </w:tc>
              <w:tc>
                <w:tcPr>
                  <w:tcW w:w="514" w:type="dxa"/>
                  <w:vAlign w:val="center"/>
                </w:tcPr>
                <w:p w14:paraId="32282D1B">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0B282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85" w:type="dxa"/>
                  <w:vAlign w:val="center"/>
                </w:tcPr>
                <w:p w14:paraId="4FC3E996">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12</w:t>
                  </w:r>
                </w:p>
              </w:tc>
              <w:tc>
                <w:tcPr>
                  <w:tcW w:w="1968" w:type="dxa"/>
                  <w:vAlign w:val="center"/>
                </w:tcPr>
                <w:p w14:paraId="3628CBD6">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合格证</w:t>
                  </w:r>
                </w:p>
              </w:tc>
              <w:tc>
                <w:tcPr>
                  <w:tcW w:w="571" w:type="dxa"/>
                  <w:vAlign w:val="center"/>
                </w:tcPr>
                <w:p w14:paraId="72AEF6B7">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份</w:t>
                  </w:r>
                </w:p>
              </w:tc>
              <w:tc>
                <w:tcPr>
                  <w:tcW w:w="514" w:type="dxa"/>
                  <w:vAlign w:val="center"/>
                </w:tcPr>
                <w:p w14:paraId="3CFCD0D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r w14:paraId="05F50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5" w:type="dxa"/>
                  <w:vAlign w:val="center"/>
                </w:tcPr>
                <w:p w14:paraId="49489960">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13</w:t>
                  </w:r>
                </w:p>
              </w:tc>
              <w:tc>
                <w:tcPr>
                  <w:tcW w:w="1968" w:type="dxa"/>
                  <w:vAlign w:val="center"/>
                </w:tcPr>
                <w:p w14:paraId="4BF1292A">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装箱清单</w:t>
                  </w:r>
                </w:p>
              </w:tc>
              <w:tc>
                <w:tcPr>
                  <w:tcW w:w="571" w:type="dxa"/>
                  <w:vAlign w:val="center"/>
                </w:tcPr>
                <w:p w14:paraId="4DD62D22">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份</w:t>
                  </w:r>
                </w:p>
              </w:tc>
              <w:tc>
                <w:tcPr>
                  <w:tcW w:w="514" w:type="dxa"/>
                  <w:vAlign w:val="center"/>
                </w:tcPr>
                <w:p w14:paraId="4D577156">
                  <w:pPr>
                    <w:spacing w:line="340" w:lineRule="exact"/>
                    <w:jc w:val="center"/>
                    <w:rPr>
                      <w:rFonts w:ascii="宋体" w:hAnsi="宋体" w:eastAsia="Times New Roman" w:cs="宋体"/>
                      <w:b/>
                      <w:bCs/>
                      <w:color w:val="auto"/>
                      <w:highlight w:val="none"/>
                      <w:lang w:eastAsia="en-US"/>
                    </w:rPr>
                  </w:pPr>
                  <w:r>
                    <w:rPr>
                      <w:rFonts w:hint="eastAsia" w:ascii="宋体" w:hAnsi="宋体" w:eastAsia="Times New Roman" w:cs="宋体"/>
                      <w:b/>
                      <w:bCs/>
                      <w:color w:val="auto"/>
                      <w:highlight w:val="none"/>
                      <w:lang w:eastAsia="en-US"/>
                    </w:rPr>
                    <w:t>20</w:t>
                  </w:r>
                </w:p>
              </w:tc>
            </w:tr>
          </w:tbl>
          <w:p w14:paraId="5F94CFF0">
            <w:pPr>
              <w:rPr>
                <w:b/>
                <w:bCs/>
                <w:color w:val="auto"/>
                <w:sz w:val="24"/>
                <w:highlight w:val="none"/>
              </w:rPr>
            </w:pPr>
          </w:p>
          <w:p w14:paraId="6B2F1D27">
            <w:pPr>
              <w:spacing w:line="340" w:lineRule="exact"/>
              <w:rPr>
                <w:rFonts w:ascii="宋体" w:hAnsi="宋体" w:cs="宋体"/>
                <w:b/>
                <w:bCs/>
                <w:color w:val="auto"/>
                <w:highlight w:val="none"/>
              </w:rPr>
            </w:pPr>
            <w:r>
              <w:rPr>
                <w:rFonts w:hint="eastAsia" w:ascii="宋体" w:hAnsi="宋体" w:cs="宋体"/>
                <w:b/>
                <w:bCs/>
                <w:color w:val="auto"/>
                <w:kern w:val="0"/>
                <w:szCs w:val="21"/>
                <w:highlight w:val="none"/>
              </w:rPr>
              <w:t>▲</w:t>
            </w:r>
            <w:r>
              <w:rPr>
                <w:rFonts w:hint="eastAsia" w:ascii="宋体" w:hAnsi="宋体" w:cs="宋体"/>
                <w:b/>
                <w:bCs/>
                <w:color w:val="auto"/>
                <w:highlight w:val="none"/>
              </w:rPr>
              <w:t>19.工作站配套硬件清单</w:t>
            </w:r>
          </w:p>
          <w:tbl>
            <w:tblPr>
              <w:tblStyle w:val="48"/>
              <w:tblW w:w="3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990"/>
              <w:gridCol w:w="600"/>
              <w:gridCol w:w="500"/>
            </w:tblGrid>
            <w:tr w14:paraId="63CF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2" w:type="dxa"/>
                </w:tcPr>
                <w:p w14:paraId="1A25ACF4">
                  <w:pPr>
                    <w:spacing w:line="340" w:lineRule="exact"/>
                    <w:jc w:val="center"/>
                    <w:rPr>
                      <w:rFonts w:ascii="宋体" w:hAnsi="宋体" w:cs="宋体"/>
                      <w:b/>
                      <w:bCs/>
                      <w:color w:val="auto"/>
                      <w:highlight w:val="none"/>
                    </w:rPr>
                  </w:pPr>
                  <w:r>
                    <w:rPr>
                      <w:rFonts w:hint="eastAsia" w:ascii="宋体" w:hAnsi="宋体" w:cs="宋体"/>
                      <w:b/>
                      <w:bCs/>
                      <w:color w:val="auto"/>
                      <w:highlight w:val="none"/>
                    </w:rPr>
                    <w:t>序号</w:t>
                  </w:r>
                </w:p>
              </w:tc>
              <w:tc>
                <w:tcPr>
                  <w:tcW w:w="1990" w:type="dxa"/>
                </w:tcPr>
                <w:p w14:paraId="7E1415F8">
                  <w:pPr>
                    <w:spacing w:line="340" w:lineRule="exact"/>
                    <w:jc w:val="center"/>
                    <w:rPr>
                      <w:rFonts w:ascii="宋体" w:hAnsi="宋体" w:cs="宋体"/>
                      <w:b/>
                      <w:bCs/>
                      <w:color w:val="auto"/>
                      <w:highlight w:val="none"/>
                    </w:rPr>
                  </w:pPr>
                  <w:r>
                    <w:rPr>
                      <w:rFonts w:hint="eastAsia" w:ascii="宋体" w:hAnsi="宋体" w:cs="宋体"/>
                      <w:b/>
                      <w:bCs/>
                      <w:color w:val="auto"/>
                      <w:highlight w:val="none"/>
                    </w:rPr>
                    <w:t>产品名称</w:t>
                  </w:r>
                </w:p>
              </w:tc>
              <w:tc>
                <w:tcPr>
                  <w:tcW w:w="600" w:type="dxa"/>
                </w:tcPr>
                <w:p w14:paraId="670E7363">
                  <w:pPr>
                    <w:spacing w:line="340" w:lineRule="exact"/>
                    <w:jc w:val="center"/>
                    <w:rPr>
                      <w:rFonts w:ascii="宋体" w:hAnsi="宋体" w:cs="宋体"/>
                      <w:b/>
                      <w:bCs/>
                      <w:color w:val="auto"/>
                      <w:highlight w:val="none"/>
                    </w:rPr>
                  </w:pPr>
                  <w:r>
                    <w:rPr>
                      <w:rFonts w:hint="eastAsia" w:ascii="宋体" w:hAnsi="宋体" w:cs="宋体"/>
                      <w:b/>
                      <w:bCs/>
                      <w:color w:val="auto"/>
                      <w:highlight w:val="none"/>
                    </w:rPr>
                    <w:t>单位</w:t>
                  </w:r>
                </w:p>
              </w:tc>
              <w:tc>
                <w:tcPr>
                  <w:tcW w:w="500" w:type="dxa"/>
                </w:tcPr>
                <w:p w14:paraId="4BD5041F">
                  <w:pPr>
                    <w:spacing w:line="340" w:lineRule="exact"/>
                    <w:jc w:val="center"/>
                    <w:rPr>
                      <w:rFonts w:ascii="宋体" w:hAnsi="宋体" w:cs="宋体"/>
                      <w:b/>
                      <w:bCs/>
                      <w:color w:val="auto"/>
                      <w:highlight w:val="none"/>
                    </w:rPr>
                  </w:pPr>
                  <w:r>
                    <w:rPr>
                      <w:rFonts w:hint="eastAsia" w:ascii="宋体" w:hAnsi="宋体" w:cs="宋体"/>
                      <w:b/>
                      <w:bCs/>
                      <w:color w:val="auto"/>
                      <w:highlight w:val="none"/>
                    </w:rPr>
                    <w:t>数量</w:t>
                  </w:r>
                </w:p>
              </w:tc>
            </w:tr>
            <w:tr w14:paraId="5085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2" w:type="dxa"/>
                  <w:vAlign w:val="center"/>
                </w:tcPr>
                <w:p w14:paraId="324FE11E">
                  <w:pPr>
                    <w:spacing w:line="340" w:lineRule="exact"/>
                    <w:jc w:val="center"/>
                    <w:rPr>
                      <w:rFonts w:ascii="宋体" w:hAnsi="宋体" w:cs="宋体"/>
                      <w:b/>
                      <w:bCs/>
                      <w:color w:val="auto"/>
                      <w:highlight w:val="none"/>
                    </w:rPr>
                  </w:pPr>
                  <w:r>
                    <w:rPr>
                      <w:rFonts w:hint="eastAsia" w:ascii="宋体" w:hAnsi="宋体" w:cs="宋体"/>
                      <w:b/>
                      <w:bCs/>
                      <w:color w:val="auto"/>
                      <w:highlight w:val="none"/>
                    </w:rPr>
                    <w:t>1</w:t>
                  </w:r>
                </w:p>
              </w:tc>
              <w:tc>
                <w:tcPr>
                  <w:tcW w:w="1990" w:type="dxa"/>
                  <w:vAlign w:val="center"/>
                </w:tcPr>
                <w:p w14:paraId="30401FC1">
                  <w:pPr>
                    <w:spacing w:line="340" w:lineRule="exact"/>
                    <w:jc w:val="center"/>
                    <w:rPr>
                      <w:rFonts w:ascii="宋体" w:hAnsi="宋体" w:cs="宋体"/>
                      <w:b/>
                      <w:bCs/>
                      <w:color w:val="auto"/>
                      <w:highlight w:val="none"/>
                    </w:rPr>
                  </w:pPr>
                  <w:r>
                    <w:rPr>
                      <w:rFonts w:hint="eastAsia" w:ascii="宋体" w:hAnsi="宋体" w:cs="宋体"/>
                      <w:b/>
                      <w:bCs/>
                      <w:color w:val="auto"/>
                      <w:highlight w:val="none"/>
                    </w:rPr>
                    <w:t>中央监护系统</w:t>
                  </w:r>
                </w:p>
              </w:tc>
              <w:tc>
                <w:tcPr>
                  <w:tcW w:w="600" w:type="dxa"/>
                  <w:vAlign w:val="center"/>
                </w:tcPr>
                <w:p w14:paraId="447DE7EB">
                  <w:pPr>
                    <w:spacing w:line="340" w:lineRule="exact"/>
                    <w:jc w:val="center"/>
                    <w:rPr>
                      <w:rFonts w:ascii="宋体" w:hAnsi="宋体" w:cs="宋体"/>
                      <w:b/>
                      <w:bCs/>
                      <w:color w:val="auto"/>
                      <w:highlight w:val="none"/>
                    </w:rPr>
                  </w:pPr>
                  <w:r>
                    <w:rPr>
                      <w:rFonts w:hint="eastAsia" w:ascii="宋体" w:hAnsi="宋体" w:cs="宋体"/>
                      <w:b/>
                      <w:bCs/>
                      <w:color w:val="auto"/>
                      <w:highlight w:val="none"/>
                    </w:rPr>
                    <w:t>套</w:t>
                  </w:r>
                </w:p>
              </w:tc>
              <w:tc>
                <w:tcPr>
                  <w:tcW w:w="500" w:type="dxa"/>
                  <w:vAlign w:val="center"/>
                </w:tcPr>
                <w:p w14:paraId="59DD1223">
                  <w:pPr>
                    <w:spacing w:line="340" w:lineRule="exact"/>
                    <w:jc w:val="center"/>
                    <w:rPr>
                      <w:rFonts w:ascii="宋体" w:hAnsi="宋体" w:cs="宋体"/>
                      <w:b/>
                      <w:bCs/>
                      <w:color w:val="auto"/>
                      <w:highlight w:val="none"/>
                    </w:rPr>
                  </w:pPr>
                  <w:r>
                    <w:rPr>
                      <w:rFonts w:hint="eastAsia" w:ascii="宋体" w:hAnsi="宋体" w:cs="宋体"/>
                      <w:b/>
                      <w:bCs/>
                      <w:color w:val="auto"/>
                      <w:highlight w:val="none"/>
                    </w:rPr>
                    <w:t>2</w:t>
                  </w:r>
                </w:p>
              </w:tc>
            </w:tr>
            <w:tr w14:paraId="229D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42" w:type="dxa"/>
                  <w:vAlign w:val="center"/>
                </w:tcPr>
                <w:p w14:paraId="5A7C88F5">
                  <w:pPr>
                    <w:spacing w:line="340" w:lineRule="exact"/>
                    <w:jc w:val="center"/>
                    <w:rPr>
                      <w:rFonts w:ascii="宋体" w:hAnsi="宋体" w:cs="宋体"/>
                      <w:b/>
                      <w:bCs/>
                      <w:color w:val="auto"/>
                      <w:highlight w:val="none"/>
                    </w:rPr>
                  </w:pPr>
                  <w:r>
                    <w:rPr>
                      <w:rFonts w:hint="eastAsia" w:ascii="宋体" w:hAnsi="宋体" w:cs="宋体"/>
                      <w:b/>
                      <w:bCs/>
                      <w:color w:val="auto"/>
                      <w:highlight w:val="none"/>
                    </w:rPr>
                    <w:t>2</w:t>
                  </w:r>
                </w:p>
              </w:tc>
              <w:tc>
                <w:tcPr>
                  <w:tcW w:w="1990" w:type="dxa"/>
                  <w:vAlign w:val="center"/>
                </w:tcPr>
                <w:p w14:paraId="4D946CF9">
                  <w:pPr>
                    <w:spacing w:line="340" w:lineRule="exact"/>
                    <w:jc w:val="center"/>
                    <w:rPr>
                      <w:rFonts w:ascii="宋体" w:hAnsi="宋体" w:cs="宋体"/>
                      <w:b/>
                      <w:bCs/>
                      <w:color w:val="auto"/>
                      <w:highlight w:val="none"/>
                    </w:rPr>
                  </w:pPr>
                  <w:r>
                    <w:rPr>
                      <w:rFonts w:hint="eastAsia" w:ascii="宋体" w:hAnsi="宋体" w:cs="宋体"/>
                      <w:b/>
                      <w:bCs/>
                      <w:color w:val="auto"/>
                      <w:highlight w:val="none"/>
                    </w:rPr>
                    <w:t>显示屏</w:t>
                  </w:r>
                </w:p>
              </w:tc>
              <w:tc>
                <w:tcPr>
                  <w:tcW w:w="600" w:type="dxa"/>
                  <w:vAlign w:val="center"/>
                </w:tcPr>
                <w:p w14:paraId="7CD0F0EA">
                  <w:pPr>
                    <w:spacing w:line="340" w:lineRule="exact"/>
                    <w:jc w:val="center"/>
                    <w:rPr>
                      <w:rFonts w:ascii="宋体" w:hAnsi="宋体" w:cs="宋体"/>
                      <w:b/>
                      <w:bCs/>
                      <w:color w:val="auto"/>
                      <w:highlight w:val="none"/>
                    </w:rPr>
                  </w:pPr>
                  <w:r>
                    <w:rPr>
                      <w:rFonts w:hint="eastAsia" w:ascii="宋体" w:hAnsi="宋体" w:cs="宋体"/>
                      <w:b/>
                      <w:bCs/>
                      <w:color w:val="auto"/>
                      <w:highlight w:val="none"/>
                    </w:rPr>
                    <w:t>台</w:t>
                  </w:r>
                </w:p>
              </w:tc>
              <w:tc>
                <w:tcPr>
                  <w:tcW w:w="500" w:type="dxa"/>
                  <w:vAlign w:val="center"/>
                </w:tcPr>
                <w:p w14:paraId="7CDF2ED3">
                  <w:pPr>
                    <w:spacing w:line="340" w:lineRule="exact"/>
                    <w:jc w:val="center"/>
                    <w:rPr>
                      <w:rFonts w:ascii="宋体" w:hAnsi="宋体" w:cs="宋体"/>
                      <w:b/>
                      <w:bCs/>
                      <w:color w:val="auto"/>
                      <w:highlight w:val="none"/>
                    </w:rPr>
                  </w:pPr>
                  <w:r>
                    <w:rPr>
                      <w:rFonts w:hint="eastAsia" w:ascii="宋体" w:hAnsi="宋体" w:cs="宋体"/>
                      <w:b/>
                      <w:bCs/>
                      <w:color w:val="auto"/>
                      <w:highlight w:val="none"/>
                    </w:rPr>
                    <w:t>2</w:t>
                  </w:r>
                </w:p>
              </w:tc>
            </w:tr>
            <w:tr w14:paraId="731B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2" w:type="dxa"/>
                  <w:vAlign w:val="center"/>
                </w:tcPr>
                <w:p w14:paraId="7E8D874F">
                  <w:pPr>
                    <w:spacing w:line="340" w:lineRule="exact"/>
                    <w:jc w:val="center"/>
                    <w:rPr>
                      <w:rFonts w:ascii="宋体" w:hAnsi="宋体" w:cs="宋体"/>
                      <w:b/>
                      <w:bCs/>
                      <w:color w:val="auto"/>
                      <w:highlight w:val="none"/>
                    </w:rPr>
                  </w:pPr>
                  <w:r>
                    <w:rPr>
                      <w:rFonts w:hint="eastAsia" w:ascii="宋体" w:hAnsi="宋体" w:cs="宋体"/>
                      <w:b/>
                      <w:bCs/>
                      <w:color w:val="auto"/>
                      <w:highlight w:val="none"/>
                    </w:rPr>
                    <w:t>3</w:t>
                  </w:r>
                </w:p>
              </w:tc>
              <w:tc>
                <w:tcPr>
                  <w:tcW w:w="1990" w:type="dxa"/>
                  <w:vAlign w:val="center"/>
                </w:tcPr>
                <w:p w14:paraId="0D921235">
                  <w:pPr>
                    <w:spacing w:line="340" w:lineRule="exact"/>
                    <w:jc w:val="center"/>
                    <w:rPr>
                      <w:rFonts w:ascii="宋体" w:hAnsi="宋体" w:cs="宋体"/>
                      <w:b/>
                      <w:bCs/>
                      <w:color w:val="auto"/>
                      <w:highlight w:val="none"/>
                    </w:rPr>
                  </w:pPr>
                  <w:r>
                    <w:rPr>
                      <w:rFonts w:hint="eastAsia" w:ascii="宋体" w:hAnsi="宋体" w:cs="宋体"/>
                      <w:b/>
                      <w:bCs/>
                      <w:color w:val="auto"/>
                      <w:highlight w:val="none"/>
                    </w:rPr>
                    <w:t>平板电脑</w:t>
                  </w:r>
                </w:p>
              </w:tc>
              <w:tc>
                <w:tcPr>
                  <w:tcW w:w="600" w:type="dxa"/>
                  <w:vAlign w:val="center"/>
                </w:tcPr>
                <w:p w14:paraId="3C0C586B">
                  <w:pPr>
                    <w:spacing w:line="340" w:lineRule="exact"/>
                    <w:jc w:val="center"/>
                    <w:rPr>
                      <w:rFonts w:ascii="宋体" w:hAnsi="宋体" w:cs="宋体"/>
                      <w:b/>
                      <w:bCs/>
                      <w:color w:val="auto"/>
                      <w:highlight w:val="none"/>
                    </w:rPr>
                  </w:pPr>
                  <w:r>
                    <w:rPr>
                      <w:rFonts w:hint="eastAsia" w:ascii="宋体" w:hAnsi="宋体" w:cs="宋体"/>
                      <w:b/>
                      <w:bCs/>
                      <w:color w:val="auto"/>
                      <w:highlight w:val="none"/>
                    </w:rPr>
                    <w:t>台</w:t>
                  </w:r>
                </w:p>
              </w:tc>
              <w:tc>
                <w:tcPr>
                  <w:tcW w:w="500" w:type="dxa"/>
                  <w:vAlign w:val="center"/>
                </w:tcPr>
                <w:p w14:paraId="3C37AB9F">
                  <w:pPr>
                    <w:spacing w:line="340" w:lineRule="exact"/>
                    <w:jc w:val="center"/>
                    <w:rPr>
                      <w:rFonts w:ascii="宋体" w:hAnsi="宋体" w:cs="宋体"/>
                      <w:b/>
                      <w:bCs/>
                      <w:color w:val="auto"/>
                      <w:highlight w:val="none"/>
                    </w:rPr>
                  </w:pPr>
                  <w:r>
                    <w:rPr>
                      <w:rFonts w:hint="eastAsia" w:ascii="宋体" w:hAnsi="宋体" w:cs="宋体"/>
                      <w:b/>
                      <w:bCs/>
                      <w:color w:val="auto"/>
                      <w:highlight w:val="none"/>
                    </w:rPr>
                    <w:t>10</w:t>
                  </w:r>
                </w:p>
              </w:tc>
            </w:tr>
            <w:tr w14:paraId="2535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2" w:type="dxa"/>
                  <w:vAlign w:val="center"/>
                </w:tcPr>
                <w:p w14:paraId="37E406CD">
                  <w:pPr>
                    <w:spacing w:line="340" w:lineRule="exact"/>
                    <w:jc w:val="center"/>
                    <w:rPr>
                      <w:rFonts w:ascii="宋体" w:hAnsi="宋体" w:cs="宋体"/>
                      <w:b/>
                      <w:bCs/>
                      <w:color w:val="auto"/>
                      <w:highlight w:val="none"/>
                    </w:rPr>
                  </w:pPr>
                  <w:r>
                    <w:rPr>
                      <w:rFonts w:hint="eastAsia" w:ascii="宋体" w:hAnsi="宋体" w:cs="宋体"/>
                      <w:b/>
                      <w:bCs/>
                      <w:color w:val="auto"/>
                      <w:highlight w:val="none"/>
                    </w:rPr>
                    <w:t>4</w:t>
                  </w:r>
                </w:p>
              </w:tc>
              <w:tc>
                <w:tcPr>
                  <w:tcW w:w="1990" w:type="dxa"/>
                  <w:vAlign w:val="center"/>
                </w:tcPr>
                <w:p w14:paraId="08F053DC">
                  <w:pPr>
                    <w:spacing w:line="340" w:lineRule="exact"/>
                    <w:jc w:val="center"/>
                    <w:rPr>
                      <w:rFonts w:ascii="宋体" w:hAnsi="宋体" w:cs="宋体"/>
                      <w:b/>
                      <w:bCs/>
                      <w:color w:val="auto"/>
                      <w:highlight w:val="none"/>
                    </w:rPr>
                  </w:pPr>
                  <w:r>
                    <w:rPr>
                      <w:rFonts w:hint="eastAsia" w:ascii="宋体" w:hAnsi="宋体" w:cs="宋体"/>
                      <w:b/>
                      <w:bCs/>
                      <w:color w:val="auto"/>
                      <w:highlight w:val="none"/>
                    </w:rPr>
                    <w:t>平板电脑支架</w:t>
                  </w:r>
                </w:p>
              </w:tc>
              <w:tc>
                <w:tcPr>
                  <w:tcW w:w="600" w:type="dxa"/>
                  <w:vAlign w:val="center"/>
                </w:tcPr>
                <w:p w14:paraId="7382A476">
                  <w:pPr>
                    <w:spacing w:line="340" w:lineRule="exact"/>
                    <w:jc w:val="center"/>
                    <w:rPr>
                      <w:rFonts w:ascii="宋体" w:hAnsi="宋体" w:cs="宋体"/>
                      <w:b/>
                      <w:bCs/>
                      <w:color w:val="auto"/>
                      <w:highlight w:val="none"/>
                    </w:rPr>
                  </w:pPr>
                  <w:r>
                    <w:rPr>
                      <w:rFonts w:hint="eastAsia" w:ascii="宋体" w:hAnsi="宋体" w:cs="宋体"/>
                      <w:b/>
                      <w:bCs/>
                      <w:color w:val="auto"/>
                      <w:highlight w:val="none"/>
                    </w:rPr>
                    <w:t>个</w:t>
                  </w:r>
                </w:p>
              </w:tc>
              <w:tc>
                <w:tcPr>
                  <w:tcW w:w="500" w:type="dxa"/>
                  <w:vAlign w:val="center"/>
                </w:tcPr>
                <w:p w14:paraId="12D34016">
                  <w:pPr>
                    <w:spacing w:line="340" w:lineRule="exact"/>
                    <w:jc w:val="center"/>
                    <w:rPr>
                      <w:rFonts w:ascii="宋体" w:hAnsi="宋体" w:cs="宋体"/>
                      <w:b/>
                      <w:bCs/>
                      <w:color w:val="auto"/>
                      <w:highlight w:val="none"/>
                    </w:rPr>
                  </w:pPr>
                  <w:r>
                    <w:rPr>
                      <w:rFonts w:hint="eastAsia" w:ascii="宋体" w:hAnsi="宋体" w:cs="宋体"/>
                      <w:b/>
                      <w:bCs/>
                      <w:color w:val="auto"/>
                      <w:highlight w:val="none"/>
                    </w:rPr>
                    <w:t>10</w:t>
                  </w:r>
                </w:p>
              </w:tc>
            </w:tr>
            <w:tr w14:paraId="624F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2" w:type="dxa"/>
                  <w:vAlign w:val="center"/>
                </w:tcPr>
                <w:p w14:paraId="15F44456">
                  <w:pPr>
                    <w:spacing w:line="340" w:lineRule="exact"/>
                    <w:jc w:val="center"/>
                    <w:rPr>
                      <w:rFonts w:ascii="宋体" w:hAnsi="宋体" w:cs="宋体"/>
                      <w:b/>
                      <w:bCs/>
                      <w:color w:val="auto"/>
                      <w:highlight w:val="none"/>
                    </w:rPr>
                  </w:pPr>
                  <w:r>
                    <w:rPr>
                      <w:rFonts w:hint="eastAsia" w:ascii="宋体" w:hAnsi="宋体" w:cs="宋体"/>
                      <w:b/>
                      <w:bCs/>
                      <w:color w:val="auto"/>
                      <w:highlight w:val="none"/>
                    </w:rPr>
                    <w:t>5</w:t>
                  </w:r>
                </w:p>
              </w:tc>
              <w:tc>
                <w:tcPr>
                  <w:tcW w:w="1990" w:type="dxa"/>
                  <w:vAlign w:val="center"/>
                </w:tcPr>
                <w:p w14:paraId="01EFAE1A">
                  <w:pPr>
                    <w:spacing w:line="340" w:lineRule="exact"/>
                    <w:jc w:val="center"/>
                    <w:rPr>
                      <w:rFonts w:ascii="宋体" w:hAnsi="宋体" w:cs="宋体"/>
                      <w:b/>
                      <w:bCs/>
                      <w:color w:val="auto"/>
                      <w:highlight w:val="none"/>
                    </w:rPr>
                  </w:pPr>
                  <w:r>
                    <w:rPr>
                      <w:rFonts w:hint="eastAsia" w:ascii="宋体" w:hAnsi="宋体" w:cs="宋体"/>
                      <w:b/>
                      <w:bCs/>
                      <w:color w:val="auto"/>
                      <w:highlight w:val="none"/>
                    </w:rPr>
                    <w:t>工作站电脑</w:t>
                  </w:r>
                </w:p>
              </w:tc>
              <w:tc>
                <w:tcPr>
                  <w:tcW w:w="600" w:type="dxa"/>
                  <w:vAlign w:val="center"/>
                </w:tcPr>
                <w:p w14:paraId="6F9A6E12">
                  <w:pPr>
                    <w:spacing w:line="340" w:lineRule="exact"/>
                    <w:jc w:val="center"/>
                    <w:rPr>
                      <w:rFonts w:ascii="宋体" w:hAnsi="宋体" w:cs="宋体"/>
                      <w:b/>
                      <w:bCs/>
                      <w:color w:val="auto"/>
                      <w:highlight w:val="none"/>
                    </w:rPr>
                  </w:pPr>
                  <w:r>
                    <w:rPr>
                      <w:rFonts w:hint="eastAsia" w:ascii="宋体" w:hAnsi="宋体" w:cs="宋体"/>
                      <w:b/>
                      <w:bCs/>
                      <w:color w:val="auto"/>
                      <w:highlight w:val="none"/>
                    </w:rPr>
                    <w:t>台</w:t>
                  </w:r>
                </w:p>
              </w:tc>
              <w:tc>
                <w:tcPr>
                  <w:tcW w:w="500" w:type="dxa"/>
                  <w:vAlign w:val="center"/>
                </w:tcPr>
                <w:p w14:paraId="16D68174">
                  <w:pPr>
                    <w:spacing w:line="340" w:lineRule="exact"/>
                    <w:jc w:val="center"/>
                    <w:rPr>
                      <w:rFonts w:ascii="宋体" w:hAnsi="宋体" w:cs="宋体"/>
                      <w:b/>
                      <w:bCs/>
                      <w:color w:val="auto"/>
                      <w:highlight w:val="none"/>
                    </w:rPr>
                  </w:pPr>
                  <w:r>
                    <w:rPr>
                      <w:rFonts w:hint="eastAsia" w:ascii="宋体" w:hAnsi="宋体" w:cs="宋体"/>
                      <w:b/>
                      <w:bCs/>
                      <w:color w:val="auto"/>
                      <w:highlight w:val="none"/>
                    </w:rPr>
                    <w:t>2</w:t>
                  </w:r>
                </w:p>
              </w:tc>
            </w:tr>
            <w:tr w14:paraId="0943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vAlign w:val="center"/>
                </w:tcPr>
                <w:p w14:paraId="4E31F6EE">
                  <w:pPr>
                    <w:spacing w:line="340" w:lineRule="exact"/>
                    <w:jc w:val="center"/>
                    <w:rPr>
                      <w:rFonts w:ascii="宋体" w:hAnsi="宋体" w:cs="宋体"/>
                      <w:b/>
                      <w:bCs/>
                      <w:color w:val="auto"/>
                      <w:highlight w:val="none"/>
                    </w:rPr>
                  </w:pPr>
                  <w:r>
                    <w:rPr>
                      <w:rFonts w:hint="eastAsia" w:ascii="宋体" w:hAnsi="宋体" w:cs="宋体"/>
                      <w:b/>
                      <w:bCs/>
                      <w:color w:val="auto"/>
                      <w:highlight w:val="none"/>
                    </w:rPr>
                    <w:t>6</w:t>
                  </w:r>
                </w:p>
              </w:tc>
              <w:tc>
                <w:tcPr>
                  <w:tcW w:w="1990" w:type="dxa"/>
                  <w:vAlign w:val="center"/>
                </w:tcPr>
                <w:p w14:paraId="7428BA63">
                  <w:pPr>
                    <w:spacing w:line="340" w:lineRule="exact"/>
                    <w:jc w:val="center"/>
                    <w:rPr>
                      <w:rFonts w:ascii="宋体" w:hAnsi="宋体" w:cs="宋体"/>
                      <w:b/>
                      <w:bCs/>
                      <w:color w:val="auto"/>
                      <w:highlight w:val="none"/>
                    </w:rPr>
                  </w:pPr>
                  <w:r>
                    <w:rPr>
                      <w:rFonts w:hint="eastAsia" w:ascii="宋体" w:hAnsi="宋体" w:cs="宋体"/>
                      <w:b/>
                      <w:bCs/>
                      <w:color w:val="auto"/>
                      <w:highlight w:val="none"/>
                    </w:rPr>
                    <w:t>无线发射器</w:t>
                  </w:r>
                </w:p>
              </w:tc>
              <w:tc>
                <w:tcPr>
                  <w:tcW w:w="600" w:type="dxa"/>
                  <w:vAlign w:val="center"/>
                </w:tcPr>
                <w:p w14:paraId="2F314C5F">
                  <w:pPr>
                    <w:spacing w:line="340" w:lineRule="exact"/>
                    <w:jc w:val="center"/>
                    <w:rPr>
                      <w:rFonts w:ascii="宋体" w:hAnsi="宋体" w:cs="宋体"/>
                      <w:b/>
                      <w:bCs/>
                      <w:color w:val="auto"/>
                      <w:highlight w:val="none"/>
                    </w:rPr>
                  </w:pPr>
                  <w:r>
                    <w:rPr>
                      <w:rFonts w:hint="eastAsia" w:ascii="宋体" w:hAnsi="宋体" w:cs="宋体"/>
                      <w:b/>
                      <w:bCs/>
                      <w:color w:val="auto"/>
                      <w:highlight w:val="none"/>
                    </w:rPr>
                    <w:t>个</w:t>
                  </w:r>
                </w:p>
              </w:tc>
              <w:tc>
                <w:tcPr>
                  <w:tcW w:w="500" w:type="dxa"/>
                  <w:vAlign w:val="center"/>
                </w:tcPr>
                <w:p w14:paraId="760FDA48">
                  <w:pPr>
                    <w:spacing w:line="340" w:lineRule="exact"/>
                    <w:jc w:val="center"/>
                    <w:rPr>
                      <w:rFonts w:ascii="宋体" w:hAnsi="宋体" w:cs="宋体"/>
                      <w:b/>
                      <w:bCs/>
                      <w:color w:val="auto"/>
                      <w:highlight w:val="none"/>
                    </w:rPr>
                  </w:pPr>
                  <w:r>
                    <w:rPr>
                      <w:rFonts w:hint="eastAsia" w:ascii="宋体" w:hAnsi="宋体" w:cs="宋体"/>
                      <w:b/>
                      <w:bCs/>
                      <w:color w:val="auto"/>
                      <w:highlight w:val="none"/>
                    </w:rPr>
                    <w:t>2</w:t>
                  </w:r>
                </w:p>
              </w:tc>
            </w:tr>
            <w:tr w14:paraId="1923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2" w:type="dxa"/>
                  <w:vAlign w:val="center"/>
                </w:tcPr>
                <w:p w14:paraId="5A849F7E">
                  <w:pPr>
                    <w:spacing w:line="340" w:lineRule="exact"/>
                    <w:jc w:val="center"/>
                    <w:rPr>
                      <w:rFonts w:ascii="宋体" w:hAnsi="宋体" w:cs="宋体"/>
                      <w:b/>
                      <w:bCs/>
                      <w:color w:val="auto"/>
                      <w:highlight w:val="none"/>
                    </w:rPr>
                  </w:pPr>
                  <w:r>
                    <w:rPr>
                      <w:rFonts w:hint="eastAsia" w:ascii="宋体" w:hAnsi="宋体" w:cs="宋体"/>
                      <w:b/>
                      <w:bCs/>
                      <w:color w:val="auto"/>
                      <w:highlight w:val="none"/>
                    </w:rPr>
                    <w:t>7</w:t>
                  </w:r>
                </w:p>
              </w:tc>
              <w:tc>
                <w:tcPr>
                  <w:tcW w:w="1990" w:type="dxa"/>
                  <w:vAlign w:val="center"/>
                </w:tcPr>
                <w:p w14:paraId="6D5987B6">
                  <w:pPr>
                    <w:spacing w:line="340" w:lineRule="exact"/>
                    <w:jc w:val="center"/>
                    <w:rPr>
                      <w:rFonts w:ascii="宋体" w:hAnsi="宋体" w:cs="宋体"/>
                      <w:b/>
                      <w:bCs/>
                      <w:color w:val="auto"/>
                      <w:highlight w:val="none"/>
                    </w:rPr>
                  </w:pPr>
                  <w:r>
                    <w:rPr>
                      <w:rFonts w:hint="eastAsia" w:ascii="宋体" w:hAnsi="宋体" w:cs="宋体"/>
                      <w:b/>
                      <w:bCs/>
                      <w:color w:val="auto"/>
                      <w:highlight w:val="none"/>
                    </w:rPr>
                    <w:t>路由器</w:t>
                  </w:r>
                </w:p>
              </w:tc>
              <w:tc>
                <w:tcPr>
                  <w:tcW w:w="600" w:type="dxa"/>
                  <w:vAlign w:val="center"/>
                </w:tcPr>
                <w:p w14:paraId="0E789E70">
                  <w:pPr>
                    <w:spacing w:line="340" w:lineRule="exact"/>
                    <w:jc w:val="center"/>
                    <w:rPr>
                      <w:rFonts w:ascii="宋体" w:hAnsi="宋体" w:cs="宋体"/>
                      <w:b/>
                      <w:bCs/>
                      <w:color w:val="auto"/>
                      <w:highlight w:val="none"/>
                    </w:rPr>
                  </w:pPr>
                  <w:r>
                    <w:rPr>
                      <w:rFonts w:hint="eastAsia" w:ascii="宋体" w:hAnsi="宋体" w:cs="宋体"/>
                      <w:b/>
                      <w:bCs/>
                      <w:color w:val="auto"/>
                      <w:highlight w:val="none"/>
                    </w:rPr>
                    <w:t>个</w:t>
                  </w:r>
                </w:p>
              </w:tc>
              <w:tc>
                <w:tcPr>
                  <w:tcW w:w="500" w:type="dxa"/>
                  <w:vAlign w:val="center"/>
                </w:tcPr>
                <w:p w14:paraId="555596AF">
                  <w:pPr>
                    <w:spacing w:line="340" w:lineRule="exact"/>
                    <w:jc w:val="center"/>
                    <w:rPr>
                      <w:rFonts w:ascii="宋体" w:hAnsi="宋体" w:cs="宋体"/>
                      <w:b/>
                      <w:bCs/>
                      <w:color w:val="auto"/>
                      <w:highlight w:val="none"/>
                    </w:rPr>
                  </w:pPr>
                  <w:r>
                    <w:rPr>
                      <w:rFonts w:hint="eastAsia" w:ascii="宋体" w:hAnsi="宋体" w:cs="宋体"/>
                      <w:b/>
                      <w:bCs/>
                      <w:color w:val="auto"/>
                      <w:highlight w:val="none"/>
                    </w:rPr>
                    <w:t>2</w:t>
                  </w:r>
                </w:p>
              </w:tc>
            </w:tr>
          </w:tbl>
          <w:p w14:paraId="3A441B8E">
            <w:pPr>
              <w:spacing w:line="360" w:lineRule="exact"/>
              <w:rPr>
                <w:rFonts w:ascii="宋体" w:hAnsi="宋体" w:cs="宋体"/>
                <w:color w:val="auto"/>
                <w:kern w:val="0"/>
                <w:szCs w:val="21"/>
                <w:highlight w:val="none"/>
              </w:rPr>
            </w:pPr>
          </w:p>
        </w:tc>
      </w:tr>
      <w:tr w14:paraId="0F403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7A1E976B">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▲二、商务要求</w:t>
            </w:r>
          </w:p>
        </w:tc>
      </w:tr>
      <w:tr w14:paraId="6204C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8A00208">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（一）售后服务基本要求</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75F01D3E">
            <w:pPr>
              <w:spacing w:line="360" w:lineRule="exact"/>
              <w:jc w:val="left"/>
              <w:rPr>
                <w:rFonts w:ascii="宋体" w:hAnsi="宋体" w:cs="宋体"/>
                <w:color w:val="auto"/>
                <w:highlight w:val="none"/>
              </w:rPr>
            </w:pPr>
            <w:r>
              <w:rPr>
                <w:rFonts w:hint="eastAsia" w:ascii="宋体" w:hAnsi="宋体" w:cs="宋体"/>
                <w:color w:val="auto"/>
                <w:highlight w:val="none"/>
              </w:rPr>
              <w:t>投标人提供的以下售后服务产生的费用均应综合包含在投标报价中，采购人不再就此另行支付任何费用：</w:t>
            </w:r>
          </w:p>
          <w:p w14:paraId="53ABCA0D">
            <w:pPr>
              <w:spacing w:line="360" w:lineRule="exact"/>
              <w:jc w:val="left"/>
              <w:rPr>
                <w:rFonts w:ascii="宋体" w:hAnsi="宋体" w:cs="宋体"/>
                <w:color w:val="auto"/>
                <w:szCs w:val="21"/>
                <w:highlight w:val="none"/>
              </w:rPr>
            </w:pPr>
            <w:r>
              <w:rPr>
                <w:rFonts w:hint="eastAsia" w:ascii="宋体" w:hAnsi="宋体" w:cs="宋体"/>
                <w:color w:val="auto"/>
                <w:highlight w:val="none"/>
              </w:rPr>
              <w:t>1.保修期：按国家有关产品“三包”规定执行“三包”；保修期不得少于3年（保修期从设备验收合格之日起计算），保修期内上门维修</w:t>
            </w:r>
            <w:r>
              <w:rPr>
                <w:rFonts w:hint="eastAsia" w:ascii="宋体" w:hAnsi="宋体" w:cs="宋体"/>
                <w:color w:val="auto"/>
                <w:szCs w:val="21"/>
                <w:highlight w:val="none"/>
              </w:rPr>
              <w:t>不收取任何费用。</w:t>
            </w:r>
          </w:p>
          <w:p w14:paraId="12F9BCC6">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2.采购范围内的货物送货上门、安装调试合格(仪器到货后1周内到采购人处安装调试)，提供技术及使用培训服务（</w:t>
            </w:r>
            <w:r>
              <w:rPr>
                <w:rFonts w:hint="eastAsia" w:ascii="宋体" w:hAnsi="宋体" w:cs="宋体"/>
                <w:color w:val="auto"/>
                <w:spacing w:val="9"/>
                <w:szCs w:val="21"/>
                <w:highlight w:val="none"/>
              </w:rPr>
              <w:t>包含医护人员及工程人员的培训计划，其中医护人员省</w:t>
            </w:r>
            <w:r>
              <w:rPr>
                <w:rFonts w:hint="eastAsia" w:ascii="宋体" w:hAnsi="宋体" w:cs="宋体"/>
                <w:color w:val="auto"/>
                <w:spacing w:val="8"/>
                <w:szCs w:val="21"/>
                <w:highlight w:val="none"/>
                <w:u w:val="single"/>
              </w:rPr>
              <w:t>区内/省区</w:t>
            </w:r>
            <w:r>
              <w:rPr>
                <w:rFonts w:hint="eastAsia" w:ascii="宋体" w:hAnsi="宋体" w:cs="宋体"/>
                <w:color w:val="auto"/>
                <w:spacing w:val="8"/>
                <w:szCs w:val="21"/>
                <w:highlight w:val="none"/>
              </w:rPr>
              <w:t>外专项操作培训至少</w:t>
            </w:r>
            <w:r>
              <w:rPr>
                <w:rFonts w:hint="eastAsia" w:ascii="宋体" w:hAnsi="宋体" w:cs="宋体"/>
                <w:color w:val="auto"/>
                <w:spacing w:val="4"/>
                <w:szCs w:val="21"/>
                <w:highlight w:val="none"/>
                <w:u w:val="single"/>
              </w:rPr>
              <w:t>2</w:t>
            </w:r>
            <w:r>
              <w:rPr>
                <w:rFonts w:hint="eastAsia" w:ascii="宋体" w:hAnsi="宋体" w:cs="宋体"/>
                <w:color w:val="auto"/>
                <w:spacing w:val="8"/>
                <w:szCs w:val="21"/>
                <w:highlight w:val="none"/>
              </w:rPr>
              <w:t>人次；工程人员</w:t>
            </w:r>
            <w:r>
              <w:rPr>
                <w:rFonts w:hint="eastAsia" w:ascii="宋体" w:hAnsi="宋体" w:cs="宋体"/>
                <w:color w:val="auto"/>
                <w:spacing w:val="8"/>
                <w:szCs w:val="21"/>
                <w:highlight w:val="none"/>
                <w:u w:val="single"/>
              </w:rPr>
              <w:t>省区内/省区外</w:t>
            </w:r>
            <w:r>
              <w:rPr>
                <w:rFonts w:hint="eastAsia" w:ascii="宋体" w:hAnsi="宋体" w:cs="宋体"/>
                <w:color w:val="auto"/>
                <w:spacing w:val="8"/>
                <w:szCs w:val="21"/>
                <w:highlight w:val="none"/>
              </w:rPr>
              <w:t>专项维保培训至少</w:t>
            </w:r>
            <w:r>
              <w:rPr>
                <w:rFonts w:hint="eastAsia" w:ascii="宋体" w:hAnsi="宋体" w:cs="宋体"/>
                <w:color w:val="auto"/>
                <w:spacing w:val="8"/>
                <w:szCs w:val="21"/>
                <w:highlight w:val="none"/>
                <w:u w:val="single"/>
              </w:rPr>
              <w:t>2</w:t>
            </w:r>
            <w:r>
              <w:rPr>
                <w:rFonts w:hint="eastAsia" w:ascii="宋体" w:hAnsi="宋体" w:cs="宋体"/>
                <w:color w:val="auto"/>
                <w:spacing w:val="8"/>
                <w:szCs w:val="21"/>
                <w:highlight w:val="none"/>
              </w:rPr>
              <w:t>人次</w:t>
            </w:r>
            <w:r>
              <w:rPr>
                <w:rFonts w:hint="eastAsia" w:ascii="宋体" w:hAnsi="宋体" w:cs="宋体"/>
                <w:color w:val="auto"/>
                <w:szCs w:val="21"/>
                <w:highlight w:val="none"/>
              </w:rPr>
              <w:t>），保证操作人员能正常操作设备的各种功能；若设备自带软件，则在保修期内提供升级服务（采购人不再另行支付费用）。</w:t>
            </w:r>
          </w:p>
          <w:p w14:paraId="75B1CA7D">
            <w:pPr>
              <w:spacing w:line="360" w:lineRule="exact"/>
              <w:jc w:val="left"/>
              <w:rPr>
                <w:rFonts w:ascii="宋体" w:hAnsi="宋体" w:cs="宋体"/>
                <w:color w:val="auto"/>
                <w:highlight w:val="none"/>
              </w:rPr>
            </w:pPr>
            <w:r>
              <w:rPr>
                <w:rFonts w:hint="eastAsia" w:ascii="宋体" w:hAnsi="宋体" w:cs="宋体"/>
                <w:color w:val="auto"/>
                <w:szCs w:val="21"/>
                <w:highlight w:val="none"/>
              </w:rPr>
              <w:t>3.保修期内仪器设备出现故障，在接到电话通知后，2小时内做出响应，24小时内到达维修现场。一般问题应在48小时内解决。重大问题或</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无法迅速解决的问题应在一周</w:t>
            </w:r>
            <w:r>
              <w:rPr>
                <w:rFonts w:hint="eastAsia" w:ascii="宋体" w:hAnsi="宋体" w:cs="宋体"/>
                <w:color w:val="auto"/>
                <w:highlight w:val="none"/>
              </w:rPr>
              <w:t>内解决。</w:t>
            </w:r>
          </w:p>
          <w:p w14:paraId="716D0FD2">
            <w:pPr>
              <w:spacing w:line="360" w:lineRule="exact"/>
              <w:jc w:val="left"/>
              <w:rPr>
                <w:rFonts w:ascii="宋体" w:hAnsi="宋体" w:cs="宋体"/>
                <w:color w:val="auto"/>
                <w:highlight w:val="none"/>
              </w:rPr>
            </w:pPr>
            <w:r>
              <w:rPr>
                <w:rFonts w:hint="eastAsia" w:ascii="宋体" w:hAnsi="宋体" w:cs="宋体"/>
                <w:color w:val="auto"/>
                <w:highlight w:val="none"/>
              </w:rPr>
              <w:t>4.提供每半年一次定期回访以及对设备维护服务。</w:t>
            </w:r>
          </w:p>
          <w:p w14:paraId="3BED0598">
            <w:pPr>
              <w:spacing w:line="360" w:lineRule="exact"/>
              <w:rPr>
                <w:rFonts w:ascii="Arial" w:hAnsi="Arial" w:cs="Arial"/>
                <w:color w:val="auto"/>
                <w:kern w:val="0"/>
                <w:szCs w:val="21"/>
                <w:highlight w:val="none"/>
              </w:rPr>
            </w:pPr>
            <w:r>
              <w:rPr>
                <w:rFonts w:hint="eastAsia" w:ascii="宋体" w:hAnsi="宋体" w:cs="宋体"/>
                <w:color w:val="auto"/>
                <w:kern w:val="0"/>
                <w:szCs w:val="21"/>
                <w:highlight w:val="none"/>
              </w:rPr>
              <w:t>5.本项目为交钥匙项目。在保修期内，投标人必须保证采购人能够合法应用该器械，并办理相关证</w:t>
            </w:r>
            <w:r>
              <w:rPr>
                <w:rFonts w:ascii="Arial" w:hAnsi="Arial" w:cs="Arial"/>
                <w:color w:val="auto"/>
                <w:kern w:val="0"/>
                <w:szCs w:val="21"/>
                <w:highlight w:val="none"/>
              </w:rPr>
              <w:t>件、手续</w:t>
            </w:r>
            <w:r>
              <w:rPr>
                <w:rFonts w:hint="eastAsia" w:ascii="Arial" w:hAnsi="Arial" w:cs="Arial"/>
                <w:color w:val="auto"/>
                <w:kern w:val="0"/>
                <w:szCs w:val="21"/>
                <w:highlight w:val="none"/>
              </w:rPr>
              <w:t>，</w:t>
            </w:r>
            <w:r>
              <w:rPr>
                <w:rFonts w:ascii="Arial" w:hAnsi="Arial" w:cs="Arial"/>
                <w:color w:val="auto"/>
                <w:kern w:val="0"/>
                <w:szCs w:val="21"/>
                <w:highlight w:val="none"/>
              </w:rPr>
              <w:t>产生的费用包含在合同/协议价格中。在此过程中</w:t>
            </w:r>
            <w:r>
              <w:rPr>
                <w:rFonts w:hint="eastAsia" w:ascii="Arial" w:hAnsi="Arial" w:cs="Arial"/>
                <w:color w:val="auto"/>
                <w:kern w:val="0"/>
                <w:szCs w:val="21"/>
                <w:highlight w:val="none"/>
              </w:rPr>
              <w:t>，采购人</w:t>
            </w:r>
            <w:r>
              <w:rPr>
                <w:rFonts w:ascii="Arial" w:hAnsi="Arial" w:cs="Arial"/>
                <w:color w:val="auto"/>
                <w:kern w:val="0"/>
                <w:szCs w:val="21"/>
                <w:highlight w:val="none"/>
              </w:rPr>
              <w:t>应当提供必要支持。若可能出现的后续证件、手续</w:t>
            </w:r>
            <w:r>
              <w:rPr>
                <w:rFonts w:hint="eastAsia" w:ascii="Arial" w:hAnsi="Arial" w:cs="Arial"/>
                <w:color w:val="auto"/>
                <w:kern w:val="0"/>
                <w:szCs w:val="21"/>
                <w:highlight w:val="none"/>
              </w:rPr>
              <w:t>，投标人</w:t>
            </w:r>
            <w:r>
              <w:rPr>
                <w:rFonts w:ascii="Arial" w:hAnsi="Arial" w:cs="Arial"/>
                <w:color w:val="auto"/>
                <w:kern w:val="0"/>
                <w:szCs w:val="21"/>
                <w:highlight w:val="none"/>
              </w:rPr>
              <w:t>必须提供办理的流程及方法。</w:t>
            </w:r>
          </w:p>
          <w:p w14:paraId="7AEE4295">
            <w:pPr>
              <w:spacing w:line="360" w:lineRule="exact"/>
              <w:jc w:val="left"/>
              <w:rPr>
                <w:rFonts w:ascii="宋体" w:hAnsi="宋体" w:cs="宋体"/>
                <w:color w:val="auto"/>
                <w:highlight w:val="none"/>
              </w:rPr>
            </w:pPr>
            <w:r>
              <w:rPr>
                <w:rFonts w:hint="eastAsia" w:ascii="宋体" w:hAnsi="宋体" w:cs="宋体"/>
                <w:color w:val="auto"/>
                <w:highlight w:val="none"/>
              </w:rPr>
              <w:t>6.易损零配件和专机专用试剂耗材价格表：本项目签订合同时，应附易损零配件和专机专用试剂耗材价格表。</w:t>
            </w:r>
          </w:p>
          <w:p w14:paraId="2A20DB21">
            <w:pPr>
              <w:spacing w:line="360" w:lineRule="exact"/>
              <w:jc w:val="left"/>
              <w:rPr>
                <w:rFonts w:ascii="宋体" w:hAnsi="宋体" w:cs="宋体"/>
                <w:color w:val="auto"/>
                <w:highlight w:val="none"/>
              </w:rPr>
            </w:pPr>
            <w:r>
              <w:rPr>
                <w:rFonts w:hint="eastAsia" w:ascii="宋体" w:hAnsi="宋体" w:cs="宋体"/>
                <w:color w:val="auto"/>
                <w:highlight w:val="none"/>
              </w:rPr>
              <w:t>7.维修技术支持：投标人一次性提供维护手册、维修手册、软件备份、故障代码表、备件清单等维护维修必需的材料和信息，否则不予验收。保修期外，提供维修密码及软件在该项目中的使用权，按合同约定价格提供零部件，以及快速响应的技术支持。保修期外，如在使用过程中发生质量问题，投标人在接到采购人通知后在24小时/天内到达采购人现场处理。以上涉及的费用均包含在投标报价中，采购人不再另行支付。</w:t>
            </w:r>
          </w:p>
          <w:p w14:paraId="499C8C69">
            <w:pPr>
              <w:spacing w:line="360" w:lineRule="exact"/>
              <w:jc w:val="left"/>
              <w:rPr>
                <w:rFonts w:ascii="宋体" w:hAnsi="宋体" w:cs="宋体"/>
                <w:color w:val="auto"/>
                <w:highlight w:val="none"/>
              </w:rPr>
            </w:pPr>
            <w:r>
              <w:rPr>
                <w:rFonts w:hint="eastAsia" w:ascii="宋体" w:hAnsi="宋体" w:cs="宋体"/>
                <w:color w:val="auto"/>
                <w:highlight w:val="none"/>
              </w:rPr>
              <w:t>8.投标人应保证采购人获得合同约定范围内所有软件功能，终身单机软件使用权。不得限制硬件配件采购，并在采购人自主更换配件后，帮助采购人恢复原有的软件及系统，使采购人能够正常使用该器械/设备、项目。以上涉及的费用均包含在投标报价中，采购人不再另行支付。</w:t>
            </w:r>
          </w:p>
          <w:p w14:paraId="48EC57E2">
            <w:pPr>
              <w:spacing w:line="360" w:lineRule="exact"/>
              <w:jc w:val="left"/>
              <w:rPr>
                <w:rFonts w:ascii="宋体" w:hAnsi="宋体" w:cs="宋体"/>
                <w:color w:val="auto"/>
                <w:highlight w:val="none"/>
              </w:rPr>
            </w:pPr>
            <w:r>
              <w:rPr>
                <w:rFonts w:hint="eastAsia" w:ascii="宋体" w:hAnsi="宋体" w:cs="宋体"/>
                <w:color w:val="auto"/>
                <w:highlight w:val="none"/>
              </w:rPr>
              <w:t>9.投标人承诺保修期内，按国家相关规定，执行保养及预防性维护，并提供报告。</w:t>
            </w:r>
          </w:p>
          <w:p w14:paraId="176ED066">
            <w:pPr>
              <w:spacing w:line="360" w:lineRule="exact"/>
              <w:jc w:val="left"/>
              <w:rPr>
                <w:rFonts w:ascii="宋体" w:hAnsi="宋体" w:cs="宋体"/>
                <w:color w:val="auto"/>
                <w:highlight w:val="none"/>
              </w:rPr>
            </w:pPr>
            <w:r>
              <w:rPr>
                <w:rFonts w:hint="eastAsia" w:ascii="宋体" w:hAnsi="宋体" w:cs="宋体"/>
                <w:color w:val="auto"/>
                <w:highlight w:val="none"/>
              </w:rPr>
              <w:t>10.在设备规定的使用期限内，投标人必须保证配件供应。并承诺过保修期后的维修及配件更换不需预付款，按照医院正常付款流程办理。</w:t>
            </w:r>
          </w:p>
          <w:p w14:paraId="1ADC9079">
            <w:pPr>
              <w:spacing w:line="360" w:lineRule="exact"/>
              <w:jc w:val="left"/>
              <w:rPr>
                <w:color w:val="auto"/>
                <w:highlight w:val="none"/>
              </w:rPr>
            </w:pPr>
            <w:r>
              <w:rPr>
                <w:rFonts w:hint="eastAsia" w:ascii="宋体" w:hAnsi="宋体" w:cs="宋体"/>
                <w:color w:val="auto"/>
                <w:highlight w:val="none"/>
              </w:rPr>
              <w:t>11.保修期外维修应同样提供不收取费用的咨询服务，需上门维修的不收取维修费，仅收取材料费。</w:t>
            </w:r>
          </w:p>
        </w:tc>
      </w:tr>
      <w:tr w14:paraId="26550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43812EEE">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（二）合同签订时间</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1B6F4726">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自中标通知书发出之日起 25日内签订采购合同。</w:t>
            </w:r>
          </w:p>
        </w:tc>
      </w:tr>
      <w:tr w14:paraId="0746A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5D1FC64A">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（三）交付时间和地点</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7D6437B3">
            <w:pPr>
              <w:spacing w:line="340" w:lineRule="exact"/>
              <w:rPr>
                <w:rFonts w:ascii="宋体" w:hAnsi="宋体" w:cs="宋体"/>
                <w:b/>
                <w:color w:val="auto"/>
                <w:szCs w:val="21"/>
                <w:highlight w:val="none"/>
              </w:rPr>
            </w:pPr>
            <w:r>
              <w:rPr>
                <w:rFonts w:hint="eastAsia" w:ascii="宋体" w:hAnsi="宋体" w:cs="宋体"/>
                <w:b/>
                <w:color w:val="auto"/>
                <w:szCs w:val="21"/>
                <w:highlight w:val="none"/>
              </w:rPr>
              <w:t>1.交付时间：</w:t>
            </w:r>
            <w:r>
              <w:rPr>
                <w:rFonts w:hint="eastAsia" w:ascii="宋体" w:hAnsi="宋体" w:cs="宋体"/>
                <w:color w:val="auto"/>
                <w:highlight w:val="none"/>
              </w:rPr>
              <w:t>合同签订，</w:t>
            </w:r>
            <w:r>
              <w:rPr>
                <w:rFonts w:hint="eastAsia" w:ascii="宋体" w:hAnsi="宋体" w:cs="宋体"/>
                <w:color w:val="auto"/>
                <w:highlight w:val="none"/>
                <w:lang w:eastAsia="zh-CN"/>
              </w:rPr>
              <w:t>接到采购人供货通知</w:t>
            </w:r>
            <w:r>
              <w:rPr>
                <w:rFonts w:hint="eastAsia" w:ascii="宋体" w:hAnsi="宋体" w:cs="宋体"/>
                <w:color w:val="auto"/>
                <w:highlight w:val="none"/>
              </w:rPr>
              <w:t>后</w:t>
            </w:r>
            <w:r>
              <w:rPr>
                <w:rFonts w:hint="eastAsia" w:ascii="宋体" w:hAnsi="宋体" w:cs="宋体"/>
                <w:color w:val="auto"/>
                <w:highlight w:val="none"/>
                <w:u w:val="single"/>
              </w:rPr>
              <w:t>60</w:t>
            </w:r>
            <w:r>
              <w:rPr>
                <w:rFonts w:hint="eastAsia" w:ascii="宋体" w:hAnsi="宋体" w:cs="宋体"/>
                <w:color w:val="auto"/>
                <w:highlight w:val="none"/>
              </w:rPr>
              <w:t>个工作日内到货并安装调试完毕，达到正常使用状态。</w:t>
            </w:r>
          </w:p>
          <w:p w14:paraId="570F6C9C">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2.交付地点：广西桂林市采购人医院内指定地点。</w:t>
            </w:r>
          </w:p>
        </w:tc>
      </w:tr>
      <w:tr w14:paraId="4B39B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7A7D556">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（四）付款方式</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63BCE55B">
            <w:pPr>
              <w:spacing w:line="400" w:lineRule="exact"/>
              <w:rPr>
                <w:rFonts w:ascii="宋体" w:hAnsi="宋体" w:cs="宋体"/>
                <w:color w:val="auto"/>
                <w:szCs w:val="21"/>
                <w:highlight w:val="none"/>
              </w:rPr>
            </w:pPr>
            <w:r>
              <w:rPr>
                <w:rFonts w:hint="eastAsia" w:ascii="宋体" w:hAnsi="宋体" w:cs="宋体"/>
                <w:color w:val="auto"/>
                <w:szCs w:val="21"/>
                <w:highlight w:val="none"/>
              </w:rPr>
              <w:t>1.本仪器设备验收合格后，中标人开具全额税务发票，采购人在收到发票后转账支付合同款的95%（无息），可采用汇票、云信、供应链、信用证等付款方式。合同款的5%在设备验收合格满1年后的三个月内转账支付（无息）。采购人付款前，中标人未按上述要求开具符合采购人要求的正规财务票据的，采购人有权暂缓或拒付款项且不构成违约。</w:t>
            </w:r>
          </w:p>
          <w:p w14:paraId="16EAB931">
            <w:pPr>
              <w:spacing w:line="340" w:lineRule="exact"/>
              <w:rPr>
                <w:rFonts w:ascii="宋体" w:hAnsi="宋体" w:cs="宋体"/>
                <w:color w:val="auto"/>
                <w:szCs w:val="21"/>
                <w:highlight w:val="none"/>
              </w:rPr>
            </w:pPr>
            <w:r>
              <w:rPr>
                <w:rFonts w:hint="eastAsia" w:ascii="宋体" w:hAnsi="宋体" w:cs="宋体"/>
                <w:color w:val="auto"/>
                <w:szCs w:val="21"/>
                <w:highlight w:val="none"/>
              </w:rPr>
              <w:t>2.票据要求：中标人必须按照采购人要求提供真实、有效、合法的正式税务发票。一旦发现中标人提供虚假税务发票，除须向采购人补开合法的税务发票外，须赔偿采购人发票票面金额一倍的违约金，且采购人有权终止合同，中标人不得提出异议，因终止合同而产生的一切损失均由中标人承担。</w:t>
            </w:r>
          </w:p>
        </w:tc>
      </w:tr>
      <w:tr w14:paraId="0C021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8BA645E">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（五）包装和运输</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26A35323">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1.中标人应在货物发运前对其进行满足于运输距离、防潮、防震、防锈和防破损装卸要求的包装，以保证货物安全无损的运输到达采购人指定地点。</w:t>
            </w:r>
          </w:p>
          <w:p w14:paraId="170DCCCB">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2.使用说明书、质量检验证明书、随配附件和工具以及配置清单等一并附于货物内交付采购人。</w:t>
            </w:r>
          </w:p>
          <w:p w14:paraId="0DCC9540">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3.中标人负责将货物安全运送到采购人指定地点，并负责清理回收采购人抛弃的相关大件包装， 不另收任何费用。货到采购人前48小时，由中标人通知采购人，但在验收前采购人原则上不负责接收货物。</w:t>
            </w:r>
          </w:p>
        </w:tc>
      </w:tr>
      <w:tr w14:paraId="182E6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24B2577">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（六）保险</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512F014A">
            <w:pPr>
              <w:adjustRightInd w:val="0"/>
              <w:snapToGrid w:val="0"/>
              <w:spacing w:line="340" w:lineRule="exact"/>
              <w:rPr>
                <w:rFonts w:ascii="宋体" w:hAnsi="宋体" w:cs="宋体"/>
                <w:b/>
                <w:color w:val="auto"/>
                <w:szCs w:val="21"/>
                <w:highlight w:val="none"/>
              </w:rPr>
            </w:pPr>
            <w:r>
              <w:rPr>
                <w:rFonts w:hint="eastAsia" w:ascii="宋体" w:hAnsi="宋体" w:cs="宋体"/>
                <w:b/>
                <w:bCs/>
                <w:color w:val="auto"/>
                <w:kern w:val="0"/>
                <w:szCs w:val="21"/>
                <w:highlight w:val="none"/>
              </w:rPr>
              <w:t>若投标人为本项目标的及标的涉及的相关材料、设备、人员、运输等购买保险的，相关费用由投标人自行承担。</w:t>
            </w:r>
          </w:p>
        </w:tc>
      </w:tr>
      <w:tr w14:paraId="73185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770EFEC2">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（七）验收标准</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6ED92067">
            <w:pPr>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1.中标人交货前应对产品作出全面检查和对验收文件进行整理列出清单，作为采购人收货验收和使用的技术条件依据，检验的结果应随货物交采购人。</w:t>
            </w:r>
          </w:p>
          <w:p w14:paraId="0979313F">
            <w:pPr>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2.采购人对中标人所交货物依照国家有关标准，进行现场验收，性能达到技术要求的给予签收，验收不合格不予签收，后果由中标人负责。</w:t>
            </w:r>
          </w:p>
          <w:p w14:paraId="6FF842E6">
            <w:pPr>
              <w:spacing w:line="340" w:lineRule="exact"/>
              <w:jc w:val="left"/>
              <w:rPr>
                <w:rFonts w:ascii="宋体" w:hAnsi="宋体" w:cs="宋体"/>
                <w:color w:val="auto"/>
                <w:szCs w:val="21"/>
                <w:highlight w:val="none"/>
              </w:rPr>
            </w:pPr>
            <w:r>
              <w:rPr>
                <w:rFonts w:hint="eastAsia" w:ascii="宋体" w:hAnsi="宋体" w:cs="宋体"/>
                <w:b/>
                <w:color w:val="auto"/>
                <w:szCs w:val="21"/>
                <w:highlight w:val="none"/>
              </w:rPr>
              <w:t>3.中标人应在货到指定地点安装、调试完毕，确保正常使用，并及时配合采购人验收。</w:t>
            </w:r>
          </w:p>
        </w:tc>
      </w:tr>
      <w:tr w14:paraId="7E4CA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4" w:hRule="atLeast"/>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67DFDF2">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（八）知识产权</w:t>
            </w:r>
          </w:p>
        </w:tc>
        <w:tc>
          <w:tcPr>
            <w:tcW w:w="3266" w:type="pct"/>
            <w:gridSpan w:val="3"/>
            <w:tcBorders>
              <w:top w:val="single" w:color="auto" w:sz="4" w:space="0"/>
              <w:left w:val="single" w:color="auto" w:sz="4" w:space="0"/>
              <w:bottom w:val="single" w:color="auto" w:sz="4" w:space="0"/>
              <w:right w:val="single" w:color="auto" w:sz="4" w:space="0"/>
            </w:tcBorders>
          </w:tcPr>
          <w:p w14:paraId="2E4535DC">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1.采购人在履行合同过程中提供给中标人的全部文件和其他含有数据和信息的资料，其知识产权属于采购人。</w:t>
            </w:r>
          </w:p>
          <w:p w14:paraId="19DC2362">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2.除招标文件采购需求另有约定外，采购人不因签署和履行合同而享有中标人在履行合同过程中提供给采购人的文件、配套软件、电子辅助程序和其他含有数据和信息的资料的知识产权。</w:t>
            </w:r>
          </w:p>
          <w:p w14:paraId="3F1D37EB">
            <w:pPr>
              <w:spacing w:line="340" w:lineRule="exact"/>
              <w:jc w:val="left"/>
              <w:rPr>
                <w:rFonts w:ascii="宋体" w:hAnsi="宋体" w:cs="宋体"/>
                <w:color w:val="auto"/>
                <w:szCs w:val="21"/>
                <w:highlight w:val="none"/>
              </w:rPr>
            </w:pPr>
            <w:r>
              <w:rPr>
                <w:rFonts w:hint="eastAsia" w:ascii="宋体" w:hAnsi="宋体" w:cs="宋体"/>
                <w:b/>
                <w:color w:val="auto"/>
                <w:szCs w:val="21"/>
                <w:highlight w:val="none"/>
              </w:rPr>
              <w:t>3.中标人应保证所提供货物在使用时不会侵犯任何第三方的知识产权或者其他权利。如合同货物涉及知识产权，则中标人保证采购人在使用合同货物过程中免于受到第三方提出的有关知识产权侵权的主张、索赔或诉讼的伤害。</w:t>
            </w:r>
          </w:p>
        </w:tc>
      </w:tr>
      <w:tr w14:paraId="1413B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0" w:hRule="atLeast"/>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C3B1055">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（九）违约责任</w:t>
            </w:r>
          </w:p>
        </w:tc>
        <w:tc>
          <w:tcPr>
            <w:tcW w:w="3266" w:type="pct"/>
            <w:gridSpan w:val="3"/>
            <w:tcBorders>
              <w:top w:val="single" w:color="auto" w:sz="4" w:space="0"/>
              <w:left w:val="single" w:color="auto" w:sz="4" w:space="0"/>
              <w:bottom w:val="single" w:color="auto" w:sz="4" w:space="0"/>
              <w:right w:val="single" w:color="auto" w:sz="4" w:space="0"/>
            </w:tcBorders>
          </w:tcPr>
          <w:p w14:paraId="7519CC26">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1.保修期内，如在使用过程中发生质量问题，中标人在接到采购人通知后按承诺的时间内到达采购人现场处理。中标人未在承诺时间内到达处理，每次需按照该设备中标金额的1%支付违约金，违约金总金额不超过该设备总金额的5%，扣款直接以留存的5%合同价款抵扣，不足抵扣的，中标人须承担补足责任。否则中标人需按合同总金额的30%向采购人支付违约金并承担相应的法律责任。</w:t>
            </w:r>
          </w:p>
          <w:p w14:paraId="63521AE4">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2.中标人无正当理由拒收的，违约方每天按合同标的0.3%支付违约金。</w:t>
            </w:r>
          </w:p>
          <w:p w14:paraId="4A96931F">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3.中标人逾期交付货物的，每逾期一日应支付违约金1000元，中标人逾期超过7天仍不能交货的,采购人有权单方面终止合同，中标人应按合同总金额的30%向采购人支付违约金，造成采购人损失的，由中标人负责赔偿，赔偿范围包括但不限于直接损失、逾期损失、以及维权产生的相关费用。</w:t>
            </w:r>
          </w:p>
          <w:p w14:paraId="5F52F433">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4.中标人货物不符合约定及采购人要求的，须无条件免费予以更换或弥补，由此导致的逾期交付责任由中标人承担；中标人拒绝更换或弥补，更换三次仍不能达到采购人要求的，采购人有权解除合同，中标人应按合同总金额的30%向采购人支付违约金并赔偿采购人全部损失</w:t>
            </w:r>
          </w:p>
          <w:p w14:paraId="1E9D2707">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5.中标人未按约定履行售后服务或维保责任的，每发生一次应向采购人支付违约金1000元，采购人有权自行或委托第三方进行维保，由此产生的全部费用由中标人承担。</w:t>
            </w:r>
          </w:p>
          <w:p w14:paraId="52607C81">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6.中标人提供的投标文件如有虚假，视为中标人根本性违约，采购人有权单方面解除合同，并追究中标人相关法律责任。</w:t>
            </w:r>
          </w:p>
        </w:tc>
      </w:tr>
      <w:tr w14:paraId="0A4B1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A6640F5">
            <w:pPr>
              <w:adjustRightInd w:val="0"/>
              <w:snapToGrid w:val="0"/>
              <w:spacing w:line="350" w:lineRule="exact"/>
              <w:jc w:val="center"/>
              <w:rPr>
                <w:rFonts w:ascii="宋体" w:hAnsi="宋体" w:cs="宋体"/>
                <w:b/>
                <w:color w:val="auto"/>
                <w:szCs w:val="21"/>
                <w:highlight w:val="none"/>
              </w:rPr>
            </w:pPr>
            <w:r>
              <w:rPr>
                <w:rFonts w:hint="eastAsia" w:ascii="宋体" w:hAnsi="宋体" w:cs="宋体"/>
                <w:b/>
                <w:color w:val="auto"/>
                <w:kern w:val="0"/>
                <w:szCs w:val="21"/>
                <w:highlight w:val="none"/>
              </w:rPr>
              <w:t>（十）医疗器械管理相应有效证明材料</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19FA7F83">
            <w:pPr>
              <w:adjustRightInd w:val="0"/>
              <w:snapToGrid w:val="0"/>
              <w:spacing w:line="340" w:lineRule="exact"/>
              <w:jc w:val="left"/>
              <w:rPr>
                <w:rFonts w:ascii="宋体" w:hAnsi="宋体" w:cs="宋体"/>
                <w:b/>
                <w:color w:val="auto"/>
                <w:szCs w:val="21"/>
                <w:highlight w:val="none"/>
              </w:rPr>
            </w:pPr>
            <w:r>
              <w:rPr>
                <w:rFonts w:hint="eastAsia" w:ascii="宋体" w:hAnsi="宋体" w:cs="宋体"/>
                <w:b/>
                <w:color w:val="auto"/>
                <w:szCs w:val="21"/>
                <w:highlight w:val="none"/>
              </w:rPr>
              <w:t>投标人所投本分标产品如属第二类或第三类医疗器械管理的，必须具有相应有效的“医疗器械注册证”（投标人于投标文件中必须提供相应有效的医疗器械注册证复印件，加盖投标人电子签章）。</w:t>
            </w:r>
          </w:p>
        </w:tc>
      </w:tr>
      <w:tr w14:paraId="1C01F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262EC78B">
            <w:pPr>
              <w:pStyle w:val="19"/>
              <w:spacing w:line="360" w:lineRule="exact"/>
              <w:jc w:val="center"/>
              <w:rPr>
                <w:rFonts w:ascii="宋体" w:hAnsi="宋体" w:cs="宋体"/>
                <w:b/>
                <w:color w:val="auto"/>
                <w:kern w:val="2"/>
                <w:sz w:val="21"/>
                <w:szCs w:val="21"/>
                <w:highlight w:val="none"/>
              </w:rPr>
            </w:pPr>
            <w:r>
              <w:rPr>
                <w:rFonts w:hint="eastAsia" w:ascii="宋体" w:hAnsi="宋体" w:cs="宋体"/>
                <w:b/>
                <w:color w:val="auto"/>
                <w:sz w:val="21"/>
                <w:szCs w:val="21"/>
                <w:highlight w:val="none"/>
              </w:rPr>
              <w:t>（十一）进口产品说明</w:t>
            </w:r>
          </w:p>
        </w:tc>
        <w:tc>
          <w:tcPr>
            <w:tcW w:w="3266" w:type="pct"/>
            <w:gridSpan w:val="3"/>
            <w:tcBorders>
              <w:top w:val="single" w:color="auto" w:sz="4" w:space="0"/>
              <w:left w:val="single" w:color="auto" w:sz="4" w:space="0"/>
              <w:bottom w:val="single" w:color="auto" w:sz="4" w:space="0"/>
              <w:right w:val="single" w:color="auto" w:sz="4" w:space="0"/>
            </w:tcBorders>
          </w:tcPr>
          <w:p w14:paraId="30A50F8E">
            <w:pPr>
              <w:spacing w:line="340" w:lineRule="exact"/>
              <w:rPr>
                <w:rFonts w:ascii="宋体" w:hAnsi="宋体" w:cs="宋体"/>
                <w:b/>
                <w:color w:val="auto"/>
                <w:szCs w:val="21"/>
                <w:highlight w:val="none"/>
              </w:rPr>
            </w:pPr>
            <w:r>
              <w:rPr>
                <w:rFonts w:hint="eastAsia" w:ascii="宋体" w:hAnsi="宋体" w:cs="宋体"/>
                <w:b/>
                <w:color w:val="auto"/>
                <w:szCs w:val="21"/>
                <w:highlight w:val="none"/>
              </w:rPr>
              <w:t>本分标货物不接受进口产品（即通过中国海关报关验放进入中国境内且产自关境外的产品）参与投标，如有进口产品参与投标的作无效标处理。</w:t>
            </w:r>
          </w:p>
        </w:tc>
      </w:tr>
      <w:tr w14:paraId="245CA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66E510E3">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（十二）采购预算及最高限价</w:t>
            </w:r>
          </w:p>
        </w:tc>
        <w:tc>
          <w:tcPr>
            <w:tcW w:w="3266" w:type="pct"/>
            <w:gridSpan w:val="3"/>
            <w:tcBorders>
              <w:top w:val="single" w:color="auto" w:sz="4" w:space="0"/>
              <w:left w:val="single" w:color="auto" w:sz="4" w:space="0"/>
              <w:bottom w:val="single" w:color="auto" w:sz="4" w:space="0"/>
              <w:right w:val="single" w:color="auto" w:sz="4" w:space="0"/>
            </w:tcBorders>
          </w:tcPr>
          <w:p w14:paraId="0EEB144B">
            <w:pPr>
              <w:spacing w:line="340" w:lineRule="exact"/>
              <w:rPr>
                <w:rFonts w:ascii="宋体" w:hAnsi="宋体" w:cs="宋体"/>
                <w:b/>
                <w:color w:val="auto"/>
                <w:szCs w:val="21"/>
                <w:highlight w:val="none"/>
              </w:rPr>
            </w:pPr>
            <w:r>
              <w:rPr>
                <w:rFonts w:hint="eastAsia" w:ascii="宋体" w:hAnsi="宋体" w:cs="宋体"/>
                <w:b/>
                <w:bCs/>
                <w:color w:val="auto"/>
                <w:highlight w:val="none"/>
              </w:rPr>
              <w:t>本</w:t>
            </w:r>
            <w:r>
              <w:rPr>
                <w:rFonts w:hint="eastAsia" w:ascii="宋体" w:hAnsi="宋体" w:cs="宋体"/>
                <w:b/>
                <w:color w:val="auto"/>
                <w:szCs w:val="21"/>
                <w:highlight w:val="none"/>
              </w:rPr>
              <w:t>分标</w:t>
            </w:r>
            <w:r>
              <w:rPr>
                <w:rFonts w:hint="eastAsia" w:ascii="宋体" w:hAnsi="宋体" w:cs="宋体"/>
                <w:b/>
                <w:bCs/>
                <w:color w:val="auto"/>
                <w:highlight w:val="none"/>
              </w:rPr>
              <w:t>采购预算为</w:t>
            </w:r>
            <w:r>
              <w:rPr>
                <w:rFonts w:hint="eastAsia" w:ascii="宋体" w:hAnsi="宋体"/>
                <w:b/>
                <w:bCs/>
                <w:color w:val="auto"/>
                <w:highlight w:val="none"/>
              </w:rPr>
              <w:t>玖拾玖万贰仟元整（¥992000.00），</w:t>
            </w:r>
            <w:r>
              <w:rPr>
                <w:rFonts w:hint="eastAsia" w:ascii="宋体" w:hAnsi="宋体" w:cs="宋体"/>
                <w:b/>
                <w:bCs/>
                <w:color w:val="auto"/>
                <w:highlight w:val="none"/>
              </w:rPr>
              <w:t>最高限价为捌拾伍万叁仟捌佰元整（¥853800.00），</w:t>
            </w:r>
            <w:r>
              <w:rPr>
                <w:rFonts w:hint="eastAsia" w:ascii="宋体" w:hAnsi="宋体" w:cs="宋体"/>
                <w:b/>
                <w:bCs/>
                <w:color w:val="auto"/>
                <w:szCs w:val="21"/>
                <w:highlight w:val="none"/>
              </w:rPr>
              <w:t>投标人投标报价超最高限价的或</w:t>
            </w:r>
            <w:r>
              <w:rPr>
                <w:rFonts w:hint="eastAsia" w:ascii="宋体" w:hAnsi="宋体"/>
                <w:b/>
                <w:color w:val="auto"/>
                <w:szCs w:val="21"/>
                <w:highlight w:val="none"/>
              </w:rPr>
              <w:t>投标人所投分标各分项的单价报价超相应标的的单价最高限价的</w:t>
            </w:r>
            <w:r>
              <w:rPr>
                <w:rFonts w:hint="eastAsia" w:ascii="宋体" w:hAnsi="宋体" w:cs="宋体"/>
                <w:b/>
                <w:bCs/>
                <w:color w:val="auto"/>
                <w:szCs w:val="21"/>
                <w:highlight w:val="none"/>
              </w:rPr>
              <w:t>，投标文件均按无效处理。</w:t>
            </w:r>
          </w:p>
        </w:tc>
      </w:tr>
      <w:tr w14:paraId="60DB9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0E486537">
            <w:pPr>
              <w:adjustRightInd w:val="0"/>
              <w:snapToGrid w:val="0"/>
              <w:spacing w:line="340" w:lineRule="exact"/>
              <w:rPr>
                <w:rFonts w:ascii="宋体" w:hAnsi="宋体" w:cs="宋体"/>
                <w:b/>
                <w:color w:val="auto"/>
                <w:szCs w:val="21"/>
                <w:highlight w:val="none"/>
              </w:rPr>
            </w:pPr>
            <w:r>
              <w:rPr>
                <w:rFonts w:hint="eastAsia" w:ascii="宋体" w:hAnsi="宋体" w:cs="宋体"/>
                <w:b/>
                <w:bCs/>
                <w:color w:val="auto"/>
                <w:szCs w:val="21"/>
                <w:highlight w:val="none"/>
              </w:rPr>
              <w:t>五、与实现项目目标相关的其他要求</w:t>
            </w:r>
          </w:p>
        </w:tc>
      </w:tr>
      <w:tr w14:paraId="36BA7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17A35217">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（一）安装实施方案</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0ED4FFC1">
            <w:pPr>
              <w:adjustRightInd w:val="0"/>
              <w:snapToGrid w:val="0"/>
              <w:spacing w:line="34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安装实施方案</w:t>
            </w:r>
            <w:r>
              <w:rPr>
                <w:rFonts w:hint="eastAsia" w:ascii="宋体" w:hAnsi="宋体" w:cs="宋体"/>
                <w:color w:val="auto"/>
                <w:szCs w:val="21"/>
                <w:highlight w:val="none"/>
              </w:rPr>
              <w:t>，包含但不限于：①安装方案；②设备调试方案；③设备试运行方案等</w:t>
            </w:r>
            <w:r>
              <w:rPr>
                <w:rFonts w:hint="eastAsia" w:ascii="宋体" w:hAnsi="宋体" w:cs="宋体"/>
                <w:bCs/>
                <w:color w:val="auto"/>
                <w:szCs w:val="21"/>
                <w:highlight w:val="none"/>
              </w:rPr>
              <w:t>。</w:t>
            </w:r>
          </w:p>
          <w:p w14:paraId="5011F927">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69F5E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D030FF">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（二）增值售后服务方案</w:t>
            </w:r>
          </w:p>
        </w:tc>
        <w:tc>
          <w:tcPr>
            <w:tcW w:w="32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532B6D">
            <w:pPr>
              <w:adjustRightInd w:val="0"/>
              <w:snapToGrid w:val="0"/>
              <w:spacing w:line="34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增值售后服务方案</w:t>
            </w:r>
            <w:r>
              <w:rPr>
                <w:rFonts w:hint="eastAsia" w:ascii="宋体" w:hAnsi="宋体" w:cs="宋体"/>
                <w:color w:val="auto"/>
                <w:szCs w:val="21"/>
                <w:highlight w:val="none"/>
              </w:rPr>
              <w:t>，包含但不限于：①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r>
              <w:rPr>
                <w:rFonts w:hint="eastAsia" w:ascii="宋体" w:hAnsi="宋体" w:cs="宋体"/>
                <w:bCs/>
                <w:color w:val="auto"/>
                <w:szCs w:val="21"/>
                <w:highlight w:val="none"/>
              </w:rPr>
              <w:t>。</w:t>
            </w:r>
          </w:p>
          <w:p w14:paraId="78D8C586">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5922B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2BC5526A">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（三）履约能力要求</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6E94E0BA">
            <w:pPr>
              <w:spacing w:line="34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投标人或所投产品生产厂家通过ISO13485</w:t>
            </w:r>
            <w:r>
              <w:rPr>
                <w:rFonts w:hint="eastAsia" w:ascii="宋体" w:hAnsi="宋体" w:cs="宋体"/>
                <w:color w:val="auto"/>
                <w:highlight w:val="none"/>
              </w:rPr>
              <w:t>医疗器械质量管理体系认证</w:t>
            </w:r>
            <w:r>
              <w:rPr>
                <w:rFonts w:hint="eastAsia" w:ascii="宋体" w:hAnsi="宋体" w:cs="宋体"/>
                <w:color w:val="auto"/>
                <w:szCs w:val="21"/>
                <w:highlight w:val="none"/>
              </w:rPr>
              <w:t>、ISO9001质量管理体系认证且有效的。</w:t>
            </w:r>
          </w:p>
          <w:p w14:paraId="326436ED">
            <w:pPr>
              <w:spacing w:line="340" w:lineRule="exact"/>
              <w:rPr>
                <w:rFonts w:ascii="宋体" w:hAnsi="宋体" w:cs="宋体"/>
                <w:color w:val="auto"/>
                <w:highlight w:val="none"/>
              </w:rPr>
            </w:pPr>
            <w:r>
              <w:rPr>
                <w:rFonts w:hint="eastAsia" w:ascii="宋体" w:hAnsi="宋体" w:cs="宋体"/>
                <w:bCs/>
                <w:color w:val="auto"/>
                <w:highlight w:val="none"/>
              </w:rPr>
              <w:t>2.</w:t>
            </w:r>
            <w:r>
              <w:rPr>
                <w:rFonts w:hint="eastAsia" w:ascii="宋体" w:hAnsi="宋体" w:cs="宋体"/>
                <w:color w:val="auto"/>
                <w:highlight w:val="none"/>
              </w:rPr>
              <w:t>投标人或所投产品生产厂家2021年以来具有同类产品的销售业绩的。</w:t>
            </w:r>
          </w:p>
          <w:p w14:paraId="4183ADBD">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注：上述履约能力加分详见“第四章 评标办法及评标标准”。</w:t>
            </w:r>
          </w:p>
        </w:tc>
      </w:tr>
      <w:tr w14:paraId="6F65E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3" w:type="pct"/>
            <w:gridSpan w:val="4"/>
            <w:tcBorders>
              <w:top w:val="single" w:color="auto" w:sz="4" w:space="0"/>
              <w:left w:val="single" w:color="auto" w:sz="4" w:space="0"/>
              <w:bottom w:val="single" w:color="auto" w:sz="4" w:space="0"/>
              <w:right w:val="single" w:color="auto" w:sz="4" w:space="0"/>
            </w:tcBorders>
            <w:vAlign w:val="center"/>
          </w:tcPr>
          <w:p w14:paraId="3857D2FE">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（四）政策性加分条件</w:t>
            </w:r>
          </w:p>
        </w:tc>
        <w:tc>
          <w:tcPr>
            <w:tcW w:w="3266" w:type="pct"/>
            <w:gridSpan w:val="3"/>
            <w:tcBorders>
              <w:top w:val="single" w:color="auto" w:sz="4" w:space="0"/>
              <w:left w:val="single" w:color="auto" w:sz="4" w:space="0"/>
              <w:bottom w:val="single" w:color="auto" w:sz="4" w:space="0"/>
              <w:right w:val="single" w:color="auto" w:sz="4" w:space="0"/>
            </w:tcBorders>
            <w:vAlign w:val="center"/>
          </w:tcPr>
          <w:p w14:paraId="5FA0043B">
            <w:pPr>
              <w:spacing w:line="340" w:lineRule="exact"/>
              <w:rPr>
                <w:rFonts w:ascii="宋体" w:hAnsi="宋体" w:cs="宋体"/>
                <w:color w:val="auto"/>
                <w:highlight w:val="none"/>
              </w:rPr>
            </w:pPr>
            <w:r>
              <w:rPr>
                <w:rFonts w:hint="eastAsia" w:ascii="宋体" w:hAnsi="宋体" w:cs="宋体"/>
                <w:color w:val="auto"/>
                <w:highlight w:val="none"/>
              </w:rPr>
              <w:t>1.节能产品：属于财政部《节能产品政府采购品目清单》内优先采购（清单内未标注“★”的品目）的产品[投标文件中提供有效的认证证书复印件及品目清单（标注投标产品在品目清单中所属的品目），并加盖投标人电子签章]。</w:t>
            </w:r>
          </w:p>
          <w:p w14:paraId="18260934">
            <w:pPr>
              <w:spacing w:line="340" w:lineRule="exact"/>
              <w:rPr>
                <w:rFonts w:ascii="宋体" w:hAnsi="宋体" w:cs="宋体"/>
                <w:color w:val="auto"/>
                <w:highlight w:val="none"/>
              </w:rPr>
            </w:pPr>
            <w:r>
              <w:rPr>
                <w:rFonts w:hint="eastAsia" w:ascii="宋体" w:hAnsi="宋体" w:cs="宋体"/>
                <w:color w:val="auto"/>
                <w:highlight w:val="none"/>
              </w:rPr>
              <w:t>2.环境标志产品：属于财政部《环境标志产品政府采购品目清单》内的产品[投标文件中提供有效的认证证书复印件及品目清单（标注投标产品在品目清单中所属的品目），并加盖投标人电子签章]。</w:t>
            </w:r>
          </w:p>
          <w:p w14:paraId="00C05C7F">
            <w:pPr>
              <w:adjustRightInd w:val="0"/>
              <w:snapToGrid w:val="0"/>
              <w:spacing w:line="340" w:lineRule="exact"/>
              <w:rPr>
                <w:rFonts w:ascii="宋体" w:hAnsi="宋体" w:cs="宋体"/>
                <w:b/>
                <w:color w:val="auto"/>
                <w:szCs w:val="21"/>
                <w:highlight w:val="none"/>
              </w:rPr>
            </w:pPr>
            <w:r>
              <w:rPr>
                <w:rFonts w:hint="eastAsia" w:ascii="宋体" w:hAnsi="宋体" w:cs="宋体"/>
                <w:b/>
                <w:color w:val="auto"/>
                <w:highlight w:val="none"/>
              </w:rPr>
              <w:t>注：上述政策性加分详见“第四章 评标办法及评标标准”。</w:t>
            </w:r>
          </w:p>
        </w:tc>
      </w:tr>
    </w:tbl>
    <w:p w14:paraId="04F1EE95">
      <w:pPr>
        <w:spacing w:line="428" w:lineRule="exact"/>
        <w:ind w:left="119"/>
        <w:rPr>
          <w:rFonts w:ascii="宋体" w:hAnsi="宋体" w:cs="宋体"/>
          <w:color w:val="auto"/>
          <w:sz w:val="32"/>
          <w:szCs w:val="32"/>
          <w:highlight w:val="none"/>
        </w:rPr>
      </w:pPr>
      <w:bookmarkStart w:id="43" w:name="_Toc74320802"/>
    </w:p>
    <w:p w14:paraId="363515C4">
      <w:pPr>
        <w:spacing w:line="428" w:lineRule="exact"/>
        <w:ind w:left="119"/>
        <w:rPr>
          <w:rFonts w:ascii="宋体" w:hAnsi="宋体" w:cs="宋体"/>
          <w:color w:val="auto"/>
          <w:sz w:val="32"/>
          <w:szCs w:val="32"/>
          <w:highlight w:val="none"/>
        </w:rPr>
      </w:pPr>
    </w:p>
    <w:p w14:paraId="33DAAA91">
      <w:pPr>
        <w:spacing w:line="428" w:lineRule="exact"/>
        <w:ind w:left="119"/>
        <w:rPr>
          <w:rFonts w:ascii="宋体" w:hAnsi="宋体" w:cs="宋体"/>
          <w:color w:val="auto"/>
          <w:sz w:val="32"/>
          <w:szCs w:val="32"/>
          <w:highlight w:val="none"/>
        </w:rPr>
      </w:pPr>
    </w:p>
    <w:p w14:paraId="00D81EA1">
      <w:pPr>
        <w:spacing w:line="428" w:lineRule="exact"/>
        <w:ind w:left="119"/>
        <w:rPr>
          <w:rFonts w:ascii="宋体" w:hAnsi="宋体" w:cs="宋体"/>
          <w:color w:val="auto"/>
          <w:sz w:val="32"/>
          <w:szCs w:val="32"/>
          <w:highlight w:val="none"/>
        </w:rPr>
      </w:pPr>
    </w:p>
    <w:p w14:paraId="6B3BF6D2">
      <w:pPr>
        <w:spacing w:line="428" w:lineRule="exact"/>
        <w:ind w:left="119"/>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285C1F4C">
      <w:pPr>
        <w:spacing w:before="7"/>
        <w:rPr>
          <w:rFonts w:ascii="宋体" w:hAnsi="宋体" w:cs="宋体"/>
          <w:color w:val="auto"/>
          <w:sz w:val="17"/>
          <w:szCs w:val="17"/>
          <w:highlight w:val="none"/>
        </w:rPr>
      </w:pPr>
    </w:p>
    <w:p w14:paraId="51087688">
      <w:pPr>
        <w:spacing w:line="528" w:lineRule="exact"/>
        <w:ind w:left="1871"/>
        <w:rPr>
          <w:rFonts w:ascii="宋体" w:hAnsi="宋体" w:cs="宋体"/>
          <w:color w:val="auto"/>
          <w:sz w:val="40"/>
          <w:szCs w:val="40"/>
          <w:highlight w:val="none"/>
        </w:rPr>
      </w:pPr>
      <w:r>
        <w:rPr>
          <w:rFonts w:hint="eastAsia" w:ascii="宋体" w:hAnsi="宋体" w:cs="宋体"/>
          <w:color w:val="auto"/>
          <w:sz w:val="44"/>
          <w:szCs w:val="44"/>
          <w:highlight w:val="none"/>
        </w:rPr>
        <w:t>节能产品政府采购品目清单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373"/>
        <w:gridCol w:w="3566"/>
      </w:tblGrid>
      <w:tr w14:paraId="3790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D87EE1B">
            <w:pPr>
              <w:jc w:val="center"/>
              <w:rPr>
                <w:rFonts w:ascii="宋体" w:hAnsi="宋体" w:cs="宋体"/>
                <w:color w:val="auto"/>
                <w:szCs w:val="22"/>
                <w:highlight w:val="none"/>
              </w:rPr>
            </w:pPr>
            <w:r>
              <w:rPr>
                <w:rFonts w:hint="eastAsia" w:ascii="宋体" w:hAnsi="宋体" w:cs="宋体"/>
                <w:b/>
                <w:bCs/>
                <w:color w:val="auto"/>
                <w:w w:val="99"/>
                <w:highlight w:val="none"/>
              </w:rPr>
              <w:t>品目序号</w:t>
            </w:r>
          </w:p>
        </w:tc>
        <w:tc>
          <w:tcPr>
            <w:tcW w:w="4285" w:type="dxa"/>
            <w:gridSpan w:val="3"/>
            <w:tcBorders>
              <w:top w:val="single" w:color="000000" w:sz="4" w:space="0"/>
              <w:left w:val="single" w:color="000000" w:sz="4" w:space="0"/>
              <w:bottom w:val="single" w:color="000000" w:sz="4" w:space="0"/>
              <w:right w:val="single" w:color="000000" w:sz="4" w:space="0"/>
            </w:tcBorders>
            <w:noWrap/>
            <w:vAlign w:val="center"/>
          </w:tcPr>
          <w:p w14:paraId="1B658F7B">
            <w:pPr>
              <w:jc w:val="center"/>
              <w:rPr>
                <w:rFonts w:ascii="宋体" w:hAnsi="宋体" w:cs="宋体"/>
                <w:color w:val="auto"/>
                <w:szCs w:val="22"/>
                <w:highlight w:val="none"/>
              </w:rPr>
            </w:pPr>
            <w:r>
              <w:rPr>
                <w:rFonts w:hint="eastAsia" w:ascii="宋体" w:hAnsi="宋体" w:cs="宋体"/>
                <w:b/>
                <w:bCs/>
                <w:color w:val="auto"/>
                <w:w w:val="99"/>
                <w:highlight w:val="none"/>
              </w:rPr>
              <w:t>名称</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930A949">
            <w:pPr>
              <w:jc w:val="center"/>
              <w:rPr>
                <w:rFonts w:ascii="宋体" w:hAnsi="宋体" w:cs="宋体"/>
                <w:color w:val="auto"/>
                <w:szCs w:val="22"/>
                <w:highlight w:val="none"/>
              </w:rPr>
            </w:pPr>
            <w:r>
              <w:rPr>
                <w:rFonts w:hint="eastAsia" w:ascii="宋体" w:hAnsi="宋体" w:cs="宋体"/>
                <w:b/>
                <w:bCs/>
                <w:color w:val="auto"/>
                <w:w w:val="99"/>
                <w:highlight w:val="none"/>
              </w:rPr>
              <w:t>依据的标准</w:t>
            </w:r>
          </w:p>
        </w:tc>
      </w:tr>
      <w:tr w14:paraId="2C15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58E0D6B7">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62166C88">
            <w:pPr>
              <w:jc w:val="center"/>
              <w:rPr>
                <w:rFonts w:ascii="宋体" w:hAnsi="宋体" w:cs="宋体"/>
                <w:color w:val="auto"/>
                <w:szCs w:val="21"/>
                <w:highlight w:val="none"/>
              </w:rPr>
            </w:pPr>
            <w:r>
              <w:rPr>
                <w:rFonts w:hint="eastAsia" w:ascii="宋体" w:hAnsi="宋体" w:cs="宋体"/>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A9626A5">
            <w:pPr>
              <w:pStyle w:val="135"/>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5A9114A">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6072CB1">
            <w:pPr>
              <w:pStyle w:val="135"/>
              <w:spacing w:before="93"/>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7F68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07132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C11D23">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FBE3A5B">
            <w:pPr>
              <w:pStyle w:val="135"/>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224E834">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D5BCF94">
            <w:pPr>
              <w:pStyle w:val="135"/>
              <w:spacing w:before="44"/>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4A6F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CECBE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7428A4">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7D53EE2">
            <w:pPr>
              <w:pStyle w:val="135"/>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宋体"/>
                <w:color w:val="auto"/>
                <w:kern w:val="2"/>
                <w:sz w:val="21"/>
                <w:szCs w:val="21"/>
                <w:highlight w:val="none"/>
                <w:lang w:eastAsia="zh-CN"/>
              </w:rPr>
              <w:t>A02010109平板式计算机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E1FA120">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A934D9F">
            <w:pPr>
              <w:pStyle w:val="135"/>
              <w:spacing w:before="64"/>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22C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265F2D47">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2340193A">
            <w:pPr>
              <w:pStyle w:val="135"/>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14C750A8">
            <w:pPr>
              <w:jc w:val="center"/>
              <w:rPr>
                <w:rFonts w:ascii="宋体" w:hAnsi="宋体" w:cs="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宋体"/>
                <w:color w:val="auto"/>
                <w:szCs w:val="21"/>
                <w:highlight w:val="none"/>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E032C6A">
            <w:pPr>
              <w:jc w:val="center"/>
              <w:rPr>
                <w:rFonts w:ascii="宋体" w:hAnsi="宋体" w:cs="宋体"/>
                <w:color w:val="auto"/>
                <w:szCs w:val="21"/>
                <w:highlight w:val="none"/>
              </w:rPr>
            </w:pPr>
            <w:r>
              <w:rPr>
                <w:rFonts w:hint="eastAsia" w:ascii="宋体" w:hAnsi="宋体" w:cs="宋体"/>
                <w:color w:val="auto"/>
                <w:szCs w:val="21"/>
                <w:highlight w:val="none"/>
              </w:rPr>
              <w:t>A02021001 A3黑白打印机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715FBCA">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11DF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D5C5E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66F52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71AE9F">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CBB2D83">
            <w:pPr>
              <w:jc w:val="center"/>
              <w:rPr>
                <w:rFonts w:ascii="宋体" w:hAnsi="宋体" w:cs="宋体"/>
                <w:color w:val="auto"/>
                <w:szCs w:val="21"/>
                <w:highlight w:val="none"/>
              </w:rPr>
            </w:pPr>
            <w:r>
              <w:rPr>
                <w:rFonts w:hint="eastAsia" w:ascii="宋体" w:hAnsi="宋体" w:cs="宋体"/>
                <w:color w:val="auto"/>
                <w:szCs w:val="21"/>
                <w:highlight w:val="none"/>
              </w:rPr>
              <w:t>A02021002 A3彩色打印机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24F0025">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7B14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7E2312">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1C740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3198F8">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0E5C6C7">
            <w:pPr>
              <w:jc w:val="center"/>
              <w:rPr>
                <w:rFonts w:ascii="宋体" w:hAnsi="宋体" w:cs="宋体"/>
                <w:color w:val="auto"/>
                <w:szCs w:val="21"/>
                <w:highlight w:val="none"/>
              </w:rPr>
            </w:pPr>
            <w:r>
              <w:rPr>
                <w:rFonts w:hint="eastAsia" w:ascii="宋体" w:hAnsi="宋体" w:cs="宋体"/>
                <w:color w:val="auto"/>
                <w:szCs w:val="21"/>
                <w:highlight w:val="none"/>
              </w:rPr>
              <w:t>A02021003 A4黑白打印机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4F77DDA">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7B19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23E6F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5215E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19CE57">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0836C29">
            <w:pPr>
              <w:jc w:val="center"/>
              <w:rPr>
                <w:rFonts w:ascii="宋体" w:hAnsi="宋体" w:cs="宋体"/>
                <w:color w:val="auto"/>
                <w:szCs w:val="21"/>
                <w:highlight w:val="none"/>
              </w:rPr>
            </w:pPr>
            <w:r>
              <w:rPr>
                <w:rFonts w:hint="eastAsia" w:ascii="宋体" w:hAnsi="宋体" w:cs="宋体"/>
                <w:color w:val="auto"/>
                <w:szCs w:val="21"/>
                <w:highlight w:val="none"/>
              </w:rPr>
              <w:t>A02021004 A4彩色打印机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AFDF695">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6C60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1568C4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DF55F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893D83">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ED3E07A">
            <w:pPr>
              <w:jc w:val="center"/>
              <w:rPr>
                <w:rFonts w:ascii="宋体" w:hAnsi="宋体" w:cs="宋体"/>
                <w:color w:val="auto"/>
                <w:szCs w:val="21"/>
                <w:highlight w:val="none"/>
              </w:rPr>
            </w:pPr>
            <w:r>
              <w:rPr>
                <w:rFonts w:hint="eastAsia" w:ascii="宋体" w:hAnsi="宋体" w:cs="宋体"/>
                <w:color w:val="auto"/>
                <w:szCs w:val="21"/>
                <w:highlight w:val="none"/>
              </w:rPr>
              <w:t>A02021005 3D打印机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C67BE24">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6066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D5390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A2D65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4C4D0E">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638B313">
            <w:pPr>
              <w:jc w:val="center"/>
              <w:rPr>
                <w:rFonts w:ascii="宋体" w:hAnsi="宋体" w:cs="宋体"/>
                <w:color w:val="auto"/>
                <w:szCs w:val="21"/>
                <w:highlight w:val="none"/>
              </w:rPr>
            </w:pPr>
            <w:r>
              <w:rPr>
                <w:rFonts w:hint="eastAsia" w:ascii="宋体" w:hAnsi="宋体" w:cs="宋体"/>
                <w:color w:val="auto"/>
                <w:szCs w:val="21"/>
                <w:highlight w:val="none"/>
              </w:rPr>
              <w:t>A02021006票据打印机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66BF635">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23CF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D77CF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69190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A56462">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951B1B0">
            <w:pPr>
              <w:jc w:val="center"/>
              <w:rPr>
                <w:rFonts w:ascii="宋体" w:hAnsi="宋体" w:cs="宋体"/>
                <w:color w:val="auto"/>
                <w:szCs w:val="21"/>
                <w:highlight w:val="none"/>
              </w:rPr>
            </w:pPr>
            <w:r>
              <w:rPr>
                <w:rFonts w:hint="eastAsia" w:ascii="宋体" w:hAnsi="宋体" w:cs="宋体"/>
                <w:color w:val="auto"/>
                <w:szCs w:val="21"/>
                <w:highlight w:val="none"/>
              </w:rPr>
              <w:t>A02021007条码打印机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46B8F8D">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0C2B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776C5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1738F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210247">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B71545D">
            <w:pPr>
              <w:jc w:val="center"/>
              <w:rPr>
                <w:rFonts w:ascii="宋体" w:hAnsi="宋体" w:cs="宋体"/>
                <w:color w:val="auto"/>
                <w:szCs w:val="21"/>
                <w:highlight w:val="none"/>
              </w:rPr>
            </w:pPr>
            <w:r>
              <w:rPr>
                <w:rFonts w:hint="eastAsia" w:ascii="宋体" w:hAnsi="宋体" w:cs="宋体"/>
                <w:color w:val="auto"/>
                <w:szCs w:val="21"/>
                <w:highlight w:val="none"/>
              </w:rPr>
              <w:t>A02021008地址打印机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A2A3817">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5280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BE99D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22F8E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3A3ABB">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BDBAF0F">
            <w:pPr>
              <w:jc w:val="center"/>
              <w:rPr>
                <w:rFonts w:ascii="宋体" w:hAnsi="宋体" w:cs="宋体"/>
                <w:color w:val="auto"/>
                <w:szCs w:val="21"/>
                <w:highlight w:val="none"/>
              </w:rPr>
            </w:pPr>
            <w:r>
              <w:rPr>
                <w:rFonts w:hint="eastAsia" w:ascii="宋体" w:hAnsi="宋体" w:cs="宋体"/>
                <w:color w:val="auto"/>
                <w:szCs w:val="21"/>
                <w:highlight w:val="none"/>
              </w:rPr>
              <w:t>A02021099其他打印机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6DC01D7">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165C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CED49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C6D82F">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3BB33B2D">
            <w:pPr>
              <w:jc w:val="center"/>
              <w:rPr>
                <w:rFonts w:ascii="宋体" w:hAnsi="宋体" w:cs="宋体"/>
                <w:color w:val="auto"/>
                <w:szCs w:val="21"/>
                <w:highlight w:val="none"/>
              </w:rPr>
            </w:pPr>
            <w:r>
              <w:rPr>
                <w:rFonts w:hint="eastAsia" w:ascii="宋体" w:hAnsi="宋体" w:cs="宋体"/>
                <w:color w:val="auto"/>
                <w:szCs w:val="21"/>
                <w:highlight w:val="none"/>
              </w:rPr>
              <w:t>A02021100输入输出设备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D18CAFE">
            <w:pPr>
              <w:jc w:val="center"/>
              <w:rPr>
                <w:rFonts w:ascii="宋体" w:hAnsi="宋体" w:cs="宋体"/>
                <w:color w:val="auto"/>
                <w:szCs w:val="21"/>
                <w:highlight w:val="none"/>
              </w:rPr>
            </w:pPr>
            <w:r>
              <w:rPr>
                <w:rFonts w:hint="eastAsia" w:ascii="宋体" w:hAnsi="宋体" w:cs="宋体"/>
                <w:color w:val="auto"/>
                <w:w w:val="99"/>
                <w:szCs w:val="21"/>
                <w:highlight w:val="none"/>
              </w:rPr>
              <w:t>★</w:t>
            </w:r>
            <w:r>
              <w:rPr>
                <w:rFonts w:hint="eastAsia" w:ascii="宋体" w:hAnsi="宋体" w:cs="宋体"/>
                <w:color w:val="auto"/>
                <w:szCs w:val="21"/>
                <w:highlight w:val="none"/>
              </w:rPr>
              <w:t>A02021104液晶显示器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C9F60EB">
            <w:pPr>
              <w:jc w:val="left"/>
              <w:rPr>
                <w:rFonts w:ascii="宋体" w:hAnsi="宋体" w:cs="宋体"/>
                <w:color w:val="auto"/>
                <w:szCs w:val="21"/>
                <w:highlight w:val="none"/>
              </w:rPr>
            </w:pPr>
            <w:r>
              <w:rPr>
                <w:rFonts w:hint="eastAsia" w:ascii="宋体" w:hAnsi="宋体" w:cs="宋体"/>
                <w:color w:val="auto"/>
                <w:spacing w:val="12"/>
                <w:w w:val="99"/>
                <w:szCs w:val="21"/>
                <w:highlight w:val="none"/>
              </w:rPr>
              <w:t>《计算机显示器能效限</w:t>
            </w:r>
            <w:r>
              <w:rPr>
                <w:rFonts w:hint="eastAsia" w:ascii="宋体" w:hAnsi="宋体" w:cs="宋体"/>
                <w:color w:val="auto"/>
                <w:spacing w:val="9"/>
                <w:w w:val="99"/>
                <w:szCs w:val="21"/>
                <w:highlight w:val="none"/>
              </w:rPr>
              <w:t>定</w:t>
            </w:r>
            <w:r>
              <w:rPr>
                <w:rFonts w:hint="eastAsia" w:ascii="宋体" w:hAnsi="宋体" w:cs="宋体"/>
                <w:color w:val="auto"/>
                <w:spacing w:val="12"/>
                <w:w w:val="99"/>
                <w:szCs w:val="21"/>
                <w:highlight w:val="none"/>
              </w:rPr>
              <w:t>值及</w:t>
            </w:r>
            <w:r>
              <w:rPr>
                <w:rFonts w:hint="eastAsia" w:ascii="宋体" w:hAnsi="宋体" w:cs="宋体"/>
                <w:color w:val="auto"/>
                <w:w w:val="99"/>
                <w:szCs w:val="21"/>
                <w:highlight w:val="none"/>
              </w:rPr>
              <w:t>能效等级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0</w:t>
            </w:r>
            <w:r>
              <w:rPr>
                <w:rFonts w:hint="eastAsia" w:ascii="宋体" w:hAnsi="宋体" w:cs="宋体"/>
                <w:color w:val="auto"/>
                <w:w w:val="99"/>
                <w:szCs w:val="21"/>
                <w:highlight w:val="none"/>
              </w:rPr>
              <w:t>）</w:t>
            </w:r>
          </w:p>
        </w:tc>
      </w:tr>
      <w:tr w14:paraId="1A95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4E172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B8905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08F7C8">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E239D2B">
            <w:pPr>
              <w:jc w:val="center"/>
              <w:rPr>
                <w:rFonts w:ascii="宋体" w:hAnsi="宋体" w:cs="宋体"/>
                <w:color w:val="auto"/>
                <w:szCs w:val="21"/>
                <w:highlight w:val="none"/>
              </w:rPr>
            </w:pPr>
            <w:r>
              <w:rPr>
                <w:rFonts w:hint="eastAsia" w:ascii="宋体" w:hAnsi="宋体" w:cs="宋体"/>
                <w:color w:val="auto"/>
                <w:szCs w:val="21"/>
                <w:highlight w:val="none"/>
              </w:rPr>
              <w:t>A02021118扫描仪</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0FE0AAC">
            <w:pPr>
              <w:jc w:val="left"/>
              <w:rPr>
                <w:rFonts w:ascii="宋体" w:hAnsi="宋体" w:cs="宋体"/>
                <w:color w:val="auto"/>
                <w:szCs w:val="21"/>
                <w:highlight w:val="none"/>
              </w:rPr>
            </w:pPr>
            <w:r>
              <w:rPr>
                <w:rFonts w:hint="eastAsia" w:ascii="宋体" w:hAnsi="宋体" w:cs="宋体"/>
                <w:color w:val="auto"/>
                <w:w w:val="99"/>
                <w:szCs w:val="21"/>
                <w:highlight w:val="none"/>
              </w:rPr>
              <w:t>参</w:t>
            </w:r>
            <w:r>
              <w:rPr>
                <w:rFonts w:hint="eastAsia" w:ascii="宋体" w:hAnsi="宋体" w:cs="宋体"/>
                <w:color w:val="auto"/>
                <w:spacing w:val="-29"/>
                <w:w w:val="99"/>
                <w:szCs w:val="21"/>
                <w:highlight w:val="none"/>
              </w:rPr>
              <w:t>照</w:t>
            </w:r>
            <w:r>
              <w:rPr>
                <w:rFonts w:hint="eastAsia" w:ascii="宋体" w:hAnsi="宋体" w:cs="宋体"/>
                <w:color w:val="auto"/>
                <w:w w:val="99"/>
                <w:szCs w:val="21"/>
                <w:highlight w:val="none"/>
              </w:rPr>
              <w:t>《</w:t>
            </w:r>
            <w:r>
              <w:rPr>
                <w:rFonts w:hint="eastAsia" w:ascii="宋体" w:hAnsi="宋体" w:cs="宋体"/>
                <w:color w:val="auto"/>
                <w:spacing w:val="2"/>
                <w:w w:val="99"/>
                <w:szCs w:val="21"/>
                <w:highlight w:val="none"/>
              </w:rPr>
              <w:t>复</w:t>
            </w:r>
            <w:r>
              <w:rPr>
                <w:rFonts w:hint="eastAsia" w:ascii="宋体" w:hAnsi="宋体" w:cs="宋体"/>
                <w:color w:val="auto"/>
                <w:w w:val="99"/>
                <w:szCs w:val="21"/>
                <w:highlight w:val="none"/>
              </w:rPr>
              <w:t>印</w:t>
            </w:r>
            <w:r>
              <w:rPr>
                <w:rFonts w:hint="eastAsia" w:ascii="宋体" w:hAnsi="宋体" w:cs="宋体"/>
                <w:color w:val="auto"/>
                <w:spacing w:val="2"/>
                <w:w w:val="99"/>
                <w:szCs w:val="21"/>
                <w:highlight w:val="none"/>
              </w:rPr>
              <w:t>机</w:t>
            </w:r>
            <w:r>
              <w:rPr>
                <w:rFonts w:hint="eastAsia" w:ascii="宋体" w:hAnsi="宋体" w:cs="宋体"/>
                <w:color w:val="auto"/>
                <w:spacing w:val="-29"/>
                <w:w w:val="99"/>
                <w:szCs w:val="21"/>
                <w:highlight w:val="none"/>
              </w:rPr>
              <w:t>、</w:t>
            </w:r>
            <w:r>
              <w:rPr>
                <w:rFonts w:hint="eastAsia" w:ascii="宋体" w:hAnsi="宋体" w:cs="宋体"/>
                <w:color w:val="auto"/>
                <w:w w:val="99"/>
                <w:szCs w:val="21"/>
                <w:highlight w:val="none"/>
              </w:rPr>
              <w:t>打</w:t>
            </w:r>
            <w:r>
              <w:rPr>
                <w:rFonts w:hint="eastAsia" w:ascii="宋体" w:hAnsi="宋体" w:cs="宋体"/>
                <w:color w:val="auto"/>
                <w:spacing w:val="2"/>
                <w:w w:val="99"/>
                <w:szCs w:val="21"/>
                <w:highlight w:val="none"/>
              </w:rPr>
              <w:t>印</w:t>
            </w:r>
            <w:r>
              <w:rPr>
                <w:rFonts w:hint="eastAsia" w:ascii="宋体" w:hAnsi="宋体" w:cs="宋体"/>
                <w:color w:val="auto"/>
                <w:w w:val="99"/>
                <w:szCs w:val="21"/>
                <w:highlight w:val="none"/>
              </w:rPr>
              <w:t>机和</w:t>
            </w:r>
            <w:r>
              <w:rPr>
                <w:rFonts w:hint="eastAsia" w:ascii="宋体" w:hAnsi="宋体" w:cs="宋体"/>
                <w:color w:val="auto"/>
                <w:spacing w:val="2"/>
                <w:w w:val="99"/>
                <w:szCs w:val="21"/>
                <w:highlight w:val="none"/>
              </w:rPr>
              <w:t>传</w:t>
            </w:r>
            <w:r>
              <w:rPr>
                <w:rFonts w:hint="eastAsia" w:ascii="宋体" w:hAnsi="宋体" w:cs="宋体"/>
                <w:color w:val="auto"/>
                <w:w w:val="99"/>
                <w:szCs w:val="21"/>
                <w:highlight w:val="none"/>
              </w:rPr>
              <w:t>真机能效限定</w:t>
            </w:r>
            <w:r>
              <w:rPr>
                <w:rFonts w:hint="eastAsia" w:ascii="宋体" w:hAnsi="宋体" w:cs="宋体"/>
                <w:color w:val="auto"/>
                <w:spacing w:val="2"/>
                <w:w w:val="99"/>
                <w:szCs w:val="21"/>
                <w:highlight w:val="none"/>
              </w:rPr>
              <w:t>值</w:t>
            </w:r>
            <w:r>
              <w:rPr>
                <w:rFonts w:hint="eastAsia" w:ascii="宋体" w:hAnsi="宋体" w:cs="宋体"/>
                <w:color w:val="auto"/>
                <w:w w:val="99"/>
                <w:szCs w:val="21"/>
                <w:highlight w:val="none"/>
              </w:rPr>
              <w:t>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06"/>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2152</w:t>
            </w:r>
            <w:r>
              <w:rPr>
                <w:rFonts w:hint="eastAsia" w:ascii="宋体" w:hAnsi="宋体" w:cs="宋体"/>
                <w:color w:val="auto"/>
                <w:w w:val="99"/>
                <w:szCs w:val="21"/>
                <w:highlight w:val="none"/>
              </w:rPr>
              <w:t>1）</w:t>
            </w:r>
            <w:r>
              <w:rPr>
                <w:rFonts w:hint="eastAsia" w:ascii="宋体" w:hAnsi="宋体" w:cs="宋体"/>
                <w:color w:val="auto"/>
                <w:spacing w:val="2"/>
                <w:w w:val="99"/>
                <w:szCs w:val="21"/>
                <w:highlight w:val="none"/>
              </w:rPr>
              <w:t>中</w:t>
            </w:r>
            <w:r>
              <w:rPr>
                <w:rFonts w:hint="eastAsia" w:ascii="宋体" w:hAnsi="宋体" w:cs="宋体"/>
                <w:color w:val="auto"/>
                <w:spacing w:val="4"/>
                <w:w w:val="99"/>
                <w:szCs w:val="21"/>
                <w:highlight w:val="none"/>
              </w:rPr>
              <w:t>打印速</w:t>
            </w:r>
            <w:r>
              <w:rPr>
                <w:rFonts w:hint="eastAsia" w:ascii="宋体" w:hAnsi="宋体" w:cs="宋体"/>
                <w:color w:val="auto"/>
                <w:spacing w:val="2"/>
                <w:w w:val="99"/>
                <w:szCs w:val="21"/>
                <w:highlight w:val="none"/>
              </w:rPr>
              <w:t>度</w:t>
            </w:r>
            <w:r>
              <w:rPr>
                <w:rFonts w:hint="eastAsia" w:ascii="宋体" w:hAnsi="宋体" w:cs="宋体"/>
                <w:color w:val="auto"/>
                <w:w w:val="99"/>
                <w:szCs w:val="21"/>
                <w:highlight w:val="none"/>
              </w:rPr>
              <w:t>为</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5</w:t>
            </w:r>
            <w:r>
              <w:rPr>
                <w:rFonts w:hint="eastAsia" w:ascii="宋体" w:hAnsi="宋体" w:cs="宋体"/>
                <w:color w:val="auto"/>
                <w:spacing w:val="2"/>
                <w:w w:val="99"/>
                <w:szCs w:val="21"/>
                <w:highlight w:val="none"/>
              </w:rPr>
              <w:t>页</w:t>
            </w:r>
            <w:r>
              <w:rPr>
                <w:rFonts w:hint="eastAsia" w:ascii="宋体" w:hAnsi="宋体" w:cs="宋体"/>
                <w:color w:val="auto"/>
                <w:spacing w:val="5"/>
                <w:w w:val="99"/>
                <w:szCs w:val="21"/>
                <w:highlight w:val="none"/>
              </w:rPr>
              <w:t>/</w:t>
            </w:r>
            <w:r>
              <w:rPr>
                <w:rFonts w:hint="eastAsia" w:ascii="宋体" w:hAnsi="宋体" w:cs="宋体"/>
                <w:color w:val="auto"/>
                <w:spacing w:val="4"/>
                <w:w w:val="99"/>
                <w:szCs w:val="21"/>
                <w:highlight w:val="none"/>
              </w:rPr>
              <w:t>分的</w:t>
            </w:r>
            <w:r>
              <w:rPr>
                <w:rFonts w:hint="eastAsia" w:ascii="宋体" w:hAnsi="宋体" w:cs="宋体"/>
                <w:color w:val="auto"/>
                <w:spacing w:val="2"/>
                <w:w w:val="99"/>
                <w:szCs w:val="21"/>
                <w:highlight w:val="none"/>
              </w:rPr>
              <w:t>针</w:t>
            </w:r>
            <w:r>
              <w:rPr>
                <w:rFonts w:hint="eastAsia" w:ascii="宋体" w:hAnsi="宋体" w:cs="宋体"/>
                <w:color w:val="auto"/>
                <w:spacing w:val="4"/>
                <w:w w:val="99"/>
                <w:szCs w:val="21"/>
                <w:highlight w:val="none"/>
              </w:rPr>
              <w:t>式</w:t>
            </w:r>
            <w:r>
              <w:rPr>
                <w:rFonts w:hint="eastAsia" w:ascii="宋体" w:hAnsi="宋体" w:cs="宋体"/>
                <w:color w:val="auto"/>
                <w:w w:val="99"/>
                <w:szCs w:val="21"/>
                <w:highlight w:val="none"/>
              </w:rPr>
              <w:t>打印机相</w:t>
            </w:r>
            <w:r>
              <w:rPr>
                <w:rFonts w:hint="eastAsia" w:ascii="宋体" w:hAnsi="宋体" w:cs="宋体"/>
                <w:color w:val="auto"/>
                <w:spacing w:val="2"/>
                <w:w w:val="99"/>
                <w:szCs w:val="21"/>
                <w:highlight w:val="none"/>
              </w:rPr>
              <w:t>关</w:t>
            </w:r>
            <w:r>
              <w:rPr>
                <w:rFonts w:hint="eastAsia" w:ascii="宋体" w:hAnsi="宋体" w:cs="宋体"/>
                <w:color w:val="auto"/>
                <w:w w:val="99"/>
                <w:szCs w:val="21"/>
                <w:highlight w:val="none"/>
              </w:rPr>
              <w:t>要求</w:t>
            </w:r>
          </w:p>
        </w:tc>
      </w:tr>
      <w:tr w14:paraId="0295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0480020">
            <w:pPr>
              <w:jc w:val="center"/>
              <w:rPr>
                <w:rFonts w:ascii="宋体" w:hAnsi="宋体" w:cs="宋体"/>
                <w:color w:val="auto"/>
                <w:szCs w:val="21"/>
                <w:highlight w:val="none"/>
              </w:rPr>
            </w:pPr>
            <w:r>
              <w:rPr>
                <w:rFonts w:hint="eastAsia" w:ascii="宋体" w:hAnsi="宋体" w:cs="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40CCCF9B">
            <w:pPr>
              <w:jc w:val="center"/>
              <w:rPr>
                <w:rFonts w:ascii="宋体" w:hAnsi="宋体" w:cs="宋体"/>
                <w:color w:val="auto"/>
                <w:szCs w:val="21"/>
                <w:highlight w:val="none"/>
              </w:rPr>
            </w:pPr>
            <w:r>
              <w:rPr>
                <w:rFonts w:hint="eastAsia" w:ascii="宋体" w:hAnsi="宋体" w:cs="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EBBC70D">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EFC7B81">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8F82052">
            <w:pPr>
              <w:jc w:val="left"/>
              <w:rPr>
                <w:rFonts w:ascii="宋体" w:hAnsi="宋体" w:cs="宋体"/>
                <w:color w:val="auto"/>
                <w:szCs w:val="21"/>
                <w:highlight w:val="none"/>
              </w:rPr>
            </w:pPr>
            <w:r>
              <w:rPr>
                <w:rFonts w:hint="eastAsia" w:ascii="宋体" w:hAnsi="宋体" w:cs="宋体"/>
                <w:color w:val="auto"/>
                <w:w w:val="99"/>
                <w:szCs w:val="21"/>
                <w:highlight w:val="none"/>
              </w:rPr>
              <w:t>《投影</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w:t>
            </w:r>
            <w:r>
              <w:rPr>
                <w:rFonts w:hint="eastAsia" w:ascii="宋体" w:hAnsi="宋体" w:cs="宋体"/>
                <w:color w:val="auto"/>
                <w:spacing w:val="2"/>
                <w:w w:val="99"/>
                <w:szCs w:val="21"/>
                <w:highlight w:val="none"/>
              </w:rPr>
              <w:t>及</w:t>
            </w:r>
            <w:r>
              <w:rPr>
                <w:rFonts w:hint="eastAsia" w:ascii="宋体" w:hAnsi="宋体" w:cs="宋体"/>
                <w:color w:val="auto"/>
                <w:w w:val="99"/>
                <w:szCs w:val="21"/>
                <w:highlight w:val="none"/>
              </w:rPr>
              <w:t>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w:t>
            </w:r>
            <w:r>
              <w:rPr>
                <w:rFonts w:hint="eastAsia" w:ascii="宋体" w:hAnsi="宋体" w:cs="宋体"/>
                <w:color w:val="auto"/>
                <w:w w:val="99"/>
                <w:szCs w:val="21"/>
                <w:highlight w:val="none"/>
              </w:rPr>
              <w:t>20</w:t>
            </w:r>
            <w:r>
              <w:rPr>
                <w:rFonts w:hint="eastAsia" w:ascii="宋体" w:hAnsi="宋体" w:cs="宋体"/>
                <w:color w:val="auto"/>
                <w:spacing w:val="1"/>
                <w:w w:val="99"/>
                <w:szCs w:val="21"/>
                <w:highlight w:val="none"/>
              </w:rPr>
              <w:t>28</w:t>
            </w:r>
            <w:r>
              <w:rPr>
                <w:rFonts w:hint="eastAsia" w:ascii="宋体" w:hAnsi="宋体" w:cs="宋体"/>
                <w:color w:val="auto"/>
                <w:w w:val="99"/>
                <w:szCs w:val="21"/>
                <w:highlight w:val="none"/>
              </w:rPr>
              <w:t>）</w:t>
            </w:r>
          </w:p>
        </w:tc>
      </w:tr>
      <w:tr w14:paraId="6592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3182BFB4">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6A7A0B51">
            <w:pPr>
              <w:pStyle w:val="135"/>
              <w:spacing w:before="66"/>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BC04D52">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A40E791">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DECFF05">
            <w:pPr>
              <w:jc w:val="left"/>
              <w:rPr>
                <w:rFonts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6004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5A9281C">
            <w:pPr>
              <w:pStyle w:val="135"/>
              <w:spacing w:before="160"/>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552C6FE6">
            <w:pPr>
              <w:pStyle w:val="135"/>
              <w:spacing w:before="160"/>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57FE8A7">
            <w:pPr>
              <w:pStyle w:val="135"/>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7B502B1">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83B79FC">
            <w:pPr>
              <w:pStyle w:val="135"/>
              <w:spacing w:before="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《清水离心泵能效限定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及节</w:t>
            </w:r>
            <w:r>
              <w:rPr>
                <w:rFonts w:hint="eastAsia" w:ascii="宋体" w:hAnsi="宋体" w:cs="宋体"/>
                <w:color w:val="auto"/>
                <w:w w:val="99"/>
                <w:kern w:val="2"/>
                <w:sz w:val="21"/>
                <w:szCs w:val="21"/>
                <w:highlight w:val="none"/>
                <w:lang w:eastAsia="zh-CN"/>
              </w:rPr>
              <w:t>能评价值</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76</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w:t>
            </w:r>
          </w:p>
        </w:tc>
      </w:tr>
      <w:tr w14:paraId="13D8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06CEDFBB">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4B3F609F">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1AD7DB19">
            <w:pPr>
              <w:pStyle w:val="135"/>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8B752BC">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C62AB11">
            <w:pPr>
              <w:pStyle w:val="135"/>
              <w:spacing w:before="30"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《冷水机组能效限定值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195</w:t>
            </w:r>
            <w:r>
              <w:rPr>
                <w:rFonts w:hint="eastAsia" w:ascii="宋体" w:hAnsi="宋体" w:cs="宋体"/>
                <w:color w:val="auto"/>
                <w:w w:val="99"/>
                <w:kern w:val="2"/>
                <w:sz w:val="21"/>
                <w:szCs w:val="21"/>
                <w:highlight w:val="none"/>
                <w:lang w:eastAsia="zh-CN"/>
              </w:rPr>
              <w:t>77</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《低</w:t>
            </w:r>
            <w:r>
              <w:rPr>
                <w:rFonts w:hint="eastAsia" w:ascii="宋体" w:hAnsi="宋体" w:cs="宋体"/>
                <w:color w:val="auto"/>
                <w:spacing w:val="2"/>
                <w:w w:val="99"/>
                <w:kern w:val="2"/>
                <w:sz w:val="21"/>
                <w:szCs w:val="21"/>
                <w:highlight w:val="none"/>
                <w:lang w:eastAsia="zh-CN"/>
              </w:rPr>
              <w:t>环</w:t>
            </w:r>
            <w:r>
              <w:rPr>
                <w:rFonts w:hint="eastAsia" w:ascii="宋体" w:hAnsi="宋体" w:cs="宋体"/>
                <w:color w:val="auto"/>
                <w:w w:val="99"/>
                <w:kern w:val="2"/>
                <w:sz w:val="21"/>
                <w:szCs w:val="21"/>
                <w:highlight w:val="none"/>
                <w:lang w:eastAsia="zh-CN"/>
              </w:rPr>
              <w:t>境温度空气源</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spacing w:val="-29"/>
                <w:w w:val="99"/>
                <w:kern w:val="2"/>
                <w:sz w:val="21"/>
                <w:szCs w:val="21"/>
                <w:highlight w:val="none"/>
                <w:lang w:eastAsia="zh-CN"/>
              </w:rPr>
              <w:t>泵</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冷水</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机组</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效限定值及能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w:t>
            </w:r>
            <w:r>
              <w:rPr>
                <w:rFonts w:hint="eastAsia" w:ascii="宋体" w:hAnsi="宋体" w:cs="宋体"/>
                <w:color w:val="auto"/>
                <w:w w:val="99"/>
                <w:kern w:val="2"/>
                <w:sz w:val="21"/>
                <w:szCs w:val="21"/>
                <w:highlight w:val="none"/>
                <w:lang w:eastAsia="zh-CN"/>
              </w:rPr>
              <w:t>48</w:t>
            </w:r>
            <w:r>
              <w:rPr>
                <w:rFonts w:hint="eastAsia" w:ascii="宋体" w:hAnsi="宋体" w:cs="宋体"/>
                <w:color w:val="auto"/>
                <w:spacing w:val="-2"/>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3F91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32F07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BB786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76BC2F">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DA3B0C4">
            <w:pPr>
              <w:jc w:val="center"/>
              <w:rPr>
                <w:rFonts w:ascii="宋体" w:hAnsi="宋体" w:cs="宋体"/>
                <w:color w:val="auto"/>
                <w:szCs w:val="21"/>
                <w:highlight w:val="none"/>
              </w:rPr>
            </w:pPr>
            <w:r>
              <w:rPr>
                <w:rFonts w:hint="eastAsia" w:ascii="宋体" w:hAnsi="宋体" w:cs="宋体"/>
                <w:color w:val="auto"/>
                <w:szCs w:val="21"/>
                <w:highlight w:val="none"/>
              </w:rPr>
              <w:t>溴化锂吸收式冷水机组</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34A8C44">
            <w:pPr>
              <w:pStyle w:val="135"/>
              <w:spacing w:before="93"/>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《溴化锂吸收式冷水机组能效限</w:t>
            </w:r>
          </w:p>
          <w:p w14:paraId="4111E009">
            <w:pPr>
              <w:jc w:val="left"/>
              <w:rPr>
                <w:rFonts w:ascii="宋体" w:hAnsi="宋体" w:cs="宋体"/>
                <w:color w:val="auto"/>
                <w:szCs w:val="21"/>
                <w:highlight w:val="none"/>
              </w:rPr>
            </w:pPr>
            <w:r>
              <w:rPr>
                <w:rFonts w:hint="eastAsia" w:ascii="宋体" w:hAnsi="宋体" w:cs="宋体"/>
                <w:color w:val="auto"/>
                <w:w w:val="99"/>
                <w:szCs w:val="21"/>
                <w:highlight w:val="none"/>
              </w:rPr>
              <w:t>定值及能效等级》（GB29540）</w:t>
            </w:r>
          </w:p>
        </w:tc>
      </w:tr>
      <w:tr w14:paraId="6FDF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3363F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C41AA7">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44EC398E">
            <w:pPr>
              <w:pStyle w:val="135"/>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4ED962E">
            <w:pPr>
              <w:pStyle w:val="135"/>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5C32F5F">
            <w:pPr>
              <w:pStyle w:val="135"/>
              <w:spacing w:before="160"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0345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95FD86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72682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9764B9">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2D7F74B">
            <w:pPr>
              <w:jc w:val="center"/>
              <w:rPr>
                <w:rFonts w:ascii="宋体" w:hAnsi="宋体" w:cs="宋体"/>
                <w:color w:val="auto"/>
                <w:szCs w:val="21"/>
                <w:highlight w:val="none"/>
              </w:rPr>
            </w:pPr>
            <w:r>
              <w:rPr>
                <w:rFonts w:hint="eastAsia" w:ascii="宋体" w:hAnsi="宋体" w:cs="宋体"/>
                <w:color w:val="auto"/>
                <w:w w:val="99"/>
                <w:szCs w:val="21"/>
                <w:highlight w:val="none"/>
              </w:rPr>
              <w:t>单元式空气调节机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AD22033">
            <w:pPr>
              <w:jc w:val="left"/>
              <w:rPr>
                <w:rFonts w:ascii="宋体" w:hAnsi="宋体" w:cs="宋体"/>
                <w:color w:val="auto"/>
                <w:szCs w:val="21"/>
                <w:highlight w:val="none"/>
              </w:rPr>
            </w:pPr>
            <w:r>
              <w:rPr>
                <w:rFonts w:hint="eastAsia" w:ascii="宋体" w:hAnsi="宋体" w:cs="宋体"/>
                <w:color w:val="auto"/>
                <w:w w:val="99"/>
                <w:szCs w:val="21"/>
                <w:highlight w:val="none"/>
              </w:rPr>
              <w:t>《单元式空气调节机能效限定值及能效等级》（GB19576）《风管送风式空调机组能效限定值及能效等级》（GB37479）</w:t>
            </w:r>
          </w:p>
        </w:tc>
      </w:tr>
      <w:tr w14:paraId="7ED7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FA916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9942E9">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2BEEFFF">
            <w:pPr>
              <w:pStyle w:val="135"/>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013A7B">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7F4A430">
            <w:pPr>
              <w:pStyle w:val="135"/>
              <w:spacing w:before="83"/>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w:t>
            </w:r>
          </w:p>
          <w:p w14:paraId="3C2653F5">
            <w:pPr>
              <w:pStyle w:val="135"/>
              <w:spacing w:before="83"/>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及能效等级》（GB19576）</w:t>
            </w:r>
          </w:p>
        </w:tc>
      </w:tr>
      <w:tr w14:paraId="1100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D9368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998CEF">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E1BF720">
            <w:pPr>
              <w:pStyle w:val="135"/>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2DECB61B">
            <w:pPr>
              <w:pStyle w:val="135"/>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983C849">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4167344">
            <w:pPr>
              <w:pStyle w:val="135"/>
              <w:spacing w:line="254" w:lineRule="exact"/>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《机械通风冷却塔第1部分：中小型开式冷却塔》（GB/T7190.1）</w:t>
            </w:r>
          </w:p>
          <w:p w14:paraId="04120D04">
            <w:pPr>
              <w:pStyle w:val="135"/>
              <w:spacing w:line="254"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《机械通风冷却塔第2部分：大型开式冷却塔》（GB/T7190.2）</w:t>
            </w:r>
          </w:p>
        </w:tc>
      </w:tr>
      <w:tr w14:paraId="70FF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6826C60A">
            <w:pPr>
              <w:pStyle w:val="135"/>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10C4C861">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07FF012">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93B8A9F">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BF892BA">
            <w:pPr>
              <w:pStyle w:val="135"/>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《中小型三相异步电动机能效限定值及能效等级》（GB18613）</w:t>
            </w:r>
          </w:p>
        </w:tc>
      </w:tr>
      <w:tr w14:paraId="772C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8D66AD4">
            <w:pPr>
              <w:pStyle w:val="135"/>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06476468">
            <w:pPr>
              <w:pStyle w:val="135"/>
              <w:spacing w:before="30"/>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076531D">
            <w:pPr>
              <w:pStyle w:val="135"/>
              <w:jc w:val="center"/>
              <w:rPr>
                <w:rFonts w:ascii="宋体" w:hAnsi="宋体" w:cs="宋体"/>
                <w:color w:val="auto"/>
                <w:kern w:val="2"/>
                <w:sz w:val="21"/>
                <w:szCs w:val="21"/>
                <w:highlight w:val="none"/>
              </w:rPr>
            </w:pPr>
            <w:r>
              <w:rPr>
                <w:rFonts w:hint="eastAsia" w:ascii="宋体" w:hAnsi="宋体" w:cs="宋体"/>
                <w:color w:val="auto"/>
                <w:w w:val="99"/>
                <w:szCs w:val="21"/>
                <w:highlight w:val="none"/>
              </w:rPr>
              <w:t>★</w:t>
            </w:r>
            <w:r>
              <w:rPr>
                <w:rFonts w:hint="eastAsia" w:ascii="宋体" w:hAnsi="宋体" w:cs="宋体"/>
                <w:color w:val="auto"/>
                <w:w w:val="99"/>
                <w:kern w:val="2"/>
                <w:sz w:val="21"/>
                <w:szCs w:val="21"/>
                <w:highlight w:val="none"/>
              </w:rPr>
              <w:t>配电变压器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5FBF092">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A1F6154">
            <w:pPr>
              <w:pStyle w:val="135"/>
              <w:spacing w:before="30"/>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《三相配电变压器能效限定值及</w:t>
            </w:r>
          </w:p>
        </w:tc>
      </w:tr>
      <w:tr w14:paraId="0673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1A6475F">
            <w:pPr>
              <w:pStyle w:val="135"/>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661E6A93">
            <w:pPr>
              <w:pStyle w:val="135"/>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8232568">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DCB9FF7">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CC6CAA7">
            <w:pPr>
              <w:pStyle w:val="135"/>
              <w:spacing w:before="126"/>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《管形荧光灯镇流器能效限定值及能效等级》（GB17896）</w:t>
            </w:r>
          </w:p>
        </w:tc>
      </w:tr>
      <w:tr w14:paraId="7DA0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724E8697">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59A02A59">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6760083">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495A7E7">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A92637C">
            <w:pPr>
              <w:pStyle w:val="135"/>
              <w:spacing w:before="126"/>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《家用电冰箱耗电量限定值及能效等级》（GB12021.2）</w:t>
            </w:r>
          </w:p>
        </w:tc>
      </w:tr>
      <w:tr w14:paraId="36C9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F6D3D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3AFA97">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2561B8AE">
            <w:pPr>
              <w:pStyle w:val="135"/>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FA8F3E4">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BFFD88A">
            <w:pPr>
              <w:pStyle w:val="135"/>
              <w:spacing w:line="256"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《房间空气调节器能效限定值及能效等级》（GB21455-2019）</w:t>
            </w:r>
          </w:p>
        </w:tc>
      </w:tr>
      <w:tr w14:paraId="226D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126762">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1A9BD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C643506">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DA70F26">
            <w:pPr>
              <w:pStyle w:val="135"/>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F7E9ABA">
            <w:pPr>
              <w:pStyle w:val="135"/>
              <w:spacing w:before="160"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0618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DAFB2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D7D26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7B426A">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3414F8E">
            <w:pPr>
              <w:pStyle w:val="13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99CD724">
            <w:pPr>
              <w:pStyle w:val="135"/>
              <w:spacing w:before="4"/>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《单元式空气调节机能效限定值及能源效率等级》（GB19576）《风管送风式空调机组能效限定值及能效等级》（GB37479）</w:t>
            </w:r>
          </w:p>
        </w:tc>
      </w:tr>
      <w:tr w14:paraId="508B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D2E6A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75383C">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2D74311">
            <w:pPr>
              <w:pStyle w:val="135"/>
              <w:spacing w:before="162"/>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D51C6A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A389EC6">
            <w:pPr>
              <w:pStyle w:val="135"/>
              <w:spacing w:before="6" w:line="276" w:lineRule="auto"/>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《电动洗衣机能效水效限定值及等级》（GB12021.4）</w:t>
            </w:r>
          </w:p>
        </w:tc>
      </w:tr>
      <w:tr w14:paraId="1CC1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2B6E50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BEF7D9">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34A25F95">
            <w:pPr>
              <w:pStyle w:val="135"/>
              <w:spacing w:before="161"/>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09159C8">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0E386AE">
            <w:pPr>
              <w:pStyle w:val="135"/>
              <w:tabs>
                <w:tab w:val="left" w:pos="1608"/>
              </w:tabs>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《储水式电热水器能效</w:t>
            </w:r>
            <w:r>
              <w:rPr>
                <w:rFonts w:hint="eastAsia" w:ascii="宋体" w:hAnsi="宋体" w:cs="宋体"/>
                <w:color w:val="auto"/>
                <w:spacing w:val="9"/>
                <w:w w:val="99"/>
                <w:kern w:val="2"/>
                <w:sz w:val="21"/>
                <w:szCs w:val="21"/>
                <w:highlight w:val="none"/>
                <w:lang w:eastAsia="zh-CN"/>
              </w:rPr>
              <w:t>限</w:t>
            </w:r>
            <w:r>
              <w:rPr>
                <w:rFonts w:hint="eastAsia" w:ascii="宋体" w:hAnsi="宋体" w:cs="宋体"/>
                <w:color w:val="auto"/>
                <w:spacing w:val="12"/>
                <w:w w:val="99"/>
                <w:kern w:val="2"/>
                <w:sz w:val="21"/>
                <w:szCs w:val="21"/>
                <w:highlight w:val="none"/>
                <w:lang w:eastAsia="zh-CN"/>
              </w:rPr>
              <w:t>定值</w:t>
            </w:r>
            <w:r>
              <w:rPr>
                <w:rFonts w:hint="eastAsia" w:ascii="宋体" w:hAnsi="宋体" w:cs="宋体"/>
                <w:color w:val="auto"/>
                <w:w w:val="99"/>
                <w:kern w:val="2"/>
                <w:sz w:val="21"/>
                <w:szCs w:val="21"/>
                <w:highlight w:val="none"/>
                <w:lang w:eastAsia="zh-CN"/>
              </w:rPr>
              <w:t>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51</w:t>
            </w:r>
            <w:r>
              <w:rPr>
                <w:rFonts w:hint="eastAsia" w:ascii="宋体" w:hAnsi="宋体" w:cs="宋体"/>
                <w:color w:val="auto"/>
                <w:spacing w:val="1"/>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00B5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11B4D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67432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4D7849">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C16AB5B">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A3CD2F9">
            <w:pPr>
              <w:pStyle w:val="135"/>
              <w:spacing w:before="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《家用燃气快速热水器</w:t>
            </w:r>
            <w:r>
              <w:rPr>
                <w:rFonts w:hint="eastAsia" w:ascii="宋体" w:hAnsi="宋体" w:cs="宋体"/>
                <w:color w:val="auto"/>
                <w:spacing w:val="9"/>
                <w:w w:val="99"/>
                <w:kern w:val="2"/>
                <w:sz w:val="21"/>
                <w:szCs w:val="21"/>
                <w:highlight w:val="none"/>
                <w:lang w:eastAsia="zh-CN"/>
              </w:rPr>
              <w:t>和</w:t>
            </w:r>
            <w:r>
              <w:rPr>
                <w:rFonts w:hint="eastAsia" w:ascii="宋体" w:hAnsi="宋体" w:cs="宋体"/>
                <w:color w:val="auto"/>
                <w:spacing w:val="12"/>
                <w:w w:val="99"/>
                <w:kern w:val="2"/>
                <w:sz w:val="21"/>
                <w:szCs w:val="21"/>
                <w:highlight w:val="none"/>
                <w:lang w:eastAsia="zh-CN"/>
              </w:rPr>
              <w:t>燃气</w:t>
            </w:r>
            <w:r>
              <w:rPr>
                <w:rFonts w:hint="eastAsia" w:ascii="宋体" w:hAnsi="宋体" w:cs="宋体"/>
                <w:color w:val="auto"/>
                <w:w w:val="99"/>
                <w:kern w:val="2"/>
                <w:sz w:val="21"/>
                <w:szCs w:val="21"/>
                <w:highlight w:val="none"/>
                <w:lang w:eastAsia="zh-CN"/>
              </w:rPr>
              <w:t>采暖热水</w:t>
            </w:r>
            <w:r>
              <w:rPr>
                <w:rFonts w:hint="eastAsia" w:ascii="宋体" w:hAnsi="宋体" w:cs="宋体"/>
                <w:color w:val="auto"/>
                <w:spacing w:val="2"/>
                <w:w w:val="99"/>
                <w:kern w:val="2"/>
                <w:sz w:val="21"/>
                <w:szCs w:val="21"/>
                <w:highlight w:val="none"/>
                <w:lang w:eastAsia="zh-CN"/>
              </w:rPr>
              <w:t>炉</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06</w:t>
            </w:r>
            <w:r>
              <w:rPr>
                <w:rFonts w:hint="eastAsia" w:ascii="宋体" w:hAnsi="宋体" w:cs="宋体"/>
                <w:color w:val="auto"/>
                <w:spacing w:val="1"/>
                <w:w w:val="99"/>
                <w:kern w:val="2"/>
                <w:sz w:val="21"/>
                <w:szCs w:val="21"/>
                <w:highlight w:val="none"/>
                <w:lang w:eastAsia="zh-CN"/>
              </w:rPr>
              <w:t>65</w:t>
            </w:r>
            <w:r>
              <w:rPr>
                <w:rFonts w:hint="eastAsia" w:ascii="宋体" w:hAnsi="宋体" w:cs="宋体"/>
                <w:color w:val="auto"/>
                <w:w w:val="99"/>
                <w:kern w:val="2"/>
                <w:sz w:val="21"/>
                <w:szCs w:val="21"/>
                <w:highlight w:val="none"/>
                <w:lang w:eastAsia="zh-CN"/>
              </w:rPr>
              <w:t>）</w:t>
            </w:r>
          </w:p>
        </w:tc>
      </w:tr>
      <w:tr w14:paraId="6F0A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5536D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C1FCC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24F5FC">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26F5BEA">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E3F28A0">
            <w:pPr>
              <w:pStyle w:val="135"/>
              <w:spacing w:before="93"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《热泵</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7"/>
                <w:w w:val="99"/>
                <w:kern w:val="2"/>
                <w:sz w:val="21"/>
                <w:szCs w:val="21"/>
                <w:highlight w:val="none"/>
                <w:lang w:eastAsia="zh-CN"/>
              </w:rPr>
              <w:t>机</w:t>
            </w:r>
            <w:r>
              <w:rPr>
                <w:rFonts w:hint="eastAsia" w:ascii="宋体" w:hAnsi="宋体" w:cs="宋体"/>
                <w:color w:val="auto"/>
                <w:w w:val="99"/>
                <w:kern w:val="2"/>
                <w:sz w:val="21"/>
                <w:szCs w:val="21"/>
                <w:highlight w:val="none"/>
                <w:lang w:eastAsia="zh-CN"/>
              </w:rPr>
              <w:t>（器</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295</w:t>
            </w:r>
            <w:r>
              <w:rPr>
                <w:rFonts w:hint="eastAsia" w:ascii="宋体" w:hAnsi="宋体" w:cs="宋体"/>
                <w:color w:val="auto"/>
                <w:w w:val="99"/>
                <w:kern w:val="2"/>
                <w:sz w:val="21"/>
                <w:szCs w:val="21"/>
                <w:highlight w:val="none"/>
                <w:lang w:eastAsia="zh-CN"/>
              </w:rPr>
              <w:t>4</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4DDA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B8E37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66034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F22775">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9C869B5">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F0ACAB9">
            <w:pPr>
              <w:pStyle w:val="135"/>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《家用太阳能热水系统</w:t>
            </w:r>
            <w:r>
              <w:rPr>
                <w:rFonts w:hint="eastAsia" w:ascii="宋体" w:hAnsi="宋体" w:cs="宋体"/>
                <w:color w:val="auto"/>
                <w:spacing w:val="9"/>
                <w:w w:val="99"/>
                <w:kern w:val="2"/>
                <w:sz w:val="21"/>
                <w:szCs w:val="21"/>
                <w:highlight w:val="none"/>
                <w:lang w:eastAsia="zh-CN"/>
              </w:rPr>
              <w:t>能</w:t>
            </w:r>
            <w:r>
              <w:rPr>
                <w:rFonts w:hint="eastAsia" w:ascii="宋体" w:hAnsi="宋体" w:cs="宋体"/>
                <w:color w:val="auto"/>
                <w:spacing w:val="12"/>
                <w:w w:val="99"/>
                <w:kern w:val="2"/>
                <w:sz w:val="21"/>
                <w:szCs w:val="21"/>
                <w:highlight w:val="none"/>
                <w:lang w:eastAsia="zh-CN"/>
              </w:rPr>
              <w:t>效限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26</w:t>
            </w:r>
            <w:r>
              <w:rPr>
                <w:rFonts w:hint="eastAsia" w:ascii="宋体" w:hAnsi="宋体" w:cs="宋体"/>
                <w:color w:val="auto"/>
                <w:w w:val="99"/>
                <w:kern w:val="2"/>
                <w:sz w:val="21"/>
                <w:szCs w:val="21"/>
                <w:highlight w:val="none"/>
                <w:lang w:eastAsia="zh-CN"/>
              </w:rPr>
              <w:t>96</w:t>
            </w:r>
            <w:r>
              <w:rPr>
                <w:rFonts w:hint="eastAsia" w:ascii="宋体" w:hAnsi="宋体" w:cs="宋体"/>
                <w:color w:val="auto"/>
                <w:spacing w:val="-2"/>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7B5C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2F7EEDB7">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796A030B">
            <w:pPr>
              <w:pStyle w:val="135"/>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F755916">
            <w:pPr>
              <w:pStyle w:val="135"/>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★通照明用端荧光灯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017D7F">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4F99AF8">
            <w:pPr>
              <w:pStyle w:val="135"/>
              <w:spacing w:before="13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《普通照明用双端荧光</w:t>
            </w:r>
            <w:r>
              <w:rPr>
                <w:rFonts w:hint="eastAsia" w:ascii="宋体" w:hAnsi="宋体" w:cs="宋体"/>
                <w:color w:val="auto"/>
                <w:spacing w:val="9"/>
                <w:w w:val="99"/>
                <w:kern w:val="2"/>
                <w:sz w:val="21"/>
                <w:szCs w:val="21"/>
                <w:highlight w:val="none"/>
                <w:lang w:eastAsia="zh-CN"/>
              </w:rPr>
              <w:t>灯</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04</w:t>
            </w:r>
            <w:r>
              <w:rPr>
                <w:rFonts w:hint="eastAsia" w:ascii="宋体" w:hAnsi="宋体" w:cs="宋体"/>
                <w:color w:val="auto"/>
                <w:spacing w:val="1"/>
                <w:w w:val="99"/>
                <w:kern w:val="2"/>
                <w:sz w:val="21"/>
                <w:szCs w:val="21"/>
                <w:highlight w:val="none"/>
                <w:lang w:eastAsia="zh-CN"/>
              </w:rPr>
              <w:t>3</w:t>
            </w:r>
            <w:r>
              <w:rPr>
                <w:rFonts w:hint="eastAsia" w:ascii="宋体" w:hAnsi="宋体" w:cs="宋体"/>
                <w:color w:val="auto"/>
                <w:w w:val="99"/>
                <w:kern w:val="2"/>
                <w:sz w:val="21"/>
                <w:szCs w:val="21"/>
                <w:highlight w:val="none"/>
                <w:lang w:eastAsia="zh-CN"/>
              </w:rPr>
              <w:t>）</w:t>
            </w:r>
          </w:p>
        </w:tc>
      </w:tr>
      <w:tr w14:paraId="3183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14B5B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9F4AD8">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D688956">
            <w:pPr>
              <w:pStyle w:val="135"/>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87F46AD">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CC08959">
            <w:pPr>
              <w:pStyle w:val="135"/>
              <w:spacing w:before="92" w:line="276" w:lineRule="auto"/>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道</w:t>
            </w:r>
            <w:r>
              <w:rPr>
                <w:rFonts w:hint="eastAsia" w:ascii="宋体" w:hAnsi="宋体" w:cs="宋体"/>
                <w:color w:val="auto"/>
                <w:spacing w:val="4"/>
                <w:w w:val="99"/>
                <w:kern w:val="2"/>
                <w:sz w:val="21"/>
                <w:szCs w:val="21"/>
                <w:highlight w:val="none"/>
                <w:lang w:eastAsia="zh-CN"/>
              </w:rPr>
              <w:t>路和隧道照</w:t>
            </w:r>
            <w:r>
              <w:rPr>
                <w:rFonts w:hint="eastAsia" w:ascii="宋体" w:hAnsi="宋体" w:cs="宋体"/>
                <w:color w:val="auto"/>
                <w:spacing w:val="2"/>
                <w:w w:val="99"/>
                <w:kern w:val="2"/>
                <w:sz w:val="21"/>
                <w:szCs w:val="21"/>
                <w:highlight w:val="none"/>
                <w:lang w:eastAsia="zh-CN"/>
              </w:rPr>
              <w:t>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灯</w:t>
            </w:r>
            <w:r>
              <w:rPr>
                <w:rFonts w:hint="eastAsia" w:ascii="宋体" w:hAnsi="宋体" w:cs="宋体"/>
                <w:color w:val="auto"/>
                <w:spacing w:val="2"/>
                <w:w w:val="99"/>
                <w:kern w:val="2"/>
                <w:sz w:val="21"/>
                <w:szCs w:val="21"/>
                <w:highlight w:val="none"/>
                <w:lang w:eastAsia="zh-CN"/>
              </w:rPr>
              <w:t>具</w:t>
            </w:r>
            <w:r>
              <w:rPr>
                <w:rFonts w:hint="eastAsia" w:ascii="宋体" w:hAnsi="宋体" w:cs="宋体"/>
                <w:color w:val="auto"/>
                <w:w w:val="99"/>
                <w:kern w:val="2"/>
                <w:sz w:val="21"/>
                <w:szCs w:val="21"/>
                <w:highlight w:val="none"/>
                <w:lang w:eastAsia="zh-CN"/>
              </w:rPr>
              <w:t>能效限定</w:t>
            </w:r>
            <w:r>
              <w:rPr>
                <w:rFonts w:hint="eastAsia" w:ascii="宋体" w:hAnsi="宋体" w:cs="宋体"/>
                <w:color w:val="auto"/>
                <w:spacing w:val="2"/>
                <w:w w:val="99"/>
                <w:kern w:val="2"/>
                <w:sz w:val="21"/>
                <w:szCs w:val="21"/>
                <w:highlight w:val="none"/>
                <w:lang w:eastAsia="zh-CN"/>
              </w:rPr>
              <w:t>值</w:t>
            </w:r>
            <w:r>
              <w:rPr>
                <w:rFonts w:hint="eastAsia" w:ascii="宋体" w:hAnsi="宋体" w:cs="宋体"/>
                <w:color w:val="auto"/>
                <w:w w:val="99"/>
                <w:kern w:val="2"/>
                <w:sz w:val="21"/>
                <w:szCs w:val="21"/>
                <w:highlight w:val="none"/>
                <w:lang w:eastAsia="zh-CN"/>
              </w:rPr>
              <w:t>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06"/>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3747</w:t>
            </w:r>
            <w:r>
              <w:rPr>
                <w:rFonts w:hint="eastAsia" w:ascii="宋体" w:hAnsi="宋体" w:cs="宋体"/>
                <w:color w:val="auto"/>
                <w:w w:val="99"/>
                <w:kern w:val="2"/>
                <w:sz w:val="21"/>
                <w:szCs w:val="21"/>
                <w:highlight w:val="none"/>
                <w:lang w:eastAsia="zh-CN"/>
              </w:rPr>
              <w:t>8）</w:t>
            </w:r>
          </w:p>
        </w:tc>
      </w:tr>
      <w:tr w14:paraId="15C4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BBA8A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81BCF9">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D14767D">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4147560">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9ED5F4B">
            <w:pPr>
              <w:pStyle w:val="135"/>
              <w:spacing w:before="83" w:line="276" w:lineRule="auto"/>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2706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B37EC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9737C2">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788A3A0">
            <w:pPr>
              <w:pStyle w:val="135"/>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34AAFF2">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D9ACD8A">
            <w:pPr>
              <w:pStyle w:val="135"/>
              <w:spacing w:line="276" w:lineRule="auto"/>
              <w:ind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55C6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676F353D">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7EBD3982">
            <w:pPr>
              <w:pStyle w:val="135"/>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3DDA134">
            <w:pPr>
              <w:pStyle w:val="135"/>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DDAB1CB">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6965E2A">
            <w:pPr>
              <w:pStyle w:val="135"/>
              <w:spacing w:before="81" w:line="276" w:lineRule="auto"/>
              <w:ind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《平板电视能效限定值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w:t>
            </w:r>
            <w:r>
              <w:rPr>
                <w:rFonts w:hint="eastAsia" w:ascii="宋体" w:hAnsi="宋体" w:cs="宋体"/>
                <w:color w:val="auto"/>
                <w:w w:val="99"/>
                <w:kern w:val="2"/>
                <w:sz w:val="21"/>
                <w:szCs w:val="21"/>
                <w:highlight w:val="none"/>
                <w:lang w:eastAsia="zh-CN"/>
              </w:rPr>
              <w:t>50）</w:t>
            </w:r>
          </w:p>
        </w:tc>
      </w:tr>
      <w:tr w14:paraId="24C1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B6876CA">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1CBEC1E9">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2AD8623">
            <w:pPr>
              <w:pStyle w:val="135"/>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D849801">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5586E73">
            <w:pPr>
              <w:pStyle w:val="135"/>
              <w:spacing w:before="28" w:line="276" w:lineRule="auto"/>
              <w:ind w:left="7" w:right="5"/>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以射频信号为主要信号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平板</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限定值及能效</w:t>
            </w:r>
            <w:r>
              <w:rPr>
                <w:rFonts w:hint="eastAsia" w:ascii="宋体" w:hAnsi="宋体" w:cs="宋体"/>
                <w:color w:val="auto"/>
                <w:spacing w:val="2"/>
                <w:w w:val="99"/>
                <w:kern w:val="2"/>
                <w:sz w:val="21"/>
                <w:szCs w:val="21"/>
                <w:highlight w:val="none"/>
                <w:lang w:eastAsia="zh-CN"/>
              </w:rPr>
              <w:t>等</w:t>
            </w:r>
            <w:r>
              <w:rPr>
                <w:rFonts w:hint="eastAsia" w:ascii="宋体" w:hAnsi="宋体" w:cs="宋体"/>
                <w:color w:val="auto"/>
                <w:w w:val="99"/>
                <w:kern w:val="2"/>
                <w:sz w:val="21"/>
                <w:szCs w:val="21"/>
                <w:highlight w:val="none"/>
                <w:lang w:eastAsia="zh-CN"/>
              </w:rPr>
              <w:t>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24850</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2"/>
                <w:w w:val="99"/>
                <w:kern w:val="2"/>
                <w:sz w:val="21"/>
                <w:szCs w:val="21"/>
                <w:highlight w:val="none"/>
                <w:lang w:eastAsia="zh-CN"/>
              </w:rPr>
              <w:t>以数字信号为主要信号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计算</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显示</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706F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13465F43">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58BB2CF6">
            <w:pPr>
              <w:pStyle w:val="135"/>
              <w:spacing w:before="76"/>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B679134">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19FAD94">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6C467AB">
            <w:pPr>
              <w:pStyle w:val="135"/>
              <w:spacing w:before="76"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《商用燃气灶具能效限</w:t>
            </w:r>
            <w:r>
              <w:rPr>
                <w:rFonts w:hint="eastAsia" w:ascii="宋体" w:hAnsi="宋体" w:cs="宋体"/>
                <w:color w:val="auto"/>
                <w:spacing w:val="9"/>
                <w:w w:val="99"/>
                <w:kern w:val="2"/>
                <w:sz w:val="21"/>
                <w:szCs w:val="21"/>
                <w:highlight w:val="none"/>
                <w:lang w:eastAsia="zh-CN"/>
              </w:rPr>
              <w:t>定</w:t>
            </w:r>
            <w:r>
              <w:rPr>
                <w:rFonts w:hint="eastAsia" w:ascii="宋体" w:hAnsi="宋体" w:cs="宋体"/>
                <w:color w:val="auto"/>
                <w:spacing w:val="12"/>
                <w:w w:val="99"/>
                <w:kern w:val="2"/>
                <w:sz w:val="21"/>
                <w:szCs w:val="21"/>
                <w:highlight w:val="none"/>
                <w:lang w:eastAsia="zh-CN"/>
              </w:rPr>
              <w:t>值及</w:t>
            </w:r>
            <w:r>
              <w:rPr>
                <w:rFonts w:hint="eastAsia" w:ascii="宋体" w:hAnsi="宋体" w:cs="宋体"/>
                <w:color w:val="auto"/>
                <w:w w:val="99"/>
                <w:kern w:val="2"/>
                <w:sz w:val="21"/>
                <w:szCs w:val="21"/>
                <w:highlight w:val="none"/>
                <w:lang w:eastAsia="zh-CN"/>
              </w:rPr>
              <w:t>能效等级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53</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3D3F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5F028CA4">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267840FC">
            <w:pPr>
              <w:pStyle w:val="135"/>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F808A41">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2756314">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1952A6C">
            <w:pPr>
              <w:pStyle w:val="135"/>
              <w:spacing w:before="124"/>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《坐便</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水效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p>
          <w:p w14:paraId="751FFBBC">
            <w:pPr>
              <w:pStyle w:val="135"/>
              <w:spacing w:before="50"/>
              <w:ind w:left="7"/>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G</w:t>
            </w:r>
            <w:r>
              <w:rPr>
                <w:rFonts w:hint="eastAsia" w:ascii="宋体" w:hAnsi="宋体" w:cs="宋体"/>
                <w:color w:val="auto"/>
                <w:w w:val="99"/>
                <w:kern w:val="2"/>
                <w:sz w:val="21"/>
                <w:szCs w:val="21"/>
                <w:highlight w:val="none"/>
              </w:rPr>
              <w:t>B</w:t>
            </w:r>
            <w:r>
              <w:rPr>
                <w:rFonts w:hint="eastAsia" w:ascii="宋体" w:hAnsi="宋体" w:cs="宋体"/>
                <w:color w:val="auto"/>
                <w:spacing w:val="1"/>
                <w:w w:val="99"/>
                <w:kern w:val="2"/>
                <w:sz w:val="21"/>
                <w:szCs w:val="21"/>
                <w:highlight w:val="none"/>
              </w:rPr>
              <w:t>2</w:t>
            </w:r>
            <w:r>
              <w:rPr>
                <w:rFonts w:hint="eastAsia" w:ascii="宋体" w:hAnsi="宋体" w:cs="宋体"/>
                <w:color w:val="auto"/>
                <w:w w:val="99"/>
                <w:kern w:val="2"/>
                <w:sz w:val="21"/>
                <w:szCs w:val="21"/>
                <w:highlight w:val="none"/>
              </w:rPr>
              <w:t>55</w:t>
            </w:r>
            <w:r>
              <w:rPr>
                <w:rFonts w:hint="eastAsia" w:ascii="宋体" w:hAnsi="宋体" w:cs="宋体"/>
                <w:color w:val="auto"/>
                <w:spacing w:val="1"/>
                <w:w w:val="99"/>
                <w:kern w:val="2"/>
                <w:sz w:val="21"/>
                <w:szCs w:val="21"/>
                <w:highlight w:val="none"/>
              </w:rPr>
              <w:t>02</w:t>
            </w:r>
            <w:r>
              <w:rPr>
                <w:rFonts w:hint="eastAsia" w:ascii="宋体" w:hAnsi="宋体" w:cs="宋体"/>
                <w:color w:val="auto"/>
                <w:w w:val="99"/>
                <w:kern w:val="2"/>
                <w:sz w:val="21"/>
                <w:szCs w:val="21"/>
                <w:highlight w:val="none"/>
              </w:rPr>
              <w:t>）</w:t>
            </w:r>
          </w:p>
        </w:tc>
      </w:tr>
      <w:tr w14:paraId="66B3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FA50B5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545F42">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FE9E478">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2857AF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9FC0D80">
            <w:pPr>
              <w:pStyle w:val="135"/>
              <w:spacing w:before="12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《蹲便器用水效率限定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307</w:t>
            </w:r>
            <w:r>
              <w:rPr>
                <w:rFonts w:hint="eastAsia" w:ascii="宋体" w:hAnsi="宋体" w:cs="宋体"/>
                <w:color w:val="auto"/>
                <w:w w:val="99"/>
                <w:kern w:val="2"/>
                <w:sz w:val="21"/>
                <w:szCs w:val="21"/>
                <w:highlight w:val="none"/>
                <w:lang w:eastAsia="zh-CN"/>
              </w:rPr>
              <w:t>1</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11D2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F66EC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7812D3">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252087A">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9EE119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966F974">
            <w:pPr>
              <w:pStyle w:val="135"/>
              <w:spacing w:before="12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《小便器用水效率限定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w:t>
            </w:r>
            <w:r>
              <w:rPr>
                <w:rFonts w:hint="eastAsia" w:ascii="宋体" w:hAnsi="宋体" w:cs="宋体"/>
                <w:color w:val="auto"/>
                <w:w w:val="99"/>
                <w:kern w:val="2"/>
                <w:sz w:val="21"/>
                <w:szCs w:val="21"/>
                <w:highlight w:val="none"/>
                <w:lang w:eastAsia="zh-CN"/>
              </w:rPr>
              <w:t>7</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14B3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207282A2">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364CE73D">
            <w:pPr>
              <w:pStyle w:val="135"/>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★A05020106水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98F414B">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F05BEB7">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06ABF30">
            <w:pPr>
              <w:pStyle w:val="135"/>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19D2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014B1C9F">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0DE8D696">
            <w:pPr>
              <w:pStyle w:val="135"/>
              <w:spacing w:before="112"/>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A05020107便器冲洗阀</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2EFE604">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4C25FE8">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DC79D10">
            <w:pPr>
              <w:pStyle w:val="135"/>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512B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16BD4AA5">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33399F45">
            <w:pPr>
              <w:pStyle w:val="135"/>
              <w:spacing w:before="131"/>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A05020110淋浴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FCE508E">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A468C90">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61449B9">
            <w:pPr>
              <w:pStyle w:val="13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51EBDB02">
      <w:pPr>
        <w:pStyle w:val="19"/>
        <w:spacing w:line="360" w:lineRule="auto"/>
        <w:rPr>
          <w:rFonts w:ascii="宋体" w:hAnsi="宋体" w:cs="宋体"/>
          <w:color w:val="auto"/>
          <w:kern w:val="2"/>
          <w:sz w:val="21"/>
          <w:szCs w:val="21"/>
          <w:highlight w:val="none"/>
        </w:rPr>
      </w:pPr>
      <w:r>
        <w:rPr>
          <w:rFonts w:hint="eastAsia" w:ascii="宋体" w:hAnsi="宋体" w:cs="宋体"/>
          <w:color w:val="auto"/>
          <w:spacing w:val="-3"/>
          <w:sz w:val="21"/>
          <w:szCs w:val="21"/>
          <w:highlight w:val="none"/>
        </w:rPr>
        <w:t>注：1.节能产品认证应依据相关国家标准的最新版本，依据国家标准中二级能效（水效）</w:t>
      </w:r>
      <w:r>
        <w:rPr>
          <w:rFonts w:hint="eastAsia" w:ascii="宋体" w:hAnsi="宋体" w:cs="宋体"/>
          <w:color w:val="auto"/>
          <w:sz w:val="21"/>
          <w:szCs w:val="21"/>
          <w:highlight w:val="none"/>
        </w:rPr>
        <w:t>指标。</w:t>
      </w:r>
    </w:p>
    <w:p w14:paraId="7D63149E">
      <w:pPr>
        <w:pStyle w:val="19"/>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2.以“★”标注的为政府强制采购产品。</w:t>
      </w:r>
    </w:p>
    <w:p w14:paraId="021297B5">
      <w:pPr>
        <w:pStyle w:val="19"/>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628F15DE">
      <w:pPr>
        <w:widowControl/>
        <w:jc w:val="left"/>
        <w:rPr>
          <w:rFonts w:ascii="宋体" w:hAnsi="宋体" w:cs="宋体"/>
          <w:color w:val="auto"/>
          <w:sz w:val="20"/>
          <w:szCs w:val="20"/>
          <w:highlight w:val="none"/>
        </w:rPr>
      </w:pPr>
    </w:p>
    <w:p w14:paraId="0FF685EA">
      <w:pPr>
        <w:widowControl/>
        <w:jc w:val="left"/>
        <w:rPr>
          <w:rFonts w:ascii="宋体" w:hAnsi="宋体" w:cs="宋体"/>
          <w:color w:val="auto"/>
          <w:sz w:val="20"/>
          <w:szCs w:val="20"/>
          <w:highlight w:val="none"/>
        </w:rPr>
      </w:pPr>
    </w:p>
    <w:p w14:paraId="484F23CB">
      <w:pPr>
        <w:widowControl/>
        <w:jc w:val="left"/>
        <w:rPr>
          <w:rFonts w:ascii="宋体" w:hAnsi="宋体" w:cs="宋体"/>
          <w:color w:val="auto"/>
          <w:sz w:val="32"/>
          <w:szCs w:val="32"/>
          <w:highlight w:val="none"/>
        </w:rPr>
      </w:pPr>
      <w:r>
        <w:rPr>
          <w:rFonts w:hint="eastAsia" w:ascii="宋体" w:hAnsi="宋体" w:cs="宋体"/>
          <w:color w:val="auto"/>
          <w:sz w:val="20"/>
          <w:szCs w:val="20"/>
          <w:highlight w:val="none"/>
        </w:rPr>
        <w:br w:type="page"/>
      </w:r>
      <w:r>
        <w:rPr>
          <w:rFonts w:hint="eastAsia" w:ascii="宋体" w:hAnsi="宋体" w:cs="宋体"/>
          <w:color w:val="auto"/>
          <w:sz w:val="32"/>
          <w:szCs w:val="32"/>
          <w:highlight w:val="none"/>
        </w:rPr>
        <w:t>附件2：</w:t>
      </w:r>
    </w:p>
    <w:p w14:paraId="4DDAE47E">
      <w:pPr>
        <w:pStyle w:val="19"/>
        <w:jc w:val="center"/>
        <w:rPr>
          <w:rFonts w:ascii="宋体" w:hAnsi="宋体" w:cs="宋体"/>
          <w:b/>
          <w:color w:val="auto"/>
          <w:sz w:val="28"/>
          <w:szCs w:val="28"/>
          <w:highlight w:val="none"/>
        </w:rPr>
      </w:pPr>
      <w:r>
        <w:rPr>
          <w:rFonts w:hint="eastAsia" w:ascii="宋体" w:hAnsi="宋体" w:cs="宋体"/>
          <w:b/>
          <w:color w:val="auto"/>
          <w:sz w:val="28"/>
          <w:szCs w:val="28"/>
          <w:highlight w:val="none"/>
        </w:rPr>
        <w:t>中小企业划型标准规定</w:t>
      </w:r>
    </w:p>
    <w:p w14:paraId="6FAAAF28">
      <w:pPr>
        <w:pStyle w:val="19"/>
        <w:jc w:val="center"/>
        <w:rPr>
          <w:rFonts w:ascii="宋体" w:hAnsi="宋体" w:cs="宋体"/>
          <w:color w:val="auto"/>
          <w:sz w:val="21"/>
          <w:szCs w:val="21"/>
          <w:highlight w:val="none"/>
        </w:rPr>
      </w:pPr>
      <w:r>
        <w:rPr>
          <w:rFonts w:hint="eastAsia" w:ascii="宋体" w:hAnsi="宋体" w:cs="宋体"/>
          <w:color w:val="auto"/>
          <w:sz w:val="21"/>
          <w:szCs w:val="21"/>
          <w:highlight w:val="none"/>
        </w:rPr>
        <w:t>工信部联企业[2011]300号</w:t>
      </w:r>
    </w:p>
    <w:p w14:paraId="2490EBE6">
      <w:pPr>
        <w:pStyle w:val="19"/>
        <w:rPr>
          <w:rFonts w:ascii="宋体" w:hAnsi="宋体" w:cs="宋体"/>
          <w:color w:val="auto"/>
          <w:sz w:val="21"/>
          <w:szCs w:val="21"/>
          <w:highlight w:val="none"/>
        </w:rPr>
      </w:pPr>
    </w:p>
    <w:p w14:paraId="780EAE5A">
      <w:pPr>
        <w:pStyle w:val="19"/>
        <w:rPr>
          <w:rFonts w:ascii="宋体" w:hAnsi="宋体" w:cs="宋体"/>
          <w:color w:val="auto"/>
          <w:sz w:val="21"/>
          <w:szCs w:val="21"/>
          <w:highlight w:val="none"/>
        </w:rPr>
      </w:pPr>
      <w:r>
        <w:rPr>
          <w:rFonts w:hint="eastAsia" w:ascii="宋体" w:hAnsi="宋体" w:cs="宋体"/>
          <w:color w:val="auto"/>
          <w:sz w:val="21"/>
          <w:szCs w:val="21"/>
          <w:highlight w:val="none"/>
        </w:rPr>
        <w:t>　　一、根据《中华人民共和国中小企业促进法》和《国务院关于进一步促进中小企业发展的若干意见》(国发[2009]36号)，制定本规定。</w:t>
      </w:r>
    </w:p>
    <w:p w14:paraId="510BDDB9">
      <w:pPr>
        <w:pStyle w:val="19"/>
        <w:rPr>
          <w:rFonts w:ascii="宋体" w:hAnsi="宋体" w:cs="宋体"/>
          <w:color w:val="auto"/>
          <w:sz w:val="21"/>
          <w:szCs w:val="21"/>
          <w:highlight w:val="none"/>
        </w:rPr>
      </w:pPr>
      <w:r>
        <w:rPr>
          <w:rFonts w:hint="eastAsia" w:ascii="宋体" w:hAnsi="宋体" w:cs="宋体"/>
          <w:color w:val="auto"/>
          <w:sz w:val="21"/>
          <w:szCs w:val="21"/>
          <w:highlight w:val="none"/>
        </w:rPr>
        <w:t>　　二、中小企业划分为中型、小型、微型三种类型，具体标准根据企业从业人员、营业收入、资产总额等指标，结合行业特点制定。</w:t>
      </w:r>
    </w:p>
    <w:p w14:paraId="3C45ABA0">
      <w:pPr>
        <w:pStyle w:val="19"/>
        <w:rPr>
          <w:rFonts w:ascii="宋体" w:hAnsi="宋体" w:cs="宋体"/>
          <w:color w:val="auto"/>
          <w:sz w:val="21"/>
          <w:szCs w:val="21"/>
          <w:highlight w:val="none"/>
        </w:rPr>
      </w:pPr>
      <w:r>
        <w:rPr>
          <w:rFonts w:hint="eastAsia" w:ascii="宋体" w:hAnsi="宋体"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D4FB0A">
      <w:pPr>
        <w:pStyle w:val="19"/>
        <w:rPr>
          <w:rFonts w:ascii="宋体" w:hAnsi="宋体" w:cs="宋体"/>
          <w:color w:val="auto"/>
          <w:sz w:val="21"/>
          <w:szCs w:val="21"/>
          <w:highlight w:val="none"/>
        </w:rPr>
      </w:pPr>
      <w:r>
        <w:rPr>
          <w:rFonts w:hint="eastAsia" w:ascii="宋体" w:hAnsi="宋体" w:cs="宋体"/>
          <w:color w:val="auto"/>
          <w:sz w:val="21"/>
          <w:szCs w:val="21"/>
          <w:highlight w:val="none"/>
        </w:rPr>
        <w:t>　　四、各行业划型标准为：</w:t>
      </w:r>
    </w:p>
    <w:p w14:paraId="026D5E8B">
      <w:pPr>
        <w:pStyle w:val="19"/>
        <w:rPr>
          <w:rFonts w:ascii="宋体" w:hAnsi="宋体" w:cs="宋体"/>
          <w:color w:val="auto"/>
          <w:sz w:val="21"/>
          <w:szCs w:val="21"/>
          <w:highlight w:val="none"/>
        </w:rPr>
      </w:pPr>
      <w:r>
        <w:rPr>
          <w:rFonts w:hint="eastAsia" w:ascii="宋体" w:hAnsi="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E572527">
      <w:pPr>
        <w:pStyle w:val="19"/>
        <w:rPr>
          <w:rFonts w:ascii="宋体" w:hAnsi="宋体" w:cs="宋体"/>
          <w:color w:val="auto"/>
          <w:sz w:val="21"/>
          <w:szCs w:val="21"/>
          <w:highlight w:val="none"/>
        </w:rPr>
      </w:pPr>
      <w:r>
        <w:rPr>
          <w:rFonts w:hint="eastAsia" w:ascii="宋体" w:hAnsi="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371348">
      <w:pPr>
        <w:pStyle w:val="19"/>
        <w:rPr>
          <w:rFonts w:ascii="宋体" w:hAnsi="宋体" w:cs="宋体"/>
          <w:color w:val="auto"/>
          <w:sz w:val="21"/>
          <w:szCs w:val="21"/>
          <w:highlight w:val="none"/>
        </w:rPr>
      </w:pPr>
      <w:r>
        <w:rPr>
          <w:rFonts w:hint="eastAsia" w:ascii="宋体" w:hAnsi="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08E21F1">
      <w:pPr>
        <w:pStyle w:val="19"/>
        <w:rPr>
          <w:rFonts w:ascii="宋体" w:hAnsi="宋体" w:cs="宋体"/>
          <w:color w:val="auto"/>
          <w:sz w:val="21"/>
          <w:szCs w:val="21"/>
          <w:highlight w:val="none"/>
        </w:rPr>
      </w:pPr>
      <w:r>
        <w:rPr>
          <w:rFonts w:hint="eastAsia" w:ascii="宋体" w:hAnsi="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2A67DC2">
      <w:pPr>
        <w:pStyle w:val="19"/>
        <w:rPr>
          <w:rFonts w:ascii="宋体" w:hAnsi="宋体" w:cs="宋体"/>
          <w:color w:val="auto"/>
          <w:sz w:val="21"/>
          <w:szCs w:val="21"/>
          <w:highlight w:val="none"/>
        </w:rPr>
      </w:pPr>
      <w:r>
        <w:rPr>
          <w:rFonts w:hint="eastAsia" w:ascii="宋体" w:hAnsi="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4BE2678">
      <w:pPr>
        <w:pStyle w:val="19"/>
        <w:rPr>
          <w:rFonts w:ascii="宋体" w:hAnsi="宋体" w:cs="宋体"/>
          <w:color w:val="auto"/>
          <w:sz w:val="21"/>
          <w:szCs w:val="21"/>
          <w:highlight w:val="none"/>
        </w:rPr>
      </w:pPr>
      <w:r>
        <w:rPr>
          <w:rFonts w:hint="eastAsia" w:ascii="宋体" w:hAnsi="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B4E13DE">
      <w:pPr>
        <w:pStyle w:val="19"/>
        <w:rPr>
          <w:rFonts w:ascii="宋体" w:hAnsi="宋体" w:cs="宋体"/>
          <w:color w:val="auto"/>
          <w:sz w:val="21"/>
          <w:szCs w:val="21"/>
          <w:highlight w:val="none"/>
        </w:rPr>
      </w:pPr>
      <w:r>
        <w:rPr>
          <w:rFonts w:hint="eastAsia" w:ascii="宋体" w:hAnsi="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E3136BB">
      <w:pPr>
        <w:pStyle w:val="19"/>
        <w:rPr>
          <w:rFonts w:ascii="宋体" w:hAnsi="宋体" w:cs="宋体"/>
          <w:color w:val="auto"/>
          <w:sz w:val="21"/>
          <w:szCs w:val="21"/>
          <w:highlight w:val="none"/>
        </w:rPr>
      </w:pPr>
      <w:r>
        <w:rPr>
          <w:rFonts w:hint="eastAsia" w:ascii="宋体" w:hAnsi="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10BBC3A">
      <w:pPr>
        <w:pStyle w:val="19"/>
        <w:rPr>
          <w:rFonts w:ascii="宋体" w:hAnsi="宋体" w:cs="宋体"/>
          <w:color w:val="auto"/>
          <w:sz w:val="21"/>
          <w:szCs w:val="21"/>
          <w:highlight w:val="none"/>
        </w:rPr>
      </w:pPr>
      <w:r>
        <w:rPr>
          <w:rFonts w:hint="eastAsia" w:ascii="宋体" w:hAnsi="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498A82">
      <w:pPr>
        <w:pStyle w:val="19"/>
        <w:rPr>
          <w:rFonts w:ascii="宋体" w:hAnsi="宋体" w:cs="宋体"/>
          <w:color w:val="auto"/>
          <w:sz w:val="21"/>
          <w:szCs w:val="21"/>
          <w:highlight w:val="none"/>
        </w:rPr>
      </w:pPr>
      <w:r>
        <w:rPr>
          <w:rFonts w:hint="eastAsia" w:ascii="宋体" w:hAnsi="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4D4889">
      <w:pPr>
        <w:pStyle w:val="19"/>
        <w:rPr>
          <w:rFonts w:ascii="宋体" w:hAnsi="宋体" w:cs="宋体"/>
          <w:color w:val="auto"/>
          <w:sz w:val="21"/>
          <w:szCs w:val="21"/>
          <w:highlight w:val="none"/>
        </w:rPr>
      </w:pPr>
      <w:r>
        <w:rPr>
          <w:rFonts w:hint="eastAsia" w:ascii="宋体" w:hAnsi="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308864">
      <w:pPr>
        <w:pStyle w:val="19"/>
        <w:rPr>
          <w:rFonts w:ascii="宋体" w:hAnsi="宋体" w:cs="宋体"/>
          <w:color w:val="auto"/>
          <w:sz w:val="21"/>
          <w:szCs w:val="21"/>
          <w:highlight w:val="none"/>
        </w:rPr>
      </w:pPr>
      <w:r>
        <w:rPr>
          <w:rFonts w:hint="eastAsia" w:ascii="宋体" w:hAnsi="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74D2EBC">
      <w:pPr>
        <w:pStyle w:val="19"/>
        <w:rPr>
          <w:rFonts w:ascii="宋体" w:hAnsi="宋体" w:cs="宋体"/>
          <w:color w:val="auto"/>
          <w:sz w:val="21"/>
          <w:szCs w:val="21"/>
          <w:highlight w:val="none"/>
        </w:rPr>
      </w:pPr>
      <w:r>
        <w:rPr>
          <w:rFonts w:hint="eastAsia" w:ascii="宋体" w:hAnsi="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CA2A589">
      <w:pPr>
        <w:pStyle w:val="19"/>
        <w:rPr>
          <w:rFonts w:ascii="宋体" w:hAnsi="宋体" w:cs="宋体"/>
          <w:color w:val="auto"/>
          <w:sz w:val="21"/>
          <w:szCs w:val="21"/>
          <w:highlight w:val="none"/>
        </w:rPr>
      </w:pPr>
      <w:r>
        <w:rPr>
          <w:rFonts w:hint="eastAsia" w:ascii="宋体" w:hAnsi="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907A267">
      <w:pPr>
        <w:pStyle w:val="19"/>
        <w:rPr>
          <w:rFonts w:ascii="宋体" w:hAnsi="宋体" w:cs="宋体"/>
          <w:color w:val="auto"/>
          <w:sz w:val="21"/>
          <w:szCs w:val="21"/>
          <w:highlight w:val="none"/>
        </w:rPr>
      </w:pPr>
      <w:r>
        <w:rPr>
          <w:rFonts w:hint="eastAsia" w:ascii="宋体" w:hAnsi="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02F3B6">
      <w:pPr>
        <w:pStyle w:val="19"/>
        <w:rPr>
          <w:rFonts w:ascii="宋体" w:hAnsi="宋体" w:cs="宋体"/>
          <w:color w:val="auto"/>
          <w:sz w:val="21"/>
          <w:szCs w:val="21"/>
          <w:highlight w:val="none"/>
        </w:rPr>
      </w:pPr>
      <w:r>
        <w:rPr>
          <w:rFonts w:hint="eastAsia" w:ascii="宋体" w:hAnsi="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30E08728">
      <w:pPr>
        <w:pStyle w:val="19"/>
        <w:rPr>
          <w:rFonts w:ascii="宋体" w:hAnsi="宋体" w:cs="宋体"/>
          <w:color w:val="auto"/>
          <w:sz w:val="21"/>
          <w:szCs w:val="21"/>
          <w:highlight w:val="none"/>
        </w:rPr>
      </w:pPr>
      <w:r>
        <w:rPr>
          <w:rFonts w:hint="eastAsia" w:ascii="宋体" w:hAnsi="宋体" w:cs="宋体"/>
          <w:color w:val="auto"/>
          <w:sz w:val="21"/>
          <w:szCs w:val="21"/>
          <w:highlight w:val="none"/>
        </w:rPr>
        <w:t>　　五、企业类型的划分以统计部门的统计数据为依据。</w:t>
      </w:r>
    </w:p>
    <w:p w14:paraId="230EBF96">
      <w:pPr>
        <w:pStyle w:val="19"/>
        <w:rPr>
          <w:rFonts w:ascii="宋体" w:hAnsi="宋体" w:cs="宋体"/>
          <w:color w:val="auto"/>
          <w:sz w:val="21"/>
          <w:szCs w:val="21"/>
          <w:highlight w:val="none"/>
        </w:rPr>
      </w:pPr>
      <w:r>
        <w:rPr>
          <w:rFonts w:hint="eastAsia" w:ascii="宋体" w:hAnsi="宋体"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06F5513D">
      <w:pPr>
        <w:pStyle w:val="19"/>
        <w:rPr>
          <w:rFonts w:ascii="宋体" w:hAnsi="宋体" w:cs="宋体"/>
          <w:color w:val="auto"/>
          <w:sz w:val="21"/>
          <w:szCs w:val="21"/>
          <w:highlight w:val="none"/>
        </w:rPr>
      </w:pPr>
      <w:r>
        <w:rPr>
          <w:rFonts w:hint="eastAsia" w:ascii="宋体" w:hAnsi="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EBE3D03">
      <w:pPr>
        <w:pStyle w:val="19"/>
        <w:rPr>
          <w:rFonts w:ascii="宋体" w:hAnsi="宋体" w:cs="宋体"/>
          <w:color w:val="auto"/>
          <w:sz w:val="21"/>
          <w:szCs w:val="21"/>
          <w:highlight w:val="none"/>
        </w:rPr>
      </w:pPr>
      <w:r>
        <w:rPr>
          <w:rFonts w:hint="eastAsia" w:ascii="宋体" w:hAnsi="宋体" w:cs="宋体"/>
          <w:color w:val="auto"/>
          <w:sz w:val="21"/>
          <w:szCs w:val="21"/>
          <w:highlight w:val="none"/>
        </w:rPr>
        <w:t>　　八、本规定由工业和信息化部、国家统计局会同有关部门根据《国民经济行业分类》修订情况和企业发展变化情况适时修订。</w:t>
      </w:r>
    </w:p>
    <w:p w14:paraId="2FF065DB">
      <w:pPr>
        <w:pStyle w:val="19"/>
        <w:rPr>
          <w:rFonts w:ascii="宋体" w:hAnsi="宋体" w:cs="宋体"/>
          <w:color w:val="auto"/>
          <w:sz w:val="21"/>
          <w:szCs w:val="21"/>
          <w:highlight w:val="none"/>
        </w:rPr>
      </w:pPr>
      <w:r>
        <w:rPr>
          <w:rFonts w:hint="eastAsia" w:ascii="宋体" w:hAnsi="宋体" w:cs="宋体"/>
          <w:color w:val="auto"/>
          <w:sz w:val="21"/>
          <w:szCs w:val="21"/>
          <w:highlight w:val="none"/>
        </w:rPr>
        <w:t>　　九、本规定由工业和信息化部、国家统计局会同有关部门负责解释。</w:t>
      </w:r>
    </w:p>
    <w:p w14:paraId="135E4D37">
      <w:pPr>
        <w:pStyle w:val="19"/>
        <w:ind w:firstLine="420"/>
        <w:rPr>
          <w:rFonts w:ascii="宋体" w:hAnsi="宋体" w:cs="宋体"/>
          <w:color w:val="auto"/>
          <w:sz w:val="21"/>
          <w:szCs w:val="21"/>
          <w:highlight w:val="none"/>
        </w:rPr>
      </w:pPr>
      <w:r>
        <w:rPr>
          <w:rFonts w:hint="eastAsia" w:ascii="宋体" w:hAnsi="宋体" w:cs="宋体"/>
          <w:color w:val="auto"/>
          <w:sz w:val="21"/>
          <w:szCs w:val="21"/>
          <w:highlight w:val="none"/>
        </w:rPr>
        <w:t>十、本规定自发布之日起执行，原国家经贸委、原国家计委、财政部和国家统计局2003年颁布的《中小企业标准暂行规定》同时废止。</w:t>
      </w:r>
    </w:p>
    <w:p w14:paraId="6886635C">
      <w:pPr>
        <w:pStyle w:val="3"/>
        <w:spacing w:before="0" w:after="0" w:line="360" w:lineRule="auto"/>
        <w:jc w:val="center"/>
        <w:rPr>
          <w:rFonts w:ascii="宋体" w:hAnsi="宋体" w:cs="宋体"/>
          <w:color w:val="auto"/>
          <w:highlight w:val="none"/>
        </w:rPr>
      </w:pPr>
      <w:r>
        <w:rPr>
          <w:rFonts w:hint="eastAsia" w:ascii="宋体" w:hAnsi="宋体" w:cs="宋体"/>
          <w:color w:val="auto"/>
          <w:highlight w:val="none"/>
        </w:rPr>
        <w:br w:type="page"/>
      </w:r>
      <w:bookmarkStart w:id="44" w:name="_Toc143259163"/>
      <w:r>
        <w:rPr>
          <w:rFonts w:hint="eastAsia" w:ascii="宋体" w:hAnsi="宋体" w:cs="宋体"/>
          <w:color w:val="auto"/>
          <w:highlight w:val="none"/>
        </w:rPr>
        <w:t>第三章投标人须知</w:t>
      </w:r>
      <w:bookmarkEnd w:id="43"/>
      <w:bookmarkEnd w:id="44"/>
    </w:p>
    <w:p w14:paraId="2ED4F54B">
      <w:pPr>
        <w:jc w:val="center"/>
        <w:rPr>
          <w:rFonts w:ascii="宋体" w:hAnsi="宋体" w:cs="宋体"/>
          <w:color w:val="auto"/>
          <w:sz w:val="36"/>
          <w:szCs w:val="36"/>
          <w:highlight w:val="none"/>
        </w:rPr>
      </w:pPr>
      <w:bookmarkStart w:id="45" w:name="_Toc254970667"/>
      <w:bookmarkStart w:id="46" w:name="_Toc254970526"/>
      <w:r>
        <w:rPr>
          <w:rFonts w:hint="eastAsia" w:ascii="宋体" w:hAnsi="宋体" w:cs="宋体"/>
          <w:color w:val="auto"/>
          <w:sz w:val="36"/>
          <w:szCs w:val="36"/>
          <w:highlight w:val="none"/>
        </w:rPr>
        <w:t>投标人须知前附表</w:t>
      </w:r>
      <w:bookmarkEnd w:id="45"/>
      <w:bookmarkEnd w:id="46"/>
    </w:p>
    <w:tbl>
      <w:tblPr>
        <w:tblStyle w:val="47"/>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6E3FB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AA16273">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vAlign w:val="center"/>
          </w:tcPr>
          <w:p w14:paraId="26E52C41">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2DC90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E802AF7">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vAlign w:val="center"/>
          </w:tcPr>
          <w:p w14:paraId="173D3015">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1.投标人的资格要求详见招标公告。</w:t>
            </w:r>
          </w:p>
          <w:p w14:paraId="637528C0">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2.投标人出现下列情形之一的，不得参加政府采购活动：</w:t>
            </w:r>
          </w:p>
          <w:p w14:paraId="27852EEC">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32E11C2">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2.2对在“信用中国”网站（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www.ccgp.gov.cn）被列入失信被执行人、重大税收违法失信主体、政府采购严重违法失信行为记录名单及其他不符合《中华人民共和国政府采购法》第二十二条规定条件的供应商，不得参与政府采购活动。</w:t>
            </w:r>
          </w:p>
        </w:tc>
      </w:tr>
      <w:tr w14:paraId="5D1A6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E5592D2">
            <w:pPr>
              <w:adjustRightInd w:val="0"/>
              <w:spacing w:line="400" w:lineRule="exact"/>
              <w:jc w:val="center"/>
              <w:rPr>
                <w:rFonts w:ascii="宋体" w:hAnsi="宋体" w:cs="宋体"/>
                <w:color w:val="auto"/>
                <w:szCs w:val="21"/>
                <w:highlight w:val="none"/>
              </w:rPr>
            </w:pPr>
            <w:bookmarkStart w:id="47" w:name="_5"/>
            <w:bookmarkEnd w:id="47"/>
            <w:bookmarkStart w:id="48" w:name="_9.2"/>
            <w:bookmarkEnd w:id="48"/>
            <w:bookmarkStart w:id="49" w:name="_8.1"/>
            <w:bookmarkEnd w:id="49"/>
            <w:r>
              <w:rPr>
                <w:rFonts w:hint="eastAsia" w:ascii="宋体" w:hAnsi="宋体" w:cs="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vAlign w:val="center"/>
          </w:tcPr>
          <w:p w14:paraId="2A97A10D">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本项目是否接受联合体投标：</w:t>
            </w:r>
            <w:r>
              <w:rPr>
                <w:rFonts w:hint="eastAsia" w:ascii="宋体" w:hAnsi="宋体" w:cs="宋体"/>
                <w:b/>
                <w:color w:val="auto"/>
                <w:szCs w:val="21"/>
                <w:highlight w:val="none"/>
              </w:rPr>
              <w:t>本项目不接受联合体投标。</w:t>
            </w:r>
          </w:p>
        </w:tc>
      </w:tr>
      <w:tr w14:paraId="2C78C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138599D">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8670" w:type="dxa"/>
            <w:tcBorders>
              <w:top w:val="single" w:color="auto" w:sz="4" w:space="0"/>
              <w:left w:val="single" w:color="auto" w:sz="4" w:space="0"/>
              <w:bottom w:val="single" w:color="auto" w:sz="4" w:space="0"/>
              <w:right w:val="single" w:color="auto" w:sz="4" w:space="0"/>
            </w:tcBorders>
            <w:vAlign w:val="center"/>
          </w:tcPr>
          <w:p w14:paraId="09A33B3D">
            <w:pPr>
              <w:pStyle w:val="17"/>
              <w:adjustRightInd w:val="0"/>
              <w:spacing w:line="400" w:lineRule="exact"/>
              <w:rPr>
                <w:rFonts w:ascii="宋体" w:hAnsi="宋体" w:cs="宋体"/>
                <w:color w:val="auto"/>
                <w:szCs w:val="21"/>
                <w:highlight w:val="none"/>
              </w:rPr>
            </w:pPr>
            <w:bookmarkStart w:id="50" w:name="_Hlk54105293"/>
            <w:r>
              <w:rPr>
                <w:rFonts w:hint="eastAsia" w:ascii="宋体" w:hAnsi="宋体" w:cs="宋体"/>
                <w:color w:val="auto"/>
                <w:szCs w:val="21"/>
                <w:highlight w:val="none"/>
              </w:rPr>
              <w:t>如接受联合体投标</w:t>
            </w:r>
            <w:bookmarkEnd w:id="50"/>
            <w:r>
              <w:rPr>
                <w:rFonts w:hint="eastAsia" w:ascii="宋体" w:hAnsi="宋体" w:cs="宋体"/>
                <w:color w:val="auto"/>
                <w:szCs w:val="21"/>
                <w:highlight w:val="none"/>
              </w:rPr>
              <w:t>，联合体投标要求如下：</w:t>
            </w:r>
          </w:p>
          <w:p w14:paraId="4B7DE680">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1.两个以上投标人可以组成一个投标联合体，以一个投标人的身份共同参加投标。联合体投标的，须提供《联合体投标协议书》（格式后附）。</w:t>
            </w:r>
          </w:p>
          <w:p w14:paraId="54F1B06E">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16D2B2CD">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3.联合体各方之间必须签订联合投标协议，协议书必须明确主体方（或者牵头方）并明确约定联合体各方承担的工作和相应的责任（各方承担责任与义务的分工必须符合采购需求，否则，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cs="宋体"/>
                <w:b/>
                <w:color w:val="auto"/>
                <w:szCs w:val="21"/>
                <w:highlight w:val="none"/>
              </w:rPr>
              <w:t>联合体投标无效</w:t>
            </w:r>
            <w:r>
              <w:rPr>
                <w:rFonts w:hint="eastAsia" w:ascii="宋体" w:hAnsi="宋体" w:cs="宋体"/>
                <w:color w:val="auto"/>
                <w:szCs w:val="21"/>
                <w:highlight w:val="none"/>
              </w:rPr>
              <w:t>），并将联合投标协议放入投标文件。联合体各方必须共同与采购人签订采购合同，就采购合同约定的事项对采购人承担连带责任。</w:t>
            </w:r>
          </w:p>
          <w:p w14:paraId="60096426">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4.以联合体形式参加政府采购活动的，联合体各方不得再单独参加或者与其他投标人另外组成联合体参加同一合同项下的政府采购活动。</w:t>
            </w:r>
          </w:p>
          <w:p w14:paraId="67530270">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5.联合体中有同类资质的投标人按照联合体分工承担相同工作的，应当按照资质等级较低的投标人确定资质等级。</w:t>
            </w:r>
          </w:p>
          <w:p w14:paraId="793B9A05">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6.联合体投标业绩、履约能力按照联合体各方其中较高的一方认定并计算（招标文件另有规定的除外）。</w:t>
            </w:r>
          </w:p>
          <w:p w14:paraId="6F44D8E4">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7.投标人为联合体的，可以由联合体中的一方或者多方共同交纳投标保证金，其交纳的保证金对联合体各方均具有约束力。</w:t>
            </w:r>
          </w:p>
          <w:p w14:paraId="48CF6CCF">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8.联合体各方均应按照招标文件的规定提交资格证明文件。</w:t>
            </w:r>
          </w:p>
        </w:tc>
      </w:tr>
      <w:tr w14:paraId="0CF81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D72091D">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vAlign w:val="center"/>
          </w:tcPr>
          <w:p w14:paraId="51E12E81">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☑不允许分包</w:t>
            </w:r>
          </w:p>
          <w:p w14:paraId="1028941E">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□允许分包</w:t>
            </w:r>
          </w:p>
          <w:p w14:paraId="02D78B0C">
            <w:pPr>
              <w:pStyle w:val="17"/>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27A86196">
            <w:pPr>
              <w:pStyle w:val="17"/>
              <w:adjustRightInd w:val="0"/>
              <w:spacing w:line="400" w:lineRule="exact"/>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7C3BB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B0B5E7D">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vAlign w:val="center"/>
          </w:tcPr>
          <w:p w14:paraId="45F9307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采用最低评标价法的采购项目，提供相同品牌产品（非单一产品采购项目的，指核心产品）的不同投标人评标报价相同时，按照下列方式确定一个投标人获得中标人推荐资格：</w:t>
            </w:r>
          </w:p>
          <w:p w14:paraId="4368A86B">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□依次按投标报价低的优先、带“▲”的实质性要求正偏离项数多的优先、均无正偏离或者正偏离项数一致时负偏离项数少的优先、保修期长优先、交货期短优先、故障响应时间短优先的顺序推荐。</w:t>
            </w:r>
          </w:p>
          <w:p w14:paraId="3D0A6DA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331C15D4">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p w14:paraId="27B0A784">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采用综合评分法的采购项目，提供相同品牌产品（非单一产品采购项目的，指核心产品）的不同投标人评审得分相同时，按照下列方式确定一个投标人获得中标人推荐资格：</w:t>
            </w:r>
          </w:p>
          <w:p w14:paraId="01668602">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☑依次按投标报价低的优先、技术分高的优先、</w:t>
            </w:r>
            <w:r>
              <w:rPr>
                <w:rFonts w:hint="eastAsia" w:ascii="宋体" w:hAnsi="宋体" w:cs="宋体"/>
                <w:bCs/>
                <w:color w:val="auto"/>
                <w:szCs w:val="21"/>
                <w:highlight w:val="none"/>
              </w:rPr>
              <w:t>安装实施方案分高的优先、</w:t>
            </w:r>
            <w:r>
              <w:rPr>
                <w:rFonts w:hint="eastAsia" w:ascii="宋体" w:hAnsi="宋体" w:cs="宋体"/>
                <w:color w:val="auto"/>
                <w:szCs w:val="21"/>
                <w:highlight w:val="none"/>
              </w:rPr>
              <w:t>增值售后服务方案分高的优先、履约能力分高的优先、政策分高的优先顺序推荐；</w:t>
            </w:r>
          </w:p>
          <w:p w14:paraId="62342595">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1D4CD58B">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tc>
      </w:tr>
      <w:tr w14:paraId="5C8BD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95" w:type="dxa"/>
            <w:vMerge w:val="restart"/>
            <w:tcBorders>
              <w:top w:val="single" w:color="auto" w:sz="4" w:space="0"/>
              <w:left w:val="single" w:color="auto" w:sz="4" w:space="0"/>
              <w:right w:val="single" w:color="auto" w:sz="4" w:space="0"/>
            </w:tcBorders>
            <w:vAlign w:val="center"/>
          </w:tcPr>
          <w:p w14:paraId="3B0DC692">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8670" w:type="dxa"/>
            <w:tcBorders>
              <w:top w:val="single" w:color="auto" w:sz="4" w:space="0"/>
              <w:left w:val="single" w:color="auto" w:sz="4" w:space="0"/>
              <w:bottom w:val="single" w:color="auto" w:sz="4" w:space="0"/>
              <w:right w:val="single" w:color="auto" w:sz="4" w:space="0"/>
            </w:tcBorders>
            <w:vAlign w:val="center"/>
          </w:tcPr>
          <w:p w14:paraId="219477DB">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本项目不组织现场考察</w:t>
            </w:r>
          </w:p>
        </w:tc>
      </w:tr>
      <w:tr w14:paraId="22F5B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vAlign w:val="center"/>
          </w:tcPr>
          <w:p w14:paraId="1B73297D">
            <w:pPr>
              <w:adjustRightInd w:val="0"/>
              <w:spacing w:line="400" w:lineRule="exact"/>
              <w:jc w:val="center"/>
              <w:rPr>
                <w:rFonts w:ascii="宋体" w:hAnsi="宋体" w:cs="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vAlign w:val="center"/>
          </w:tcPr>
          <w:p w14:paraId="2FF0756B">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75F82F89">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56546780">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w:t>
            </w:r>
          </w:p>
        </w:tc>
      </w:tr>
      <w:tr w14:paraId="031D8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3784A263">
            <w:pPr>
              <w:adjustRightInd w:val="0"/>
              <w:spacing w:line="400" w:lineRule="exact"/>
              <w:jc w:val="center"/>
              <w:rPr>
                <w:rFonts w:ascii="宋体" w:hAnsi="宋体" w:cs="宋体"/>
                <w:color w:val="auto"/>
                <w:szCs w:val="21"/>
                <w:highlight w:val="none"/>
              </w:rPr>
            </w:pPr>
            <w:bookmarkStart w:id="51" w:name="_13.1"/>
            <w:bookmarkEnd w:id="51"/>
            <w:r>
              <w:rPr>
                <w:rFonts w:hint="eastAsia" w:ascii="宋体" w:hAnsi="宋体" w:cs="宋体"/>
                <w:color w:val="auto"/>
                <w:szCs w:val="21"/>
                <w:highlight w:val="none"/>
              </w:rPr>
              <w:t>13</w:t>
            </w:r>
          </w:p>
        </w:tc>
        <w:tc>
          <w:tcPr>
            <w:tcW w:w="8670" w:type="dxa"/>
            <w:tcBorders>
              <w:top w:val="single" w:color="auto" w:sz="4" w:space="0"/>
              <w:left w:val="single" w:color="auto" w:sz="4" w:space="0"/>
              <w:bottom w:val="single" w:color="auto" w:sz="4" w:space="0"/>
              <w:right w:val="single" w:color="auto" w:sz="4" w:space="0"/>
            </w:tcBorders>
            <w:vAlign w:val="center"/>
          </w:tcPr>
          <w:p w14:paraId="5AFC003E">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24EEFCAB">
            <w:pPr>
              <w:tabs>
                <w:tab w:val="left" w:pos="459"/>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（必须提供，否则按无效投标处理）</w:t>
            </w:r>
          </w:p>
          <w:p w14:paraId="02F1A6CA">
            <w:pPr>
              <w:tabs>
                <w:tab w:val="left" w:pos="459"/>
              </w:tabs>
              <w:adjustRightInd w:val="0"/>
              <w:spacing w:line="400" w:lineRule="exact"/>
              <w:jc w:val="left"/>
              <w:rPr>
                <w:rFonts w:ascii="宋体" w:hAnsi="宋体" w:cs="宋体"/>
                <w:color w:val="auto"/>
                <w:szCs w:val="21"/>
                <w:highlight w:val="none"/>
              </w:rPr>
            </w:pPr>
            <w:bookmarkStart w:id="52" w:name="_Hlk71299233"/>
            <w:r>
              <w:rPr>
                <w:rFonts w:hint="eastAsia" w:ascii="宋体" w:hAnsi="宋体" w:cs="宋体"/>
                <w:color w:val="auto"/>
                <w:szCs w:val="21"/>
                <w:highlight w:val="none"/>
              </w:rPr>
              <w:t>2.开标一览表</w:t>
            </w:r>
            <w:bookmarkEnd w:id="52"/>
            <w:r>
              <w:rPr>
                <w:rFonts w:hint="eastAsia" w:ascii="宋体" w:hAnsi="宋体" w:cs="宋体"/>
                <w:color w:val="auto"/>
                <w:szCs w:val="21"/>
                <w:highlight w:val="none"/>
              </w:rPr>
              <w:t>（格式后附）； （</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BB651E4">
            <w:pPr>
              <w:tabs>
                <w:tab w:val="left" w:pos="459"/>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p w14:paraId="661ED655">
            <w:pPr>
              <w:adjustRightIn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51F89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053B6AAD">
            <w:pPr>
              <w:adjustRightInd w:val="0"/>
              <w:spacing w:line="400" w:lineRule="exact"/>
              <w:rPr>
                <w:rFonts w:ascii="宋体" w:hAnsi="宋体" w:cs="宋体"/>
                <w:color w:val="auto"/>
                <w:szCs w:val="21"/>
                <w:highlight w:val="none"/>
              </w:rPr>
            </w:pPr>
            <w:bookmarkStart w:id="53" w:name="_13.2"/>
            <w:bookmarkEnd w:id="53"/>
          </w:p>
        </w:tc>
        <w:tc>
          <w:tcPr>
            <w:tcW w:w="8670" w:type="dxa"/>
            <w:tcBorders>
              <w:top w:val="single" w:color="auto" w:sz="4" w:space="0"/>
              <w:left w:val="single" w:color="auto" w:sz="4" w:space="0"/>
              <w:bottom w:val="single" w:color="auto" w:sz="4" w:space="0"/>
              <w:right w:val="single" w:color="auto" w:sz="4" w:space="0"/>
            </w:tcBorders>
            <w:vAlign w:val="center"/>
          </w:tcPr>
          <w:p w14:paraId="4D1883D9">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4FA09AB1">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87"/>
                <w:rFonts w:hint="eastAsia"/>
                <w:color w:val="auto"/>
                <w:sz w:val="21"/>
                <w:szCs w:val="21"/>
                <w:highlight w:val="none"/>
              </w:rPr>
              <w:t>执业许可证</w:t>
            </w:r>
            <w:r>
              <w:rPr>
                <w:rFonts w:hint="eastAsia" w:ascii="宋体" w:hAnsi="宋体" w:cs="宋体"/>
                <w:color w:val="auto"/>
                <w:szCs w:val="21"/>
                <w:highlight w:val="none"/>
              </w:rPr>
              <w:t>或者登记证书等），投标人为自然人的，提供身份证复印件；（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10BC2E9">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月以来任意一个月的依法缴纳税收的</w:t>
            </w:r>
            <w:r>
              <w:rPr>
                <w:rFonts w:hint="eastAsia" w:ascii="宋体" w:hAnsi="宋体" w:cs="宋体"/>
                <w:color w:val="auto"/>
                <w:highlight w:val="none"/>
              </w:rPr>
              <w:t>证明材料</w:t>
            </w:r>
            <w:r>
              <w:rPr>
                <w:rFonts w:hint="eastAsia" w:ascii="宋体" w:hAnsi="宋体" w:cs="宋体"/>
                <w:color w:val="auto"/>
                <w:szCs w:val="21"/>
                <w:highlight w:val="none"/>
              </w:rPr>
              <w:t>复印件；依法免税的供应商，</w:t>
            </w:r>
            <w:r>
              <w:rPr>
                <w:rFonts w:hint="eastAsia" w:ascii="宋体" w:hAnsi="宋体" w:cs="宋体"/>
                <w:color w:val="auto"/>
                <w:highlight w:val="none"/>
              </w:rPr>
              <w:t>必须提供符合免税条件的证明材料</w:t>
            </w:r>
            <w:r>
              <w:rPr>
                <w:rFonts w:hint="eastAsia" w:ascii="宋体" w:hAnsi="宋体" w:cs="宋体"/>
                <w:color w:val="auto"/>
                <w:szCs w:val="21"/>
                <w:highlight w:val="none"/>
              </w:rPr>
              <w:t>。从成立之日起到投标文件提交截止时间止不足要求月数的</w:t>
            </w:r>
            <w:r>
              <w:rPr>
                <w:rFonts w:hint="eastAsia" w:ascii="宋体" w:hAnsi="宋体" w:cs="宋体"/>
                <w:color w:val="auto"/>
                <w:highlight w:val="none"/>
              </w:rPr>
              <w:t>，则无需提交</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2D9D9BA">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月以来任意一个月的依法缴纳社会保障资金的缴费</w:t>
            </w:r>
            <w:r>
              <w:rPr>
                <w:rFonts w:hint="eastAsia" w:ascii="宋体" w:hAnsi="宋体" w:cs="宋体"/>
                <w:color w:val="auto"/>
                <w:highlight w:val="none"/>
              </w:rPr>
              <w:t>证明材料</w:t>
            </w:r>
            <w:r>
              <w:rPr>
                <w:rFonts w:hint="eastAsia" w:ascii="宋体" w:hAnsi="宋体" w:cs="宋体"/>
                <w:color w:val="auto"/>
                <w:szCs w:val="21"/>
                <w:highlight w:val="none"/>
              </w:rPr>
              <w:t>（</w:t>
            </w:r>
            <w:r>
              <w:rPr>
                <w:rFonts w:hint="eastAsia" w:ascii="宋体" w:hAnsi="宋体" w:cs="宋体"/>
                <w:color w:val="auto"/>
                <w:highlight w:val="none"/>
              </w:rPr>
              <w:t>如：</w:t>
            </w:r>
            <w:r>
              <w:rPr>
                <w:rFonts w:hint="eastAsia" w:ascii="宋体" w:hAnsi="宋体" w:cs="宋体"/>
                <w:color w:val="auto"/>
                <w:szCs w:val="21"/>
                <w:highlight w:val="none"/>
              </w:rPr>
              <w:t>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D94F90B">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w:t>
            </w:r>
            <w:bookmarkStart w:id="54" w:name="OLE_LINK10"/>
            <w:r>
              <w:rPr>
                <w:rFonts w:hint="eastAsia" w:ascii="宋体" w:hAnsi="宋体" w:cs="宋体"/>
                <w:color w:val="auto"/>
                <w:szCs w:val="21"/>
                <w:highlight w:val="none"/>
                <w:u w:val="single"/>
              </w:rPr>
              <w:t>2023</w:t>
            </w:r>
            <w:r>
              <w:rPr>
                <w:rFonts w:hint="eastAsia" w:ascii="宋体" w:hAnsi="宋体" w:cs="宋体"/>
                <w:color w:val="auto"/>
                <w:szCs w:val="21"/>
                <w:highlight w:val="none"/>
              </w:rPr>
              <w:t>年以来任一年度的</w:t>
            </w:r>
            <w:bookmarkEnd w:id="54"/>
            <w:r>
              <w:rPr>
                <w:rFonts w:hint="eastAsia" w:ascii="宋体" w:hAnsi="宋体" w:cs="宋体"/>
                <w:color w:val="auto"/>
                <w:szCs w:val="21"/>
                <w:highlight w:val="none"/>
              </w:rPr>
              <w:t>财务报表复印件，或者2025年以来银行出具的资信证明，或者中国人民银行征信中心出具的信用报告（企业投标的提供企业信用报告，自然人投标的提供个人信用报告</w:t>
            </w:r>
            <w:r>
              <w:rPr>
                <w:rFonts w:hint="eastAsia" w:ascii="宋体" w:hAnsi="宋体" w:cs="宋体"/>
                <w:color w:val="auto"/>
                <w:highlight w:val="none"/>
              </w:rPr>
              <w:t>，投标人属于成立时间在规定年度之后的法人或其他组织，需提供成立之日起至投标截止时间前的月报表</w:t>
            </w:r>
            <w:r>
              <w:rPr>
                <w:rFonts w:hint="eastAsia" w:ascii="宋体" w:hAnsi="宋体" w:cs="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745E7A8">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5.投标人直接控股股东信息表（格式后附）；</w:t>
            </w:r>
            <w:r>
              <w:rPr>
                <w:rFonts w:hint="eastAsia" w:ascii="宋体" w:hAnsi="宋体" w:cs="宋体"/>
                <w:b/>
                <w:color w:val="auto"/>
                <w:szCs w:val="21"/>
                <w:highlight w:val="none"/>
              </w:rPr>
              <w:t>（必须提供，否则按无效投标处理）</w:t>
            </w:r>
          </w:p>
          <w:p w14:paraId="02BD322E">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6.投标人直接管理关系信息表（格式后附）；</w:t>
            </w:r>
            <w:r>
              <w:rPr>
                <w:rFonts w:hint="eastAsia" w:ascii="宋体" w:hAnsi="宋体" w:cs="宋体"/>
                <w:b/>
                <w:color w:val="auto"/>
                <w:szCs w:val="21"/>
                <w:highlight w:val="none"/>
              </w:rPr>
              <w:t>（必须提供，否则按无效投标处理）</w:t>
            </w:r>
          </w:p>
          <w:p w14:paraId="749D45E3">
            <w:pPr>
              <w:tabs>
                <w:tab w:val="left" w:pos="1305"/>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7.投标人</w:t>
            </w:r>
            <w:r>
              <w:rPr>
                <w:rFonts w:hint="eastAsia" w:ascii="宋体" w:hAnsi="宋体" w:cs="宋体"/>
                <w:color w:val="auto"/>
                <w:highlight w:val="none"/>
              </w:rPr>
              <w:t>根据所投产品</w:t>
            </w:r>
            <w:r>
              <w:rPr>
                <w:rFonts w:hint="eastAsia" w:ascii="宋体" w:hAnsi="宋体" w:cs="宋体"/>
                <w:color w:val="auto"/>
                <w:szCs w:val="21"/>
                <w:highlight w:val="none"/>
              </w:rPr>
              <w:t>提供医疗器械的有关证明材料复印件；（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EE40DC8">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①本项目有第二类医疗器械的，应提供有效的医疗器械经营备案凭证（经营范围包含采购的第二类医疗器械），符合《医疗器械监督管理条例》（国务院令第739号）第四十一条第二款规定的除外；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7AC5A441">
            <w:pPr>
              <w:adjustRightInd w:val="0"/>
              <w:spacing w:line="400" w:lineRule="exact"/>
              <w:jc w:val="left"/>
              <w:rPr>
                <w:rFonts w:ascii="宋体" w:hAnsi="宋体" w:cs="宋体"/>
                <w:color w:val="auto"/>
                <w:highlight w:val="none"/>
              </w:rPr>
            </w:pPr>
            <w:r>
              <w:rPr>
                <w:rFonts w:hint="eastAsia" w:ascii="宋体" w:hAnsi="宋体" w:cs="宋体"/>
                <w:color w:val="auto"/>
                <w:szCs w:val="21"/>
                <w:highlight w:val="none"/>
              </w:rPr>
              <w:t>②本项目有第三类医疗器械的，应提供有效的医疗器械经营许可证（经营范围包含采购的第三类医疗器械）；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3B0776FE">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8.投标声明（格式后附）；（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DC2FBAF">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9.联合体协议书（格式后附）；（</w:t>
            </w:r>
            <w:r>
              <w:rPr>
                <w:rFonts w:hint="eastAsia" w:ascii="宋体" w:hAnsi="宋体" w:cs="宋体"/>
                <w:b/>
                <w:color w:val="auto"/>
                <w:szCs w:val="21"/>
                <w:highlight w:val="none"/>
              </w:rPr>
              <w:t>联合体投标时必须提供，否则按无效投标处理</w:t>
            </w:r>
            <w:r>
              <w:rPr>
                <w:rFonts w:hint="eastAsia" w:ascii="宋体" w:hAnsi="宋体" w:cs="宋体"/>
                <w:color w:val="auto"/>
                <w:szCs w:val="21"/>
                <w:highlight w:val="none"/>
              </w:rPr>
              <w:t>）</w:t>
            </w:r>
          </w:p>
          <w:p w14:paraId="40CDD39C">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10.除招标文件规定必须提供以外，投标人认为需要提供的其他证明材料。</w:t>
            </w:r>
          </w:p>
          <w:p w14:paraId="0F879B43">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5B032D14">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1.以上标明“必须提供”的材料必须加盖投标人电子签章，格式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p w14:paraId="01E0FE2A">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2.联合体投标时，第1-7项资格证明文件联合体各方均必须分别提供，联合体各方分别盖章和签字（或者电子签名），否则按无效投标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p w14:paraId="4FC92D09">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3.分公司参加投标的，应当取得总公司授权。</w:t>
            </w:r>
          </w:p>
        </w:tc>
      </w:tr>
      <w:tr w14:paraId="18CEF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74ECB68D">
            <w:pPr>
              <w:adjustRightInd w:val="0"/>
              <w:spacing w:line="400" w:lineRule="exact"/>
              <w:rPr>
                <w:rFonts w:ascii="宋体" w:hAnsi="宋体" w:cs="宋体"/>
                <w:color w:val="auto"/>
                <w:szCs w:val="21"/>
                <w:highlight w:val="none"/>
              </w:rPr>
            </w:pPr>
            <w:bookmarkStart w:id="55" w:name="_13.3"/>
            <w:bookmarkEnd w:id="55"/>
          </w:p>
        </w:tc>
        <w:tc>
          <w:tcPr>
            <w:tcW w:w="8670" w:type="dxa"/>
            <w:tcBorders>
              <w:top w:val="single" w:color="auto" w:sz="4" w:space="0"/>
              <w:left w:val="single" w:color="auto" w:sz="4" w:space="0"/>
              <w:bottom w:val="single" w:color="auto" w:sz="4" w:space="0"/>
              <w:right w:val="single" w:color="auto" w:sz="4" w:space="0"/>
            </w:tcBorders>
            <w:vAlign w:val="center"/>
          </w:tcPr>
          <w:p w14:paraId="40AB7718">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38468B92">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7B1BA39">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9205BEA">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4E6547F8">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4.商务要求承诺响应表（格式后附）；（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D677172">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Cs/>
                <w:color w:val="auto"/>
                <w:szCs w:val="21"/>
                <w:highlight w:val="none"/>
              </w:rPr>
              <w:t>安装实施方案</w:t>
            </w:r>
            <w:r>
              <w:rPr>
                <w:rFonts w:hint="eastAsia" w:ascii="宋体" w:hAnsi="宋体" w:cs="宋体"/>
                <w:color w:val="auto"/>
                <w:szCs w:val="21"/>
                <w:highlight w:val="none"/>
              </w:rPr>
              <w:t>（格式后附）；内容包含但不限于：①安装方案；②设备调试方案；③设备试运行方案等。</w:t>
            </w:r>
          </w:p>
          <w:p w14:paraId="384F70B4">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6.增值售后服务方案（格式后附）；内容包含但不限于：①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p>
          <w:p w14:paraId="5CA2510F">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7.投标人的业绩证明材料（格式后附）；</w:t>
            </w:r>
          </w:p>
          <w:p w14:paraId="31E4E07D">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8.投标人情况介绍（格式自拟）；</w:t>
            </w:r>
          </w:p>
          <w:p w14:paraId="67F458A6">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9.联合体协议书（格式后附，详见“其他文书、文件格式”）；（</w:t>
            </w:r>
            <w:r>
              <w:rPr>
                <w:rFonts w:hint="eastAsia" w:ascii="宋体" w:hAnsi="宋体" w:cs="宋体"/>
                <w:b/>
                <w:color w:val="auto"/>
                <w:szCs w:val="21"/>
                <w:highlight w:val="none"/>
              </w:rPr>
              <w:t>联合体投标时必须提供，否则按无效投标处理</w:t>
            </w:r>
            <w:r>
              <w:rPr>
                <w:rFonts w:hint="eastAsia" w:ascii="宋体" w:hAnsi="宋体" w:cs="宋体"/>
                <w:color w:val="auto"/>
                <w:szCs w:val="21"/>
                <w:highlight w:val="none"/>
              </w:rPr>
              <w:t>）</w:t>
            </w:r>
          </w:p>
          <w:p w14:paraId="2D1D4814">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10.除招标文件规定必须提供以外，投标人认为需要提供的其他证明材料（格式自拟）。（投标人根据“第二章 采购需求”及“第四章 评标方法及评标标准”提供有关证明材料）。</w:t>
            </w:r>
          </w:p>
          <w:p w14:paraId="1C0D7346">
            <w:pPr>
              <w:adjustRightInd w:val="0"/>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注：以上标明“必须提供”的材料必须加盖投标人电子签章，格式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4778A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vAlign w:val="center"/>
          </w:tcPr>
          <w:p w14:paraId="7E2D630E">
            <w:pPr>
              <w:adjustRightInd w:val="0"/>
              <w:spacing w:line="400" w:lineRule="exact"/>
              <w:rPr>
                <w:rFonts w:ascii="宋体" w:hAnsi="宋体" w:cs="宋体"/>
                <w:color w:val="auto"/>
                <w:szCs w:val="21"/>
                <w:highlight w:val="none"/>
              </w:rPr>
            </w:pPr>
            <w:bookmarkStart w:id="56" w:name="_13.4"/>
            <w:bookmarkEnd w:id="56"/>
          </w:p>
        </w:tc>
        <w:tc>
          <w:tcPr>
            <w:tcW w:w="8670" w:type="dxa"/>
            <w:tcBorders>
              <w:top w:val="single" w:color="auto" w:sz="4" w:space="0"/>
              <w:left w:val="single" w:color="auto" w:sz="4" w:space="0"/>
              <w:bottom w:val="single" w:color="auto" w:sz="4" w:space="0"/>
              <w:right w:val="single" w:color="auto" w:sz="4" w:space="0"/>
            </w:tcBorders>
            <w:vAlign w:val="center"/>
          </w:tcPr>
          <w:p w14:paraId="1265237E">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271CB671">
            <w:pPr>
              <w:tabs>
                <w:tab w:val="left" w:pos="312"/>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投标人所投产品相应有效的《医疗器械产品注册证》复印件</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w:t>
            </w:r>
            <w:bookmarkStart w:id="154" w:name="_GoBack"/>
            <w:r>
              <w:rPr>
                <w:rFonts w:hint="eastAsia" w:ascii="宋体" w:hAnsi="宋体" w:cs="宋体"/>
                <w:b/>
                <w:bCs/>
                <w:color w:val="auto"/>
                <w:szCs w:val="21"/>
                <w:highlight w:val="none"/>
                <w:lang w:val="en-US" w:eastAsia="zh-CN"/>
              </w:rPr>
              <w:t>按</w:t>
            </w:r>
            <w:bookmarkEnd w:id="154"/>
            <w:r>
              <w:rPr>
                <w:rFonts w:hint="eastAsia" w:ascii="宋体" w:hAnsi="宋体" w:cs="宋体"/>
                <w:b/>
                <w:bCs/>
                <w:color w:val="auto"/>
                <w:szCs w:val="21"/>
                <w:highlight w:val="none"/>
              </w:rPr>
              <w:t>无效投标处理</w:t>
            </w:r>
            <w:r>
              <w:rPr>
                <w:rFonts w:hint="eastAsia" w:ascii="宋体" w:hAnsi="宋体" w:cs="宋体"/>
                <w:color w:val="auto"/>
                <w:szCs w:val="21"/>
                <w:highlight w:val="none"/>
              </w:rPr>
              <w:t>）</w:t>
            </w:r>
          </w:p>
          <w:p w14:paraId="7B521055">
            <w:pPr>
              <w:tabs>
                <w:tab w:val="left" w:pos="312"/>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2.技术要求偏离表（格式后附）；（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85F127E">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3.设备性能配置清单（格式后附）；（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300073F">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4.项目实施人员一览表（格式后附）；</w:t>
            </w:r>
          </w:p>
          <w:p w14:paraId="4AA4428B">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5.对本项目系统总体要求的理解。包括：功能说明、性能指标及设备选型说明（质量、性能、价格、外观、体积等方面进行比较和选择的理由及过程）（格式自拟）；</w:t>
            </w:r>
          </w:p>
          <w:p w14:paraId="70E9E684">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6.产品出厂标准、质量检测报告（格式自拟）；</w:t>
            </w:r>
          </w:p>
          <w:p w14:paraId="56DAC959">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7.优惠条件：投标人承诺给予招标人的各种优惠条件，包括选配件、专用耗材、售后服务优惠（格式后附）；注：投标人不得给予赠品或者与采购无关的其他商品、服务；</w:t>
            </w:r>
          </w:p>
          <w:p w14:paraId="1C31533E">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8.投标人对本项目的合理化建议和改进措施（格式自拟）；</w:t>
            </w:r>
          </w:p>
          <w:p w14:paraId="0AF92A29">
            <w:pPr>
              <w:adjustRightIn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rPr>
              <w:t>9.除招标文件规定必须提供以外，投标人需要说明的其他文件和说明（格式自拟）。</w:t>
            </w:r>
          </w:p>
          <w:p w14:paraId="1F1D2A75">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3DB91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AEAD873">
            <w:pPr>
              <w:adjustRightInd w:val="0"/>
              <w:spacing w:line="400" w:lineRule="exact"/>
              <w:jc w:val="center"/>
              <w:rPr>
                <w:rFonts w:ascii="宋体" w:hAnsi="宋体" w:cs="宋体"/>
                <w:color w:val="auto"/>
                <w:szCs w:val="21"/>
                <w:highlight w:val="none"/>
              </w:rPr>
            </w:pPr>
            <w:bookmarkStart w:id="57" w:name="_13.5"/>
            <w:bookmarkEnd w:id="57"/>
            <w:bookmarkStart w:id="58" w:name="_16.2"/>
            <w:bookmarkEnd w:id="58"/>
            <w:r>
              <w:rPr>
                <w:rFonts w:hint="eastAsia" w:ascii="宋体" w:hAnsi="宋体" w:cs="宋体"/>
                <w:color w:val="auto"/>
                <w:szCs w:val="21"/>
                <w:highlight w:val="none"/>
              </w:rPr>
              <w:t>16</w:t>
            </w:r>
            <w:bookmarkStart w:id="59" w:name="_Hlt19194067"/>
            <w:bookmarkStart w:id="60" w:name="_Hlt19693758"/>
            <w:bookmarkStart w:id="61" w:name="_Hlt19194066"/>
            <w:bookmarkStart w:id="62" w:name="_Hlt19693759"/>
            <w:r>
              <w:rPr>
                <w:rFonts w:hint="eastAsia" w:ascii="宋体" w:hAnsi="宋体" w:cs="宋体"/>
                <w:color w:val="auto"/>
                <w:szCs w:val="21"/>
                <w:highlight w:val="none"/>
              </w:rPr>
              <w:t>.</w:t>
            </w:r>
            <w:bookmarkEnd w:id="59"/>
            <w:bookmarkEnd w:id="60"/>
            <w:bookmarkEnd w:id="61"/>
            <w:bookmarkEnd w:id="62"/>
            <w:r>
              <w:rPr>
                <w:rFonts w:hint="eastAsia" w:ascii="宋体" w:hAnsi="宋体" w:cs="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vAlign w:val="center"/>
          </w:tcPr>
          <w:p w14:paraId="7B1007B0">
            <w:pPr>
              <w:adjustRightInd w:val="0"/>
              <w:spacing w:line="400" w:lineRule="exact"/>
              <w:rPr>
                <w:rFonts w:ascii="宋体" w:hAnsi="宋体" w:cs="宋体"/>
                <w:b/>
                <w:color w:val="auto"/>
                <w:szCs w:val="21"/>
                <w:highlight w:val="none"/>
              </w:rPr>
            </w:pPr>
            <w:r>
              <w:rPr>
                <w:rFonts w:hint="eastAsia" w:ascii="宋体" w:hAnsi="宋体" w:cs="宋体"/>
                <w:color w:val="auto"/>
                <w:szCs w:val="21"/>
                <w:highlight w:val="none"/>
              </w:rPr>
              <w:t>投标报价是履行合同的最终价格，包括但不限于：货物货款、货物标准附件、备品配件、专用工具、包装、运输、装卸、保险、税金、货到就位和安装、调试、培训、保修、验收等的费用。</w:t>
            </w:r>
            <w:r>
              <w:rPr>
                <w:rFonts w:ascii="Arial" w:hAnsi="Arial" w:cs="Arial"/>
                <w:color w:val="auto"/>
                <w:szCs w:val="21"/>
                <w:highlight w:val="none"/>
              </w:rPr>
              <w:t>对于本文件中明确列明必须报价的货物或服务</w:t>
            </w:r>
            <w:r>
              <w:rPr>
                <w:rFonts w:hint="eastAsia" w:ascii="Arial" w:hAnsi="Arial" w:cs="Arial"/>
                <w:color w:val="auto"/>
                <w:szCs w:val="21"/>
                <w:highlight w:val="none"/>
              </w:rPr>
              <w:t>，投标人</w:t>
            </w:r>
            <w:r>
              <w:rPr>
                <w:rFonts w:ascii="Arial" w:hAnsi="Arial" w:cs="Arial"/>
                <w:color w:val="auto"/>
                <w:szCs w:val="21"/>
                <w:highlight w:val="none"/>
              </w:rPr>
              <w:t>应分别报价。对于本文件中未列明</w:t>
            </w:r>
            <w:r>
              <w:rPr>
                <w:rFonts w:hint="eastAsia" w:ascii="Arial" w:hAnsi="Arial" w:cs="Arial"/>
                <w:color w:val="auto"/>
                <w:szCs w:val="21"/>
                <w:highlight w:val="none"/>
              </w:rPr>
              <w:t>，</w:t>
            </w:r>
            <w:r>
              <w:rPr>
                <w:rFonts w:ascii="Arial" w:hAnsi="Arial" w:cs="Arial"/>
                <w:color w:val="auto"/>
                <w:szCs w:val="21"/>
                <w:highlight w:val="none"/>
              </w:rPr>
              <w:t>而</w:t>
            </w:r>
            <w:r>
              <w:rPr>
                <w:rFonts w:hint="eastAsia" w:ascii="Arial" w:hAnsi="Arial" w:cs="Arial"/>
                <w:color w:val="auto"/>
                <w:szCs w:val="21"/>
                <w:highlight w:val="none"/>
              </w:rPr>
              <w:t>投标人</w:t>
            </w:r>
            <w:r>
              <w:rPr>
                <w:rFonts w:ascii="Arial" w:hAnsi="Arial" w:cs="Arial"/>
                <w:color w:val="auto"/>
                <w:szCs w:val="21"/>
                <w:highlight w:val="none"/>
              </w:rPr>
              <w:t>认为必需的费用也需列入总报价。在合同实施时</w:t>
            </w:r>
            <w:r>
              <w:rPr>
                <w:rFonts w:hint="eastAsia" w:ascii="Arial" w:hAnsi="Arial" w:cs="Arial"/>
                <w:color w:val="auto"/>
                <w:szCs w:val="21"/>
                <w:highlight w:val="none"/>
              </w:rPr>
              <w:t>，采购人</w:t>
            </w:r>
            <w:r>
              <w:rPr>
                <w:rFonts w:ascii="Arial" w:hAnsi="Arial" w:cs="Arial"/>
                <w:color w:val="auto"/>
                <w:szCs w:val="21"/>
                <w:highlight w:val="none"/>
              </w:rPr>
              <w:t>将不予支付</w:t>
            </w:r>
            <w:r>
              <w:rPr>
                <w:rFonts w:hint="eastAsia" w:ascii="Arial" w:hAnsi="Arial" w:cs="Arial"/>
                <w:color w:val="auto"/>
                <w:szCs w:val="21"/>
                <w:highlight w:val="none"/>
              </w:rPr>
              <w:t>投标人</w:t>
            </w:r>
            <w:r>
              <w:rPr>
                <w:rFonts w:ascii="Arial" w:hAnsi="Arial" w:cs="Arial"/>
                <w:color w:val="auto"/>
                <w:szCs w:val="21"/>
                <w:highlight w:val="none"/>
              </w:rPr>
              <w:t>没有列入的项目费用</w:t>
            </w:r>
            <w:r>
              <w:rPr>
                <w:rFonts w:hint="eastAsia" w:ascii="Arial" w:hAnsi="Arial" w:cs="Arial"/>
                <w:color w:val="auto"/>
                <w:szCs w:val="21"/>
                <w:highlight w:val="none"/>
              </w:rPr>
              <w:t>，</w:t>
            </w:r>
            <w:r>
              <w:rPr>
                <w:rFonts w:ascii="Arial" w:hAnsi="Arial" w:cs="Arial"/>
                <w:color w:val="auto"/>
                <w:szCs w:val="21"/>
                <w:highlight w:val="none"/>
              </w:rPr>
              <w:t>并认为此项目的费用已包括在投标总报价中。</w:t>
            </w:r>
          </w:p>
        </w:tc>
      </w:tr>
      <w:tr w14:paraId="49DFD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589F67E">
            <w:pPr>
              <w:adjustRightInd w:val="0"/>
              <w:spacing w:line="400" w:lineRule="exact"/>
              <w:jc w:val="center"/>
              <w:rPr>
                <w:rFonts w:ascii="宋体" w:hAnsi="宋体" w:cs="宋体"/>
                <w:color w:val="auto"/>
                <w:szCs w:val="21"/>
                <w:highlight w:val="none"/>
              </w:rPr>
            </w:pPr>
            <w:bookmarkStart w:id="63" w:name="_17.1"/>
            <w:bookmarkEnd w:id="63"/>
            <w:r>
              <w:rPr>
                <w:rFonts w:hint="eastAsia" w:ascii="宋体" w:hAnsi="宋体" w:cs="宋体"/>
                <w:color w:val="auto"/>
                <w:szCs w:val="21"/>
                <w:highlight w:val="none"/>
              </w:rPr>
              <w:t>17.2</w:t>
            </w:r>
          </w:p>
        </w:tc>
        <w:tc>
          <w:tcPr>
            <w:tcW w:w="8670" w:type="dxa"/>
            <w:tcBorders>
              <w:top w:val="single" w:color="auto" w:sz="4" w:space="0"/>
              <w:left w:val="single" w:color="auto" w:sz="4" w:space="0"/>
              <w:bottom w:val="single" w:color="auto" w:sz="4" w:space="0"/>
              <w:right w:val="single" w:color="auto" w:sz="4" w:space="0"/>
            </w:tcBorders>
            <w:vAlign w:val="center"/>
          </w:tcPr>
          <w:p w14:paraId="5C817E30">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180</w:t>
            </w:r>
            <w:r>
              <w:rPr>
                <w:rFonts w:hint="eastAsia" w:ascii="宋体" w:hAnsi="宋体" w:cs="宋体"/>
                <w:color w:val="auto"/>
                <w:szCs w:val="21"/>
                <w:highlight w:val="none"/>
              </w:rPr>
              <w:t>日。</w:t>
            </w:r>
          </w:p>
        </w:tc>
      </w:tr>
      <w:tr w14:paraId="5FA95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34669FD">
            <w:pPr>
              <w:adjustRightInd w:val="0"/>
              <w:spacing w:line="400" w:lineRule="exact"/>
              <w:jc w:val="center"/>
              <w:rPr>
                <w:rFonts w:ascii="宋体" w:hAnsi="宋体" w:cs="宋体"/>
                <w:color w:val="auto"/>
                <w:szCs w:val="21"/>
                <w:highlight w:val="none"/>
              </w:rPr>
            </w:pPr>
            <w:bookmarkStart w:id="64" w:name="_18"/>
            <w:bookmarkEnd w:id="64"/>
            <w:r>
              <w:rPr>
                <w:rFonts w:hint="eastAsia" w:ascii="宋体" w:hAnsi="宋体" w:cs="宋体"/>
                <w:color w:val="auto"/>
                <w:szCs w:val="21"/>
                <w:highlight w:val="none"/>
              </w:rPr>
              <w:t>18.1</w:t>
            </w:r>
          </w:p>
        </w:tc>
        <w:tc>
          <w:tcPr>
            <w:tcW w:w="8670" w:type="dxa"/>
            <w:tcBorders>
              <w:top w:val="single" w:color="auto" w:sz="4" w:space="0"/>
              <w:left w:val="single" w:color="auto" w:sz="4" w:space="0"/>
              <w:bottom w:val="single" w:color="auto" w:sz="4" w:space="0"/>
              <w:right w:val="single" w:color="auto" w:sz="4" w:space="0"/>
            </w:tcBorders>
            <w:vAlign w:val="center"/>
          </w:tcPr>
          <w:p w14:paraId="6652447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6E7F7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0C008BB">
            <w:pPr>
              <w:adjustRightInd w:val="0"/>
              <w:spacing w:line="400" w:lineRule="exact"/>
              <w:jc w:val="center"/>
              <w:rPr>
                <w:rFonts w:ascii="宋体" w:hAnsi="宋体" w:cs="宋体"/>
                <w:color w:val="auto"/>
                <w:szCs w:val="21"/>
                <w:highlight w:val="none"/>
              </w:rPr>
            </w:pPr>
            <w:bookmarkStart w:id="65" w:name="_19.2"/>
            <w:bookmarkEnd w:id="65"/>
            <w:r>
              <w:rPr>
                <w:rFonts w:hint="eastAsia" w:ascii="宋体" w:hAnsi="宋体" w:cs="宋体"/>
                <w:color w:val="auto"/>
                <w:szCs w:val="21"/>
                <w:highlight w:val="none"/>
              </w:rPr>
              <w:t>20</w:t>
            </w:r>
          </w:p>
        </w:tc>
        <w:tc>
          <w:tcPr>
            <w:tcW w:w="8670" w:type="dxa"/>
            <w:tcBorders>
              <w:top w:val="single" w:color="auto" w:sz="4" w:space="0"/>
              <w:left w:val="single" w:color="auto" w:sz="4" w:space="0"/>
              <w:bottom w:val="single" w:color="auto" w:sz="4" w:space="0"/>
              <w:right w:val="single" w:color="auto" w:sz="4" w:space="0"/>
            </w:tcBorders>
            <w:vAlign w:val="center"/>
          </w:tcPr>
          <w:p w14:paraId="7AE98A24">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□本项目不接受电子备份投标文件。</w:t>
            </w:r>
          </w:p>
          <w:p w14:paraId="6A42F84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☑本项目接受</w:t>
            </w:r>
            <w:r>
              <w:rPr>
                <w:rFonts w:hint="eastAsia" w:ascii="宋体" w:hAnsi="宋体" w:cs="宋体"/>
                <w:color w:val="auto"/>
                <w:highlight w:val="none"/>
              </w:rPr>
              <w:t>电子</w:t>
            </w:r>
            <w:r>
              <w:rPr>
                <w:rFonts w:hint="eastAsia" w:ascii="宋体" w:hAnsi="宋体" w:cs="宋体"/>
                <w:color w:val="auto"/>
                <w:szCs w:val="21"/>
                <w:highlight w:val="none"/>
              </w:rPr>
              <w:t>备份投标文件。</w:t>
            </w:r>
          </w:p>
          <w:p w14:paraId="37C2F70A">
            <w:pPr>
              <w:autoSpaceDE w:val="0"/>
              <w:autoSpaceDN w:val="0"/>
              <w:adjustRightInd w:val="0"/>
              <w:spacing w:line="40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电子</w:t>
            </w:r>
            <w:r>
              <w:rPr>
                <w:rFonts w:hint="eastAsia" w:ascii="宋体" w:hAnsi="宋体" w:cs="宋体"/>
                <w:color w:val="auto"/>
                <w:szCs w:val="21"/>
                <w:highlight w:val="none"/>
              </w:rPr>
              <w:t>备份投标文件</w:t>
            </w:r>
            <w:r>
              <w:rPr>
                <w:rFonts w:hint="eastAsia" w:ascii="宋体" w:hAnsi="宋体" w:cs="宋体"/>
                <w:color w:val="auto"/>
                <w:highlight w:val="none"/>
              </w:rPr>
              <w:t>提交方式：投标人可以在解密截止时间起30分钟内采用以下</w:t>
            </w:r>
            <w:r>
              <w:rPr>
                <w:rFonts w:hint="eastAsia" w:ascii="宋体" w:hAnsi="宋体" w:cs="宋体"/>
                <w:color w:val="auto"/>
                <w:highlight w:val="none"/>
                <w:u w:val="single"/>
              </w:rPr>
              <w:t>第（1）或（2）</w:t>
            </w:r>
            <w:r>
              <w:rPr>
                <w:rFonts w:hint="eastAsia" w:ascii="宋体" w:hAnsi="宋体" w:cs="宋体"/>
                <w:color w:val="auto"/>
                <w:highlight w:val="none"/>
              </w:rPr>
              <w:t>种方式向采购代理机构提交电子备份投标文件：</w:t>
            </w:r>
          </w:p>
          <w:p w14:paraId="50E14DCA">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（1）现场提交方式，应采用U盘进行存储，提交地址：</w:t>
            </w:r>
            <w:r>
              <w:rPr>
                <w:rFonts w:hint="eastAsia" w:ascii="宋体" w:hAnsi="宋体" w:cs="宋体"/>
                <w:color w:val="auto"/>
                <w:szCs w:val="21"/>
                <w:highlight w:val="none"/>
              </w:rPr>
              <w:t>桂林市公共资源交易中心9号开标室</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号</w:t>
            </w:r>
            <w:r>
              <w:rPr>
                <w:rFonts w:hint="eastAsia" w:ascii="宋体" w:hAnsi="宋体" w:cs="宋体"/>
                <w:color w:val="auto"/>
                <w:szCs w:val="21"/>
                <w:highlight w:val="none"/>
                <w:lang w:val="en-US" w:eastAsia="zh-CN"/>
              </w:rPr>
              <w:t>政采</w:t>
            </w:r>
            <w:r>
              <w:rPr>
                <w:rFonts w:hint="eastAsia" w:ascii="宋体" w:hAnsi="宋体" w:cs="宋体"/>
                <w:color w:val="auto"/>
                <w:szCs w:val="21"/>
                <w:highlight w:val="none"/>
              </w:rPr>
              <w:t>开标仓（广西桂林市临桂区西城中路69号创业大厦西辅楼4楼北区）</w:t>
            </w:r>
            <w:r>
              <w:rPr>
                <w:rFonts w:hint="eastAsia" w:ascii="宋体" w:hAnsi="宋体" w:cs="宋体"/>
                <w:color w:val="auto"/>
                <w:highlight w:val="none"/>
              </w:rPr>
              <w:t>；外包装上注明投标人名称、项目名称及项目编号（外包装不作密封要求）。</w:t>
            </w:r>
          </w:p>
          <w:p w14:paraId="098969CF">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2）若投标人在规定的时间内无法解密或解密失败的，可以在投标文件解密截止时间后30分钟内向采购代理机构提交电子备份投标文件（接收电子备份投标文件的电子邮箱为：guilinyl@vip.sina.com）。投标人未按上述规定提交的电子备份投标文件，采购代理机构不予接收或承认。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投标人的投标文件作无效处理。</w:t>
            </w:r>
          </w:p>
          <w:p w14:paraId="12F3F3BC">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（3）邮寄方式，应采用U盘进行存储，邮寄地址：</w:t>
            </w:r>
            <w:r>
              <w:rPr>
                <w:rFonts w:hint="eastAsia" w:ascii="宋体" w:hAnsi="宋体" w:cs="宋体"/>
                <w:color w:val="auto"/>
                <w:highlight w:val="none"/>
                <w:u w:val="single"/>
              </w:rPr>
              <w:t xml:space="preserve">   \   </w:t>
            </w:r>
            <w:r>
              <w:rPr>
                <w:rFonts w:hint="eastAsia" w:ascii="宋体" w:hAnsi="宋体" w:cs="宋体"/>
                <w:color w:val="auto"/>
                <w:highlight w:val="none"/>
              </w:rPr>
              <w:t>，收件人：</w:t>
            </w:r>
            <w:r>
              <w:rPr>
                <w:rFonts w:hint="eastAsia" w:ascii="宋体" w:hAnsi="宋体" w:cs="宋体"/>
                <w:color w:val="auto"/>
                <w:highlight w:val="none"/>
                <w:u w:val="single"/>
              </w:rPr>
              <w:t xml:space="preserve">  \    </w:t>
            </w:r>
            <w:r>
              <w:rPr>
                <w:rFonts w:hint="eastAsia" w:ascii="宋体" w:hAnsi="宋体" w:cs="宋体"/>
                <w:color w:val="auto"/>
                <w:highlight w:val="none"/>
              </w:rPr>
              <w:t>，联系方式：</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；外包装上注明投标人名称、项目名称及项目编号（外包装不作密封要求）。 </w:t>
            </w:r>
          </w:p>
          <w:p w14:paraId="31A28CE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政府采购云平台”操作规范上传至“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ascii="宋体" w:hAnsi="宋体" w:cs="宋体"/>
                <w:b/>
                <w:bCs/>
                <w:color w:val="auto"/>
                <w:highlight w:val="none"/>
              </w:rPr>
              <w:t>投标人的投标文件作无效处理。</w:t>
            </w:r>
          </w:p>
        </w:tc>
      </w:tr>
      <w:tr w14:paraId="1CDE7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6EC1325B">
            <w:pPr>
              <w:adjustRightInd w:val="0"/>
              <w:spacing w:line="400" w:lineRule="exact"/>
              <w:jc w:val="center"/>
              <w:rPr>
                <w:rFonts w:ascii="宋体" w:hAnsi="宋体" w:cs="宋体"/>
                <w:color w:val="auto"/>
                <w:szCs w:val="21"/>
                <w:highlight w:val="none"/>
              </w:rPr>
            </w:pPr>
            <w:bookmarkStart w:id="66" w:name="_21.1"/>
            <w:bookmarkEnd w:id="66"/>
            <w:r>
              <w:rPr>
                <w:rFonts w:hint="eastAsia" w:ascii="宋体" w:hAnsi="宋体" w:cs="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vAlign w:val="center"/>
          </w:tcPr>
          <w:p w14:paraId="611899DF">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1.投标文件提交截止时间：详见招标公告</w:t>
            </w:r>
          </w:p>
          <w:p w14:paraId="6D7E52EC">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2.投标地点：详见招标公告</w:t>
            </w:r>
          </w:p>
        </w:tc>
      </w:tr>
      <w:tr w14:paraId="511F2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7B0ADCC">
            <w:pPr>
              <w:adjustRightInd w:val="0"/>
              <w:spacing w:line="400" w:lineRule="exact"/>
              <w:jc w:val="center"/>
              <w:rPr>
                <w:rFonts w:ascii="宋体" w:hAnsi="宋体" w:cs="宋体"/>
                <w:color w:val="auto"/>
                <w:szCs w:val="21"/>
                <w:highlight w:val="none"/>
              </w:rPr>
            </w:pPr>
            <w:bookmarkStart w:id="67" w:name="_23"/>
            <w:bookmarkEnd w:id="67"/>
            <w:r>
              <w:rPr>
                <w:rFonts w:hint="eastAsia" w:ascii="宋体" w:hAnsi="宋体" w:cs="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vAlign w:val="center"/>
          </w:tcPr>
          <w:p w14:paraId="5537FF16">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3AF59D34">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49F5E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6D6AB5B">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24.3（1）</w:t>
            </w:r>
          </w:p>
        </w:tc>
        <w:tc>
          <w:tcPr>
            <w:tcW w:w="8670" w:type="dxa"/>
            <w:tcBorders>
              <w:top w:val="single" w:color="auto" w:sz="4" w:space="0"/>
              <w:left w:val="single" w:color="auto" w:sz="4" w:space="0"/>
              <w:bottom w:val="single" w:color="auto" w:sz="4" w:space="0"/>
              <w:right w:val="single" w:color="auto" w:sz="4" w:space="0"/>
            </w:tcBorders>
            <w:vAlign w:val="center"/>
          </w:tcPr>
          <w:p w14:paraId="5A9D4155">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电子投标文件解密时间：</w:t>
            </w:r>
            <w:r>
              <w:rPr>
                <w:rFonts w:hint="eastAsia" w:ascii="宋体" w:hAnsi="宋体" w:cs="宋体"/>
                <w:color w:val="auto"/>
                <w:szCs w:val="21"/>
                <w:highlight w:val="none"/>
                <w:u w:val="single"/>
              </w:rPr>
              <w:t>30</w:t>
            </w:r>
            <w:r>
              <w:rPr>
                <w:rFonts w:hint="eastAsia" w:ascii="宋体" w:hAnsi="宋体" w:cs="宋体"/>
                <w:color w:val="auto"/>
                <w:szCs w:val="21"/>
                <w:highlight w:val="none"/>
              </w:rPr>
              <w:t>分钟</w:t>
            </w:r>
          </w:p>
        </w:tc>
      </w:tr>
      <w:tr w14:paraId="3F468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8C69E3D">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24.3（2）</w:t>
            </w:r>
          </w:p>
        </w:tc>
        <w:tc>
          <w:tcPr>
            <w:tcW w:w="8670" w:type="dxa"/>
            <w:tcBorders>
              <w:top w:val="single" w:color="auto" w:sz="4" w:space="0"/>
              <w:left w:val="single" w:color="auto" w:sz="4" w:space="0"/>
              <w:bottom w:val="single" w:color="auto" w:sz="4" w:space="0"/>
              <w:right w:val="single" w:color="auto" w:sz="4" w:space="0"/>
            </w:tcBorders>
            <w:vAlign w:val="center"/>
          </w:tcPr>
          <w:p w14:paraId="69A74BCA">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宣布的内容：投标人名称、投标价格、</w:t>
            </w:r>
            <w:r>
              <w:rPr>
                <w:rFonts w:hint="eastAsia" w:ascii="宋体" w:hAnsi="宋体" w:cs="宋体"/>
                <w:color w:val="auto"/>
                <w:szCs w:val="21"/>
                <w:highlight w:val="none"/>
                <w:u w:val="single"/>
              </w:rPr>
              <w:t>\</w:t>
            </w:r>
          </w:p>
        </w:tc>
      </w:tr>
      <w:tr w14:paraId="0F245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FFBD5E7">
            <w:pPr>
              <w:adjustRightInd w:val="0"/>
              <w:spacing w:line="400" w:lineRule="exact"/>
              <w:jc w:val="center"/>
              <w:rPr>
                <w:rFonts w:ascii="宋体" w:hAnsi="宋体" w:cs="宋体"/>
                <w:color w:val="auto"/>
                <w:szCs w:val="21"/>
                <w:highlight w:val="none"/>
              </w:rPr>
            </w:pPr>
            <w:bookmarkStart w:id="68" w:name="_25.3"/>
            <w:bookmarkEnd w:id="68"/>
            <w:r>
              <w:rPr>
                <w:rFonts w:hint="eastAsia" w:ascii="宋体" w:hAnsi="宋体" w:cs="宋体"/>
                <w:color w:val="auto"/>
                <w:szCs w:val="21"/>
                <w:highlight w:val="none"/>
              </w:rPr>
              <w:t>25.3（2）</w:t>
            </w:r>
          </w:p>
        </w:tc>
        <w:tc>
          <w:tcPr>
            <w:tcW w:w="8670" w:type="dxa"/>
            <w:tcBorders>
              <w:top w:val="single" w:color="auto" w:sz="4" w:space="0"/>
              <w:left w:val="single" w:color="auto" w:sz="4" w:space="0"/>
              <w:bottom w:val="single" w:color="auto" w:sz="4" w:space="0"/>
              <w:right w:val="single" w:color="auto" w:sz="4" w:space="0"/>
            </w:tcBorders>
            <w:vAlign w:val="center"/>
          </w:tcPr>
          <w:p w14:paraId="0804ADC1">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3EA54DF3">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查询渠道：“信用中国”网站（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w:t>
            </w:r>
          </w:p>
          <w:p w14:paraId="1A81CE8F">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3AC3F6BA">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查询记录和证据留存方式：在查询网站中直接截图查询记录，截图作为在“广西政府采购云平台”作为附件上传保存。</w:t>
            </w:r>
          </w:p>
          <w:p w14:paraId="1640E3EC">
            <w:pPr>
              <w:adjustRightInd w:val="0"/>
              <w:spacing w:line="400" w:lineRule="exact"/>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0B464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75ECF4D">
            <w:pPr>
              <w:adjustRightInd w:val="0"/>
              <w:spacing w:line="400" w:lineRule="exact"/>
              <w:jc w:val="center"/>
              <w:rPr>
                <w:rFonts w:ascii="宋体" w:hAnsi="宋体" w:cs="宋体"/>
                <w:color w:val="auto"/>
                <w:szCs w:val="21"/>
                <w:highlight w:val="none"/>
              </w:rPr>
            </w:pPr>
            <w:bookmarkStart w:id="69" w:name="_26"/>
            <w:bookmarkEnd w:id="69"/>
            <w:r>
              <w:rPr>
                <w:rFonts w:hint="eastAsia" w:ascii="宋体" w:hAnsi="宋体" w:cs="宋体"/>
                <w:color w:val="auto"/>
                <w:szCs w:val="21"/>
                <w:highlight w:val="none"/>
              </w:rPr>
              <w:t>26.1</w:t>
            </w:r>
          </w:p>
        </w:tc>
        <w:tc>
          <w:tcPr>
            <w:tcW w:w="8670" w:type="dxa"/>
            <w:tcBorders>
              <w:top w:val="single" w:color="auto" w:sz="4" w:space="0"/>
              <w:left w:val="single" w:color="auto" w:sz="4" w:space="0"/>
              <w:bottom w:val="single" w:color="auto" w:sz="4" w:space="0"/>
              <w:right w:val="single" w:color="auto" w:sz="4" w:space="0"/>
            </w:tcBorders>
            <w:vAlign w:val="center"/>
          </w:tcPr>
          <w:p w14:paraId="7F1718A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人</w:t>
            </w:r>
          </w:p>
        </w:tc>
      </w:tr>
      <w:tr w14:paraId="5064F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6CCF429">
            <w:pPr>
              <w:adjustRightInd w:val="0"/>
              <w:spacing w:line="400" w:lineRule="exact"/>
              <w:jc w:val="center"/>
              <w:rPr>
                <w:rFonts w:ascii="宋体" w:hAnsi="宋体" w:cs="宋体"/>
                <w:color w:val="auto"/>
                <w:szCs w:val="21"/>
                <w:highlight w:val="none"/>
              </w:rPr>
            </w:pPr>
            <w:bookmarkStart w:id="70" w:name="_28.3"/>
            <w:bookmarkEnd w:id="70"/>
            <w:r>
              <w:rPr>
                <w:rFonts w:hint="eastAsia" w:ascii="宋体" w:hAnsi="宋体" w:cs="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vAlign w:val="center"/>
          </w:tcPr>
          <w:p w14:paraId="1350909A">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2638DD64">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22D7C380">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4E798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95" w:type="dxa"/>
            <w:tcBorders>
              <w:top w:val="single" w:color="auto" w:sz="4" w:space="0"/>
              <w:left w:val="single" w:color="auto" w:sz="4" w:space="0"/>
              <w:bottom w:val="single" w:color="auto" w:sz="4" w:space="0"/>
              <w:right w:val="single" w:color="auto" w:sz="4" w:space="0"/>
            </w:tcBorders>
            <w:vAlign w:val="center"/>
          </w:tcPr>
          <w:p w14:paraId="1F575796">
            <w:pPr>
              <w:adjustRightInd w:val="0"/>
              <w:spacing w:line="400" w:lineRule="exact"/>
              <w:jc w:val="center"/>
              <w:rPr>
                <w:rFonts w:ascii="宋体" w:hAnsi="宋体" w:cs="宋体"/>
                <w:color w:val="auto"/>
                <w:szCs w:val="21"/>
                <w:highlight w:val="none"/>
              </w:rPr>
            </w:pPr>
            <w:bookmarkStart w:id="71" w:name="_29.2.2（2）"/>
            <w:bookmarkEnd w:id="71"/>
            <w:r>
              <w:rPr>
                <w:rFonts w:hint="eastAsia" w:ascii="宋体" w:hAnsi="宋体" w:cs="宋体"/>
                <w:color w:val="auto"/>
                <w:szCs w:val="21"/>
                <w:highlight w:val="none"/>
              </w:rPr>
              <w:t>29.2</w:t>
            </w:r>
          </w:p>
        </w:tc>
        <w:tc>
          <w:tcPr>
            <w:tcW w:w="8670" w:type="dxa"/>
            <w:tcBorders>
              <w:top w:val="single" w:color="auto" w:sz="4" w:space="0"/>
              <w:left w:val="single" w:color="auto" w:sz="4" w:space="0"/>
              <w:right w:val="single" w:color="auto" w:sz="4" w:space="0"/>
            </w:tcBorders>
            <w:vAlign w:val="center"/>
          </w:tcPr>
          <w:p w14:paraId="2BB108A6">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4785E17F">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技术要求评审中允许负偏离的条款数：分标1</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项，分标2</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项，分标3</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5A1D3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16B6CE28">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29.3</w:t>
            </w:r>
          </w:p>
        </w:tc>
        <w:tc>
          <w:tcPr>
            <w:tcW w:w="8670" w:type="dxa"/>
            <w:tcBorders>
              <w:top w:val="single" w:color="auto" w:sz="4" w:space="0"/>
              <w:left w:val="single" w:color="auto" w:sz="4" w:space="0"/>
              <w:right w:val="single" w:color="auto" w:sz="4" w:space="0"/>
            </w:tcBorders>
            <w:vAlign w:val="center"/>
          </w:tcPr>
          <w:p w14:paraId="409392ED">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中标候选人推荐数量：</w:t>
            </w:r>
          </w:p>
          <w:p w14:paraId="00647ED7">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w:t>
            </w:r>
            <w:r>
              <w:rPr>
                <w:rFonts w:hint="eastAsia" w:ascii="宋体" w:hAnsi="宋体" w:cs="宋体"/>
                <w:color w:val="auto"/>
                <w:szCs w:val="21"/>
                <w:highlight w:val="none"/>
              </w:rPr>
              <w:t>名</w:t>
            </w:r>
          </w:p>
          <w:p w14:paraId="2BAE18BB">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☑根据[总得分由高到低（综合评分法）]排列次序并全部推荐为中标候选人</w:t>
            </w:r>
          </w:p>
        </w:tc>
      </w:tr>
      <w:tr w14:paraId="3B1ED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87210B5">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30.1</w:t>
            </w:r>
          </w:p>
        </w:tc>
        <w:tc>
          <w:tcPr>
            <w:tcW w:w="8670" w:type="dxa"/>
            <w:tcBorders>
              <w:top w:val="single" w:color="auto" w:sz="4" w:space="0"/>
              <w:left w:val="single" w:color="auto" w:sz="4" w:space="0"/>
              <w:bottom w:val="single" w:color="auto" w:sz="4" w:space="0"/>
              <w:right w:val="single" w:color="auto" w:sz="4" w:space="0"/>
            </w:tcBorders>
            <w:vAlign w:val="center"/>
          </w:tcPr>
          <w:p w14:paraId="5D9F9023">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684E0B3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☑依次按投标报价低的优先、技术分高的优先、</w:t>
            </w:r>
            <w:r>
              <w:rPr>
                <w:rFonts w:hint="eastAsia" w:ascii="宋体" w:hAnsi="宋体" w:cs="宋体"/>
                <w:bCs/>
                <w:color w:val="auto"/>
                <w:szCs w:val="21"/>
                <w:highlight w:val="none"/>
              </w:rPr>
              <w:t>安装实施方案分高的优先、</w:t>
            </w:r>
            <w:r>
              <w:rPr>
                <w:rFonts w:hint="eastAsia" w:ascii="宋体" w:hAnsi="宋体" w:cs="宋体"/>
                <w:color w:val="auto"/>
                <w:szCs w:val="21"/>
                <w:highlight w:val="none"/>
              </w:rPr>
              <w:t>增值售后服务方案分高的优先、履约能力分高的优先、政策分高的优先顺序推荐；</w:t>
            </w:r>
          </w:p>
          <w:p w14:paraId="0CBE7898">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04430901">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p w14:paraId="5EC2304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采用最低评标价法的采购项目，采购人确定中标人时，出现中标候选人并列的情形，采购人按以下的方式确定中标人：</w:t>
            </w:r>
          </w:p>
          <w:p w14:paraId="7252E13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节能及环保产品累计金额高的优先、带“▲”的实质性要求正偏离项数多的优先、均无正偏离或者正偏离项数一致时负偏离项数少的优先、保修期长优先、交货期短优先、故障响应时间短优先的顺序确定。</w:t>
            </w:r>
          </w:p>
          <w:p w14:paraId="25BC0502">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0C526582">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tc>
      </w:tr>
      <w:tr w14:paraId="0844E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264A7176">
            <w:pPr>
              <w:adjustRightInd w:val="0"/>
              <w:spacing w:line="400" w:lineRule="exact"/>
              <w:jc w:val="center"/>
              <w:rPr>
                <w:rFonts w:ascii="宋体" w:hAnsi="宋体" w:cs="宋体"/>
                <w:color w:val="auto"/>
                <w:szCs w:val="21"/>
                <w:highlight w:val="none"/>
              </w:rPr>
            </w:pPr>
            <w:bookmarkStart w:id="72" w:name="_39.1"/>
            <w:bookmarkEnd w:id="72"/>
            <w:r>
              <w:rPr>
                <w:rFonts w:hint="eastAsia" w:ascii="宋体" w:hAnsi="宋体" w:cs="宋体"/>
                <w:color w:val="auto"/>
                <w:szCs w:val="21"/>
                <w:highlight w:val="none"/>
              </w:rPr>
              <w:t>35.1</w:t>
            </w:r>
          </w:p>
        </w:tc>
        <w:tc>
          <w:tcPr>
            <w:tcW w:w="8670" w:type="dxa"/>
            <w:tcBorders>
              <w:top w:val="single" w:color="auto" w:sz="4" w:space="0"/>
              <w:left w:val="single" w:color="auto" w:sz="4" w:space="0"/>
              <w:bottom w:val="single" w:color="auto" w:sz="4" w:space="0"/>
              <w:right w:val="single" w:color="auto" w:sz="4" w:space="0"/>
            </w:tcBorders>
            <w:vAlign w:val="center"/>
          </w:tcPr>
          <w:p w14:paraId="43B77BD3">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本项目不收取履约保证金。</w:t>
            </w:r>
          </w:p>
          <w:p w14:paraId="51DF652C">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□本项目收取履约保证金，具体规定如下：</w:t>
            </w:r>
          </w:p>
          <w:p w14:paraId="7A6DEE0E">
            <w:pPr>
              <w:widowControl/>
              <w:autoSpaceDE w:val="0"/>
              <w:autoSpaceDN w:val="0"/>
              <w:snapToGrid w:val="0"/>
              <w:spacing w:line="360" w:lineRule="auto"/>
              <w:ind w:firstLine="420" w:firstLineChars="200"/>
              <w:jc w:val="left"/>
              <w:textAlignment w:val="bottom"/>
              <w:rPr>
                <w:rFonts w:ascii="宋体" w:hAnsi="宋体" w:cs="宋体"/>
                <w:color w:val="auto"/>
                <w:szCs w:val="21"/>
                <w:highlight w:val="none"/>
              </w:rPr>
            </w:pPr>
            <w:r>
              <w:rPr>
                <w:rFonts w:hint="eastAsia" w:ascii="宋体" w:hAnsi="宋体" w:cs="宋体"/>
                <w:color w:val="auto"/>
                <w:szCs w:val="21"/>
                <w:highlight w:val="none"/>
              </w:rPr>
              <w:t>履约保证金金额：按中标金额的1%。中标人必须在合同签订前向采购人足额缴纳履约保证金。</w:t>
            </w:r>
          </w:p>
          <w:p w14:paraId="1AE2543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color w:val="auto"/>
                <w:szCs w:val="21"/>
                <w:highlight w:val="none"/>
              </w:rPr>
              <w:t>注：根据《广西壮族自治区财政厅关于持续优化政府采购营商环境推动高质量发展的通知》（桂财采〔2024〕55号）规定，对中小企业收取的</w:t>
            </w:r>
            <w:r>
              <w:rPr>
                <w:rFonts w:hint="eastAsia" w:ascii="宋体" w:hAnsi="宋体" w:cs="宋体"/>
                <w:b/>
                <w:color w:val="auto"/>
                <w:kern w:val="0"/>
                <w:szCs w:val="21"/>
                <w:highlight w:val="none"/>
              </w:rPr>
              <w:t>履约保证金数额不得超过政府采购合同金额的2%。</w:t>
            </w:r>
          </w:p>
          <w:p w14:paraId="2748ECCA">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履约保证金递交方式：银行转账、支票、汇票、本票或者金融、担保机构出具的保函</w:t>
            </w:r>
            <w:r>
              <w:rPr>
                <w:rFonts w:hint="eastAsia" w:ascii="宋体" w:hAnsi="宋体" w:cs="宋体"/>
                <w:color w:val="auto"/>
                <w:highlight w:val="none"/>
              </w:rPr>
              <w:t>（包含电子保函）</w:t>
            </w:r>
            <w:r>
              <w:rPr>
                <w:rFonts w:hint="eastAsia" w:ascii="宋体" w:hAnsi="宋体" w:cs="宋体"/>
                <w:color w:val="auto"/>
                <w:szCs w:val="21"/>
                <w:highlight w:val="none"/>
              </w:rPr>
              <w:t>等非现金方式</w:t>
            </w:r>
          </w:p>
          <w:p w14:paraId="085C8F2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履约保证金退付方式、时间及条件：</w:t>
            </w:r>
          </w:p>
          <w:p w14:paraId="62950E25">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履约保证金在设备验收合格并交付使用后，由中标人凭《广西壮族自治区政府采购项目合同验收书》（详见附表1）向采购人申请办理履约保证金退还手续，采购人在收到合格材料后30日内以银行转账方式如数退还（不计利息）。</w:t>
            </w:r>
          </w:p>
          <w:p w14:paraId="68BB419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（2）在履约保证金退还日期前，若中标人的开户名称、开户银行、账号有变动的，请以书面形式通知履约保证金收取单位，否则由此产生的后果由中标人自负。</w:t>
            </w:r>
          </w:p>
          <w:p w14:paraId="1E5257E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（3）中标人在签订合同后存在违约情形的，履约保证金不予退还。履约保证金不足以赔偿损失的，按实际损失赔偿。</w:t>
            </w:r>
          </w:p>
          <w:p w14:paraId="6E1FB54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履约保证金指定账户：</w:t>
            </w:r>
          </w:p>
          <w:p w14:paraId="1D99BED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开户名称：桂林医学院附属医院</w:t>
            </w:r>
          </w:p>
          <w:p w14:paraId="3AEE57E7">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开户银行：中国建设银行股份有限公司桂林叠彩支行</w:t>
            </w:r>
          </w:p>
          <w:p w14:paraId="373671F6">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账号：4500 1635 4100 5050 1922</w:t>
            </w:r>
          </w:p>
          <w:p w14:paraId="0266F64B">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备注：</w:t>
            </w:r>
          </w:p>
          <w:p w14:paraId="29460E17">
            <w:pPr>
              <w:adjustRightIn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D6889ED">
            <w:pPr>
              <w:adjustRightInd w:val="0"/>
              <w:spacing w:line="360" w:lineRule="auto"/>
              <w:jc w:val="left"/>
              <w:rPr>
                <w:rFonts w:ascii="宋体" w:hAnsi="宋体" w:cs="宋体"/>
                <w:color w:val="auto"/>
                <w:kern w:val="0"/>
                <w:szCs w:val="21"/>
                <w:highlight w:val="none"/>
              </w:rPr>
            </w:pPr>
            <w:r>
              <w:rPr>
                <w:rFonts w:hint="eastAsia" w:ascii="宋体" w:hAnsi="宋体" w:cs="宋体"/>
                <w:b/>
                <w:color w:val="auto"/>
                <w:szCs w:val="21"/>
                <w:highlight w:val="none"/>
              </w:rPr>
              <w:t>2.采用金融、担保机构出具的保函的，必须为无条件保函，否则不予签订合同。</w:t>
            </w:r>
          </w:p>
        </w:tc>
      </w:tr>
      <w:tr w14:paraId="4D0FF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B20A74C">
            <w:pPr>
              <w:adjustRightInd w:val="0"/>
              <w:spacing w:line="400" w:lineRule="exact"/>
              <w:jc w:val="center"/>
              <w:rPr>
                <w:rFonts w:ascii="宋体" w:hAnsi="宋体" w:cs="宋体"/>
                <w:color w:val="auto"/>
                <w:szCs w:val="21"/>
                <w:highlight w:val="none"/>
              </w:rPr>
            </w:pPr>
            <w:bookmarkStart w:id="73" w:name="_40.1"/>
            <w:bookmarkEnd w:id="73"/>
            <w:r>
              <w:rPr>
                <w:rFonts w:hint="eastAsia" w:ascii="宋体" w:hAnsi="宋体" w:cs="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vAlign w:val="center"/>
          </w:tcPr>
          <w:p w14:paraId="513718BA">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155CC8E0">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5A0284C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1D9A4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E9AFA18">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38.2</w:t>
            </w:r>
          </w:p>
        </w:tc>
        <w:tc>
          <w:tcPr>
            <w:tcW w:w="8670" w:type="dxa"/>
            <w:tcBorders>
              <w:top w:val="single" w:color="auto" w:sz="4" w:space="0"/>
              <w:left w:val="single" w:color="auto" w:sz="4" w:space="0"/>
              <w:bottom w:val="single" w:color="auto" w:sz="4" w:space="0"/>
              <w:right w:val="single" w:color="auto" w:sz="4" w:space="0"/>
            </w:tcBorders>
            <w:vAlign w:val="center"/>
          </w:tcPr>
          <w:p w14:paraId="0000C15E">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2DF08283">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质疑联系部门及联系方式：云之龙咨询集团有限公司桂林分公司，联系人：吕雯，联系电话：0773-2887388  2887399 。通讯地址：广西桂林市临桂区西城北路2号耀辉•美好家园2幢12层1号房。</w:t>
            </w:r>
          </w:p>
          <w:p w14:paraId="1D52741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业务时间：工作日每天上午9时00分到12时00分，下午1时00分到5时00分。</w:t>
            </w:r>
          </w:p>
        </w:tc>
      </w:tr>
      <w:tr w14:paraId="47AAC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8168FB5">
            <w:pPr>
              <w:adjustRightInd w:val="0"/>
              <w:spacing w:line="400" w:lineRule="exact"/>
              <w:jc w:val="center"/>
              <w:rPr>
                <w:rFonts w:ascii="宋体" w:hAnsi="宋体" w:cs="宋体"/>
                <w:color w:val="auto"/>
                <w:szCs w:val="21"/>
                <w:highlight w:val="none"/>
              </w:rPr>
            </w:pPr>
            <w:bookmarkStart w:id="74" w:name="_42"/>
            <w:bookmarkEnd w:id="74"/>
            <w:bookmarkStart w:id="75" w:name="_41"/>
            <w:bookmarkEnd w:id="75"/>
            <w:bookmarkStart w:id="76" w:name="_Hlt17709148"/>
            <w:r>
              <w:rPr>
                <w:rFonts w:hint="eastAsia" w:ascii="宋体" w:hAnsi="宋体" w:cs="宋体"/>
                <w:color w:val="auto"/>
                <w:szCs w:val="21"/>
                <w:highlight w:val="none"/>
              </w:rPr>
              <w:t>3</w:t>
            </w:r>
            <w:bookmarkEnd w:id="76"/>
            <w:r>
              <w:rPr>
                <w:rFonts w:hint="eastAsia" w:ascii="宋体" w:hAnsi="宋体" w:cs="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vAlign w:val="center"/>
          </w:tcPr>
          <w:p w14:paraId="2531D68E">
            <w:pPr>
              <w:pStyle w:val="25"/>
              <w:adjustRightInd w:val="0"/>
              <w:spacing w:line="400" w:lineRule="exact"/>
              <w:rPr>
                <w:rFonts w:hAnsi="宋体" w:cs="宋体"/>
                <w:color w:val="auto"/>
                <w:sz w:val="21"/>
                <w:highlight w:val="none"/>
              </w:rPr>
            </w:pPr>
            <w:r>
              <w:rPr>
                <w:rFonts w:hint="eastAsia" w:hAnsi="宋体" w:cs="宋体"/>
                <w:color w:val="auto"/>
                <w:sz w:val="21"/>
                <w:highlight w:val="none"/>
              </w:rPr>
              <w:t>1.采购代理费支付方式：</w:t>
            </w:r>
          </w:p>
          <w:p w14:paraId="3B028C81">
            <w:pPr>
              <w:pStyle w:val="25"/>
              <w:adjustRightInd w:val="0"/>
              <w:spacing w:line="400" w:lineRule="exact"/>
              <w:rPr>
                <w:rFonts w:hAnsi="宋体" w:cs="宋体"/>
                <w:color w:val="auto"/>
                <w:sz w:val="21"/>
                <w:highlight w:val="none"/>
              </w:rPr>
            </w:pPr>
            <w:r>
              <w:rPr>
                <w:rFonts w:hint="eastAsia" w:hAnsi="宋体" w:cs="宋体"/>
                <w:color w:val="auto"/>
                <w:highlight w:val="none"/>
              </w:rPr>
              <w:t>☑</w:t>
            </w:r>
            <w:r>
              <w:rPr>
                <w:rFonts w:hint="eastAsia" w:hAnsi="宋体" w:cs="宋体"/>
                <w:color w:val="auto"/>
                <w:sz w:val="21"/>
                <w:highlight w:val="none"/>
              </w:rPr>
              <w:t>本项目代理服务费由中标人在获取中标通知书前向采购代理机构一次性付清</w:t>
            </w:r>
            <w:r>
              <w:rPr>
                <w:rFonts w:hint="eastAsia" w:hAnsi="宋体"/>
                <w:color w:val="auto"/>
                <w:highlight w:val="none"/>
              </w:rPr>
              <w:t>。</w:t>
            </w:r>
          </w:p>
          <w:p w14:paraId="0E6F891A">
            <w:pPr>
              <w:pStyle w:val="25"/>
              <w:adjustRightInd w:val="0"/>
              <w:spacing w:line="400" w:lineRule="exact"/>
              <w:rPr>
                <w:rFonts w:hAnsi="宋体" w:cs="宋体"/>
                <w:color w:val="auto"/>
                <w:sz w:val="21"/>
                <w:highlight w:val="none"/>
              </w:rPr>
            </w:pPr>
            <w:r>
              <w:rPr>
                <w:rFonts w:hint="eastAsia" w:hAnsi="宋体" w:cs="宋体"/>
                <w:color w:val="auto"/>
                <w:sz w:val="21"/>
                <w:highlight w:val="none"/>
              </w:rPr>
              <w:t>□采购人支付。</w:t>
            </w:r>
          </w:p>
          <w:p w14:paraId="7635AA49">
            <w:pPr>
              <w:pStyle w:val="25"/>
              <w:adjustRightInd w:val="0"/>
              <w:spacing w:line="400" w:lineRule="exact"/>
              <w:rPr>
                <w:rFonts w:hAnsi="宋体" w:cs="宋体"/>
                <w:color w:val="auto"/>
                <w:sz w:val="21"/>
                <w:highlight w:val="none"/>
              </w:rPr>
            </w:pPr>
            <w:r>
              <w:rPr>
                <w:rFonts w:hint="eastAsia" w:hAnsi="宋体" w:cs="宋体"/>
                <w:color w:val="auto"/>
                <w:sz w:val="21"/>
                <w:highlight w:val="none"/>
              </w:rPr>
              <w:t>2.采购代理费收取标准：</w:t>
            </w:r>
          </w:p>
          <w:p w14:paraId="730EF3C2">
            <w:pPr>
              <w:spacing w:line="360" w:lineRule="exact"/>
              <w:rPr>
                <w:rFonts w:ascii="宋体" w:hAnsi="宋体"/>
                <w:color w:val="auto"/>
                <w:szCs w:val="21"/>
                <w:highlight w:val="none"/>
              </w:rPr>
            </w:pPr>
            <w:r>
              <w:rPr>
                <w:rFonts w:hint="eastAsia" w:hAnsi="宋体" w:cs="宋体"/>
                <w:color w:val="auto"/>
                <w:highlight w:val="none"/>
              </w:rPr>
              <w:t>☑以项目。</w:t>
            </w:r>
            <w:r>
              <w:rPr>
                <w:rFonts w:hint="eastAsia" w:ascii="宋体" w:hAnsi="宋体"/>
                <w:color w:val="auto"/>
                <w:highlight w:val="none"/>
              </w:rPr>
              <w:t>采购代理服务费按以下“采购代理服务收费标准”中</w:t>
            </w:r>
            <w:r>
              <w:rPr>
                <w:rFonts w:hint="eastAsia" w:ascii="宋体" w:hAnsi="宋体"/>
                <w:color w:val="auto"/>
                <w:szCs w:val="21"/>
                <w:highlight w:val="none"/>
              </w:rPr>
              <w:t>“货物招标”类</w:t>
            </w:r>
            <w:r>
              <w:rPr>
                <w:rFonts w:hint="eastAsia" w:ascii="宋体" w:hAnsi="宋体"/>
                <w:color w:val="auto"/>
                <w:highlight w:val="none"/>
              </w:rPr>
              <w:t>收费标准下浮20%计算（不足人民币5000元的，按5000元计）。</w:t>
            </w:r>
          </w:p>
          <w:p w14:paraId="3BBA412A">
            <w:pPr>
              <w:spacing w:line="360" w:lineRule="exact"/>
              <w:rPr>
                <w:rFonts w:ascii="宋体" w:hAnsi="宋体"/>
                <w:color w:val="auto"/>
                <w:szCs w:val="21"/>
                <w:highlight w:val="none"/>
              </w:rPr>
            </w:pPr>
            <w:r>
              <w:rPr>
                <w:rFonts w:hint="eastAsia" w:ascii="宋体" w:hAnsi="宋体"/>
                <w:color w:val="auto"/>
                <w:szCs w:val="21"/>
                <w:highlight w:val="none"/>
              </w:rPr>
              <w:t>采购代理服务收费标准：</w:t>
            </w:r>
          </w:p>
          <w:tbl>
            <w:tblPr>
              <w:tblStyle w:val="4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647"/>
              <w:gridCol w:w="1782"/>
              <w:gridCol w:w="2052"/>
            </w:tblGrid>
            <w:tr w14:paraId="6BD9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577" w:type="dxa"/>
                </w:tcPr>
                <w:p w14:paraId="34F0C0A4">
                  <w:pPr>
                    <w:pStyle w:val="25"/>
                    <w:spacing w:line="360" w:lineRule="exact"/>
                    <w:ind w:left="25"/>
                    <w:rPr>
                      <w:rFonts w:hAnsi="宋体"/>
                      <w:color w:val="auto"/>
                      <w:sz w:val="21"/>
                      <w:szCs w:val="21"/>
                      <w:highlight w:val="none"/>
                    </w:rPr>
                  </w:pPr>
                  <w:r>
                    <w:rPr>
                      <w:rFonts w:hAnsi="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245235" cy="642620"/>
                            <wp:effectExtent l="1905" t="4445" r="2540" b="8255"/>
                            <wp:wrapNone/>
                            <wp:docPr id="8" name="直线 3"/>
                            <wp:cNvGraphicFramePr/>
                            <a:graphic xmlns:a="http://schemas.openxmlformats.org/drawingml/2006/main">
                              <a:graphicData uri="http://schemas.microsoft.com/office/word/2010/wordprocessingShape">
                                <wps:wsp>
                                  <wps:cNvCnPr/>
                                  <wps:spPr>
                                    <a:xfrm>
                                      <a:off x="0" y="0"/>
                                      <a:ext cx="1245235" cy="6426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23.35pt;margin-top:0.85pt;height:50.6pt;width:98.05pt;z-index:251659264;mso-width-relative:page;mso-height-relative:page;" filled="f" stroked="t" coordsize="21600,21600" o:gfxdata="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aG443UAAAACAEA&#10;AA8AAAAAAAAAAQAgAAAAIgAAAGRycy9kb3ducmV2LnhtbFBLAQIUABQAAAAIAIdO4kAOlLGL5QEA&#10;ANQDAAAOAAAAAAAAAAEAIAAAACMBAABkcnMvZTJvRG9jLnhtbFBLBQYAAAAABgAGAFkBAAB6BQAA&#10;AAA=&#10;">
                            <v:fill on="f" focussize="0,0"/>
                            <v:stroke color="#000000" joinstyle="round"/>
                            <v:imagedata o:title=""/>
                            <o:lock v:ext="edit" aspectratio="f"/>
                          </v:line>
                        </w:pict>
                      </mc:Fallback>
                    </mc:AlternateContent>
                  </w:r>
                  <w:r>
                    <w:rPr>
                      <w:rFonts w:hint="eastAsia" w:hAnsi="宋体"/>
                      <w:color w:val="auto"/>
                      <w:sz w:val="21"/>
                      <w:szCs w:val="21"/>
                      <w:highlight w:val="none"/>
                    </w:rPr>
                    <w:t>费率          服务类型</w:t>
                  </w:r>
                </w:p>
                <w:p w14:paraId="13C2D4F8">
                  <w:pPr>
                    <w:pStyle w:val="25"/>
                    <w:spacing w:line="360" w:lineRule="exact"/>
                    <w:ind w:left="25"/>
                    <w:rPr>
                      <w:rFonts w:hAnsi="宋体"/>
                      <w:color w:val="auto"/>
                      <w:sz w:val="21"/>
                      <w:szCs w:val="21"/>
                      <w:highlight w:val="none"/>
                    </w:rPr>
                  </w:pPr>
                  <w:r>
                    <w:rPr>
                      <w:rFonts w:hAnsi="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69850</wp:posOffset>
                            </wp:positionV>
                            <wp:extent cx="1587500" cy="370205"/>
                            <wp:effectExtent l="1270" t="4445" r="11430" b="6350"/>
                            <wp:wrapNone/>
                            <wp:docPr id="9" name="直线 4"/>
                            <wp:cNvGraphicFramePr/>
                            <a:graphic xmlns:a="http://schemas.openxmlformats.org/drawingml/2006/main">
                              <a:graphicData uri="http://schemas.microsoft.com/office/word/2010/wordprocessingShape">
                                <wps:wsp>
                                  <wps:cNvCnPr/>
                                  <wps:spPr>
                                    <a:xfrm>
                                      <a:off x="0" y="0"/>
                                      <a:ext cx="1587500" cy="3702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8pt;margin-top:5.5pt;height:29.15pt;width:125pt;z-index:251660288;mso-width-relative:page;mso-height-relative:page;" filled="f" stroked="t" coordsize="21600,21600" o:gfxdata="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ejR5tYAAAAIAQAA&#10;DwAAAAAAAAABACAAAAAiAAAAZHJzL2Rvd25yZXYueG1sUEsBAhQAFAAAAAgAh07iQJgYlxjiAQAA&#10;1AMAAA4AAAAAAAAAAQAgAAAAJQEAAGRycy9lMm9Eb2MueG1sUEsFBgAAAAAGAAYAWQEAAHkFAAAA&#10;AA==&#10;">
                            <v:fill on="f" focussize="0,0"/>
                            <v:stroke color="#000000" joinstyle="round"/>
                            <v:imagedata o:title=""/>
                            <o:lock v:ext="edit" aspectratio="f"/>
                          </v:line>
                        </w:pict>
                      </mc:Fallback>
                    </mc:AlternateContent>
                  </w:r>
                </w:p>
                <w:p w14:paraId="7A54053E">
                  <w:pPr>
                    <w:pStyle w:val="25"/>
                    <w:spacing w:line="360" w:lineRule="exact"/>
                    <w:ind w:left="25"/>
                    <w:rPr>
                      <w:rFonts w:hAnsi="宋体"/>
                      <w:color w:val="auto"/>
                      <w:sz w:val="21"/>
                      <w:szCs w:val="21"/>
                      <w:highlight w:val="none"/>
                    </w:rPr>
                  </w:pPr>
                  <w:r>
                    <w:rPr>
                      <w:rFonts w:hint="eastAsia" w:hAnsi="宋体"/>
                      <w:color w:val="auto"/>
                      <w:sz w:val="21"/>
                      <w:szCs w:val="21"/>
                      <w:highlight w:val="none"/>
                    </w:rPr>
                    <w:t>中标金额</w:t>
                  </w:r>
                </w:p>
              </w:tc>
              <w:tc>
                <w:tcPr>
                  <w:tcW w:w="1647" w:type="dxa"/>
                  <w:vAlign w:val="center"/>
                </w:tcPr>
                <w:p w14:paraId="486B27F1">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货物招标</w:t>
                  </w:r>
                </w:p>
              </w:tc>
              <w:tc>
                <w:tcPr>
                  <w:tcW w:w="1782" w:type="dxa"/>
                  <w:vAlign w:val="center"/>
                </w:tcPr>
                <w:p w14:paraId="1B35B141">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服务招标</w:t>
                  </w:r>
                </w:p>
              </w:tc>
              <w:tc>
                <w:tcPr>
                  <w:tcW w:w="2052" w:type="dxa"/>
                  <w:vAlign w:val="center"/>
                </w:tcPr>
                <w:p w14:paraId="73EB06AC">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工程招标</w:t>
                  </w:r>
                </w:p>
              </w:tc>
            </w:tr>
            <w:tr w14:paraId="5A0D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577" w:type="dxa"/>
                </w:tcPr>
                <w:p w14:paraId="0E8544CD">
                  <w:pPr>
                    <w:pStyle w:val="25"/>
                    <w:spacing w:line="360" w:lineRule="exact"/>
                    <w:ind w:left="25"/>
                    <w:rPr>
                      <w:rFonts w:hAnsi="宋体"/>
                      <w:color w:val="auto"/>
                      <w:sz w:val="21"/>
                      <w:szCs w:val="21"/>
                      <w:highlight w:val="none"/>
                    </w:rPr>
                  </w:pPr>
                  <w:r>
                    <w:rPr>
                      <w:rFonts w:hint="eastAsia" w:hAnsi="宋体"/>
                      <w:color w:val="auto"/>
                      <w:sz w:val="21"/>
                      <w:szCs w:val="21"/>
                      <w:highlight w:val="none"/>
                    </w:rPr>
                    <w:t>100万元以下</w:t>
                  </w:r>
                </w:p>
              </w:tc>
              <w:tc>
                <w:tcPr>
                  <w:tcW w:w="1647" w:type="dxa"/>
                </w:tcPr>
                <w:p w14:paraId="5EA7ABFC">
                  <w:pPr>
                    <w:pStyle w:val="186"/>
                    <w:spacing w:line="360" w:lineRule="exact"/>
                    <w:ind w:left="25"/>
                    <w:jc w:val="center"/>
                    <w:rPr>
                      <w:rFonts w:ascii="宋体" w:hAnsi="宋体"/>
                      <w:color w:val="auto"/>
                      <w:sz w:val="21"/>
                      <w:szCs w:val="21"/>
                      <w:highlight w:val="none"/>
                    </w:rPr>
                  </w:pPr>
                  <w:r>
                    <w:rPr>
                      <w:rFonts w:hint="eastAsia" w:ascii="宋体" w:hAnsi="宋体"/>
                      <w:color w:val="auto"/>
                      <w:sz w:val="21"/>
                      <w:szCs w:val="21"/>
                      <w:highlight w:val="none"/>
                    </w:rPr>
                    <w:t>1.5%</w:t>
                  </w:r>
                </w:p>
              </w:tc>
              <w:tc>
                <w:tcPr>
                  <w:tcW w:w="1782" w:type="dxa"/>
                </w:tcPr>
                <w:p w14:paraId="7564ABB9">
                  <w:pPr>
                    <w:pStyle w:val="186"/>
                    <w:spacing w:line="360" w:lineRule="exact"/>
                    <w:ind w:left="25"/>
                    <w:jc w:val="center"/>
                    <w:rPr>
                      <w:rFonts w:ascii="宋体" w:hAnsi="宋体"/>
                      <w:color w:val="auto"/>
                      <w:sz w:val="21"/>
                      <w:szCs w:val="21"/>
                      <w:highlight w:val="none"/>
                    </w:rPr>
                  </w:pPr>
                  <w:r>
                    <w:rPr>
                      <w:rFonts w:hint="eastAsia" w:ascii="宋体" w:hAnsi="宋体"/>
                      <w:color w:val="auto"/>
                      <w:sz w:val="21"/>
                      <w:szCs w:val="21"/>
                      <w:highlight w:val="none"/>
                    </w:rPr>
                    <w:t>1.5%</w:t>
                  </w:r>
                </w:p>
              </w:tc>
              <w:tc>
                <w:tcPr>
                  <w:tcW w:w="2052" w:type="dxa"/>
                </w:tcPr>
                <w:p w14:paraId="284E09D8">
                  <w:pPr>
                    <w:pStyle w:val="186"/>
                    <w:spacing w:line="360" w:lineRule="exact"/>
                    <w:ind w:left="25"/>
                    <w:jc w:val="center"/>
                    <w:rPr>
                      <w:rFonts w:ascii="宋体" w:hAnsi="宋体"/>
                      <w:color w:val="auto"/>
                      <w:sz w:val="21"/>
                      <w:szCs w:val="21"/>
                      <w:highlight w:val="none"/>
                    </w:rPr>
                  </w:pPr>
                  <w:r>
                    <w:rPr>
                      <w:rFonts w:hint="eastAsia" w:ascii="宋体" w:hAnsi="宋体"/>
                      <w:color w:val="auto"/>
                      <w:sz w:val="21"/>
                      <w:szCs w:val="21"/>
                      <w:highlight w:val="none"/>
                    </w:rPr>
                    <w:t>1.0%</w:t>
                  </w:r>
                </w:p>
              </w:tc>
            </w:tr>
            <w:tr w14:paraId="62D3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577" w:type="dxa"/>
                </w:tcPr>
                <w:p w14:paraId="74831C8D">
                  <w:pPr>
                    <w:pStyle w:val="25"/>
                    <w:spacing w:line="360" w:lineRule="exact"/>
                    <w:ind w:left="25"/>
                    <w:rPr>
                      <w:rFonts w:hAnsi="宋体"/>
                      <w:color w:val="auto"/>
                      <w:sz w:val="21"/>
                      <w:szCs w:val="21"/>
                      <w:highlight w:val="none"/>
                    </w:rPr>
                  </w:pPr>
                  <w:r>
                    <w:rPr>
                      <w:rFonts w:hint="eastAsia" w:hAnsi="宋体"/>
                      <w:color w:val="auto"/>
                      <w:sz w:val="21"/>
                      <w:szCs w:val="21"/>
                      <w:highlight w:val="none"/>
                    </w:rPr>
                    <w:t>100～500万元</w:t>
                  </w:r>
                </w:p>
              </w:tc>
              <w:tc>
                <w:tcPr>
                  <w:tcW w:w="1647" w:type="dxa"/>
                </w:tcPr>
                <w:p w14:paraId="73843998">
                  <w:pPr>
                    <w:pStyle w:val="186"/>
                    <w:spacing w:line="360" w:lineRule="exact"/>
                    <w:ind w:left="25"/>
                    <w:jc w:val="center"/>
                    <w:rPr>
                      <w:rFonts w:ascii="宋体" w:hAnsi="宋体"/>
                      <w:color w:val="auto"/>
                      <w:sz w:val="21"/>
                      <w:szCs w:val="21"/>
                      <w:highlight w:val="none"/>
                    </w:rPr>
                  </w:pPr>
                  <w:r>
                    <w:rPr>
                      <w:rFonts w:hint="eastAsia" w:ascii="宋体" w:hAnsi="宋体"/>
                      <w:color w:val="auto"/>
                      <w:sz w:val="21"/>
                      <w:szCs w:val="21"/>
                      <w:highlight w:val="none"/>
                    </w:rPr>
                    <w:t>1.1%</w:t>
                  </w:r>
                </w:p>
              </w:tc>
              <w:tc>
                <w:tcPr>
                  <w:tcW w:w="1782" w:type="dxa"/>
                </w:tcPr>
                <w:p w14:paraId="689D9BAF">
                  <w:pPr>
                    <w:pStyle w:val="186"/>
                    <w:spacing w:line="360" w:lineRule="exact"/>
                    <w:ind w:left="25"/>
                    <w:jc w:val="center"/>
                    <w:rPr>
                      <w:rFonts w:ascii="宋体" w:hAnsi="宋体"/>
                      <w:color w:val="auto"/>
                      <w:sz w:val="21"/>
                      <w:szCs w:val="21"/>
                      <w:highlight w:val="none"/>
                    </w:rPr>
                  </w:pPr>
                  <w:r>
                    <w:rPr>
                      <w:rFonts w:hint="eastAsia" w:ascii="宋体" w:hAnsi="宋体"/>
                      <w:color w:val="auto"/>
                      <w:sz w:val="21"/>
                      <w:szCs w:val="21"/>
                      <w:highlight w:val="none"/>
                    </w:rPr>
                    <w:t>0.8%</w:t>
                  </w:r>
                </w:p>
              </w:tc>
              <w:tc>
                <w:tcPr>
                  <w:tcW w:w="2052" w:type="dxa"/>
                </w:tcPr>
                <w:p w14:paraId="7536B3F0">
                  <w:pPr>
                    <w:pStyle w:val="186"/>
                    <w:spacing w:line="360" w:lineRule="exact"/>
                    <w:ind w:left="25"/>
                    <w:jc w:val="center"/>
                    <w:rPr>
                      <w:rFonts w:ascii="宋体" w:hAnsi="宋体"/>
                      <w:color w:val="auto"/>
                      <w:sz w:val="21"/>
                      <w:szCs w:val="21"/>
                      <w:highlight w:val="none"/>
                    </w:rPr>
                  </w:pPr>
                  <w:r>
                    <w:rPr>
                      <w:rFonts w:hint="eastAsia" w:ascii="宋体" w:hAnsi="宋体"/>
                      <w:color w:val="auto"/>
                      <w:sz w:val="21"/>
                      <w:szCs w:val="21"/>
                      <w:highlight w:val="none"/>
                    </w:rPr>
                    <w:t>0.7%</w:t>
                  </w:r>
                </w:p>
              </w:tc>
            </w:tr>
            <w:tr w14:paraId="11D7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577" w:type="dxa"/>
                </w:tcPr>
                <w:p w14:paraId="170C029C">
                  <w:pPr>
                    <w:pStyle w:val="25"/>
                    <w:spacing w:line="360" w:lineRule="exact"/>
                    <w:ind w:left="25"/>
                    <w:rPr>
                      <w:rFonts w:hAnsi="宋体"/>
                      <w:color w:val="auto"/>
                      <w:sz w:val="21"/>
                      <w:szCs w:val="21"/>
                      <w:highlight w:val="none"/>
                    </w:rPr>
                  </w:pPr>
                  <w:r>
                    <w:rPr>
                      <w:rFonts w:hint="eastAsia" w:hAnsi="宋体"/>
                      <w:color w:val="auto"/>
                      <w:sz w:val="21"/>
                      <w:szCs w:val="21"/>
                      <w:highlight w:val="none"/>
                    </w:rPr>
                    <w:t>500～1000万元</w:t>
                  </w:r>
                </w:p>
              </w:tc>
              <w:tc>
                <w:tcPr>
                  <w:tcW w:w="1647" w:type="dxa"/>
                </w:tcPr>
                <w:p w14:paraId="22139A3A">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0.8%</w:t>
                  </w:r>
                </w:p>
              </w:tc>
              <w:tc>
                <w:tcPr>
                  <w:tcW w:w="1782" w:type="dxa"/>
                </w:tcPr>
                <w:p w14:paraId="4AD47735">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0.45%</w:t>
                  </w:r>
                </w:p>
              </w:tc>
              <w:tc>
                <w:tcPr>
                  <w:tcW w:w="2052" w:type="dxa"/>
                </w:tcPr>
                <w:p w14:paraId="5B9D9E92">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0.55%</w:t>
                  </w:r>
                </w:p>
              </w:tc>
            </w:tr>
            <w:tr w14:paraId="1E48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577" w:type="dxa"/>
                </w:tcPr>
                <w:p w14:paraId="3FF3070B">
                  <w:pPr>
                    <w:pStyle w:val="25"/>
                    <w:spacing w:line="360" w:lineRule="exact"/>
                    <w:ind w:left="25"/>
                    <w:rPr>
                      <w:rFonts w:hAnsi="宋体"/>
                      <w:color w:val="auto"/>
                      <w:sz w:val="21"/>
                      <w:szCs w:val="21"/>
                      <w:highlight w:val="none"/>
                    </w:rPr>
                  </w:pPr>
                  <w:r>
                    <w:rPr>
                      <w:rFonts w:hint="eastAsia" w:hAnsi="宋体"/>
                      <w:color w:val="auto"/>
                      <w:sz w:val="21"/>
                      <w:szCs w:val="21"/>
                      <w:highlight w:val="none"/>
                    </w:rPr>
                    <w:t>1000～5000万元</w:t>
                  </w:r>
                </w:p>
              </w:tc>
              <w:tc>
                <w:tcPr>
                  <w:tcW w:w="1647" w:type="dxa"/>
                </w:tcPr>
                <w:p w14:paraId="3FF4A0E2">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0.5%</w:t>
                  </w:r>
                </w:p>
              </w:tc>
              <w:tc>
                <w:tcPr>
                  <w:tcW w:w="1782" w:type="dxa"/>
                </w:tcPr>
                <w:p w14:paraId="39513A6B">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0.25%</w:t>
                  </w:r>
                </w:p>
              </w:tc>
              <w:tc>
                <w:tcPr>
                  <w:tcW w:w="2052" w:type="dxa"/>
                </w:tcPr>
                <w:p w14:paraId="3F52353A">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0.35%</w:t>
                  </w:r>
                </w:p>
              </w:tc>
            </w:tr>
            <w:tr w14:paraId="69B8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577" w:type="dxa"/>
                </w:tcPr>
                <w:p w14:paraId="4CBDCFB2">
                  <w:pPr>
                    <w:pStyle w:val="25"/>
                    <w:spacing w:line="360" w:lineRule="exact"/>
                    <w:ind w:left="25"/>
                    <w:rPr>
                      <w:rFonts w:hAnsi="宋体"/>
                      <w:color w:val="auto"/>
                      <w:sz w:val="21"/>
                      <w:szCs w:val="21"/>
                      <w:highlight w:val="none"/>
                    </w:rPr>
                  </w:pPr>
                  <w:r>
                    <w:rPr>
                      <w:rFonts w:hint="eastAsia" w:hAnsi="宋体"/>
                      <w:color w:val="auto"/>
                      <w:sz w:val="21"/>
                      <w:szCs w:val="21"/>
                      <w:highlight w:val="none"/>
                    </w:rPr>
                    <w:t>5000万元～1亿元</w:t>
                  </w:r>
                </w:p>
              </w:tc>
              <w:tc>
                <w:tcPr>
                  <w:tcW w:w="1647" w:type="dxa"/>
                </w:tcPr>
                <w:p w14:paraId="3C744084">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0.25%</w:t>
                  </w:r>
                </w:p>
              </w:tc>
              <w:tc>
                <w:tcPr>
                  <w:tcW w:w="1782" w:type="dxa"/>
                </w:tcPr>
                <w:p w14:paraId="389C05D8">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0.1%</w:t>
                  </w:r>
                </w:p>
              </w:tc>
              <w:tc>
                <w:tcPr>
                  <w:tcW w:w="2052" w:type="dxa"/>
                </w:tcPr>
                <w:p w14:paraId="698E6332">
                  <w:pPr>
                    <w:pStyle w:val="25"/>
                    <w:spacing w:line="360" w:lineRule="exact"/>
                    <w:ind w:left="25"/>
                    <w:jc w:val="center"/>
                    <w:rPr>
                      <w:rFonts w:hAnsi="宋体"/>
                      <w:color w:val="auto"/>
                      <w:sz w:val="21"/>
                      <w:szCs w:val="21"/>
                      <w:highlight w:val="none"/>
                    </w:rPr>
                  </w:pPr>
                  <w:r>
                    <w:rPr>
                      <w:rFonts w:hint="eastAsia" w:hAnsi="宋体"/>
                      <w:color w:val="auto"/>
                      <w:sz w:val="21"/>
                      <w:szCs w:val="21"/>
                      <w:highlight w:val="none"/>
                    </w:rPr>
                    <w:t>0.2%</w:t>
                  </w:r>
                </w:p>
              </w:tc>
            </w:tr>
          </w:tbl>
          <w:p w14:paraId="19156293">
            <w:pPr>
              <w:pStyle w:val="25"/>
              <w:spacing w:line="360" w:lineRule="exact"/>
              <w:ind w:left="25"/>
              <w:rPr>
                <w:rFonts w:hAnsi="宋体" w:cs="宋体"/>
                <w:color w:val="auto"/>
                <w:sz w:val="21"/>
                <w:szCs w:val="21"/>
                <w:highlight w:val="none"/>
              </w:rPr>
            </w:pPr>
            <w:r>
              <w:rPr>
                <w:rFonts w:hint="eastAsia" w:hAnsi="宋体"/>
                <w:color w:val="auto"/>
                <w:sz w:val="21"/>
                <w:szCs w:val="21"/>
                <w:highlight w:val="none"/>
              </w:rPr>
              <w:t>注：采购代理服务收费按差额定率累进法计算。</w:t>
            </w:r>
          </w:p>
          <w:p w14:paraId="7B66D228">
            <w:pPr>
              <w:pStyle w:val="25"/>
              <w:snapToGrid w:val="0"/>
              <w:spacing w:line="340" w:lineRule="exact"/>
              <w:rPr>
                <w:rFonts w:hAnsi="宋体" w:cs="宋体"/>
                <w:color w:val="auto"/>
                <w:sz w:val="21"/>
                <w:highlight w:val="none"/>
                <w:u w:val="single"/>
              </w:rPr>
            </w:pPr>
            <w:r>
              <w:rPr>
                <w:rFonts w:hint="eastAsia" w:hAnsi="宋体" w:cs="宋体"/>
                <w:color w:val="auto"/>
                <w:sz w:val="21"/>
                <w:highlight w:val="none"/>
              </w:rPr>
              <w:t>□</w:t>
            </w:r>
            <w:r>
              <w:rPr>
                <w:rFonts w:hint="eastAsia" w:hAnsi="宋体" w:cs="宋体"/>
                <w:color w:val="auto"/>
                <w:highlight w:val="none"/>
              </w:rPr>
              <w:t>固定收费：</w:t>
            </w:r>
            <w:r>
              <w:rPr>
                <w:rFonts w:hint="eastAsia" w:hAnsi="宋体" w:cs="宋体"/>
                <w:color w:val="auto"/>
                <w:sz w:val="21"/>
                <w:highlight w:val="none"/>
              </w:rPr>
              <w:t>固定采购代理收费</w:t>
            </w:r>
            <w:r>
              <w:rPr>
                <w:rFonts w:hint="eastAsia" w:hAnsi="宋体" w:cs="宋体"/>
                <w:color w:val="auto"/>
                <w:sz w:val="21"/>
                <w:highlight w:val="none"/>
                <w:u w:val="single"/>
              </w:rPr>
              <w:t xml:space="preserve">  \   元。</w:t>
            </w:r>
          </w:p>
          <w:p w14:paraId="581F10C8">
            <w:pPr>
              <w:pStyle w:val="25"/>
              <w:adjustRightInd w:val="0"/>
              <w:spacing w:line="400" w:lineRule="exact"/>
              <w:rPr>
                <w:rFonts w:hAnsi="宋体" w:cs="宋体"/>
                <w:color w:val="auto"/>
                <w:sz w:val="21"/>
                <w:highlight w:val="none"/>
              </w:rPr>
            </w:pPr>
            <w:r>
              <w:rPr>
                <w:rFonts w:hint="eastAsia" w:hAnsi="宋体" w:cs="宋体"/>
                <w:color w:val="auto"/>
                <w:sz w:val="21"/>
                <w:highlight w:val="none"/>
              </w:rPr>
              <w:t>3.开户名称：云之龙咨询集团有限公司桂林分公司</w:t>
            </w:r>
          </w:p>
          <w:p w14:paraId="7FA7D085">
            <w:pPr>
              <w:pStyle w:val="25"/>
              <w:adjustRightInd w:val="0"/>
              <w:spacing w:line="400" w:lineRule="exact"/>
              <w:rPr>
                <w:rFonts w:hAnsi="宋体" w:cs="宋体"/>
                <w:color w:val="auto"/>
                <w:sz w:val="21"/>
                <w:highlight w:val="none"/>
              </w:rPr>
            </w:pPr>
            <w:r>
              <w:rPr>
                <w:rFonts w:hint="eastAsia" w:hAnsi="宋体" w:cs="宋体"/>
                <w:color w:val="auto"/>
                <w:sz w:val="21"/>
                <w:highlight w:val="none"/>
              </w:rPr>
              <w:t>银行账号：8113001014300158041</w:t>
            </w:r>
          </w:p>
          <w:p w14:paraId="6A92C59D">
            <w:pPr>
              <w:pStyle w:val="25"/>
              <w:adjustRightInd w:val="0"/>
              <w:spacing w:line="400" w:lineRule="exact"/>
              <w:rPr>
                <w:rFonts w:hAnsi="宋体" w:cs="宋体"/>
                <w:color w:val="auto"/>
                <w:sz w:val="21"/>
                <w:highlight w:val="none"/>
              </w:rPr>
            </w:pPr>
            <w:r>
              <w:rPr>
                <w:rFonts w:hint="eastAsia" w:hAnsi="宋体" w:cs="宋体"/>
                <w:color w:val="auto"/>
                <w:sz w:val="21"/>
                <w:highlight w:val="none"/>
              </w:rPr>
              <w:t>开户银行：中信银行股份有限公司南宁东葛支行</w:t>
            </w:r>
          </w:p>
        </w:tc>
      </w:tr>
      <w:tr w14:paraId="39C82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DD01691">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vAlign w:val="center"/>
          </w:tcPr>
          <w:p w14:paraId="48A8F6BD">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6077C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E1221B3">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vAlign w:val="center"/>
          </w:tcPr>
          <w:p w14:paraId="2F607300">
            <w:pPr>
              <w:pStyle w:val="25"/>
              <w:numPr>
                <w:ilvl w:val="0"/>
                <w:numId w:val="4"/>
              </w:numPr>
              <w:adjustRightInd w:val="0"/>
              <w:spacing w:line="360" w:lineRule="exact"/>
              <w:rPr>
                <w:rFonts w:hAnsi="宋体" w:cs="宋体"/>
                <w:color w:val="auto"/>
                <w:sz w:val="21"/>
                <w:highlight w:val="none"/>
              </w:rPr>
            </w:pPr>
            <w:r>
              <w:rPr>
                <w:rFonts w:hint="eastAsia" w:hAnsi="宋体" w:cs="宋体"/>
                <w:color w:val="auto"/>
                <w:sz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6979C69">
            <w:pPr>
              <w:pStyle w:val="25"/>
              <w:adjustRightInd w:val="0"/>
              <w:spacing w:line="360" w:lineRule="exact"/>
              <w:rPr>
                <w:rFonts w:hAnsi="宋体" w:cs="宋体"/>
                <w:color w:val="auto"/>
                <w:sz w:val="21"/>
                <w:highlight w:val="none"/>
              </w:rPr>
            </w:pPr>
            <w:r>
              <w:rPr>
                <w:rFonts w:hint="eastAsia" w:hAnsi="宋体" w:cs="宋体"/>
                <w:color w:val="auto"/>
                <w:sz w:val="21"/>
                <w:highlight w:val="none"/>
              </w:rPr>
              <w:t>2.本招标文件所称的“电子签章”、“电子签名”，是指经</w:t>
            </w:r>
            <w:r>
              <w:rPr>
                <w:rFonts w:hint="eastAsia" w:hAnsi="宋体" w:cs="宋体"/>
                <w:color w:val="auto"/>
                <w:highlight w:val="none"/>
              </w:rPr>
              <w:t>“广西政府采购云平台”</w:t>
            </w:r>
            <w:r>
              <w:rPr>
                <w:rFonts w:hint="eastAsia" w:hAnsi="宋体" w:cs="宋体"/>
                <w:color w:val="auto"/>
                <w:sz w:val="21"/>
                <w:highlight w:val="none"/>
              </w:rPr>
              <w:t>认可的CA认证的电子签名数据为表现形式的印章，可用于签署电子投标文件，电子印章与实物印章具有同等法律效力，不因其采用电子化表现形式而否定其法律效力。</w:t>
            </w:r>
          </w:p>
          <w:p w14:paraId="70D07F70">
            <w:pPr>
              <w:pStyle w:val="25"/>
              <w:adjustRightInd w:val="0"/>
              <w:spacing w:line="360" w:lineRule="exact"/>
              <w:rPr>
                <w:rFonts w:hAnsi="宋体" w:cs="宋体"/>
                <w:color w:val="auto"/>
                <w:sz w:val="21"/>
                <w:highlight w:val="none"/>
              </w:rPr>
            </w:pPr>
            <w:r>
              <w:rPr>
                <w:rFonts w:hint="eastAsia" w:hAnsi="宋体" w:cs="宋体"/>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8E11398">
            <w:pPr>
              <w:pStyle w:val="25"/>
              <w:adjustRightInd w:val="0"/>
              <w:spacing w:line="360" w:lineRule="exact"/>
              <w:rPr>
                <w:rFonts w:hAnsi="宋体" w:cs="宋体"/>
                <w:color w:val="auto"/>
                <w:sz w:val="21"/>
                <w:highlight w:val="none"/>
              </w:rPr>
            </w:pPr>
            <w:r>
              <w:rPr>
                <w:rFonts w:hint="eastAsia" w:hAnsi="宋体" w:cs="宋体"/>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2ACBC8BA">
            <w:pPr>
              <w:pStyle w:val="25"/>
              <w:adjustRightInd w:val="0"/>
              <w:spacing w:line="360" w:lineRule="exact"/>
              <w:rPr>
                <w:rFonts w:hAnsi="宋体" w:cs="宋体"/>
                <w:color w:val="auto"/>
                <w:sz w:val="21"/>
                <w:highlight w:val="none"/>
              </w:rPr>
            </w:pPr>
            <w:r>
              <w:rPr>
                <w:rFonts w:hint="eastAsia" w:hAnsi="宋体" w:cs="宋体"/>
                <w:color w:val="auto"/>
                <w:sz w:val="21"/>
                <w:highlight w:val="none"/>
              </w:rPr>
              <w:t>5.本招标文件所称的“以上”“以下”“以内”“届满”，包括本数；所称的“不满”“超过”“以外”，不包括本数。</w:t>
            </w:r>
          </w:p>
          <w:p w14:paraId="6274E34D">
            <w:pPr>
              <w:pStyle w:val="25"/>
              <w:adjustRightInd w:val="0"/>
              <w:spacing w:line="360" w:lineRule="exact"/>
              <w:rPr>
                <w:rFonts w:hAnsi="宋体" w:cs="宋体"/>
                <w:color w:val="auto"/>
                <w:sz w:val="21"/>
                <w:highlight w:val="none"/>
              </w:rPr>
            </w:pPr>
            <w:r>
              <w:rPr>
                <w:rFonts w:hint="eastAsia" w:hAnsi="宋体" w:cs="宋体"/>
                <w:color w:val="auto"/>
                <w:sz w:val="21"/>
                <w:highlight w:val="none"/>
              </w:rPr>
              <w:t>6.如本项目未划分分标的，招标文件中的“分标”是指本项目。</w:t>
            </w:r>
          </w:p>
        </w:tc>
      </w:tr>
    </w:tbl>
    <w:p w14:paraId="4703FC80">
      <w:pPr>
        <w:pStyle w:val="5"/>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投标人须知正文</w:t>
      </w:r>
    </w:p>
    <w:p w14:paraId="4C1ED91B">
      <w:pPr>
        <w:pStyle w:val="5"/>
        <w:keepNext w:val="0"/>
        <w:keepLines w:val="0"/>
        <w:jc w:val="center"/>
        <w:rPr>
          <w:rFonts w:ascii="宋体" w:hAnsi="宋体" w:cs="宋体"/>
          <w:color w:val="auto"/>
          <w:highlight w:val="none"/>
        </w:rPr>
      </w:pPr>
      <w:r>
        <w:rPr>
          <w:rFonts w:hint="eastAsia" w:ascii="宋体" w:hAnsi="宋体" w:cs="宋体"/>
          <w:color w:val="auto"/>
          <w:highlight w:val="none"/>
        </w:rPr>
        <w:t>一、总则</w:t>
      </w:r>
    </w:p>
    <w:p w14:paraId="20965AF5">
      <w:pPr>
        <w:pStyle w:val="6"/>
        <w:keepNext w:val="0"/>
        <w:keepLines w:val="0"/>
        <w:spacing w:before="0" w:after="0" w:line="360" w:lineRule="auto"/>
        <w:ind w:left="420" w:leftChars="200"/>
        <w:rPr>
          <w:rFonts w:ascii="宋体" w:hAnsi="宋体" w:cs="宋体"/>
          <w:color w:val="auto"/>
          <w:sz w:val="24"/>
          <w:highlight w:val="none"/>
        </w:rPr>
      </w:pPr>
      <w:bookmarkStart w:id="77" w:name="_Toc254970527"/>
      <w:bookmarkStart w:id="78" w:name="_Toc254970668"/>
      <w:r>
        <w:rPr>
          <w:rFonts w:hint="eastAsia" w:ascii="宋体" w:hAnsi="宋体" w:cs="宋体"/>
          <w:color w:val="auto"/>
          <w:sz w:val="24"/>
          <w:highlight w:val="none"/>
        </w:rPr>
        <w:t>1.适用范围</w:t>
      </w:r>
      <w:bookmarkEnd w:id="77"/>
      <w:bookmarkEnd w:id="78"/>
    </w:p>
    <w:p w14:paraId="5FBFC07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BBDA990">
      <w:pPr>
        <w:snapToGrid w:val="0"/>
        <w:spacing w:line="440" w:lineRule="exact"/>
        <w:ind w:firstLine="420" w:firstLineChars="200"/>
        <w:jc w:val="left"/>
        <w:rPr>
          <w:rFonts w:ascii="宋体" w:hAnsi="宋体" w:cs="宋体"/>
          <w:color w:val="auto"/>
          <w:spacing w:val="-6"/>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771780B5">
      <w:pPr>
        <w:pStyle w:val="6"/>
        <w:keepNext w:val="0"/>
        <w:keepLines w:val="0"/>
        <w:spacing w:before="0" w:after="0" w:line="440" w:lineRule="exact"/>
        <w:ind w:left="420" w:leftChars="200"/>
        <w:rPr>
          <w:rFonts w:ascii="宋体" w:hAnsi="宋体" w:cs="宋体"/>
          <w:color w:val="auto"/>
          <w:sz w:val="24"/>
          <w:highlight w:val="none"/>
        </w:rPr>
      </w:pPr>
      <w:bookmarkStart w:id="79" w:name="_Toc254970669"/>
      <w:bookmarkStart w:id="80" w:name="_Toc254970528"/>
      <w:r>
        <w:rPr>
          <w:rFonts w:hint="eastAsia" w:ascii="宋体" w:hAnsi="宋体" w:cs="宋体"/>
          <w:color w:val="auto"/>
          <w:sz w:val="24"/>
          <w:highlight w:val="none"/>
        </w:rPr>
        <w:t>2.定义</w:t>
      </w:r>
      <w:bookmarkEnd w:id="79"/>
      <w:bookmarkEnd w:id="80"/>
    </w:p>
    <w:p w14:paraId="1C64F7B7">
      <w:pPr>
        <w:pStyle w:val="6"/>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03E9CACE">
      <w:pPr>
        <w:pStyle w:val="6"/>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70BA8E40">
      <w:pPr>
        <w:pStyle w:val="6"/>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346E0E8A">
      <w:pPr>
        <w:pStyle w:val="7"/>
        <w:spacing w:line="440" w:lineRule="exact"/>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14:paraId="6B8B6E81">
      <w:pPr>
        <w:pStyle w:val="6"/>
        <w:keepNext w:val="0"/>
        <w:keepLines w:val="0"/>
        <w:spacing w:before="0" w:after="0" w:line="44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2.5“货物”是指各种形态和种类的物品，包括原材料、燃料、设备、产品等。</w:t>
      </w:r>
    </w:p>
    <w:p w14:paraId="25D8204D">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2.6“售后服务” 是指商品出售以后所提供的各种服务，包含但不限于投标人须承担的备品备件、包装、运输、装卸、保险、货到就位以及安装、调试、培训、质保以及其他各种服务。</w:t>
      </w:r>
    </w:p>
    <w:p w14:paraId="747F013D">
      <w:pPr>
        <w:pStyle w:val="6"/>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072C663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2.8“实质性要求”是指招标文件中已经指明不满足则投标无效的条款，或者不能负偏离的条款，或者采购需求中带“▲”的条款。投标人不满足实质性要求的，</w:t>
      </w:r>
      <w:r>
        <w:rPr>
          <w:rFonts w:hint="eastAsia" w:ascii="宋体" w:hAnsi="宋体" w:cs="宋体"/>
          <w:b/>
          <w:bCs/>
          <w:color w:val="auto"/>
          <w:szCs w:val="21"/>
          <w:highlight w:val="none"/>
        </w:rPr>
        <w:t>按投标无效处理。</w:t>
      </w:r>
    </w:p>
    <w:p w14:paraId="5A9C23EC">
      <w:pPr>
        <w:pStyle w:val="6"/>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2.9 “正偏离”是指投标文件对招标文件“采购需求”中有关条款作出的响应优于该条款基本要求的情形，包括：①当某技术指标要求为≥或≤某指标时，则该指标为基本要求，投标响应值＞或＜该基本要求的，为正偏离；②除上述第①种情形外，经评委独立评审后认定该技术指标优于招标文件基本要求的</w:t>
      </w:r>
      <w:r>
        <w:rPr>
          <w:rFonts w:hint="eastAsia" w:ascii="宋体" w:hAnsi="宋体" w:cs="宋体"/>
          <w:b w:val="0"/>
          <w:color w:val="auto"/>
          <w:sz w:val="21"/>
          <w:szCs w:val="21"/>
          <w:highlight w:val="none"/>
          <w:lang w:eastAsia="zh-CN"/>
        </w:rPr>
        <w:t>其他</w:t>
      </w:r>
      <w:r>
        <w:rPr>
          <w:rFonts w:hint="eastAsia" w:ascii="宋体" w:hAnsi="宋体" w:cs="宋体"/>
          <w:b w:val="0"/>
          <w:color w:val="auto"/>
          <w:sz w:val="21"/>
          <w:szCs w:val="21"/>
          <w:highlight w:val="none"/>
        </w:rPr>
        <w:t>情形。</w:t>
      </w:r>
    </w:p>
    <w:p w14:paraId="6CECEC18">
      <w:pPr>
        <w:pStyle w:val="6"/>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2.10“负偏离”，是指投标文件对招标文件“采购需求”中有关条款作出的响应不满足条款要求，导致采购人要求不能得到满足的情形。</w:t>
      </w:r>
    </w:p>
    <w:p w14:paraId="38CFEBC3">
      <w:pPr>
        <w:pStyle w:val="6"/>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2.11“允许负偏离的条款”是指采购需求中的不属于“实质性要求”的条款。</w:t>
      </w:r>
      <w:bookmarkStart w:id="81" w:name="_Toc254970670"/>
      <w:bookmarkStart w:id="82" w:name="_Toc254970529"/>
    </w:p>
    <w:p w14:paraId="358EB99B">
      <w:pPr>
        <w:pStyle w:val="6"/>
        <w:keepNext w:val="0"/>
        <w:keepLines w:val="0"/>
        <w:spacing w:before="0" w:after="0" w:line="440" w:lineRule="exact"/>
        <w:rPr>
          <w:rFonts w:ascii="宋体" w:hAnsi="宋体" w:cs="宋体"/>
          <w:color w:val="auto"/>
          <w:szCs w:val="21"/>
          <w:highlight w:val="none"/>
        </w:rPr>
      </w:pPr>
      <w:r>
        <w:rPr>
          <w:rFonts w:hint="eastAsia" w:ascii="宋体" w:hAnsi="宋体" w:cs="宋体"/>
          <w:b w:val="0"/>
          <w:color w:val="auto"/>
          <w:sz w:val="21"/>
          <w:szCs w:val="21"/>
          <w:highlight w:val="none"/>
        </w:rPr>
        <w:t xml:space="preserve">  2.12本项目实行全流程电子化采购，投标人通过“广西政府采购云平台”参与电子投标。“投标文件”是指投标人按本招标文件规定提交的电子投标文件。</w:t>
      </w:r>
    </w:p>
    <w:p w14:paraId="2557EFA9">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bookmarkEnd w:id="81"/>
      <w:bookmarkEnd w:id="82"/>
      <w:r>
        <w:rPr>
          <w:rFonts w:hint="eastAsia" w:ascii="宋体" w:hAnsi="宋体" w:cs="宋体"/>
          <w:color w:val="auto"/>
          <w:sz w:val="24"/>
          <w:highlight w:val="none"/>
        </w:rPr>
        <w:t>投标人的资格要求</w:t>
      </w:r>
    </w:p>
    <w:p w14:paraId="64D762D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62759F71">
      <w:pPr>
        <w:pStyle w:val="6"/>
        <w:keepNext w:val="0"/>
        <w:keepLines w:val="0"/>
        <w:spacing w:before="0" w:after="0" w:line="360" w:lineRule="auto"/>
        <w:ind w:left="420" w:leftChars="200"/>
        <w:rPr>
          <w:rFonts w:ascii="宋体" w:hAnsi="宋体" w:cs="宋体"/>
          <w:color w:val="auto"/>
          <w:sz w:val="24"/>
          <w:highlight w:val="none"/>
        </w:rPr>
      </w:pPr>
      <w:bookmarkStart w:id="83" w:name="_Toc254970671"/>
      <w:bookmarkStart w:id="84" w:name="_Toc254970530"/>
      <w:r>
        <w:rPr>
          <w:rFonts w:hint="eastAsia" w:ascii="宋体" w:hAnsi="宋体" w:cs="宋体"/>
          <w:color w:val="auto"/>
          <w:sz w:val="24"/>
          <w:highlight w:val="none"/>
        </w:rPr>
        <w:t>4.投标委托</w:t>
      </w:r>
      <w:bookmarkEnd w:id="83"/>
      <w:bookmarkEnd w:id="84"/>
    </w:p>
    <w:p w14:paraId="61E19B7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投标人代表参加投标活动过程中必须携带个人有效身份证件。如投标人代表不是法定代表人，须持有授权委托书（按第六章要求格式填写）。</w:t>
      </w:r>
    </w:p>
    <w:p w14:paraId="4B147E00">
      <w:pPr>
        <w:pStyle w:val="6"/>
        <w:keepNext w:val="0"/>
        <w:keepLines w:val="0"/>
        <w:spacing w:before="0" w:after="0" w:line="360" w:lineRule="auto"/>
        <w:ind w:left="420" w:leftChars="200"/>
        <w:rPr>
          <w:rFonts w:ascii="宋体" w:hAnsi="宋体" w:cs="宋体"/>
          <w:color w:val="auto"/>
          <w:sz w:val="24"/>
          <w:highlight w:val="none"/>
        </w:rPr>
      </w:pPr>
      <w:bookmarkStart w:id="85" w:name="_5.投标费用"/>
      <w:bookmarkEnd w:id="85"/>
      <w:bookmarkStart w:id="86" w:name="_Toc254970531"/>
      <w:bookmarkStart w:id="87" w:name="_Toc254970672"/>
      <w:r>
        <w:rPr>
          <w:rFonts w:hint="eastAsia" w:ascii="宋体" w:hAnsi="宋体" w:cs="宋体"/>
          <w:color w:val="auto"/>
          <w:sz w:val="24"/>
          <w:highlight w:val="none"/>
        </w:rPr>
        <w:t>5.投标费用</w:t>
      </w:r>
      <w:bookmarkEnd w:id="86"/>
      <w:bookmarkEnd w:id="87"/>
    </w:p>
    <w:p w14:paraId="580ECC7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3BD125F7">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7FB195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0E7CA4A1">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368E60E1">
      <w:pPr>
        <w:pStyle w:val="6"/>
        <w:keepNext w:val="0"/>
        <w:keepLines w:val="0"/>
        <w:spacing w:before="0" w:after="0" w:line="360" w:lineRule="auto"/>
        <w:ind w:firstLine="424" w:firstLineChars="202"/>
        <w:rPr>
          <w:rFonts w:ascii="宋体" w:hAnsi="宋体" w:cs="宋体"/>
          <w:color w:val="auto"/>
          <w:sz w:val="24"/>
          <w:highlight w:val="none"/>
        </w:rPr>
      </w:pPr>
      <w:r>
        <w:rPr>
          <w:rFonts w:hint="eastAsia" w:ascii="宋体" w:hAnsi="宋体" w:cs="宋体"/>
          <w:b w:val="0"/>
          <w:bCs/>
          <w:color w:val="auto"/>
          <w:sz w:val="21"/>
          <w:szCs w:val="21"/>
          <w:highlight w:val="none"/>
        </w:rPr>
        <w:t>6.3</w:t>
      </w:r>
      <w:bookmarkStart w:id="88" w:name="_Hlk65857072"/>
      <w:r>
        <w:rPr>
          <w:rFonts w:hint="eastAsia" w:ascii="宋体" w:hAnsi="宋体" w:cs="宋体"/>
          <w:b w:val="0"/>
          <w:bCs/>
          <w:color w:val="auto"/>
          <w:sz w:val="21"/>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8"/>
    </w:p>
    <w:p w14:paraId="34F9661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15EE3F48">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7B39AA7B">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E669639">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05CCA1E">
      <w:pPr>
        <w:pStyle w:val="6"/>
        <w:keepNext w:val="0"/>
        <w:keepLines w:val="0"/>
        <w:spacing w:before="0" w:after="0" w:line="360" w:lineRule="auto"/>
        <w:ind w:left="420" w:leftChars="200"/>
        <w:rPr>
          <w:rFonts w:ascii="宋体" w:hAnsi="宋体" w:cs="宋体"/>
          <w:color w:val="auto"/>
          <w:sz w:val="24"/>
          <w:highlight w:val="none"/>
        </w:rPr>
      </w:pPr>
      <w:bookmarkStart w:id="89" w:name="_Toc254970673"/>
      <w:bookmarkStart w:id="90" w:name="_Toc254970532"/>
      <w:r>
        <w:rPr>
          <w:rFonts w:hint="eastAsia" w:ascii="宋体" w:hAnsi="宋体" w:cs="宋体"/>
          <w:color w:val="auto"/>
          <w:sz w:val="24"/>
          <w:highlight w:val="none"/>
        </w:rPr>
        <w:t>8.特别说明</w:t>
      </w:r>
      <w:bookmarkEnd w:id="89"/>
      <w:bookmarkEnd w:id="90"/>
    </w:p>
    <w:p w14:paraId="4D2F626C">
      <w:pPr>
        <w:pStyle w:val="6"/>
        <w:keepNext w:val="0"/>
        <w:keepLines w:val="0"/>
        <w:spacing w:before="0" w:after="0" w:line="360" w:lineRule="auto"/>
        <w:ind w:firstLine="420" w:firstLineChars="200"/>
        <w:rPr>
          <w:rFonts w:ascii="宋体" w:hAnsi="宋体" w:cs="宋体"/>
          <w:b w:val="0"/>
          <w:color w:val="auto"/>
          <w:sz w:val="21"/>
          <w:szCs w:val="21"/>
          <w:highlight w:val="none"/>
        </w:rPr>
      </w:pPr>
      <w:bookmarkStart w:id="91" w:name="_8.1提供相同品牌产品且通过资格审查、符合性审查的不同投标人参加同一合"/>
      <w:bookmarkEnd w:id="91"/>
      <w:r>
        <w:rPr>
          <w:rFonts w:hint="eastAsia" w:ascii="宋体" w:hAnsi="宋体" w:cs="宋体"/>
          <w:b w:val="0"/>
          <w:color w:val="auto"/>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color w:val="auto"/>
          <w:sz w:val="22"/>
          <w:szCs w:val="22"/>
          <w:highlight w:val="none"/>
        </w:rPr>
        <w:t>其他投标无效。</w:t>
      </w:r>
    </w:p>
    <w:p w14:paraId="4594E5B7">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45EA0259">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非单一产品采购项目，多家投标人提供的核心产品品牌相同的，</w:t>
      </w:r>
      <w:r>
        <w:rPr>
          <w:rFonts w:hint="eastAsia" w:hAnsi="宋体" w:cs="宋体"/>
          <w:color w:val="auto"/>
          <w:sz w:val="22"/>
          <w:szCs w:val="22"/>
          <w:highlight w:val="none"/>
        </w:rPr>
        <w:t>按前两款规定处理</w:t>
      </w:r>
      <w:r>
        <w:rPr>
          <w:rFonts w:hint="eastAsia" w:hAnsi="宋体" w:cs="宋体"/>
          <w:color w:val="auto"/>
          <w:kern w:val="2"/>
          <w:sz w:val="21"/>
          <w:highlight w:val="none"/>
        </w:rPr>
        <w:t>。</w:t>
      </w:r>
    </w:p>
    <w:p w14:paraId="3A919C56">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5A40AAA9">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7F73C491">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0F496E5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092B755A">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14:paraId="421D2F40">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（1）参加采购活动前3年内与供应商存在劳动关系；</w:t>
      </w:r>
    </w:p>
    <w:p w14:paraId="1488D2A0">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（2）参加采购活动前3年内担任供应商的董事、监事；</w:t>
      </w:r>
    </w:p>
    <w:p w14:paraId="673B40BF">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（3）参加采购活动前3年内是供应商的控股股东或者实际控制人；</w:t>
      </w:r>
    </w:p>
    <w:p w14:paraId="38944ABD">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（4）与供应商的法定代表人或者负责人有夫妻、直系血亲、三代以内旁系血亲或者近姻亲关系；</w:t>
      </w:r>
    </w:p>
    <w:p w14:paraId="101E0736">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（5）与供应商有其他可能影响政府采购活动公平、公正进行的关系。</w:t>
      </w:r>
    </w:p>
    <w:p w14:paraId="25B9A63F">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106D8D">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4C8C03CC">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 xml:space="preserve">（1）不同投标人的投标文件由同一单位或者个人编制； </w:t>
      </w:r>
    </w:p>
    <w:p w14:paraId="53A08680">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14:paraId="0760C45E">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14:paraId="098E2AA9">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14:paraId="1D96A906">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14:paraId="43AEE536">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（6）不同投标人的投标保证金从同一单位或者个人账户转出。</w:t>
      </w:r>
    </w:p>
    <w:p w14:paraId="15130388">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14:paraId="6069527D">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（1）供应商直接或者间接从采购人或者采购代理机构处获得其他供应商的相关信息并修改其投标文件或者响应文件；</w:t>
      </w:r>
    </w:p>
    <w:p w14:paraId="794A1CD7">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（2）供应商按照采购人或者采购代理机构的授意撤换、修改投标文件或者响应文件；</w:t>
      </w:r>
    </w:p>
    <w:p w14:paraId="0A6E078D">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（3）供应商之间协商报价、技术方案等投标文件或者响应文件的实质性内容；</w:t>
      </w:r>
    </w:p>
    <w:p w14:paraId="7DD38002">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（4）属于同一集团、协会、商会等组织成员的供应商按照该组织要求协同参加政府采购活动；</w:t>
      </w:r>
    </w:p>
    <w:p w14:paraId="17A9773E">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0373A0E1">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（6）供应商之间商定部分供应商放弃参加政府采购活动或者放弃中标；</w:t>
      </w:r>
    </w:p>
    <w:p w14:paraId="5D06DA55">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（7）供应商与采购人或者采购代理机构之间、供应商相互之间，为谋求特定供应商中标或者排斥其他供应商的其他串通行为。</w:t>
      </w:r>
    </w:p>
    <w:p w14:paraId="78179E89">
      <w:pPr>
        <w:pStyle w:val="25"/>
        <w:snapToGrid w:val="0"/>
        <w:spacing w:line="360" w:lineRule="auto"/>
        <w:ind w:left="2" w:leftChars="1" w:firstLine="422" w:firstLineChars="200"/>
        <w:rPr>
          <w:rFonts w:hAnsi="宋体" w:cs="宋体"/>
          <w:b/>
          <w:color w:val="auto"/>
          <w:kern w:val="2"/>
          <w:sz w:val="21"/>
          <w:highlight w:val="none"/>
        </w:rPr>
      </w:pPr>
    </w:p>
    <w:p w14:paraId="77C58EAE">
      <w:pPr>
        <w:pStyle w:val="5"/>
        <w:keepNext w:val="0"/>
        <w:keepLines w:val="0"/>
        <w:jc w:val="center"/>
        <w:rPr>
          <w:rFonts w:ascii="宋体" w:hAnsi="宋体" w:cs="宋体"/>
          <w:color w:val="auto"/>
          <w:highlight w:val="none"/>
        </w:rPr>
      </w:pPr>
      <w:bookmarkStart w:id="92" w:name="_Toc254970675"/>
      <w:bookmarkStart w:id="93" w:name="_Toc254970534"/>
      <w:r>
        <w:rPr>
          <w:rFonts w:hint="eastAsia" w:ascii="宋体" w:hAnsi="宋体" w:cs="宋体"/>
          <w:color w:val="auto"/>
          <w:highlight w:val="none"/>
        </w:rPr>
        <w:t>二、招标文件</w:t>
      </w:r>
      <w:bookmarkEnd w:id="92"/>
      <w:bookmarkEnd w:id="93"/>
    </w:p>
    <w:p w14:paraId="064706F4">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14:paraId="760B7AB9">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5D98EB30">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4824AADD">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7C394DE8">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6BE50613">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5134F2DE">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1B0C74EB">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1127A6C6">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02CBA0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F9F0CF8">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11.2</w:t>
      </w:r>
      <w:bookmarkStart w:id="94" w:name="_Hlk53134511"/>
      <w:r>
        <w:rPr>
          <w:rFonts w:hint="eastAsia" w:hAnsi="宋体" w:cs="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4"/>
    <w:p w14:paraId="362B057A">
      <w:pPr>
        <w:pStyle w:val="5"/>
        <w:keepNext w:val="0"/>
        <w:keepLines w:val="0"/>
        <w:jc w:val="center"/>
        <w:rPr>
          <w:rFonts w:ascii="宋体" w:hAnsi="宋体" w:cs="宋体"/>
          <w:color w:val="auto"/>
          <w:highlight w:val="none"/>
        </w:rPr>
      </w:pPr>
      <w:bookmarkStart w:id="95" w:name="_Toc254970676"/>
      <w:bookmarkStart w:id="96" w:name="_Toc254970535"/>
      <w:r>
        <w:rPr>
          <w:rFonts w:hint="eastAsia" w:ascii="宋体" w:hAnsi="宋体" w:cs="宋体"/>
          <w:color w:val="auto"/>
          <w:highlight w:val="none"/>
        </w:rPr>
        <w:t>三、投标文件的编制</w:t>
      </w:r>
      <w:bookmarkEnd w:id="95"/>
      <w:bookmarkEnd w:id="96"/>
    </w:p>
    <w:p w14:paraId="551575A4">
      <w:pPr>
        <w:pStyle w:val="6"/>
        <w:keepNext w:val="0"/>
        <w:keepLines w:val="0"/>
        <w:spacing w:before="0" w:after="0" w:line="360" w:lineRule="auto"/>
        <w:ind w:left="420" w:leftChars="200"/>
        <w:rPr>
          <w:rFonts w:ascii="宋体" w:hAnsi="宋体" w:cs="宋体"/>
          <w:color w:val="auto"/>
          <w:sz w:val="24"/>
          <w:highlight w:val="none"/>
        </w:rPr>
      </w:pPr>
      <w:bookmarkStart w:id="97" w:name="_Toc254970536"/>
      <w:bookmarkStart w:id="98" w:name="_Toc254970677"/>
      <w:r>
        <w:rPr>
          <w:rFonts w:hint="eastAsia" w:ascii="宋体" w:hAnsi="宋体" w:cs="宋体"/>
          <w:color w:val="auto"/>
          <w:sz w:val="24"/>
          <w:highlight w:val="none"/>
        </w:rPr>
        <w:t>12.投标文件的编制原则</w:t>
      </w:r>
    </w:p>
    <w:p w14:paraId="781C363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792F2141">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97"/>
      <w:bookmarkEnd w:id="98"/>
    </w:p>
    <w:p w14:paraId="2F144DA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投标文件由报价文件、资格证明文件、商务文件、技术文件四部分组成。</w:t>
      </w:r>
    </w:p>
    <w:p w14:paraId="166D0C78">
      <w:pPr>
        <w:pStyle w:val="6"/>
        <w:keepNext w:val="0"/>
        <w:keepLines w:val="0"/>
        <w:spacing w:before="0" w:after="0" w:line="360" w:lineRule="auto"/>
        <w:ind w:left="420" w:leftChars="200"/>
        <w:rPr>
          <w:rFonts w:ascii="宋体" w:hAnsi="宋体" w:cs="宋体"/>
          <w:b w:val="0"/>
          <w:color w:val="auto"/>
          <w:sz w:val="21"/>
          <w:szCs w:val="21"/>
          <w:highlight w:val="none"/>
        </w:rPr>
      </w:pPr>
      <w:bookmarkStart w:id="99" w:name="_13.1报价文件:_具体材料见“投标人须知前附表”。"/>
      <w:bookmarkEnd w:id="99"/>
      <w:r>
        <w:rPr>
          <w:rFonts w:hint="eastAsia" w:ascii="宋体" w:hAnsi="宋体" w:cs="宋体"/>
          <w:b w:val="0"/>
          <w:color w:val="auto"/>
          <w:sz w:val="21"/>
          <w:szCs w:val="21"/>
          <w:highlight w:val="none"/>
        </w:rPr>
        <w:t>（1）报价文件：具体材料见“投标人须知前附表”。</w:t>
      </w:r>
    </w:p>
    <w:p w14:paraId="29E418B8">
      <w:pPr>
        <w:pStyle w:val="6"/>
        <w:keepNext w:val="0"/>
        <w:keepLines w:val="0"/>
        <w:spacing w:before="0" w:after="0" w:line="360" w:lineRule="auto"/>
        <w:ind w:left="420" w:leftChars="200"/>
        <w:rPr>
          <w:rFonts w:ascii="宋体" w:hAnsi="宋体" w:cs="宋体"/>
          <w:b w:val="0"/>
          <w:color w:val="auto"/>
          <w:sz w:val="21"/>
          <w:szCs w:val="21"/>
          <w:highlight w:val="none"/>
        </w:rPr>
      </w:pPr>
      <w:bookmarkStart w:id="100" w:name="_13.2资格证明文件：具体材料见“投标人须知前附表”。"/>
      <w:bookmarkEnd w:id="100"/>
      <w:r>
        <w:rPr>
          <w:rFonts w:hint="eastAsia" w:ascii="宋体" w:hAnsi="宋体" w:cs="宋体"/>
          <w:b w:val="0"/>
          <w:color w:val="auto"/>
          <w:sz w:val="21"/>
          <w:szCs w:val="21"/>
          <w:highlight w:val="none"/>
        </w:rPr>
        <w:t>（2）资格证明文件：具体材料见“投标人须知前附表”。</w:t>
      </w:r>
    </w:p>
    <w:p w14:paraId="5EF96E6B">
      <w:pPr>
        <w:pStyle w:val="6"/>
        <w:keepNext w:val="0"/>
        <w:keepLines w:val="0"/>
        <w:spacing w:before="0" w:after="0" w:line="360" w:lineRule="auto"/>
        <w:ind w:left="420" w:leftChars="200"/>
        <w:rPr>
          <w:rFonts w:ascii="宋体" w:hAnsi="宋体" w:cs="宋体"/>
          <w:b w:val="0"/>
          <w:color w:val="auto"/>
          <w:sz w:val="21"/>
          <w:szCs w:val="21"/>
          <w:highlight w:val="none"/>
        </w:rPr>
      </w:pPr>
      <w:bookmarkStart w:id="101" w:name="_13.3商务文件:_具体材料见“投标人须知前附表”。"/>
      <w:bookmarkEnd w:id="101"/>
      <w:r>
        <w:rPr>
          <w:rFonts w:hint="eastAsia" w:ascii="宋体" w:hAnsi="宋体" w:cs="宋体"/>
          <w:b w:val="0"/>
          <w:color w:val="auto"/>
          <w:sz w:val="21"/>
          <w:szCs w:val="21"/>
          <w:highlight w:val="none"/>
        </w:rPr>
        <w:t>（3）商务文件：具体材料见“投标人须知前附表”。</w:t>
      </w:r>
    </w:p>
    <w:p w14:paraId="014AAE20">
      <w:pPr>
        <w:pStyle w:val="6"/>
        <w:keepNext w:val="0"/>
        <w:keepLines w:val="0"/>
        <w:spacing w:before="0" w:after="0" w:line="360" w:lineRule="auto"/>
        <w:ind w:left="420" w:leftChars="200"/>
        <w:rPr>
          <w:rFonts w:ascii="宋体" w:hAnsi="宋体" w:cs="宋体"/>
          <w:b w:val="0"/>
          <w:color w:val="auto"/>
          <w:sz w:val="21"/>
          <w:szCs w:val="21"/>
          <w:highlight w:val="none"/>
        </w:rPr>
      </w:pPr>
      <w:bookmarkStart w:id="102" w:name="_13.4技术文件：具体材料见“投标人须知前附表”。"/>
      <w:bookmarkEnd w:id="102"/>
      <w:r>
        <w:rPr>
          <w:rFonts w:hint="eastAsia" w:ascii="宋体" w:hAnsi="宋体" w:cs="宋体"/>
          <w:b w:val="0"/>
          <w:color w:val="auto"/>
          <w:sz w:val="21"/>
          <w:szCs w:val="21"/>
          <w:highlight w:val="none"/>
        </w:rPr>
        <w:t>（4）技术文件：具体材料见“投标人须知前附表”。</w:t>
      </w:r>
    </w:p>
    <w:p w14:paraId="32C69277">
      <w:pPr>
        <w:pStyle w:val="6"/>
        <w:keepNext w:val="0"/>
        <w:keepLines w:val="0"/>
        <w:spacing w:before="0" w:after="0" w:line="360" w:lineRule="auto"/>
        <w:ind w:left="420" w:leftChars="200"/>
        <w:rPr>
          <w:rFonts w:ascii="宋体" w:hAnsi="宋体" w:cs="宋体"/>
          <w:color w:val="auto"/>
          <w:sz w:val="24"/>
          <w:highlight w:val="none"/>
        </w:rPr>
      </w:pPr>
      <w:bookmarkStart w:id="103" w:name="_13.5投标文件电子版：具体材料见“投标人须知前附表”。"/>
      <w:bookmarkEnd w:id="103"/>
      <w:bookmarkStart w:id="104" w:name="_Toc254970678"/>
      <w:bookmarkStart w:id="105" w:name="_Toc254970537"/>
      <w:r>
        <w:rPr>
          <w:rFonts w:hint="eastAsia" w:ascii="宋体" w:hAnsi="宋体" w:cs="宋体"/>
          <w:color w:val="auto"/>
          <w:sz w:val="24"/>
          <w:highlight w:val="none"/>
        </w:rPr>
        <w:t>14.投标文件的语言及计量</w:t>
      </w:r>
      <w:bookmarkEnd w:id="104"/>
      <w:bookmarkEnd w:id="105"/>
    </w:p>
    <w:p w14:paraId="492AC0F5">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4A2BEAE1">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945F690">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38AE2C2B">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color w:val="auto"/>
          <w:sz w:val="21"/>
          <w:szCs w:val="21"/>
          <w:highlight w:val="none"/>
        </w:rPr>
        <w:t>否则视同未响应。</w:t>
      </w:r>
    </w:p>
    <w:p w14:paraId="374F4A68">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5E4B5CD6">
      <w:pPr>
        <w:pStyle w:val="25"/>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14:paraId="05BC957A">
      <w:pPr>
        <w:pStyle w:val="6"/>
        <w:keepNext w:val="0"/>
        <w:keepLines w:val="0"/>
        <w:spacing w:before="0" w:after="0" w:line="360" w:lineRule="auto"/>
        <w:ind w:left="420" w:leftChars="200"/>
        <w:rPr>
          <w:rFonts w:ascii="宋体" w:hAnsi="宋体" w:cs="宋体"/>
          <w:color w:val="auto"/>
          <w:sz w:val="24"/>
          <w:highlight w:val="none"/>
        </w:rPr>
      </w:pPr>
      <w:bookmarkStart w:id="106" w:name="_Toc254970679"/>
      <w:bookmarkStart w:id="107" w:name="_Toc254970538"/>
      <w:r>
        <w:rPr>
          <w:rFonts w:hint="eastAsia" w:ascii="宋体" w:hAnsi="宋体" w:cs="宋体"/>
          <w:color w:val="auto"/>
          <w:sz w:val="24"/>
          <w:highlight w:val="none"/>
        </w:rPr>
        <w:t>16.投标报价</w:t>
      </w:r>
      <w:bookmarkEnd w:id="106"/>
      <w:bookmarkEnd w:id="107"/>
    </w:p>
    <w:p w14:paraId="31D37E4B">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375D032C">
      <w:pPr>
        <w:pStyle w:val="6"/>
        <w:keepNext w:val="0"/>
        <w:keepLines w:val="0"/>
        <w:spacing w:before="0" w:after="0" w:line="360" w:lineRule="auto"/>
        <w:ind w:left="420" w:leftChars="200"/>
        <w:rPr>
          <w:rFonts w:ascii="宋体" w:hAnsi="宋体" w:cs="宋体"/>
          <w:b w:val="0"/>
          <w:color w:val="auto"/>
          <w:sz w:val="21"/>
          <w:szCs w:val="21"/>
          <w:highlight w:val="none"/>
        </w:rPr>
      </w:pPr>
      <w:bookmarkStart w:id="108" w:name="_16.2投标报价具体定义见投标人须知前附表。"/>
      <w:bookmarkEnd w:id="108"/>
      <w:r>
        <w:rPr>
          <w:rFonts w:hint="eastAsia" w:ascii="宋体" w:hAnsi="宋体" w:cs="宋体"/>
          <w:b w:val="0"/>
          <w:color w:val="auto"/>
          <w:sz w:val="21"/>
          <w:szCs w:val="21"/>
          <w:highlight w:val="none"/>
        </w:rPr>
        <w:t>16.2投标报价具体包括内容详见“投标人须知前附表”。</w:t>
      </w:r>
    </w:p>
    <w:p w14:paraId="458C00D7">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16.3投标人必须就所投全部内容分别作完整唯一总价报价，不得存在漏项报价；投标人必须就所投的单项内容作唯一报价。</w:t>
      </w:r>
    </w:p>
    <w:p w14:paraId="6A0A3AEF">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7B9711F7">
      <w:pPr>
        <w:pStyle w:val="6"/>
        <w:keepNext w:val="0"/>
        <w:keepLines w:val="0"/>
        <w:spacing w:before="0" w:after="0" w:line="360" w:lineRule="auto"/>
        <w:ind w:firstLine="420" w:firstLineChars="200"/>
        <w:rPr>
          <w:rFonts w:ascii="宋体" w:hAnsi="宋体" w:cs="宋体"/>
          <w:b w:val="0"/>
          <w:color w:val="auto"/>
          <w:sz w:val="21"/>
          <w:szCs w:val="21"/>
          <w:highlight w:val="none"/>
        </w:rPr>
      </w:pPr>
      <w:bookmarkStart w:id="109" w:name="_17.1投标有效期应按“投标人须知中的前附表”规定的期限。"/>
      <w:bookmarkEnd w:id="109"/>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5D6568DF">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10" w:name="_Toc254970540"/>
      <w:bookmarkStart w:id="111" w:name="_Toc254970681"/>
      <w:r>
        <w:rPr>
          <w:rFonts w:hint="eastAsia" w:ascii="宋体" w:hAnsi="宋体" w:cs="宋体"/>
          <w:b w:val="0"/>
          <w:color w:val="auto"/>
          <w:sz w:val="21"/>
          <w:szCs w:val="21"/>
          <w:highlight w:val="none"/>
        </w:rPr>
        <w:t xml:space="preserve"> 投标有效期应按招标文件规定的期限作出承诺，具体详见“投标人须知前附表”。</w:t>
      </w:r>
      <w:r>
        <w:rPr>
          <w:rFonts w:hint="eastAsia" w:ascii="宋体" w:hAnsi="宋体" w:cs="宋体"/>
          <w:color w:val="auto"/>
          <w:sz w:val="21"/>
          <w:szCs w:val="21"/>
          <w:highlight w:val="none"/>
        </w:rPr>
        <w:t>承诺的投标有效期低于招标文件规定期限的，按无效投标处理</w:t>
      </w:r>
      <w:r>
        <w:rPr>
          <w:rFonts w:hint="eastAsia" w:ascii="宋体" w:hAnsi="宋体" w:cs="宋体"/>
          <w:b w:val="0"/>
          <w:color w:val="auto"/>
          <w:sz w:val="21"/>
          <w:szCs w:val="21"/>
          <w:highlight w:val="none"/>
        </w:rPr>
        <w:t>。</w:t>
      </w:r>
    </w:p>
    <w:p w14:paraId="5E34B2A0">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10"/>
      <w:bookmarkEnd w:id="111"/>
    </w:p>
    <w:p w14:paraId="7FB60932">
      <w:pPr>
        <w:pStyle w:val="6"/>
        <w:keepNext w:val="0"/>
        <w:keepLines w:val="0"/>
        <w:spacing w:before="0" w:after="0" w:line="360" w:lineRule="auto"/>
        <w:ind w:left="420" w:leftChars="200"/>
        <w:rPr>
          <w:rFonts w:ascii="宋体" w:hAnsi="宋体" w:cs="宋体"/>
          <w:color w:val="auto"/>
          <w:sz w:val="24"/>
          <w:highlight w:val="none"/>
        </w:rPr>
      </w:pPr>
      <w:bookmarkStart w:id="112" w:name="_18.投标保证金"/>
      <w:bookmarkEnd w:id="112"/>
      <w:bookmarkStart w:id="113" w:name="_Toc254970541"/>
      <w:bookmarkStart w:id="114" w:name="_Toc254970682"/>
      <w:r>
        <w:rPr>
          <w:rFonts w:hint="eastAsia" w:ascii="宋体" w:hAnsi="宋体" w:cs="宋体"/>
          <w:color w:val="auto"/>
          <w:sz w:val="24"/>
          <w:highlight w:val="none"/>
        </w:rPr>
        <w:t>18.投标保证金</w:t>
      </w:r>
      <w:bookmarkEnd w:id="113"/>
      <w:bookmarkEnd w:id="114"/>
    </w:p>
    <w:p w14:paraId="09D3BD87">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14:paraId="7B3DDF08">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66997EBA">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02A259A7">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2F525289">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352BC723">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7AA0DF80">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34505B2A">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5F298714">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6F5BE51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2D7DD2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045ED7BF">
      <w:pPr>
        <w:pStyle w:val="6"/>
        <w:keepNext w:val="0"/>
        <w:keepLines w:val="0"/>
        <w:spacing w:before="0" w:after="0" w:line="360" w:lineRule="auto"/>
        <w:ind w:left="420" w:leftChars="200"/>
        <w:rPr>
          <w:rFonts w:ascii="宋体" w:hAnsi="宋体" w:cs="宋体"/>
          <w:color w:val="auto"/>
          <w:sz w:val="24"/>
          <w:highlight w:val="none"/>
        </w:rPr>
      </w:pPr>
      <w:bookmarkStart w:id="115" w:name="_Toc254970683"/>
      <w:bookmarkStart w:id="116" w:name="_Toc254970542"/>
      <w:r>
        <w:rPr>
          <w:rFonts w:hint="eastAsia" w:ascii="宋体" w:hAnsi="宋体" w:cs="宋体"/>
          <w:color w:val="auto"/>
          <w:sz w:val="24"/>
          <w:highlight w:val="none"/>
        </w:rPr>
        <w:t>19.投标文件的</w:t>
      </w:r>
      <w:bookmarkEnd w:id="115"/>
      <w:bookmarkEnd w:id="116"/>
      <w:r>
        <w:rPr>
          <w:rFonts w:hint="eastAsia" w:ascii="宋体" w:hAnsi="宋体" w:cs="宋体"/>
          <w:color w:val="auto"/>
          <w:sz w:val="24"/>
          <w:highlight w:val="none"/>
        </w:rPr>
        <w:t>编制</w:t>
      </w:r>
    </w:p>
    <w:p w14:paraId="26D6701C">
      <w:pPr>
        <w:pStyle w:val="6"/>
        <w:keepNext w:val="0"/>
        <w:keepLines w:val="0"/>
        <w:numPr>
          <w:ilvl w:val="4"/>
          <w:numId w:val="5"/>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33388852">
      <w:pPr>
        <w:pStyle w:val="6"/>
        <w:keepNext w:val="0"/>
        <w:keepLines w:val="0"/>
        <w:numPr>
          <w:ilvl w:val="4"/>
          <w:numId w:val="5"/>
        </w:numPr>
        <w:spacing w:before="0" w:after="0" w:line="360" w:lineRule="auto"/>
        <w:ind w:firstLine="315" w:firstLineChars="150"/>
        <w:rPr>
          <w:rFonts w:ascii="宋体" w:hAnsi="宋体" w:cs="宋体"/>
          <w:b w:val="0"/>
          <w:color w:val="auto"/>
          <w:sz w:val="21"/>
          <w:szCs w:val="21"/>
          <w:highlight w:val="none"/>
        </w:rPr>
      </w:pPr>
      <w:bookmarkStart w:id="117" w:name="_19.2投标文件应按报价文件、资格证明文件、商务文件、技术文件分别编制"/>
      <w:bookmarkEnd w:id="117"/>
      <w:r>
        <w:rPr>
          <w:rFonts w:hint="eastAsia" w:ascii="宋体" w:hAnsi="宋体" w:cs="宋体"/>
          <w:b w:val="0"/>
          <w:color w:val="auto"/>
          <w:sz w:val="21"/>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27F5C56B">
      <w:pPr>
        <w:pStyle w:val="6"/>
        <w:keepNext w:val="0"/>
        <w:keepLines w:val="0"/>
        <w:numPr>
          <w:ilvl w:val="4"/>
          <w:numId w:val="5"/>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cs="宋体"/>
          <w:bCs/>
          <w:color w:val="auto"/>
          <w:sz w:val="21"/>
          <w:szCs w:val="21"/>
          <w:highlight w:val="none"/>
        </w:rPr>
        <w:t>否则按无效投标处理</w:t>
      </w:r>
      <w:r>
        <w:rPr>
          <w:rFonts w:hint="eastAsia" w:ascii="宋体" w:hAnsi="宋体" w:cs="宋体"/>
          <w:b w:val="0"/>
          <w:color w:val="auto"/>
          <w:sz w:val="21"/>
          <w:szCs w:val="21"/>
          <w:highlight w:val="none"/>
        </w:rPr>
        <w:t>。</w:t>
      </w:r>
    </w:p>
    <w:p w14:paraId="649FF165">
      <w:pPr>
        <w:pStyle w:val="6"/>
        <w:keepNext w:val="0"/>
        <w:keepLines w:val="0"/>
        <w:numPr>
          <w:ilvl w:val="4"/>
          <w:numId w:val="5"/>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2A2D253F">
      <w:pPr>
        <w:pStyle w:val="6"/>
        <w:keepNext w:val="0"/>
        <w:keepLines w:val="0"/>
        <w:numPr>
          <w:ilvl w:val="4"/>
          <w:numId w:val="5"/>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6FC340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20.电子备份投标文件</w:t>
      </w:r>
    </w:p>
    <w:p w14:paraId="4C4FCC46">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电子备份投标文件是指通过在线编制生成且后缀名为“bfbs”的文件，是否接受电子备份投标文件</w:t>
      </w:r>
      <w:r>
        <w:rPr>
          <w:rFonts w:hint="eastAsia" w:ascii="宋体" w:hAnsi="宋体" w:cs="宋体"/>
          <w:bCs/>
          <w:color w:val="auto"/>
          <w:szCs w:val="21"/>
          <w:highlight w:val="none"/>
        </w:rPr>
        <w:t>详见“投标人须知前附表”。</w:t>
      </w:r>
    </w:p>
    <w:p w14:paraId="51A990B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160ECE85">
      <w:pPr>
        <w:spacing w:line="360" w:lineRule="auto"/>
        <w:ind w:firstLine="420" w:firstLineChars="200"/>
        <w:rPr>
          <w:rFonts w:ascii="宋体" w:hAnsi="宋体" w:cs="宋体"/>
          <w:b/>
          <w:color w:val="auto"/>
          <w:highlight w:val="none"/>
        </w:rPr>
      </w:pPr>
      <w:r>
        <w:rPr>
          <w:rFonts w:hint="eastAsia" w:ascii="宋体" w:hAnsi="宋体" w:cs="宋体"/>
          <w:bCs/>
          <w:color w:val="auto"/>
          <w:szCs w:val="21"/>
          <w:highlight w:val="none"/>
        </w:rPr>
        <w:t>21.1投标人必须在“投标人须知前附表”规定的</w:t>
      </w:r>
      <w:r>
        <w:rPr>
          <w:rFonts w:hint="eastAsia" w:ascii="宋体" w:hAnsi="宋体" w:cs="宋体"/>
          <w:color w:val="auto"/>
          <w:szCs w:val="21"/>
          <w:highlight w:val="none"/>
        </w:rPr>
        <w:t>投标文件提交截止时间前将</w:t>
      </w:r>
      <w:r>
        <w:rPr>
          <w:rFonts w:hint="eastAsia" w:ascii="宋体" w:hAnsi="宋体" w:cs="宋体"/>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w:t>
      </w:r>
    </w:p>
    <w:p w14:paraId="52DDAD9E">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21.2未在规定时间内提交或者未按照招标文件要求加密的电子投标文件，“广西政府采购云平台”将拒收。</w:t>
      </w:r>
    </w:p>
    <w:p w14:paraId="540BBF41">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0E9BF7B8">
      <w:pPr>
        <w:snapToGrid w:val="0"/>
        <w:spacing w:line="360" w:lineRule="auto"/>
        <w:ind w:firstLine="420"/>
        <w:jc w:val="left"/>
        <w:rPr>
          <w:rFonts w:ascii="宋体" w:hAnsi="宋体" w:cs="宋体"/>
          <w:color w:val="auto"/>
          <w:szCs w:val="21"/>
          <w:highlight w:val="none"/>
        </w:rPr>
      </w:pPr>
      <w:bookmarkStart w:id="118" w:name="_Toc254970684"/>
      <w:bookmarkStart w:id="119" w:name="_Toc254970543"/>
      <w:r>
        <w:rPr>
          <w:rFonts w:hint="eastAsia" w:ascii="宋体" w:hAnsi="宋体" w:cs="宋体"/>
          <w:color w:val="auto"/>
          <w:szCs w:val="21"/>
          <w:highlight w:val="none"/>
        </w:rPr>
        <w:t>22.1</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将予以拒收。</w:t>
      </w:r>
      <w:r>
        <w:rPr>
          <w:rFonts w:hint="eastAsia" w:ascii="宋体" w:hAnsi="宋体" w:cs="宋体"/>
          <w:color w:val="auto"/>
          <w:szCs w:val="21"/>
          <w:highlight w:val="none"/>
        </w:rPr>
        <w:t>（补充、修改或者撤回方式可登录“广西政府采购云平台”</w:t>
      </w:r>
      <w:r>
        <w:rPr>
          <w:rFonts w:hint="eastAsia" w:ascii="宋体" w:hAnsi="宋体" w:cs="宋体"/>
          <w:color w:val="auto"/>
          <w:kern w:val="0"/>
          <w:szCs w:val="21"/>
          <w:highlight w:val="none"/>
        </w:rPr>
        <w:t>，</w:t>
      </w:r>
      <w:r>
        <w:rPr>
          <w:rFonts w:hint="eastAsia" w:ascii="宋体" w:hAnsi="宋体" w:cs="宋体"/>
          <w:color w:val="auto"/>
          <w:szCs w:val="21"/>
          <w:highlight w:val="none"/>
        </w:rPr>
        <w:t>进入“服务中心”中查看 “电子投标文件制作与投送教程”）</w:t>
      </w:r>
    </w:p>
    <w:p w14:paraId="74CCCB19">
      <w:pPr>
        <w:pStyle w:val="112"/>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677E1940">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bookmarkEnd w:id="118"/>
    <w:bookmarkEnd w:id="119"/>
    <w:p w14:paraId="09F49837">
      <w:pPr>
        <w:spacing w:line="360" w:lineRule="auto"/>
        <w:ind w:firstLine="420" w:firstLineChars="200"/>
        <w:rPr>
          <w:rFonts w:ascii="宋体" w:hAnsi="宋体" w:cs="宋体"/>
          <w:color w:val="auto"/>
          <w:szCs w:val="21"/>
          <w:highlight w:val="none"/>
        </w:rPr>
      </w:pPr>
    </w:p>
    <w:p w14:paraId="1F87E773">
      <w:pPr>
        <w:pStyle w:val="5"/>
        <w:keepNext w:val="0"/>
        <w:keepLines w:val="0"/>
        <w:jc w:val="center"/>
        <w:rPr>
          <w:rFonts w:ascii="宋体" w:hAnsi="宋体" w:cs="宋体"/>
          <w:color w:val="auto"/>
          <w:highlight w:val="none"/>
        </w:rPr>
      </w:pPr>
      <w:bookmarkStart w:id="120" w:name="_Toc254970685"/>
      <w:bookmarkStart w:id="121" w:name="_Toc254970544"/>
      <w:r>
        <w:rPr>
          <w:rFonts w:hint="eastAsia" w:ascii="宋体" w:hAnsi="宋体" w:cs="宋体"/>
          <w:color w:val="auto"/>
          <w:highlight w:val="none"/>
        </w:rPr>
        <w:t>四、开标</w:t>
      </w:r>
      <w:bookmarkEnd w:id="120"/>
      <w:bookmarkEnd w:id="121"/>
    </w:p>
    <w:p w14:paraId="0F03FFB9">
      <w:pPr>
        <w:pStyle w:val="6"/>
        <w:keepNext w:val="0"/>
        <w:keepLines w:val="0"/>
        <w:spacing w:before="0" w:after="0" w:line="360" w:lineRule="auto"/>
        <w:ind w:left="420" w:leftChars="200"/>
        <w:rPr>
          <w:rFonts w:ascii="宋体" w:hAnsi="宋体" w:cs="宋体"/>
          <w:color w:val="auto"/>
          <w:sz w:val="24"/>
          <w:highlight w:val="none"/>
        </w:rPr>
      </w:pPr>
      <w:bookmarkStart w:id="122" w:name="_23.开标时间和地点"/>
      <w:bookmarkEnd w:id="122"/>
      <w:r>
        <w:rPr>
          <w:rFonts w:hint="eastAsia" w:ascii="宋体" w:hAnsi="宋体" w:cs="宋体"/>
          <w:color w:val="auto"/>
          <w:sz w:val="24"/>
          <w:highlight w:val="none"/>
        </w:rPr>
        <w:t>23.开标时间和地点</w:t>
      </w:r>
    </w:p>
    <w:p w14:paraId="65FB2A3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开标时间及地点详见“投标人须知前附表”</w:t>
      </w:r>
    </w:p>
    <w:p w14:paraId="5A95E70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746DB9E2">
      <w:pPr>
        <w:pStyle w:val="7"/>
        <w:spacing w:line="360" w:lineRule="auto"/>
        <w:rPr>
          <w:rFonts w:ascii="宋体" w:hAnsi="宋体" w:cs="宋体"/>
          <w:color w:val="auto"/>
          <w:highlight w:val="none"/>
        </w:rPr>
      </w:pPr>
      <w:r>
        <w:rPr>
          <w:rFonts w:hint="eastAsia" w:ascii="宋体" w:hAnsi="宋体" w:cs="宋体"/>
          <w:color w:val="auto"/>
          <w:highlight w:val="none"/>
        </w:rPr>
        <w:t>24.1提交投标文件截止时间止，投标人不足3家的，不得开标。</w:t>
      </w:r>
    </w:p>
    <w:p w14:paraId="0950F97D">
      <w:pPr>
        <w:pStyle w:val="7"/>
        <w:spacing w:line="360" w:lineRule="auto"/>
        <w:rPr>
          <w:rFonts w:ascii="宋体" w:hAnsi="宋体" w:cs="宋体"/>
          <w:color w:val="auto"/>
          <w:highlight w:val="none"/>
        </w:rPr>
      </w:pPr>
      <w:r>
        <w:rPr>
          <w:rFonts w:hint="eastAsia" w:ascii="宋体" w:hAnsi="宋体" w:cs="宋体"/>
          <w:color w:val="auto"/>
          <w:highlight w:val="none"/>
        </w:rPr>
        <w:t>24.2采购代理机构将按照招标文件规定的时间通过</w:t>
      </w:r>
      <w:r>
        <w:rPr>
          <w:rFonts w:hint="eastAsia" w:ascii="宋体" w:hAnsi="宋体" w:cs="宋体"/>
          <w:color w:val="auto"/>
          <w:szCs w:val="21"/>
          <w:highlight w:val="none"/>
        </w:rPr>
        <w:t>“广西政府采购云平台”</w:t>
      </w:r>
      <w:r>
        <w:rPr>
          <w:rFonts w:hint="eastAsia" w:ascii="宋体" w:hAnsi="宋体" w:cs="宋体"/>
          <w:color w:val="auto"/>
          <w:highlight w:val="none"/>
        </w:rPr>
        <w:t>组织线上开标活动，所有供应商均应当准时在线参加，投标人因未在线参加开标而导致投标文件无法按时解密等一切后果由投标人自己承担。</w:t>
      </w:r>
    </w:p>
    <w:p w14:paraId="7FA16FBB">
      <w:pPr>
        <w:pStyle w:val="7"/>
        <w:spacing w:line="360" w:lineRule="auto"/>
        <w:rPr>
          <w:rFonts w:ascii="宋体" w:hAnsi="宋体" w:cs="宋体"/>
          <w:color w:val="auto"/>
          <w:highlight w:val="none"/>
        </w:rPr>
      </w:pPr>
      <w:r>
        <w:rPr>
          <w:rFonts w:hint="eastAsia" w:ascii="宋体" w:hAnsi="宋体" w:cs="宋体"/>
          <w:color w:val="auto"/>
          <w:highlight w:val="none"/>
        </w:rPr>
        <w:t>24.3开标程序</w:t>
      </w:r>
    </w:p>
    <w:p w14:paraId="585FFF4B">
      <w:pPr>
        <w:pStyle w:val="7"/>
        <w:spacing w:line="360" w:lineRule="auto"/>
        <w:rPr>
          <w:rFonts w:ascii="宋体" w:hAnsi="宋体" w:cs="宋体"/>
          <w:color w:val="auto"/>
          <w:highlight w:val="none"/>
        </w:rPr>
      </w:pPr>
      <w:r>
        <w:rPr>
          <w:rFonts w:hint="eastAsia" w:ascii="宋体" w:hAnsi="宋体" w:cs="宋体"/>
          <w:color w:val="auto"/>
          <w:highlight w:val="none"/>
        </w:rPr>
        <w:t>（1）解密电子投标文件。</w:t>
      </w:r>
      <w:r>
        <w:rPr>
          <w:rFonts w:hint="eastAsia" w:ascii="宋体" w:hAnsi="宋体" w:cs="宋体"/>
          <w:color w:val="auto"/>
          <w:szCs w:val="21"/>
          <w:highlight w:val="none"/>
        </w:rPr>
        <w:t>“广西政府采购云平台”</w:t>
      </w:r>
      <w:r>
        <w:rPr>
          <w:rFonts w:hint="eastAsia" w:ascii="宋体" w:hAnsi="宋体" w:cs="宋体"/>
          <w:color w:val="auto"/>
          <w:highlight w:val="none"/>
        </w:rPr>
        <w:t>按开标时间自动提取所有投标文件。采购代理机构依托</w:t>
      </w:r>
      <w:r>
        <w:rPr>
          <w:rFonts w:hint="eastAsia" w:ascii="宋体" w:hAnsi="宋体" w:cs="宋体"/>
          <w:color w:val="auto"/>
          <w:szCs w:val="21"/>
          <w:highlight w:val="none"/>
        </w:rPr>
        <w:t>“广西政府采购云平台”</w:t>
      </w:r>
      <w:r>
        <w:rPr>
          <w:rFonts w:hint="eastAsia" w:ascii="宋体" w:hAnsi="宋体" w:cs="宋体"/>
          <w:color w:val="auto"/>
          <w:highlight w:val="none"/>
        </w:rPr>
        <w:t>向各投标人发出电子加密投标文件【开始解密】通知，由投标人按</w:t>
      </w:r>
      <w:r>
        <w:rPr>
          <w:rFonts w:hint="eastAsia" w:ascii="宋体" w:hAnsi="宋体" w:cs="宋体"/>
          <w:bCs/>
          <w:color w:val="auto"/>
          <w:szCs w:val="21"/>
          <w:highlight w:val="none"/>
        </w:rPr>
        <w:t>“投标人须知前附表”</w:t>
      </w:r>
      <w:r>
        <w:rPr>
          <w:rFonts w:hint="eastAsia" w:ascii="宋体" w:hAnsi="宋体" w:cs="宋体"/>
          <w:color w:val="auto"/>
          <w:highlight w:val="none"/>
        </w:rPr>
        <w:t>规定的时间内自行进行投标文件解密。投标人的法定代表人或其委托代理人须凭加密时所用的CA锁准时登录到</w:t>
      </w:r>
      <w:r>
        <w:rPr>
          <w:rFonts w:hint="eastAsia" w:ascii="宋体" w:hAnsi="宋体" w:cs="宋体"/>
          <w:color w:val="auto"/>
          <w:szCs w:val="21"/>
          <w:highlight w:val="none"/>
        </w:rPr>
        <w:t>“广西政府采购云平台”</w:t>
      </w:r>
      <w:r>
        <w:rPr>
          <w:rFonts w:hint="eastAsia" w:ascii="宋体" w:hAnsi="宋体" w:cs="宋体"/>
          <w:color w:val="auto"/>
          <w:highlight w:val="none"/>
        </w:rPr>
        <w:t>电子开标大厅签到并对电子投标文件解密。</w:t>
      </w:r>
      <w:r>
        <w:rPr>
          <w:rFonts w:hint="eastAsia" w:ascii="宋体" w:hAnsi="宋体" w:cs="宋体"/>
          <w:b/>
          <w:color w:val="auto"/>
          <w:highlight w:val="none"/>
        </w:rPr>
        <w:t>投标人未在规定的时间内解密投标文件或者解密失败的，</w:t>
      </w:r>
      <w:r>
        <w:rPr>
          <w:rFonts w:hint="eastAsia" w:ascii="宋体" w:hAnsi="宋体" w:cs="宋体"/>
          <w:b/>
          <w:color w:val="auto"/>
          <w:szCs w:val="21"/>
          <w:highlight w:val="none"/>
        </w:rPr>
        <w:t>投标人的投标文件作无效处理。</w:t>
      </w:r>
    </w:p>
    <w:p w14:paraId="600D3836">
      <w:pPr>
        <w:pStyle w:val="7"/>
        <w:spacing w:line="360" w:lineRule="auto"/>
        <w:rPr>
          <w:rFonts w:ascii="宋体" w:hAnsi="宋体" w:cs="宋体"/>
          <w:color w:val="auto"/>
          <w:highlight w:val="none"/>
        </w:rPr>
      </w:pPr>
      <w:r>
        <w:rPr>
          <w:rFonts w:hint="eastAsia" w:ascii="宋体" w:hAnsi="宋体" w:cs="宋体"/>
          <w:color w:val="auto"/>
          <w:highlight w:val="none"/>
        </w:rPr>
        <w:t>（2）电子唱标。投标文件解密结束，宣布的内容均在</w:t>
      </w:r>
      <w:r>
        <w:rPr>
          <w:rFonts w:hint="eastAsia" w:ascii="宋体" w:hAnsi="宋体" w:cs="宋体"/>
          <w:color w:val="auto"/>
          <w:szCs w:val="21"/>
          <w:highlight w:val="none"/>
        </w:rPr>
        <w:t>“广西政府采购云平台”</w:t>
      </w:r>
      <w:r>
        <w:rPr>
          <w:rFonts w:hint="eastAsia" w:ascii="宋体" w:hAnsi="宋体" w:cs="宋体"/>
          <w:color w:val="auto"/>
          <w:highlight w:val="none"/>
        </w:rPr>
        <w:t>远程开标大厅展示，具体详见</w:t>
      </w:r>
      <w:r>
        <w:rPr>
          <w:rFonts w:hint="eastAsia" w:ascii="宋体" w:hAnsi="宋体" w:cs="宋体"/>
          <w:bCs/>
          <w:color w:val="auto"/>
          <w:highlight w:val="none"/>
        </w:rPr>
        <w:t>“投标人须知前附表”</w:t>
      </w:r>
      <w:r>
        <w:rPr>
          <w:rFonts w:hint="eastAsia" w:ascii="宋体" w:hAnsi="宋体" w:cs="宋体"/>
          <w:color w:val="auto"/>
          <w:highlight w:val="none"/>
        </w:rPr>
        <w:t>；</w:t>
      </w:r>
    </w:p>
    <w:p w14:paraId="44916625">
      <w:pPr>
        <w:pStyle w:val="7"/>
        <w:spacing w:line="360" w:lineRule="auto"/>
        <w:rPr>
          <w:rFonts w:ascii="宋体" w:hAnsi="宋体" w:cs="宋体"/>
          <w:color w:val="auto"/>
          <w:szCs w:val="21"/>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w:t>
      </w:r>
      <w:r>
        <w:rPr>
          <w:rFonts w:hint="eastAsia" w:ascii="宋体" w:hAnsi="宋体" w:cs="宋体"/>
          <w:color w:val="auto"/>
          <w:szCs w:val="21"/>
          <w:highlight w:val="none"/>
        </w:rPr>
        <w:t>场校核及勘误，并线上确认是否有异议，未确认的视同认可开标结果。</w:t>
      </w:r>
    </w:p>
    <w:p w14:paraId="1803B0C1">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A9011AD">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（5）开标结束。</w:t>
      </w:r>
    </w:p>
    <w:p w14:paraId="5F516D5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1"/>
          <w:highlight w:val="none"/>
        </w:rPr>
        <w:t>特别说明：如遇“广西政府采购云平台”电子化开标或评审程序调整的，按调整后执行。</w:t>
      </w:r>
    </w:p>
    <w:p w14:paraId="1BB0F346">
      <w:pPr>
        <w:pStyle w:val="7"/>
        <w:spacing w:line="360" w:lineRule="auto"/>
        <w:rPr>
          <w:rFonts w:ascii="宋体" w:hAnsi="宋体" w:cs="宋体"/>
          <w:color w:val="auto"/>
          <w:highlight w:val="none"/>
        </w:rPr>
      </w:pPr>
    </w:p>
    <w:p w14:paraId="65FBFAFC">
      <w:pPr>
        <w:pStyle w:val="25"/>
        <w:snapToGrid w:val="0"/>
        <w:spacing w:line="360" w:lineRule="auto"/>
        <w:ind w:left="689" w:leftChars="228" w:hanging="210" w:hangingChars="100"/>
        <w:rPr>
          <w:rFonts w:hAnsi="宋体" w:cs="宋体"/>
          <w:color w:val="auto"/>
          <w:sz w:val="21"/>
          <w:highlight w:val="none"/>
        </w:rPr>
      </w:pPr>
    </w:p>
    <w:p w14:paraId="5DA5D028">
      <w:pPr>
        <w:pStyle w:val="5"/>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14:paraId="41828DC7">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5C36BC7C">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25.1开标结束后，采购人或者采购代理机构通过电子开评标系统依据招标文件对电子投标文件进行线上资格审查。</w:t>
      </w:r>
    </w:p>
    <w:p w14:paraId="09DBD89D">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1874FAB7">
      <w:pPr>
        <w:pStyle w:val="6"/>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23" w:name="_25.3_投标人有下列情形之一的，资格审查不通过而导致其投标无效："/>
      <w:bookmarkEnd w:id="123"/>
      <w:r>
        <w:rPr>
          <w:rFonts w:hint="eastAsia" w:ascii="宋体" w:hAnsi="宋体" w:cs="宋体"/>
          <w:color w:val="auto"/>
          <w:sz w:val="21"/>
          <w:szCs w:val="21"/>
          <w:highlight w:val="none"/>
        </w:rPr>
        <w:t>25.3 投标人有下列情形之一的，资格审查不通过，作无效投标处理：</w:t>
      </w:r>
    </w:p>
    <w:p w14:paraId="681FD05A">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（1）不具备招标文件中规定的资格要求的；</w:t>
      </w:r>
    </w:p>
    <w:p w14:paraId="4F1613EC">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7807EBCB">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BCEF0E3">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（4）投标文件中的资格证明文件缺少任一项“投标人须知前附表”资格证明文件规定“必须提供”的文件资料的；</w:t>
      </w:r>
    </w:p>
    <w:p w14:paraId="2050056D">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（5）投标文件中的资格证明文件出现任一项不符合“投标人须知前附表”资格证明文件规定“必须提供”的文件资料要求或者无效的。</w:t>
      </w:r>
    </w:p>
    <w:p w14:paraId="7C0BADF6">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25.4合格投标人不足3家的，不得评标。</w:t>
      </w:r>
    </w:p>
    <w:p w14:paraId="44085733">
      <w:pPr>
        <w:pStyle w:val="25"/>
        <w:snapToGrid w:val="0"/>
        <w:spacing w:line="360" w:lineRule="auto"/>
        <w:ind w:left="689" w:leftChars="228" w:hanging="210" w:hangingChars="100"/>
        <w:rPr>
          <w:rFonts w:hAnsi="宋体" w:cs="宋体"/>
          <w:color w:val="auto"/>
          <w:sz w:val="21"/>
          <w:highlight w:val="none"/>
        </w:rPr>
      </w:pPr>
    </w:p>
    <w:p w14:paraId="3C16CCF7">
      <w:pPr>
        <w:pStyle w:val="5"/>
        <w:keepNext w:val="0"/>
        <w:keepLines w:val="0"/>
        <w:jc w:val="center"/>
        <w:rPr>
          <w:rFonts w:ascii="宋体" w:hAnsi="宋体" w:cs="宋体"/>
          <w:color w:val="auto"/>
          <w:highlight w:val="none"/>
        </w:rPr>
      </w:pPr>
      <w:r>
        <w:rPr>
          <w:rFonts w:hint="eastAsia" w:ascii="宋体" w:hAnsi="宋体" w:cs="宋体"/>
          <w:color w:val="auto"/>
          <w:highlight w:val="none"/>
        </w:rPr>
        <w:t>六、评标</w:t>
      </w:r>
    </w:p>
    <w:p w14:paraId="03584251">
      <w:pPr>
        <w:pStyle w:val="6"/>
        <w:keepNext w:val="0"/>
        <w:keepLines w:val="0"/>
        <w:spacing w:before="0" w:after="0" w:line="360" w:lineRule="auto"/>
        <w:ind w:left="420" w:leftChars="200"/>
        <w:rPr>
          <w:rFonts w:ascii="宋体" w:hAnsi="宋体" w:cs="宋体"/>
          <w:color w:val="auto"/>
          <w:sz w:val="24"/>
          <w:highlight w:val="none"/>
        </w:rPr>
      </w:pPr>
      <w:bookmarkStart w:id="124" w:name="_26.组建评标委员会"/>
      <w:bookmarkEnd w:id="124"/>
      <w:r>
        <w:rPr>
          <w:rFonts w:hint="eastAsia" w:ascii="宋体" w:hAnsi="宋体" w:cs="宋体"/>
          <w:color w:val="auto"/>
          <w:sz w:val="24"/>
          <w:highlight w:val="none"/>
        </w:rPr>
        <w:t>26.组建评标委员会</w:t>
      </w:r>
    </w:p>
    <w:p w14:paraId="4A2AA957">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26.1评标委员会由采购人代表和评审专家组成，具体人数详见“投标人须知前附表”，其中评审专家不得少于成员总数的三分之二。</w:t>
      </w:r>
    </w:p>
    <w:p w14:paraId="1646AF84">
      <w:pPr>
        <w:pStyle w:val="25"/>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26.2参加过采购项目前期咨询论证的专家，不得参加该采购项目的评审活动。</w:t>
      </w:r>
    </w:p>
    <w:p w14:paraId="4774E50F">
      <w:pPr>
        <w:pStyle w:val="25"/>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26.3采购代理机构应当基于</w:t>
      </w:r>
      <w:r>
        <w:rPr>
          <w:rFonts w:hint="eastAsia" w:hAnsi="宋体" w:cs="宋体"/>
          <w:color w:val="auto"/>
          <w:highlight w:val="none"/>
        </w:rPr>
        <w:t>“广西政府采购云平台”</w:t>
      </w:r>
      <w:r>
        <w:rPr>
          <w:rFonts w:hint="eastAsia" w:hAnsi="宋体" w:cs="宋体"/>
          <w:color w:val="auto"/>
          <w:sz w:val="21"/>
          <w:highlight w:val="none"/>
        </w:rPr>
        <w:t>抽（选）取评审专家。</w:t>
      </w:r>
    </w:p>
    <w:p w14:paraId="164FEEA4">
      <w:pPr>
        <w:pStyle w:val="25"/>
        <w:snapToGrid w:val="0"/>
        <w:spacing w:line="360" w:lineRule="auto"/>
        <w:ind w:left="2" w:leftChars="1" w:firstLine="420" w:firstLineChars="200"/>
        <w:rPr>
          <w:rFonts w:hAnsi="宋体" w:cs="宋体"/>
          <w:color w:val="auto"/>
          <w:sz w:val="21"/>
          <w:highlight w:val="none"/>
        </w:rPr>
      </w:pPr>
    </w:p>
    <w:p w14:paraId="77D72C48">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5DE84398">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评标委员会以“第四章 评标方法和评标标准”为依据对投标文件进行评审，没有规定的方法、评审因素和标准，不作为评标依据。</w:t>
      </w:r>
    </w:p>
    <w:p w14:paraId="031D41B8">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175280F1">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C1A4E3A">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w:t>
      </w:r>
      <w:bookmarkStart w:id="125" w:name="_28.3评标方法。本项目将按须知前附表规定的评标办法进行评标，具体评标"/>
      <w:bookmarkEnd w:id="125"/>
      <w:r>
        <w:rPr>
          <w:rFonts w:hint="eastAsia" w:hAnsi="宋体" w:cs="宋体"/>
          <w:color w:val="auto"/>
          <w:sz w:val="21"/>
          <w:highlight w:val="none"/>
        </w:rPr>
        <w:t>评委表决。评标委员会成员对需要共同认定的事项存在争议的，应当按照少数服从多数的原则作出结论。</w:t>
      </w:r>
    </w:p>
    <w:p w14:paraId="3935BD55">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0ACB449">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28.4评标过程的监控。本项目电子评标过程实行网上留痕、全程录音、录像监控，</w:t>
      </w:r>
      <w:r>
        <w:rPr>
          <w:rFonts w:hint="eastAsia" w:hAnsi="宋体" w:cs="宋体"/>
          <w:b/>
          <w:color w:val="auto"/>
          <w:sz w:val="21"/>
          <w:highlight w:val="none"/>
        </w:rPr>
        <w:t>投标人在评标过程中所进行的试图影响评标结果的不公正活动，可能导致其投标按无效处理。</w:t>
      </w:r>
    </w:p>
    <w:p w14:paraId="366B1848">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29.评标方法及中标候选人推荐</w:t>
      </w:r>
    </w:p>
    <w:p w14:paraId="343D2FEA">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3753BC04">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29.2 商务/技术要求允许负偏离的条款数详见“投标人须知前附表”。</w:t>
      </w:r>
    </w:p>
    <w:p w14:paraId="2884AE98">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29.3中标候选人推荐数量详见“投标人须知前附表”。</w:t>
      </w:r>
    </w:p>
    <w:p w14:paraId="3AB8A1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36D1DC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4A0636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4EB782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61D8EE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6A5CE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620299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184436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29.5出现下列情形之一的，应予废标：</w:t>
      </w:r>
    </w:p>
    <w:p w14:paraId="141C47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7A09DB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3B3E8A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503BB5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668660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67E40689">
      <w:pPr>
        <w:pStyle w:val="5"/>
        <w:keepNext w:val="0"/>
        <w:keepLines w:val="0"/>
        <w:jc w:val="center"/>
        <w:rPr>
          <w:rFonts w:ascii="宋体" w:hAnsi="宋体" w:cs="宋体"/>
          <w:color w:val="auto"/>
          <w:highlight w:val="none"/>
        </w:rPr>
      </w:pPr>
      <w:bookmarkStart w:id="126" w:name="_Toc254970687"/>
      <w:bookmarkStart w:id="127" w:name="_Toc254970546"/>
      <w:r>
        <w:rPr>
          <w:rFonts w:hint="eastAsia" w:ascii="宋体" w:hAnsi="宋体" w:cs="宋体"/>
          <w:color w:val="auto"/>
          <w:highlight w:val="none"/>
        </w:rPr>
        <w:t>七、</w:t>
      </w:r>
      <w:bookmarkEnd w:id="126"/>
      <w:bookmarkEnd w:id="127"/>
      <w:r>
        <w:rPr>
          <w:rFonts w:hint="eastAsia" w:ascii="宋体" w:hAnsi="宋体" w:cs="宋体"/>
          <w:color w:val="auto"/>
          <w:highlight w:val="none"/>
        </w:rPr>
        <w:t>中标和合同</w:t>
      </w:r>
    </w:p>
    <w:p w14:paraId="4CAA4BA1">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30.确定中标人</w:t>
      </w:r>
    </w:p>
    <w:p w14:paraId="37B6B0EF">
      <w:pPr>
        <w:pStyle w:val="6"/>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58835886">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01827EC4">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46C6A817">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25ED3BD0">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2B4257C4">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3513F191">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1D61A914">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6E3DC62C">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31.结果公告</w:t>
      </w:r>
    </w:p>
    <w:p w14:paraId="03D2C536">
      <w:pPr>
        <w:pStyle w:val="6"/>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284BED4">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32351EE8">
      <w:pPr>
        <w:pStyle w:val="6"/>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31.2中标人享受《政府采购促进中小企业发展管理办法》（财库〔2020〕46号）规定的中小企业扶持政策的，采购人、采购代理机构应当随中标结果公开中标人的《中小企业声明函》。</w:t>
      </w:r>
    </w:p>
    <w:p w14:paraId="0C2E1FD9">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29149C40">
      <w:pPr>
        <w:pStyle w:val="6"/>
        <w:keepNext w:val="0"/>
        <w:keepLines w:val="0"/>
        <w:spacing w:before="0" w:after="0" w:line="38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104E14E1">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62EFA246">
      <w:pPr>
        <w:pStyle w:val="6"/>
        <w:keepNext w:val="0"/>
        <w:keepLines w:val="0"/>
        <w:spacing w:before="0" w:after="0" w:line="38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w:t>
      </w:r>
    </w:p>
    <w:p w14:paraId="184CBE2A">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396F7D35">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19F363C0">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6A76A90A">
      <w:pPr>
        <w:pStyle w:val="6"/>
        <w:keepNext w:val="0"/>
        <w:keepLines w:val="0"/>
        <w:spacing w:before="0" w:after="0" w:line="380" w:lineRule="exact"/>
        <w:ind w:firstLine="315" w:firstLineChars="150"/>
        <w:rPr>
          <w:rFonts w:ascii="宋体" w:hAnsi="宋体" w:cs="宋体"/>
          <w:b w:val="0"/>
          <w:color w:val="auto"/>
          <w:sz w:val="21"/>
          <w:szCs w:val="21"/>
          <w:highlight w:val="none"/>
        </w:rPr>
      </w:pPr>
      <w:bookmarkStart w:id="128" w:name="_39.1中标人须于签订合同前按本须知前附表规定的金额转账或电汇到指定账"/>
      <w:bookmarkEnd w:id="128"/>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w:t>
      </w:r>
    </w:p>
    <w:p w14:paraId="690AC1A9">
      <w:pPr>
        <w:pStyle w:val="6"/>
        <w:keepNext w:val="0"/>
        <w:keepLines w:val="0"/>
        <w:spacing w:before="0" w:after="0" w:line="380" w:lineRule="exact"/>
        <w:ind w:firstLine="315" w:firstLineChars="150"/>
        <w:rPr>
          <w:rFonts w:ascii="宋体" w:hAnsi="宋体" w:cs="宋体"/>
          <w:color w:val="auto"/>
          <w:sz w:val="21"/>
          <w:szCs w:val="21"/>
          <w:highlight w:val="none"/>
        </w:rPr>
      </w:pPr>
      <w:r>
        <w:rPr>
          <w:rFonts w:hint="eastAsia" w:ascii="宋体" w:hAnsi="宋体" w:cs="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4DCE0FE8">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60AB1F3C">
      <w:pPr>
        <w:pStyle w:val="6"/>
        <w:keepNext w:val="0"/>
        <w:keepLines w:val="0"/>
        <w:spacing w:before="0" w:after="0" w:line="380" w:lineRule="exact"/>
        <w:ind w:firstLine="316" w:firstLineChars="150"/>
        <w:rPr>
          <w:rFonts w:ascii="宋体" w:hAnsi="宋体" w:cs="宋体"/>
          <w:b w:val="0"/>
          <w:color w:val="auto"/>
          <w:sz w:val="21"/>
          <w:szCs w:val="21"/>
          <w:highlight w:val="none"/>
        </w:rPr>
      </w:pPr>
      <w:bookmarkStart w:id="129" w:name="_40.1投标人接到中标通知书后，按须知前附表规定向采购人出示相关资格证"/>
      <w:bookmarkEnd w:id="129"/>
      <w:r>
        <w:rPr>
          <w:rFonts w:hint="eastAsia" w:ascii="宋体" w:hAnsi="宋体" w:cs="宋体"/>
          <w:color w:val="auto"/>
          <w:sz w:val="21"/>
          <w:szCs w:val="21"/>
          <w:highlight w:val="none"/>
        </w:rPr>
        <w:t>36.1签订电子采购合同：中标人领取电子中标通知书后，</w:t>
      </w:r>
      <w:r>
        <w:rPr>
          <w:rFonts w:hint="eastAsia" w:ascii="宋体" w:hAnsi="宋体" w:cs="宋体"/>
          <w:color w:val="auto"/>
          <w:kern w:val="0"/>
          <w:sz w:val="21"/>
          <w:szCs w:val="21"/>
          <w:highlight w:val="none"/>
        </w:rPr>
        <w:t>在</w:t>
      </w:r>
      <w:r>
        <w:rPr>
          <w:rFonts w:hint="eastAsia" w:ascii="宋体" w:hAnsi="宋体" w:cs="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403B71F0">
      <w:pPr>
        <w:pStyle w:val="6"/>
        <w:keepNext w:val="0"/>
        <w:keepLines w:val="0"/>
        <w:spacing w:before="0" w:after="0" w:line="38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25455520">
      <w:pPr>
        <w:pStyle w:val="6"/>
        <w:keepNext w:val="0"/>
        <w:keepLines w:val="0"/>
        <w:numPr>
          <w:ilvl w:val="0"/>
          <w:numId w:val="0"/>
        </w:numPr>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14:paraId="73EC2F8D">
      <w:pPr>
        <w:pStyle w:val="6"/>
        <w:keepNext w:val="0"/>
        <w:keepLines w:val="0"/>
        <w:spacing w:before="0" w:after="0" w:line="38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1B18318D">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A935E21">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36.5采购人或中标人不得单方面向合同另一方提出任何招标文件没有约定的条件或不合理的要求，作为签订合同的条件；也不得协商另行订立背离招标文件和合同实质性内容的协议。</w:t>
      </w:r>
    </w:p>
    <w:p w14:paraId="35CF4737">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36.6如签订合同并生效后，供应商无故拒绝或延期，除按照合同条款处理外，将承担相应的法律责任。</w:t>
      </w:r>
    </w:p>
    <w:p w14:paraId="0C90318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36.7政府采购合同履行中，采购人需追加与合同标的相同的货物、工程或者服务的，在不改变合同其他条款的前提下，可以与供应商协商签订补充合同。</w:t>
      </w:r>
    </w:p>
    <w:p w14:paraId="7F6ACAE7">
      <w:pPr>
        <w:pStyle w:val="6"/>
        <w:keepNext w:val="0"/>
        <w:keepLines w:val="0"/>
        <w:spacing w:before="0" w:after="0" w:line="380" w:lineRule="exact"/>
        <w:ind w:left="420" w:leftChars="200"/>
        <w:rPr>
          <w:rFonts w:ascii="宋体" w:hAnsi="宋体" w:cs="宋体"/>
          <w:color w:val="auto"/>
          <w:sz w:val="24"/>
          <w:highlight w:val="none"/>
        </w:rPr>
      </w:pPr>
      <w:bookmarkStart w:id="130" w:name="_41.政府采购合同公告"/>
      <w:bookmarkEnd w:id="130"/>
      <w:r>
        <w:rPr>
          <w:rFonts w:hint="eastAsia" w:ascii="宋体" w:hAnsi="宋体" w:cs="宋体"/>
          <w:color w:val="auto"/>
          <w:sz w:val="24"/>
          <w:highlight w:val="none"/>
        </w:rPr>
        <w:t>37.政府采购合同公告</w:t>
      </w:r>
    </w:p>
    <w:p w14:paraId="5944340A">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6AD7D9F2">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6E76EE9A">
      <w:pPr>
        <w:pStyle w:val="7"/>
        <w:spacing w:line="340" w:lineRule="exact"/>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29AB11E0">
      <w:pPr>
        <w:pStyle w:val="6"/>
        <w:keepNext w:val="0"/>
        <w:keepLines w:val="0"/>
        <w:spacing w:before="0" w:after="0" w:line="34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4467F606">
      <w:pPr>
        <w:pStyle w:val="25"/>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14:paraId="41F696D1">
      <w:pPr>
        <w:pStyle w:val="25"/>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18C08598">
      <w:pPr>
        <w:pStyle w:val="25"/>
        <w:snapToGrid w:val="0"/>
        <w:spacing w:line="340" w:lineRule="exact"/>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561EEEFD">
      <w:pPr>
        <w:pStyle w:val="6"/>
        <w:keepNext w:val="0"/>
        <w:keepLines w:val="0"/>
        <w:spacing w:before="0" w:after="0" w:line="34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38.3</w:t>
      </w:r>
      <w:r>
        <w:rPr>
          <w:rFonts w:hint="eastAsia" w:ascii="宋体" w:hAnsi="宋体" w:cs="宋体"/>
          <w:b w:val="0"/>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3513B629">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（1）供应商的姓名或者名称、地址、邮编、联系人及联系电话；</w:t>
      </w:r>
    </w:p>
    <w:p w14:paraId="0259CA30">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36E3CF24">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6D906F51">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655ECE51">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23BFF0CF">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351C5724">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供应商为自然人的，应当由本人签字；供应商为法人或者其他组织的，应当由法定代表人、主要负责人，或者其委托代理人签字或者盖章，并加盖公章。</w:t>
      </w:r>
    </w:p>
    <w:p w14:paraId="6E9380A4">
      <w:pPr>
        <w:pStyle w:val="6"/>
        <w:keepNext w:val="0"/>
        <w:keepLines w:val="0"/>
        <w:snapToGrid w:val="0"/>
        <w:spacing w:before="0" w:after="0" w:line="340" w:lineRule="exact"/>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2877FEA3">
      <w:pPr>
        <w:pStyle w:val="25"/>
        <w:snapToGrid w:val="0"/>
        <w:spacing w:line="340" w:lineRule="exact"/>
        <w:rPr>
          <w:rFonts w:hAnsi="宋体" w:cs="宋体"/>
          <w:bCs/>
          <w:color w:val="auto"/>
          <w:sz w:val="21"/>
          <w:highlight w:val="none"/>
        </w:rPr>
      </w:pPr>
      <w:r>
        <w:rPr>
          <w:rFonts w:hint="eastAsia" w:hAnsi="宋体" w:cs="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75CF2527">
      <w:pPr>
        <w:pStyle w:val="25"/>
        <w:snapToGrid w:val="0"/>
        <w:spacing w:line="340" w:lineRule="exact"/>
        <w:rPr>
          <w:rFonts w:hAnsi="宋体" w:cs="宋体"/>
          <w:bCs/>
          <w:color w:val="auto"/>
          <w:sz w:val="21"/>
          <w:highlight w:val="none"/>
        </w:rPr>
      </w:pPr>
      <w:r>
        <w:rPr>
          <w:rFonts w:hint="eastAsia" w:hAnsi="宋体" w:cs="宋体"/>
          <w:bCs/>
          <w:color w:val="auto"/>
          <w:sz w:val="21"/>
          <w:highlight w:val="none"/>
        </w:rPr>
        <w:t>　　（二）对采购过程、中标结果提出的质疑，合格供应商符合法定数量时，可以从合格的中标候选人中另行确定中标人的，应当依法另行确定中标人；否则应当重新开展采购活动。</w:t>
      </w:r>
    </w:p>
    <w:p w14:paraId="03C08E2D">
      <w:pPr>
        <w:pStyle w:val="25"/>
        <w:snapToGrid w:val="0"/>
        <w:spacing w:line="340" w:lineRule="exact"/>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6EBE59A8">
      <w:pPr>
        <w:pStyle w:val="25"/>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9161565">
      <w:pPr>
        <w:pStyle w:val="5"/>
        <w:keepNext w:val="0"/>
        <w:keepLines w:val="0"/>
        <w:spacing w:line="340" w:lineRule="exact"/>
        <w:jc w:val="center"/>
        <w:rPr>
          <w:rFonts w:ascii="宋体" w:hAnsi="宋体" w:cs="宋体"/>
          <w:color w:val="auto"/>
          <w:highlight w:val="none"/>
        </w:rPr>
      </w:pPr>
      <w:r>
        <w:rPr>
          <w:rFonts w:hint="eastAsia" w:ascii="宋体" w:hAnsi="宋体" w:cs="宋体"/>
          <w:color w:val="auto"/>
          <w:highlight w:val="none"/>
        </w:rPr>
        <w:t>八、其他事项</w:t>
      </w:r>
    </w:p>
    <w:p w14:paraId="749A8CA5">
      <w:pPr>
        <w:pStyle w:val="6"/>
        <w:keepNext w:val="0"/>
        <w:keepLines w:val="0"/>
        <w:spacing w:before="0" w:after="0" w:line="340" w:lineRule="exact"/>
        <w:ind w:left="420" w:leftChars="200"/>
        <w:rPr>
          <w:rFonts w:ascii="宋体" w:hAnsi="宋体" w:cs="宋体"/>
          <w:color w:val="auto"/>
          <w:sz w:val="24"/>
          <w:highlight w:val="none"/>
        </w:rPr>
      </w:pPr>
      <w:bookmarkStart w:id="131" w:name="_42.代理服务费"/>
      <w:bookmarkEnd w:id="131"/>
      <w:r>
        <w:rPr>
          <w:rFonts w:hint="eastAsia" w:ascii="宋体" w:hAnsi="宋体" w:cs="宋体"/>
          <w:color w:val="auto"/>
          <w:sz w:val="24"/>
          <w:highlight w:val="none"/>
        </w:rPr>
        <w:t>39.代理服务费</w:t>
      </w:r>
    </w:p>
    <w:p w14:paraId="609F55E5">
      <w:pPr>
        <w:pStyle w:val="6"/>
        <w:keepNext w:val="0"/>
        <w:keepLines w:val="0"/>
        <w:spacing w:before="0" w:after="0" w:line="3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代理服务收取标准及缴费账户详见“投标人须知前附表”，投标人为联合体的，可以由联合体中的一方或者多方共同交纳代理服务费。</w:t>
      </w:r>
    </w:p>
    <w:p w14:paraId="3990396D">
      <w:pPr>
        <w:pStyle w:val="6"/>
        <w:keepNext w:val="0"/>
        <w:keepLines w:val="0"/>
        <w:spacing w:before="0" w:after="0" w:line="340" w:lineRule="exact"/>
        <w:ind w:left="420" w:leftChars="200"/>
        <w:rPr>
          <w:rFonts w:ascii="宋体" w:hAnsi="宋体" w:cs="宋体"/>
          <w:color w:val="auto"/>
          <w:sz w:val="24"/>
          <w:highlight w:val="none"/>
        </w:rPr>
      </w:pPr>
      <w:r>
        <w:rPr>
          <w:rFonts w:hint="eastAsia" w:ascii="宋体" w:hAnsi="宋体" w:cs="宋体"/>
          <w:color w:val="auto"/>
          <w:sz w:val="24"/>
          <w:highlight w:val="none"/>
        </w:rPr>
        <w:t>40. 需要补充的其他内容</w:t>
      </w:r>
    </w:p>
    <w:p w14:paraId="69804AF6">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06BEB1D1">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14:paraId="397ECBB7">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32"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1B033DD7">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E5A10EA">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0182D012">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0BFA32D">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E30B21B">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2"/>
    </w:p>
    <w:p w14:paraId="61ADC5AF">
      <w:pPr>
        <w:pStyle w:val="6"/>
        <w:keepNext w:val="0"/>
        <w:keepLines w:val="0"/>
        <w:spacing w:before="0" w:after="0" w:line="400" w:lineRule="exact"/>
        <w:ind w:left="420" w:leftChars="200"/>
        <w:rPr>
          <w:rFonts w:ascii="宋体" w:hAnsi="宋体" w:cs="宋体"/>
          <w:color w:val="auto"/>
          <w:sz w:val="24"/>
          <w:highlight w:val="none"/>
        </w:rPr>
      </w:pPr>
      <w:r>
        <w:rPr>
          <w:rFonts w:hint="eastAsia" w:ascii="宋体" w:hAnsi="宋体" w:cs="宋体"/>
          <w:color w:val="auto"/>
          <w:sz w:val="24"/>
          <w:highlight w:val="none"/>
        </w:rPr>
        <w:t>41.广西线上“政采贷”政策详见附表2。</w:t>
      </w:r>
    </w:p>
    <w:p w14:paraId="173D2019">
      <w:pPr>
        <w:widowControl/>
        <w:jc w:val="left"/>
        <w:rPr>
          <w:rFonts w:ascii="宋体" w:hAnsi="宋体" w:cs="宋体"/>
          <w:b/>
          <w:bCs/>
          <w:color w:val="auto"/>
          <w:sz w:val="24"/>
          <w:highlight w:val="none"/>
        </w:rPr>
      </w:pPr>
      <w:r>
        <w:rPr>
          <w:rFonts w:hint="eastAsia" w:ascii="宋体" w:hAnsi="宋体" w:cs="宋体"/>
          <w:b/>
          <w:bCs/>
          <w:color w:val="auto"/>
          <w:sz w:val="24"/>
          <w:highlight w:val="none"/>
        </w:rPr>
        <w:br w:type="page"/>
      </w:r>
    </w:p>
    <w:p w14:paraId="67F82AD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附表1：</w:t>
      </w:r>
    </w:p>
    <w:p w14:paraId="251564DE">
      <w:pPr>
        <w:spacing w:line="360" w:lineRule="auto"/>
        <w:ind w:left="25" w:leftChars="12" w:firstLine="472" w:firstLineChars="147"/>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2F703B60">
      <w:pPr>
        <w:spacing w:after="120"/>
        <w:rPr>
          <w:rFonts w:ascii="宋体" w:hAnsi="宋体" w:cs="宋体"/>
          <w:color w:val="auto"/>
          <w:highlight w:val="none"/>
        </w:rPr>
      </w:pPr>
    </w:p>
    <w:p w14:paraId="41735FF4">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4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39A9960">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53D2E25">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5D3BC3D7">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3EC7CD32">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03967369">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7E438E5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4FE15E08">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06417FF9">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53AE01CF">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4AAD9E7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4FDAAF4">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15D29D2">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E97F1D4">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D9FEE0D">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EF0A5C9">
            <w:pPr>
              <w:widowControl/>
              <w:spacing w:before="100" w:beforeAutospacing="1" w:after="100" w:afterAutospacing="1" w:line="240" w:lineRule="atLeast"/>
              <w:jc w:val="center"/>
              <w:rPr>
                <w:rFonts w:ascii="宋体" w:hAnsi="宋体" w:cs="宋体"/>
                <w:color w:val="auto"/>
                <w:kern w:val="0"/>
                <w:szCs w:val="21"/>
                <w:highlight w:val="none"/>
              </w:rPr>
            </w:pPr>
          </w:p>
        </w:tc>
      </w:tr>
      <w:tr w14:paraId="760CD2D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3024257">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6DEBDCD">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67768BD">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6FD9E7E">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AF7E689">
            <w:pPr>
              <w:widowControl/>
              <w:spacing w:before="100" w:beforeAutospacing="1" w:after="100" w:afterAutospacing="1" w:line="240" w:lineRule="atLeast"/>
              <w:jc w:val="center"/>
              <w:rPr>
                <w:rFonts w:ascii="宋体" w:hAnsi="宋体" w:cs="宋体"/>
                <w:color w:val="auto"/>
                <w:kern w:val="0"/>
                <w:szCs w:val="21"/>
                <w:highlight w:val="none"/>
              </w:rPr>
            </w:pPr>
          </w:p>
        </w:tc>
      </w:tr>
      <w:tr w14:paraId="4846B581">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5160AF9F">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6E7A0E8B">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6D4F0A6">
            <w:pPr>
              <w:widowControl/>
              <w:spacing w:before="100" w:beforeAutospacing="1" w:after="100" w:afterAutospacing="1" w:line="240" w:lineRule="atLeast"/>
              <w:jc w:val="center"/>
              <w:rPr>
                <w:rFonts w:ascii="宋体" w:hAnsi="宋体" w:cs="宋体"/>
                <w:color w:val="auto"/>
                <w:kern w:val="0"/>
                <w:szCs w:val="21"/>
                <w:highlight w:val="none"/>
              </w:rPr>
            </w:pPr>
          </w:p>
        </w:tc>
      </w:tr>
      <w:tr w14:paraId="372C2ECF">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3758196">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合计大写金额：仟佰拾万仟佰拾元</w:t>
            </w:r>
          </w:p>
        </w:tc>
      </w:tr>
      <w:tr w14:paraId="341C0857">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2FECEAB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4E0999A0">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3A0C0B8">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57063613">
            <w:pPr>
              <w:widowControl/>
              <w:spacing w:before="100" w:beforeAutospacing="1" w:after="100" w:afterAutospacing="1" w:line="240" w:lineRule="atLeast"/>
              <w:jc w:val="center"/>
              <w:rPr>
                <w:rFonts w:ascii="宋体" w:hAnsi="宋体" w:cs="宋体"/>
                <w:color w:val="auto"/>
                <w:kern w:val="0"/>
                <w:szCs w:val="21"/>
                <w:highlight w:val="none"/>
              </w:rPr>
            </w:pPr>
          </w:p>
        </w:tc>
      </w:tr>
      <w:tr w14:paraId="6C27C1A2">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1F42F7C9">
            <w:pPr>
              <w:widowControl/>
              <w:spacing w:before="100" w:beforeAutospacing="1" w:after="100" w:afterAutospacing="1" w:line="240" w:lineRule="atLeast"/>
              <w:jc w:val="center"/>
              <w:rPr>
                <w:rFonts w:ascii="宋体" w:hAnsi="宋体"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2A3F87FF">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9723EC1">
            <w:pPr>
              <w:widowControl/>
              <w:spacing w:before="100" w:beforeAutospacing="1" w:after="100" w:afterAutospacing="1" w:line="240" w:lineRule="atLeast"/>
              <w:jc w:val="center"/>
              <w:rPr>
                <w:rFonts w:ascii="宋体" w:hAnsi="宋体"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69BD7169">
            <w:pPr>
              <w:widowControl/>
              <w:spacing w:before="100" w:beforeAutospacing="1" w:after="100" w:afterAutospacing="1" w:line="240" w:lineRule="atLeast"/>
              <w:jc w:val="center"/>
              <w:rPr>
                <w:rFonts w:ascii="宋体" w:hAnsi="宋体" w:cs="宋体"/>
                <w:color w:val="auto"/>
                <w:kern w:val="0"/>
                <w:szCs w:val="21"/>
                <w:highlight w:val="none"/>
              </w:rPr>
            </w:pPr>
          </w:p>
        </w:tc>
      </w:tr>
      <w:tr w14:paraId="75834C8A">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C43969">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DC90E55">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招标文件、投标文件及验收方案等进行验收；并核对中标人在安装调试等方面是否违反合同约定或者服务规范要求、提供的质量保证证明材料是否齐全、应有的配件及附件是否达到合同约定等。可附件)</w:t>
            </w:r>
          </w:p>
        </w:tc>
      </w:tr>
      <w:tr w14:paraId="75F947C1">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EDFE71">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39CBCE64">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0E43F9BB">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1829567A">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0FAAB003">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13775A3E">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5BC6140D">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F93153">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28A56F75">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66C2FC">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02FFB95A">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6B218F3B">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5DD24C54">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中标人负责人签字或者盖章：</w:t>
            </w:r>
          </w:p>
          <w:p w14:paraId="303FE971">
            <w:pPr>
              <w:widowControl/>
              <w:spacing w:before="100" w:beforeAutospacing="1" w:after="100" w:afterAutospacing="1" w:line="320" w:lineRule="atLeast"/>
              <w:jc w:val="left"/>
              <w:rPr>
                <w:rFonts w:ascii="宋体" w:hAnsi="宋体" w:cs="宋体"/>
                <w:color w:val="auto"/>
                <w:kern w:val="0"/>
                <w:szCs w:val="21"/>
                <w:highlight w:val="none"/>
              </w:rPr>
            </w:pPr>
          </w:p>
          <w:p w14:paraId="19A74268">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66A714D9">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1B9AC7B6">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7FBBEAD2">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3FDFBC1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br w:type="page"/>
      </w:r>
    </w:p>
    <w:p w14:paraId="5C9C263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附表2：</w:t>
      </w:r>
    </w:p>
    <w:p w14:paraId="71AE44E1">
      <w:pPr>
        <w:rPr>
          <w:rFonts w:ascii="宋体" w:hAnsi="宋体" w:cs="宋体"/>
          <w:b/>
          <w:color w:val="auto"/>
          <w:sz w:val="24"/>
          <w:highlight w:val="none"/>
        </w:rPr>
      </w:pPr>
      <w:r>
        <w:rPr>
          <w:rFonts w:hint="eastAsia" w:ascii="宋体" w:hAnsi="宋体" w:cs="宋体"/>
          <w:b/>
          <w:color w:val="auto"/>
          <w:kern w:val="0"/>
          <w:sz w:val="24"/>
          <w:szCs w:val="21"/>
          <w:highlight w:val="none"/>
        </w:rPr>
        <w:drawing>
          <wp:inline distT="0" distB="0" distL="0" distR="0">
            <wp:extent cx="5287010" cy="5821045"/>
            <wp:effectExtent l="19050" t="0" r="8890" b="0"/>
            <wp:docPr id="2" name="图片 2" descr="C:\Users\Administrator\AppData\Roaming\Tencent\Users\84332323\QQ\WinTemp\RichOle\IBTSMDNQID2EUB%25252525252525252525257b1%25252525252525252525255d6~P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84332323\QQ\WinTemp\RichOle\IBTSMDNQID2EUB%25252525252525252525257b1%25252525252525252525255d6~PD(5.png"/>
                    <pic:cNvPicPr>
                      <a:picLocks noChangeAspect="1" noChangeArrowheads="1"/>
                    </pic:cNvPicPr>
                  </pic:nvPicPr>
                  <pic:blipFill>
                    <a:blip r:embed="rId17" r:link="rId18" cstate="print"/>
                    <a:srcRect/>
                    <a:stretch>
                      <a:fillRect/>
                    </a:stretch>
                  </pic:blipFill>
                  <pic:spPr>
                    <a:xfrm>
                      <a:off x="0" y="0"/>
                      <a:ext cx="5287010" cy="5821045"/>
                    </a:xfrm>
                    <a:prstGeom prst="rect">
                      <a:avLst/>
                    </a:prstGeom>
                    <a:noFill/>
                    <a:ln w="9525">
                      <a:noFill/>
                      <a:miter lim="800000"/>
                      <a:headEnd/>
                      <a:tailEnd/>
                    </a:ln>
                  </pic:spPr>
                </pic:pic>
              </a:graphicData>
            </a:graphic>
          </wp:inline>
        </w:drawing>
      </w:r>
    </w:p>
    <w:p w14:paraId="00248868">
      <w:pPr>
        <w:rPr>
          <w:rFonts w:ascii="宋体" w:hAnsi="宋体" w:cs="宋体"/>
          <w:b/>
          <w:color w:val="auto"/>
          <w:sz w:val="24"/>
          <w:highlight w:val="none"/>
        </w:rPr>
      </w:pPr>
    </w:p>
    <w:p w14:paraId="24B3FC47">
      <w:pPr>
        <w:pStyle w:val="25"/>
        <w:spacing w:before="120" w:after="120" w:line="400" w:lineRule="exact"/>
        <w:ind w:firstLine="420" w:firstLineChars="200"/>
        <w:contextualSpacing/>
        <w:rPr>
          <w:rFonts w:hAnsi="宋体" w:cs="宋体"/>
          <w:color w:val="auto"/>
          <w:sz w:val="21"/>
          <w:highlight w:val="none"/>
        </w:rPr>
      </w:pPr>
    </w:p>
    <w:p w14:paraId="742DE539">
      <w:pPr>
        <w:widowControl/>
        <w:jc w:val="left"/>
        <w:rPr>
          <w:rFonts w:ascii="宋体" w:hAnsi="宋体" w:cs="宋体"/>
          <w:color w:val="auto"/>
          <w:kern w:val="0"/>
          <w:szCs w:val="21"/>
          <w:highlight w:val="none"/>
        </w:rPr>
      </w:pPr>
      <w:r>
        <w:rPr>
          <w:rFonts w:hint="eastAsia" w:ascii="宋体" w:hAnsi="宋体" w:cs="宋体"/>
          <w:color w:val="auto"/>
          <w:highlight w:val="none"/>
        </w:rPr>
        <w:br w:type="page"/>
      </w:r>
    </w:p>
    <w:p w14:paraId="6C47AEBF">
      <w:pPr>
        <w:pStyle w:val="25"/>
        <w:spacing w:before="120" w:after="120" w:line="400" w:lineRule="exact"/>
        <w:ind w:firstLine="420" w:firstLineChars="200"/>
        <w:contextualSpacing/>
        <w:rPr>
          <w:rFonts w:hAnsi="宋体" w:cs="宋体"/>
          <w:color w:val="auto"/>
          <w:sz w:val="21"/>
          <w:highlight w:val="none"/>
        </w:rPr>
      </w:pPr>
    </w:p>
    <w:p w14:paraId="41EBFF5F">
      <w:pPr>
        <w:pStyle w:val="19"/>
        <w:ind w:left="479" w:leftChars="114" w:hanging="240" w:hangingChars="100"/>
        <w:rPr>
          <w:rFonts w:ascii="宋体" w:hAnsi="宋体" w:cs="宋体"/>
          <w:color w:val="auto"/>
          <w:highlight w:val="none"/>
        </w:rPr>
      </w:pPr>
    </w:p>
    <w:p w14:paraId="600A30F9">
      <w:pPr>
        <w:pStyle w:val="25"/>
        <w:snapToGrid w:val="0"/>
        <w:spacing w:before="120" w:after="120"/>
        <w:rPr>
          <w:rFonts w:hAnsi="宋体" w:cs="宋体"/>
          <w:color w:val="auto"/>
          <w:highlight w:val="none"/>
        </w:rPr>
      </w:pPr>
    </w:p>
    <w:p w14:paraId="6F4DC6D1">
      <w:pPr>
        <w:pStyle w:val="25"/>
        <w:snapToGrid w:val="0"/>
        <w:spacing w:before="120" w:after="120"/>
        <w:rPr>
          <w:rFonts w:hAnsi="宋体" w:cs="宋体"/>
          <w:color w:val="auto"/>
          <w:highlight w:val="none"/>
        </w:rPr>
      </w:pPr>
    </w:p>
    <w:p w14:paraId="534CF986">
      <w:pPr>
        <w:pStyle w:val="25"/>
        <w:snapToGrid w:val="0"/>
        <w:spacing w:before="120" w:after="120"/>
        <w:rPr>
          <w:rFonts w:hAnsi="宋体" w:cs="宋体"/>
          <w:color w:val="auto"/>
          <w:highlight w:val="none"/>
        </w:rPr>
      </w:pPr>
    </w:p>
    <w:p w14:paraId="301E56AB">
      <w:pPr>
        <w:pStyle w:val="25"/>
        <w:snapToGrid w:val="0"/>
        <w:spacing w:before="120" w:after="120"/>
        <w:rPr>
          <w:rFonts w:hAnsi="宋体" w:cs="宋体"/>
          <w:color w:val="auto"/>
          <w:highlight w:val="none"/>
        </w:rPr>
      </w:pPr>
    </w:p>
    <w:p w14:paraId="0F0FDA21">
      <w:pPr>
        <w:pStyle w:val="25"/>
        <w:snapToGrid w:val="0"/>
        <w:spacing w:before="120" w:after="120"/>
        <w:rPr>
          <w:rFonts w:hAnsi="宋体" w:cs="宋体"/>
          <w:color w:val="auto"/>
          <w:highlight w:val="none"/>
        </w:rPr>
      </w:pPr>
    </w:p>
    <w:p w14:paraId="166FA363">
      <w:pPr>
        <w:pStyle w:val="25"/>
        <w:snapToGrid w:val="0"/>
        <w:spacing w:before="120" w:after="120"/>
        <w:rPr>
          <w:rFonts w:hAnsi="宋体" w:cs="宋体"/>
          <w:color w:val="auto"/>
          <w:highlight w:val="none"/>
        </w:rPr>
      </w:pPr>
    </w:p>
    <w:p w14:paraId="3FDFBAD0">
      <w:pPr>
        <w:pStyle w:val="25"/>
        <w:snapToGrid w:val="0"/>
        <w:spacing w:before="120" w:after="120"/>
        <w:rPr>
          <w:rFonts w:hAnsi="宋体" w:cs="宋体"/>
          <w:color w:val="auto"/>
          <w:highlight w:val="none"/>
        </w:rPr>
      </w:pPr>
    </w:p>
    <w:p w14:paraId="749F4057">
      <w:pPr>
        <w:pStyle w:val="3"/>
        <w:jc w:val="center"/>
        <w:rPr>
          <w:rFonts w:ascii="宋体" w:hAnsi="宋体" w:cs="宋体"/>
          <w:color w:val="auto"/>
          <w:highlight w:val="none"/>
        </w:rPr>
      </w:pPr>
      <w:bookmarkStart w:id="133" w:name="_Toc254970548"/>
      <w:bookmarkStart w:id="134" w:name="_Toc254970689"/>
      <w:bookmarkStart w:id="135" w:name="_Toc330456896"/>
      <w:bookmarkStart w:id="136" w:name="_Toc74320803"/>
    </w:p>
    <w:p w14:paraId="01F048F3">
      <w:pPr>
        <w:rPr>
          <w:rFonts w:ascii="宋体" w:hAnsi="宋体" w:cs="宋体"/>
          <w:color w:val="auto"/>
          <w:highlight w:val="none"/>
        </w:rPr>
      </w:pPr>
    </w:p>
    <w:p w14:paraId="7B915A49">
      <w:pPr>
        <w:pStyle w:val="3"/>
        <w:jc w:val="center"/>
        <w:rPr>
          <w:rFonts w:ascii="宋体" w:hAnsi="宋体" w:cs="宋体"/>
          <w:color w:val="auto"/>
          <w:highlight w:val="none"/>
        </w:rPr>
      </w:pPr>
      <w:bookmarkStart w:id="137" w:name="_Toc143259164"/>
      <w:r>
        <w:rPr>
          <w:rFonts w:hint="eastAsia" w:ascii="宋体" w:hAnsi="宋体" w:cs="宋体"/>
          <w:color w:val="auto"/>
          <w:highlight w:val="none"/>
        </w:rPr>
        <w:t>第四章 评标方法及评标标准</w:t>
      </w:r>
      <w:bookmarkEnd w:id="133"/>
      <w:bookmarkEnd w:id="134"/>
      <w:bookmarkEnd w:id="135"/>
      <w:bookmarkEnd w:id="136"/>
      <w:bookmarkEnd w:id="137"/>
    </w:p>
    <w:p w14:paraId="13C6AD51">
      <w:pPr>
        <w:pStyle w:val="25"/>
        <w:spacing w:before="120" w:after="120"/>
        <w:outlineLvl w:val="0"/>
        <w:rPr>
          <w:rFonts w:hAnsi="宋体" w:cs="宋体"/>
          <w:b/>
          <w:color w:val="auto"/>
          <w:highlight w:val="none"/>
        </w:rPr>
      </w:pPr>
      <w:bookmarkStart w:id="138" w:name="_Toc254970549"/>
      <w:bookmarkStart w:id="139" w:name="_Toc254970690"/>
    </w:p>
    <w:bookmarkEnd w:id="138"/>
    <w:bookmarkEnd w:id="139"/>
    <w:p w14:paraId="2A0B199D">
      <w:pPr>
        <w:pStyle w:val="25"/>
        <w:spacing w:before="120" w:after="120"/>
        <w:outlineLvl w:val="0"/>
        <w:rPr>
          <w:rFonts w:hAnsi="宋体" w:cs="宋体"/>
          <w:bCs/>
          <w:color w:val="auto"/>
          <w:sz w:val="32"/>
          <w:szCs w:val="32"/>
          <w:highlight w:val="none"/>
        </w:rPr>
      </w:pPr>
    </w:p>
    <w:p w14:paraId="63BE369C">
      <w:pPr>
        <w:pStyle w:val="25"/>
        <w:spacing w:before="120" w:after="120"/>
        <w:outlineLvl w:val="0"/>
        <w:rPr>
          <w:rFonts w:hAnsi="宋体" w:cs="宋体"/>
          <w:bCs/>
          <w:color w:val="auto"/>
          <w:sz w:val="32"/>
          <w:szCs w:val="32"/>
          <w:highlight w:val="none"/>
        </w:rPr>
      </w:pPr>
    </w:p>
    <w:p w14:paraId="4847B5D4">
      <w:pPr>
        <w:pStyle w:val="25"/>
        <w:spacing w:before="120" w:after="120"/>
        <w:outlineLvl w:val="0"/>
        <w:rPr>
          <w:rFonts w:hAnsi="宋体" w:cs="宋体"/>
          <w:bCs/>
          <w:color w:val="auto"/>
          <w:sz w:val="32"/>
          <w:szCs w:val="32"/>
          <w:highlight w:val="none"/>
        </w:rPr>
      </w:pPr>
    </w:p>
    <w:p w14:paraId="547E2392">
      <w:pPr>
        <w:pStyle w:val="25"/>
        <w:spacing w:before="120" w:after="120"/>
        <w:outlineLvl w:val="0"/>
        <w:rPr>
          <w:rFonts w:hAnsi="宋体" w:cs="宋体"/>
          <w:bCs/>
          <w:color w:val="auto"/>
          <w:sz w:val="32"/>
          <w:szCs w:val="32"/>
          <w:highlight w:val="none"/>
        </w:rPr>
      </w:pPr>
    </w:p>
    <w:p w14:paraId="1C10AB42">
      <w:pPr>
        <w:pStyle w:val="25"/>
        <w:spacing w:before="120" w:after="120"/>
        <w:outlineLvl w:val="0"/>
        <w:rPr>
          <w:rFonts w:hAnsi="宋体" w:cs="宋体"/>
          <w:bCs/>
          <w:color w:val="auto"/>
          <w:sz w:val="32"/>
          <w:szCs w:val="32"/>
          <w:highlight w:val="none"/>
        </w:rPr>
      </w:pPr>
    </w:p>
    <w:p w14:paraId="03BD4697">
      <w:pPr>
        <w:widowControl/>
        <w:jc w:val="left"/>
        <w:rPr>
          <w:rFonts w:ascii="宋体" w:hAnsi="宋体" w:cs="宋体"/>
          <w:b/>
          <w:bCs/>
          <w:color w:val="auto"/>
          <w:kern w:val="0"/>
          <w:sz w:val="30"/>
          <w:szCs w:val="30"/>
          <w:highlight w:val="none"/>
        </w:rPr>
      </w:pPr>
      <w:r>
        <w:rPr>
          <w:rFonts w:hint="eastAsia" w:ascii="宋体" w:hAnsi="宋体" w:cs="宋体"/>
          <w:color w:val="auto"/>
          <w:sz w:val="30"/>
          <w:szCs w:val="30"/>
          <w:highlight w:val="none"/>
        </w:rPr>
        <w:br w:type="page"/>
      </w:r>
    </w:p>
    <w:p w14:paraId="729F1B76">
      <w:pPr>
        <w:pStyle w:val="5"/>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一、评标方法</w:t>
      </w:r>
    </w:p>
    <w:p w14:paraId="7DF10195">
      <w:pPr>
        <w:pStyle w:val="25"/>
        <w:spacing w:line="360" w:lineRule="auto"/>
        <w:ind w:firstLine="420"/>
        <w:rPr>
          <w:rFonts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14:paraId="05EFB4AD">
      <w:pPr>
        <w:pStyle w:val="25"/>
        <w:spacing w:line="360" w:lineRule="auto"/>
        <w:ind w:firstLine="420"/>
        <w:rPr>
          <w:rFonts w:hAnsi="宋体" w:cs="宋体"/>
          <w:color w:val="auto"/>
          <w:sz w:val="21"/>
          <w:highlight w:val="none"/>
        </w:rPr>
      </w:pPr>
      <w:r>
        <w:rPr>
          <w:rFonts w:hint="eastAsia" w:hAnsi="宋体" w:cs="宋体"/>
          <w:color w:val="auto"/>
          <w:sz w:val="21"/>
          <w:highlight w:val="none"/>
        </w:rPr>
        <w:t>最低评标价法，是指投标文件满足招标文件全部实质性要求，且投标报价最低的投标人为中标候选人的评标方法。</w:t>
      </w:r>
    </w:p>
    <w:p w14:paraId="7810F206">
      <w:pPr>
        <w:pStyle w:val="5"/>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二、评标程序</w:t>
      </w:r>
    </w:p>
    <w:p w14:paraId="73385C22">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2D96DF5C">
      <w:pPr>
        <w:pStyle w:val="25"/>
        <w:snapToGrid w:val="0"/>
        <w:spacing w:line="380" w:lineRule="exact"/>
        <w:ind w:left="1" w:firstLine="42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0182EC89">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35AB251D">
      <w:p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27F5EA89">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20A9BB65">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未提供“投标人须知前附表”第13条“报价文件”规定中“必须提供”的文件资料的；</w:t>
      </w:r>
    </w:p>
    <w:p w14:paraId="490BD663">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21ED8382">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所投报价超出招标文件规定的相应最高限价，或者采购预算金额的；</w:t>
      </w:r>
    </w:p>
    <w:p w14:paraId="3C2C709E">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投标人未就本项目所有内容进行报价或者存在漏项报价；投标人未就所投单项内容作唯一报价；投标人未就所投全部内容作完整唯一总价报价；存在有选择、有条件报价的（招标文件允许有备选方案或者其他约定的除外）；</w:t>
      </w:r>
    </w:p>
    <w:p w14:paraId="589DEC8E">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5A65A146">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投标人属于本章第5.1条（2）项或者第5.2条（2）项情形的；</w:t>
      </w:r>
    </w:p>
    <w:p w14:paraId="08AEB7BF">
      <w:pPr>
        <w:pStyle w:val="7"/>
        <w:numPr>
          <w:ilvl w:val="0"/>
          <w:numId w:val="6"/>
        </w:numPr>
        <w:spacing w:line="380" w:lineRule="exact"/>
        <w:ind w:firstLine="422"/>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响应的标的数量及单位与招标文件要求实质性不一致的。</w:t>
      </w:r>
    </w:p>
    <w:p w14:paraId="20F0A2A0">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0C20718C">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02A47DB7">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委托代理人未能出具有效身份证或者出具的身份证与授权委托书中的信息不符的；</w:t>
      </w:r>
    </w:p>
    <w:p w14:paraId="795F8466">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55C4512F">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投标文件未提供“投标人须知前附表”第13条“商务文件”规定中“必须提供”或者“委托时必须提供”的文件资料的；</w:t>
      </w:r>
    </w:p>
    <w:p w14:paraId="3A15D2A1">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商务要求评审允许负偏离的条款数超过“投标人须知前附表”规定项数的；</w:t>
      </w:r>
    </w:p>
    <w:p w14:paraId="61FBD88C">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78F66CB8">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3D23C466">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71EA7053">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79E481F5">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招标文件明确不允许分包，投标文件拟分包的；</w:t>
      </w:r>
    </w:p>
    <w:p w14:paraId="11504EFD">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5C09BE87">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投标文件中承诺的投标有效期低于招标文件要求的期限的；</w:t>
      </w:r>
    </w:p>
    <w:p w14:paraId="68419A5B">
      <w:pPr>
        <w:numPr>
          <w:ilvl w:val="0"/>
          <w:numId w:val="7"/>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53812EBE">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75AFF014">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14:paraId="311C8FB6">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（2）投标文件未提供“投标人须知前附表”第13条“技术文件”规定中“必须提供”的文件资料的；</w:t>
      </w:r>
    </w:p>
    <w:p w14:paraId="5BC2FDA3">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14:paraId="7D449C41">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40" w:name="_Hlk71706244"/>
      <w:r>
        <w:rPr>
          <w:rFonts w:hint="eastAsia" w:ascii="宋体" w:hAnsi="宋体" w:eastAsia="宋体" w:cs="宋体"/>
          <w:b/>
          <w:color w:val="auto"/>
          <w:kern w:val="2"/>
          <w:sz w:val="21"/>
          <w:szCs w:val="21"/>
          <w:highlight w:val="none"/>
        </w:rPr>
        <w:t>招标文件未载明允许提供备选（替代）投标方案或明确不允许提供备选（替代）投标方案时，投标人提供了备选（替代）投标方案的；</w:t>
      </w:r>
      <w:bookmarkEnd w:id="140"/>
    </w:p>
    <w:p w14:paraId="28206A80">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（5）未响应招标文件实质性要求的。</w:t>
      </w:r>
    </w:p>
    <w:p w14:paraId="528DBF76">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1B749762">
      <w:pPr>
        <w:spacing w:line="38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0EA29312">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CE46FA5">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未按评标委员会的要求作出明确澄清、说明或者更正的投标人的投标文件将按照有利于采购人的原则由评标委员会进行判定。</w:t>
      </w:r>
    </w:p>
    <w:p w14:paraId="45DADA48">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12E40101">
      <w:pPr>
        <w:pStyle w:val="6"/>
        <w:keepNext w:val="0"/>
        <w:keepLines w:val="0"/>
        <w:spacing w:before="0" w:after="0" w:line="38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1698BDD3">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14:paraId="024D7B42">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14:paraId="65483E86">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14:paraId="08F8327D">
      <w:pPr>
        <w:pStyle w:val="25"/>
        <w:snapToGrid w:val="0"/>
        <w:spacing w:line="360" w:lineRule="exact"/>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14:paraId="125DB4C3">
      <w:pPr>
        <w:pStyle w:val="25"/>
        <w:snapToGrid w:val="0"/>
        <w:spacing w:line="360" w:lineRule="exact"/>
        <w:ind w:firstLine="420" w:firstLineChars="200"/>
        <w:rPr>
          <w:rFonts w:hAnsi="宋体" w:cs="宋体"/>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14:paraId="068A1EA5">
      <w:pPr>
        <w:pStyle w:val="6"/>
        <w:keepNext w:val="0"/>
        <w:keepLines w:val="0"/>
        <w:spacing w:before="0" w:after="0" w:line="36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4.2经投标人确认修正后的报价若超过采购预算金额或者最高限价，</w:t>
      </w:r>
      <w:r>
        <w:rPr>
          <w:rFonts w:hint="eastAsia" w:ascii="宋体" w:hAnsi="宋体" w:cs="宋体"/>
          <w:color w:val="auto"/>
          <w:sz w:val="21"/>
          <w:szCs w:val="21"/>
          <w:highlight w:val="none"/>
        </w:rPr>
        <w:t>投标人的投标文件作无效投标处理</w:t>
      </w:r>
      <w:r>
        <w:rPr>
          <w:rFonts w:hint="eastAsia" w:ascii="宋体" w:hAnsi="宋体" w:cs="宋体"/>
          <w:b w:val="0"/>
          <w:color w:val="auto"/>
          <w:sz w:val="21"/>
          <w:szCs w:val="21"/>
          <w:highlight w:val="none"/>
        </w:rPr>
        <w:t>。</w:t>
      </w:r>
    </w:p>
    <w:p w14:paraId="70BE31A8">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5C476E53">
      <w:pPr>
        <w:pStyle w:val="6"/>
        <w:keepNext w:val="0"/>
        <w:keepLines w:val="0"/>
        <w:spacing w:before="0" w:after="0" w:line="36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1B80BE7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5.1采用综合评分法的</w:t>
      </w:r>
    </w:p>
    <w:p w14:paraId="3AE7170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（1）评标委员会按照招标文件中规定的评标方法及评标标准，对符合性审查合格的投标文件进行商务和技术评估，综合比较与评价。</w:t>
      </w:r>
    </w:p>
    <w:p w14:paraId="14DFFF5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（2）评标委员会独立对每个投标人的投标文件进行评价，并汇总每个投标人的得分。</w:t>
      </w:r>
    </w:p>
    <w:p w14:paraId="4CD9014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r>
        <w:rPr>
          <w:rFonts w:hint="eastAsia" w:ascii="宋体" w:hAnsi="宋体" w:cs="宋体"/>
          <w:color w:val="auto"/>
          <w:szCs w:val="21"/>
          <w:highlight w:val="none"/>
        </w:rPr>
        <w:t>。</w:t>
      </w:r>
    </w:p>
    <w:p w14:paraId="3815C29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（3）评标委员会按照招标文件中规定的评标方法和标准计算各投标人的报价得分。在计算过程中，不得去掉最高报价或者最低报价。</w:t>
      </w:r>
    </w:p>
    <w:p w14:paraId="0F154B3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（4）各投标人的得分为所有评委的有效评分的算术平均数。</w:t>
      </w:r>
    </w:p>
    <w:p w14:paraId="5E21F7E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（5）评标委员会按照招标文件中的规定推荐中标候选人。</w:t>
      </w:r>
    </w:p>
    <w:p w14:paraId="6B015697">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4F7893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5.2采用</w:t>
      </w:r>
      <w:r>
        <w:rPr>
          <w:rFonts w:hint="eastAsia" w:ascii="宋体" w:hAnsi="宋体" w:cs="宋体"/>
          <w:color w:val="auto"/>
          <w:highlight w:val="none"/>
        </w:rPr>
        <w:t>最低评标价法</w:t>
      </w:r>
      <w:r>
        <w:rPr>
          <w:rFonts w:hint="eastAsia" w:ascii="宋体" w:hAnsi="宋体" w:cs="宋体"/>
          <w:color w:val="auto"/>
          <w:szCs w:val="21"/>
          <w:highlight w:val="none"/>
        </w:rPr>
        <w:t>的</w:t>
      </w:r>
    </w:p>
    <w:p w14:paraId="77819F5B">
      <w:pPr>
        <w:snapToGrid w:val="0"/>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（1）评标委员会按照招标文件中规定的评标方法及评标标准，对符合性审查合格的投标文件报价进行比较。</w:t>
      </w:r>
    </w:p>
    <w:p w14:paraId="1E8F267A">
      <w:pPr>
        <w:snapToGrid w:val="0"/>
        <w:spacing w:line="360" w:lineRule="exact"/>
        <w:ind w:firstLine="399" w:firstLineChars="202"/>
        <w:jc w:val="left"/>
        <w:rPr>
          <w:rFonts w:ascii="宋体" w:hAnsi="宋体" w:cs="宋体"/>
          <w:color w:val="auto"/>
          <w:spacing w:val="-6"/>
          <w:szCs w:val="21"/>
          <w:highlight w:val="none"/>
        </w:rPr>
      </w:pPr>
      <w:r>
        <w:rPr>
          <w:rFonts w:hint="eastAsia" w:ascii="宋体" w:hAnsi="宋体" w:cs="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pacing w:val="-6"/>
          <w:szCs w:val="21"/>
          <w:highlight w:val="none"/>
        </w:rPr>
        <w:t>投标人不能证明其报价合理性的，评标委员会将其作为无效投标处理</w:t>
      </w:r>
      <w:r>
        <w:rPr>
          <w:rFonts w:hint="eastAsia" w:ascii="宋体" w:hAnsi="宋体" w:cs="宋体"/>
          <w:color w:val="auto"/>
          <w:spacing w:val="-6"/>
          <w:szCs w:val="21"/>
          <w:highlight w:val="none"/>
        </w:rPr>
        <w:t>。</w:t>
      </w:r>
    </w:p>
    <w:p w14:paraId="770DA012">
      <w:pPr>
        <w:snapToGrid w:val="0"/>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（3）评标委员会按照招标文件中的规定推荐中标候选人。</w:t>
      </w:r>
    </w:p>
    <w:p w14:paraId="4E7FDFB6">
      <w:pPr>
        <w:snapToGrid w:val="0"/>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27417AD">
      <w:pPr>
        <w:snapToGrid w:val="0"/>
        <w:spacing w:line="400" w:lineRule="exact"/>
        <w:ind w:firstLine="424" w:firstLineChars="202"/>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三、评标标准</w:t>
      </w:r>
    </w:p>
    <w:p w14:paraId="09A0987B">
      <w:pPr>
        <w:pStyle w:val="5"/>
        <w:keepNext w:val="0"/>
        <w:keepLines w:val="0"/>
        <w:spacing w:line="400" w:lineRule="exact"/>
        <w:jc w:val="center"/>
        <w:rPr>
          <w:rFonts w:ascii="宋体" w:hAnsi="宋体" w:cs="宋体"/>
          <w:color w:val="auto"/>
          <w:highlight w:val="none"/>
        </w:rPr>
      </w:pPr>
      <w:r>
        <w:rPr>
          <w:rFonts w:hint="eastAsia" w:ascii="宋体" w:hAnsi="宋体" w:cs="宋体"/>
          <w:color w:val="auto"/>
          <w:highlight w:val="none"/>
        </w:rPr>
        <w:t>综合评分法</w:t>
      </w:r>
    </w:p>
    <w:p w14:paraId="591217A3">
      <w:pPr>
        <w:spacing w:line="360" w:lineRule="exact"/>
        <w:ind w:firstLine="422" w:firstLineChars="200"/>
        <w:rPr>
          <w:rFonts w:hAnsi="宋体"/>
          <w:b/>
          <w:color w:val="auto"/>
          <w:szCs w:val="21"/>
          <w:highlight w:val="none"/>
        </w:rPr>
      </w:pPr>
      <w:r>
        <w:rPr>
          <w:rFonts w:hint="eastAsia" w:ascii="宋体" w:hAnsi="宋体"/>
          <w:b/>
          <w:color w:val="auto"/>
          <w:szCs w:val="21"/>
          <w:highlight w:val="none"/>
        </w:rPr>
        <w:t>（一）</w:t>
      </w:r>
      <w:r>
        <w:rPr>
          <w:rFonts w:hint="eastAsia" w:ascii="宋体" w:hAnsi="宋体" w:cs="宋体"/>
          <w:b/>
          <w:color w:val="auto"/>
          <w:szCs w:val="21"/>
          <w:highlight w:val="none"/>
        </w:rPr>
        <w:t>“正偏离”是指投标文件对招标文件“采购需求”中有关条款作出的响应优于该条款基本要求的情形，包括：①当某技术指标要求为≥或≤某指标时，则该指标为基本要求，投标响应值＞或＜该基本要求的，为正偏离；②除上述第①种情形外，经评委独立评审后认定该技术指标优于招标文件基本要求的</w:t>
      </w:r>
      <w:r>
        <w:rPr>
          <w:rFonts w:hint="eastAsia" w:ascii="宋体" w:hAnsi="宋体" w:cs="宋体"/>
          <w:b/>
          <w:color w:val="auto"/>
          <w:szCs w:val="21"/>
          <w:highlight w:val="none"/>
          <w:lang w:eastAsia="zh-CN"/>
        </w:rPr>
        <w:t>其他</w:t>
      </w:r>
      <w:r>
        <w:rPr>
          <w:rFonts w:hint="eastAsia" w:ascii="宋体" w:hAnsi="宋体" w:cs="宋体"/>
          <w:b/>
          <w:color w:val="auto"/>
          <w:szCs w:val="21"/>
          <w:highlight w:val="none"/>
        </w:rPr>
        <w:t>情形。</w:t>
      </w:r>
    </w:p>
    <w:p w14:paraId="5AEE8BB2">
      <w:pPr>
        <w:pStyle w:val="25"/>
        <w:spacing w:line="400" w:lineRule="exact"/>
        <w:ind w:firstLine="422" w:firstLineChars="200"/>
        <w:rPr>
          <w:rFonts w:hAnsi="宋体" w:cs="宋体"/>
          <w:bCs/>
          <w:color w:val="auto"/>
          <w:sz w:val="21"/>
          <w:highlight w:val="none"/>
        </w:rPr>
      </w:pPr>
      <w:r>
        <w:rPr>
          <w:rFonts w:hint="eastAsia" w:hAnsi="宋体" w:cs="宋体"/>
          <w:b/>
          <w:color w:val="auto"/>
          <w:sz w:val="21"/>
          <w:highlight w:val="none"/>
        </w:rPr>
        <w:t>（二）“负偏离”是指投标文件对招标文件“采购需求”中有关条款作出的响应不满足条款要求，导致采购人要求不能得到满足的情形。</w:t>
      </w:r>
    </w:p>
    <w:p w14:paraId="00D077A0">
      <w:pPr>
        <w:pStyle w:val="25"/>
        <w:spacing w:line="400" w:lineRule="exact"/>
        <w:rPr>
          <w:rFonts w:hAnsi="宋体" w:cs="宋体"/>
          <w:bCs/>
          <w:color w:val="auto"/>
          <w:sz w:val="21"/>
          <w:highlight w:val="none"/>
        </w:rPr>
      </w:pPr>
      <w:r>
        <w:rPr>
          <w:rFonts w:hint="eastAsia" w:hAnsi="宋体" w:cs="宋体"/>
          <w:bCs/>
          <w:color w:val="auto"/>
          <w:sz w:val="21"/>
          <w:highlight w:val="none"/>
        </w:rPr>
        <w:t>注：计分方法按四舍五入取至百分位</w:t>
      </w:r>
    </w:p>
    <w:tbl>
      <w:tblPr>
        <w:tblStyle w:val="4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24"/>
        <w:gridCol w:w="1701"/>
        <w:gridCol w:w="6000"/>
      </w:tblGrid>
      <w:tr w14:paraId="4EB8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gridSpan w:val="2"/>
            <w:tcBorders>
              <w:top w:val="single" w:color="auto" w:sz="4" w:space="0"/>
              <w:left w:val="single" w:color="auto" w:sz="4" w:space="0"/>
              <w:bottom w:val="single" w:color="auto" w:sz="4" w:space="0"/>
              <w:right w:val="single" w:color="auto" w:sz="4" w:space="0"/>
            </w:tcBorders>
            <w:vAlign w:val="center"/>
          </w:tcPr>
          <w:p w14:paraId="1F276E2E">
            <w:pPr>
              <w:adjustRightInd w:val="0"/>
              <w:spacing w:line="410" w:lineRule="exact"/>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53E71F44">
            <w:pPr>
              <w:adjustRightInd w:val="0"/>
              <w:spacing w:line="410" w:lineRule="exact"/>
              <w:jc w:val="center"/>
              <w:textAlignment w:val="baseline"/>
              <w:rPr>
                <w:rFonts w:ascii="宋体" w:hAnsi="宋体" w:cs="宋体"/>
                <w:color w:val="auto"/>
                <w:sz w:val="21"/>
                <w:szCs w:val="21"/>
                <w:highlight w:val="none"/>
              </w:rPr>
            </w:pPr>
            <w:r>
              <w:rPr>
                <w:rFonts w:hint="eastAsia" w:ascii="宋体" w:hAnsi="宋体" w:cs="宋体"/>
                <w:b/>
                <w:color w:val="auto"/>
                <w:sz w:val="21"/>
                <w:szCs w:val="21"/>
                <w:highlight w:val="none"/>
              </w:rPr>
              <w:t>评审因素</w:t>
            </w:r>
          </w:p>
        </w:tc>
        <w:tc>
          <w:tcPr>
            <w:tcW w:w="6000" w:type="dxa"/>
            <w:tcBorders>
              <w:top w:val="single" w:color="auto" w:sz="4" w:space="0"/>
              <w:left w:val="single" w:color="auto" w:sz="4" w:space="0"/>
              <w:bottom w:val="single" w:color="auto" w:sz="4" w:space="0"/>
              <w:right w:val="single" w:color="auto" w:sz="4" w:space="0"/>
            </w:tcBorders>
            <w:vAlign w:val="center"/>
          </w:tcPr>
          <w:p w14:paraId="7EA789A4">
            <w:pPr>
              <w:adjustRightInd w:val="0"/>
              <w:spacing w:line="410" w:lineRule="exact"/>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评标标准</w:t>
            </w:r>
          </w:p>
        </w:tc>
      </w:tr>
      <w:tr w14:paraId="61C1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14:paraId="5D3CC8ED">
            <w:pPr>
              <w:adjustRightInd w:val="0"/>
              <w:spacing w:line="360" w:lineRule="auto"/>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1</w:t>
            </w:r>
          </w:p>
        </w:tc>
        <w:tc>
          <w:tcPr>
            <w:tcW w:w="1224" w:type="dxa"/>
            <w:tcBorders>
              <w:top w:val="single" w:color="auto" w:sz="4" w:space="0"/>
              <w:left w:val="single" w:color="auto" w:sz="4" w:space="0"/>
              <w:bottom w:val="single" w:color="auto" w:sz="4" w:space="0"/>
              <w:right w:val="single" w:color="auto" w:sz="4" w:space="0"/>
            </w:tcBorders>
            <w:vAlign w:val="center"/>
          </w:tcPr>
          <w:p w14:paraId="23400C3A">
            <w:pPr>
              <w:adjustRightInd w:val="0"/>
              <w:spacing w:line="360" w:lineRule="auto"/>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价格分</w:t>
            </w:r>
          </w:p>
          <w:p w14:paraId="69512CF5">
            <w:pPr>
              <w:adjustRightInd w:val="0"/>
              <w:spacing w:line="360" w:lineRule="auto"/>
              <w:jc w:val="center"/>
              <w:textAlignment w:val="baseline"/>
              <w:rPr>
                <w:rFonts w:ascii="宋体" w:hAnsi="宋体" w:cs="宋体"/>
                <w:color w:val="auto"/>
                <w:sz w:val="21"/>
                <w:szCs w:val="21"/>
                <w:highlight w:val="none"/>
              </w:rPr>
            </w:pPr>
            <w:r>
              <w:rPr>
                <w:rFonts w:hint="eastAsia" w:ascii="宋体" w:hAnsi="宋体" w:cs="宋体"/>
                <w:b/>
                <w:color w:val="auto"/>
                <w:sz w:val="21"/>
                <w:szCs w:val="21"/>
                <w:highlight w:val="none"/>
              </w:rPr>
              <w:t>（30分）</w:t>
            </w:r>
          </w:p>
        </w:tc>
        <w:tc>
          <w:tcPr>
            <w:tcW w:w="1701" w:type="dxa"/>
            <w:tcBorders>
              <w:top w:val="single" w:color="auto" w:sz="4" w:space="0"/>
              <w:left w:val="single" w:color="auto" w:sz="4" w:space="0"/>
              <w:bottom w:val="single" w:color="auto" w:sz="4" w:space="0"/>
              <w:right w:val="single" w:color="auto" w:sz="4" w:space="0"/>
            </w:tcBorders>
            <w:vAlign w:val="center"/>
          </w:tcPr>
          <w:p w14:paraId="5F1FE76F">
            <w:pPr>
              <w:adjustRightInd w:val="0"/>
              <w:spacing w:line="400" w:lineRule="exact"/>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投标报价（30分）</w:t>
            </w:r>
          </w:p>
        </w:tc>
        <w:tc>
          <w:tcPr>
            <w:tcW w:w="6000" w:type="dxa"/>
            <w:tcBorders>
              <w:top w:val="single" w:color="auto" w:sz="4" w:space="0"/>
              <w:left w:val="single" w:color="auto" w:sz="4" w:space="0"/>
              <w:bottom w:val="single" w:color="auto" w:sz="4" w:space="0"/>
              <w:right w:val="single" w:color="auto" w:sz="4" w:space="0"/>
            </w:tcBorders>
            <w:vAlign w:val="center"/>
          </w:tcPr>
          <w:p w14:paraId="21FFE028">
            <w:pPr>
              <w:snapToGrid w:val="0"/>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（1）评标报价为投标人的投标报价进行政策性扣除后的价格，评标报价只作为评标时使用。最终中标人的中标金额等于投标报价。</w:t>
            </w:r>
          </w:p>
          <w:p w14:paraId="29E3171C">
            <w:pPr>
              <w:snapToGrid w:val="0"/>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（2）政策性扣除计算方法。</w:t>
            </w:r>
          </w:p>
          <w:p w14:paraId="39DD625D">
            <w:pPr>
              <w:snapToGrid w:val="0"/>
              <w:spacing w:line="400" w:lineRule="exact"/>
              <w:rPr>
                <w:rFonts w:ascii="宋体" w:hAnsi="宋体" w:cs="宋体"/>
                <w:color w:val="auto"/>
                <w:sz w:val="21"/>
                <w:szCs w:val="21"/>
                <w:highlight w:val="none"/>
              </w:rPr>
            </w:pPr>
            <w:bookmarkStart w:id="141" w:name="_Hlk65858438"/>
            <w:r>
              <w:rPr>
                <w:rFonts w:hint="eastAsia" w:ascii="宋体" w:hAnsi="宋体" w:cs="宋体"/>
                <w:bCs/>
                <w:color w:val="auto"/>
                <w:sz w:val="21"/>
                <w:szCs w:val="21"/>
                <w:highlight w:val="none"/>
              </w:rPr>
              <w:t>根据《政府采购促进中小企业发展管理办法》（财库〔2020〕46号）及</w:t>
            </w:r>
            <w:r>
              <w:rPr>
                <w:rFonts w:hint="eastAsia"/>
                <w:color w:val="auto"/>
                <w:sz w:val="21"/>
                <w:szCs w:val="21"/>
                <w:highlight w:val="none"/>
              </w:rPr>
              <w:t>《广西壮族自治区财政厅关于持续优化政府采购营商环境推动高质量发展的通知》（桂财采〔2024〕55号）</w:t>
            </w:r>
            <w:r>
              <w:rPr>
                <w:rFonts w:hint="eastAsia" w:ascii="宋体" w:hAnsi="宋体" w:cs="宋体"/>
                <w:bCs/>
                <w:color w:val="auto"/>
                <w:sz w:val="21"/>
                <w:szCs w:val="21"/>
                <w:highlight w:val="none"/>
              </w:rPr>
              <w:t>的规定，投标人在其投标文件中提供《中小企业声明函》，且其投标全部货物由小微企业制造的，对其投标报价给予10%的扣除，扣除后的价格为评标报价，即评标报价=投标报价×（1-10%）。除上述情况外，评标报价=投标报价。</w:t>
            </w:r>
            <w:bookmarkEnd w:id="141"/>
          </w:p>
          <w:p w14:paraId="494ABC89">
            <w:pPr>
              <w:snapToGrid w:val="0"/>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监狱企业参加政府采购活动时，应当提供由省级以上监狱管理局、戒毒管理局(含新疆生产建设兵团)出具的属于监狱企业的证明文件。监狱企业</w:t>
            </w:r>
            <w:r>
              <w:rPr>
                <w:rFonts w:hint="eastAsia" w:ascii="宋体" w:hAnsi="宋体" w:cs="宋体"/>
                <w:bCs/>
                <w:color w:val="auto"/>
                <w:sz w:val="21"/>
                <w:szCs w:val="21"/>
                <w:highlight w:val="none"/>
              </w:rPr>
              <w:t>属于小型、微型企业的，不重复享受政策。</w:t>
            </w:r>
          </w:p>
          <w:p w14:paraId="1EB974ED">
            <w:pPr>
              <w:snapToGrid w:val="0"/>
              <w:spacing w:line="400" w:lineRule="exact"/>
              <w:rPr>
                <w:rFonts w:ascii="宋体" w:hAnsi="宋体" w:cs="宋体"/>
                <w:bCs/>
                <w:color w:val="auto"/>
                <w:sz w:val="21"/>
                <w:szCs w:val="21"/>
                <w:highlight w:val="none"/>
              </w:rPr>
            </w:pPr>
            <w:r>
              <w:rPr>
                <w:rFonts w:hint="eastAsia" w:ascii="宋体" w:hAnsi="宋体" w:cs="宋体"/>
                <w:color w:val="auto"/>
                <w:sz w:val="21"/>
                <w:szCs w:val="21"/>
                <w:highlight w:val="none"/>
              </w:rPr>
              <w:t>（4）按照</w:t>
            </w:r>
            <w:r>
              <w:rPr>
                <w:rFonts w:hint="eastAsia" w:ascii="宋体" w:hAnsi="宋体" w:cs="宋体"/>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 w:val="21"/>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 w:val="21"/>
                <w:szCs w:val="21"/>
                <w:highlight w:val="none"/>
              </w:rPr>
              <w:t>残疾人福利性单位属于小型、微型企业的，不重复享受政策。</w:t>
            </w:r>
          </w:p>
          <w:p w14:paraId="17C8E76C">
            <w:pPr>
              <w:snapToGrid w:val="0"/>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（5）满足招标文件要求且评标报价最低的评标报价为评标基准价，其价格分为满分。</w:t>
            </w:r>
          </w:p>
          <w:p w14:paraId="10640DF7">
            <w:pPr>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（6）价格分计算公式：        </w:t>
            </w:r>
          </w:p>
          <w:p w14:paraId="76D2129F">
            <w:pPr>
              <w:pStyle w:val="25"/>
              <w:spacing w:line="400" w:lineRule="exact"/>
              <w:rPr>
                <w:rFonts w:hAnsi="宋体" w:cs="宋体"/>
                <w:color w:val="auto"/>
                <w:kern w:val="2"/>
                <w:sz w:val="21"/>
                <w:szCs w:val="21"/>
                <w:highlight w:val="none"/>
              </w:rPr>
            </w:pPr>
            <w:r>
              <w:rPr>
                <w:rFonts w:hint="eastAsia" w:hAnsi="宋体" w:cs="宋体"/>
                <w:color w:val="auto"/>
                <w:sz w:val="21"/>
                <w:szCs w:val="21"/>
                <w:highlight w:val="none"/>
              </w:rPr>
              <w:t>价格分</w:t>
            </w:r>
            <w:r>
              <w:rPr>
                <w:rFonts w:hint="eastAsia" w:hAnsi="宋体" w:cs="宋体"/>
                <w:color w:val="auto"/>
                <w:kern w:val="2"/>
                <w:sz w:val="21"/>
                <w:szCs w:val="21"/>
                <w:highlight w:val="none"/>
              </w:rPr>
              <w:t>=(评标基准价／评标报价)×</w:t>
            </w:r>
            <w:r>
              <w:rPr>
                <w:rFonts w:hint="eastAsia" w:hAnsi="宋体" w:cs="宋体"/>
                <w:color w:val="auto"/>
                <w:sz w:val="21"/>
                <w:szCs w:val="21"/>
                <w:highlight w:val="none"/>
              </w:rPr>
              <w:t>30</w:t>
            </w:r>
            <w:r>
              <w:rPr>
                <w:rFonts w:hint="eastAsia" w:hAnsi="宋体" w:cs="宋体"/>
                <w:color w:val="auto"/>
                <w:kern w:val="2"/>
                <w:sz w:val="21"/>
                <w:szCs w:val="21"/>
                <w:highlight w:val="none"/>
              </w:rPr>
              <w:t>分</w:t>
            </w:r>
          </w:p>
        </w:tc>
      </w:tr>
      <w:tr w14:paraId="0BBA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525" w:type="dxa"/>
            <w:tcBorders>
              <w:top w:val="single" w:color="auto" w:sz="4" w:space="0"/>
              <w:left w:val="single" w:color="auto" w:sz="4" w:space="0"/>
              <w:right w:val="single" w:color="auto" w:sz="4" w:space="0"/>
            </w:tcBorders>
            <w:vAlign w:val="center"/>
          </w:tcPr>
          <w:p w14:paraId="77F41651">
            <w:pPr>
              <w:adjustRightInd w:val="0"/>
              <w:spacing w:line="360" w:lineRule="auto"/>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2</w:t>
            </w:r>
          </w:p>
        </w:tc>
        <w:tc>
          <w:tcPr>
            <w:tcW w:w="1224" w:type="dxa"/>
            <w:tcBorders>
              <w:top w:val="single" w:color="auto" w:sz="4" w:space="0"/>
              <w:left w:val="single" w:color="auto" w:sz="4" w:space="0"/>
              <w:right w:val="single" w:color="auto" w:sz="4" w:space="0"/>
            </w:tcBorders>
            <w:vAlign w:val="center"/>
          </w:tcPr>
          <w:p w14:paraId="7E1F9644">
            <w:pPr>
              <w:adjustRightInd w:val="0"/>
              <w:spacing w:line="360" w:lineRule="auto"/>
              <w:ind w:left="-105" w:leftChars="-50" w:right="-105" w:rightChars="-50"/>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技术分</w:t>
            </w:r>
          </w:p>
          <w:p w14:paraId="150353B5">
            <w:pPr>
              <w:adjustRightInd w:val="0"/>
              <w:spacing w:line="360" w:lineRule="auto"/>
              <w:ind w:left="-105" w:leftChars="-50" w:right="-105" w:rightChars="-50"/>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（40分）</w:t>
            </w:r>
          </w:p>
        </w:tc>
        <w:tc>
          <w:tcPr>
            <w:tcW w:w="1701" w:type="dxa"/>
            <w:tcBorders>
              <w:top w:val="single" w:color="auto" w:sz="4" w:space="0"/>
              <w:left w:val="single" w:color="auto" w:sz="4" w:space="0"/>
              <w:right w:val="single" w:color="auto" w:sz="4" w:space="0"/>
            </w:tcBorders>
            <w:vAlign w:val="center"/>
          </w:tcPr>
          <w:p w14:paraId="54233772">
            <w:pPr>
              <w:adjustRightInd w:val="0"/>
              <w:spacing w:line="400" w:lineRule="exact"/>
              <w:ind w:left="-105" w:leftChars="-50" w:right="-105" w:rightChars="-50"/>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技术响应分</w:t>
            </w:r>
          </w:p>
          <w:p w14:paraId="3DF197AB">
            <w:pPr>
              <w:adjustRightInd w:val="0"/>
              <w:spacing w:line="400" w:lineRule="exact"/>
              <w:ind w:left="-105" w:leftChars="-50" w:right="-105" w:rightChars="-50"/>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（40分）</w:t>
            </w:r>
          </w:p>
        </w:tc>
        <w:tc>
          <w:tcPr>
            <w:tcW w:w="6000" w:type="dxa"/>
            <w:tcBorders>
              <w:top w:val="single" w:color="auto" w:sz="4" w:space="0"/>
              <w:left w:val="single" w:color="auto" w:sz="4" w:space="0"/>
              <w:right w:val="single" w:color="auto" w:sz="4" w:space="0"/>
            </w:tcBorders>
            <w:vAlign w:val="center"/>
          </w:tcPr>
          <w:p w14:paraId="3F8CAD4A">
            <w:pPr>
              <w:pStyle w:val="25"/>
              <w:spacing w:line="360" w:lineRule="exact"/>
              <w:ind w:firstLine="420" w:firstLineChars="200"/>
              <w:outlineLvl w:val="0"/>
              <w:rPr>
                <w:color w:val="auto"/>
                <w:sz w:val="21"/>
                <w:szCs w:val="21"/>
                <w:highlight w:val="none"/>
              </w:rPr>
            </w:pPr>
            <w:r>
              <w:rPr>
                <w:rFonts w:hint="eastAsia"/>
                <w:color w:val="auto"/>
                <w:sz w:val="21"/>
                <w:szCs w:val="21"/>
                <w:highlight w:val="none"/>
              </w:rPr>
              <w:t>经评委独立评审，投标人投标文件满足招标文件全部实质性要求的，得基本分40分；投标人对“采购需求”的“技术要求”中未标注符号的</w:t>
            </w:r>
            <w:r>
              <w:rPr>
                <w:rFonts w:hint="eastAsia"/>
                <w:color w:val="auto"/>
                <w:sz w:val="21"/>
                <w:szCs w:val="21"/>
                <w:highlight w:val="none"/>
                <w:lang w:eastAsia="zh-CN"/>
              </w:rPr>
              <w:t>技术</w:t>
            </w:r>
            <w:r>
              <w:rPr>
                <w:rFonts w:hint="eastAsia"/>
                <w:color w:val="auto"/>
                <w:sz w:val="21"/>
                <w:szCs w:val="21"/>
                <w:highlight w:val="none"/>
              </w:rPr>
              <w:t>参数发生负偏离的，每有一项扣基本分2分；本项累计最多扣40分。</w:t>
            </w:r>
          </w:p>
          <w:p w14:paraId="07389275">
            <w:pPr>
              <w:pStyle w:val="25"/>
              <w:spacing w:line="360" w:lineRule="exact"/>
              <w:ind w:firstLine="422" w:firstLineChars="200"/>
              <w:outlineLvl w:val="0"/>
              <w:rPr>
                <w:rFonts w:hAnsi="宋体" w:cs="宋体"/>
                <w:color w:val="auto"/>
                <w:sz w:val="21"/>
                <w:szCs w:val="21"/>
                <w:highlight w:val="none"/>
              </w:rPr>
            </w:pPr>
            <w:r>
              <w:rPr>
                <w:rFonts w:hint="eastAsia"/>
                <w:b/>
                <w:color w:val="auto"/>
                <w:sz w:val="21"/>
                <w:szCs w:val="21"/>
                <w:highlight w:val="none"/>
              </w:rPr>
              <w:t>注：如招标文件“技术要求”中要求提供相关有效证明材料，投标人未按要求提供证明材料或所提供的证明材料不满足（或不能证明）相应技术参数要求的，相应视为负偏离；投标人投标文件中的响应承诺与证明材料不一致的，以证明材料为准。</w:t>
            </w:r>
          </w:p>
        </w:tc>
      </w:tr>
      <w:tr w14:paraId="583F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525" w:type="dxa"/>
            <w:tcBorders>
              <w:top w:val="single" w:color="auto" w:sz="4" w:space="0"/>
              <w:left w:val="single" w:color="auto" w:sz="4" w:space="0"/>
              <w:right w:val="single" w:color="auto" w:sz="4" w:space="0"/>
            </w:tcBorders>
            <w:vAlign w:val="center"/>
          </w:tcPr>
          <w:p w14:paraId="6F900C1B">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3</w:t>
            </w:r>
          </w:p>
        </w:tc>
        <w:tc>
          <w:tcPr>
            <w:tcW w:w="1224" w:type="dxa"/>
            <w:tcBorders>
              <w:top w:val="single" w:color="auto" w:sz="4" w:space="0"/>
              <w:left w:val="single" w:color="auto" w:sz="4" w:space="0"/>
              <w:right w:val="single" w:color="auto" w:sz="4" w:space="0"/>
            </w:tcBorders>
            <w:vAlign w:val="center"/>
          </w:tcPr>
          <w:p w14:paraId="398BD142">
            <w:pPr>
              <w:adjustRightInd w:val="0"/>
              <w:spacing w:line="470" w:lineRule="exact"/>
              <w:jc w:val="center"/>
              <w:textAlignment w:val="baseline"/>
              <w:rPr>
                <w:rFonts w:ascii="宋体" w:hAnsi="宋体" w:cs="宋体"/>
                <w:b/>
                <w:color w:val="auto"/>
                <w:sz w:val="21"/>
                <w:szCs w:val="21"/>
                <w:highlight w:val="none"/>
              </w:rPr>
            </w:pPr>
            <w:r>
              <w:rPr>
                <w:rFonts w:hint="eastAsia" w:ascii="宋体" w:hAnsi="宋体" w:cs="宋体"/>
                <w:b/>
                <w:bCs/>
                <w:color w:val="auto"/>
                <w:sz w:val="21"/>
                <w:szCs w:val="21"/>
                <w:highlight w:val="none"/>
              </w:rPr>
              <w:t>安装实施方案分（10分）</w:t>
            </w:r>
          </w:p>
        </w:tc>
        <w:tc>
          <w:tcPr>
            <w:tcW w:w="7701" w:type="dxa"/>
            <w:gridSpan w:val="2"/>
            <w:tcBorders>
              <w:top w:val="single" w:color="auto" w:sz="4" w:space="0"/>
              <w:left w:val="single" w:color="auto" w:sz="4" w:space="0"/>
              <w:right w:val="single" w:color="auto" w:sz="4" w:space="0"/>
            </w:tcBorders>
            <w:vAlign w:val="center"/>
          </w:tcPr>
          <w:p w14:paraId="0B18D7A6">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评委对投标人提供的安装实施方案（包括但不仅限于：①安装方案；②设备调试方案；③设备试运行方案等）内容进行独立评审并按以下规则独立打分：</w:t>
            </w:r>
          </w:p>
          <w:p w14:paraId="47D6C185">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一档（4分）：三项评审内容有一项经评审具有针对性、可操作性、且内容科学合理的；</w:t>
            </w:r>
          </w:p>
          <w:p w14:paraId="4777BB8D">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二档（7分）：三项评审内容有二项经评审具有针对性、可操作性、且内容科学合理的；</w:t>
            </w:r>
          </w:p>
          <w:p w14:paraId="426157CC">
            <w:pPr>
              <w:pStyle w:val="25"/>
              <w:spacing w:line="400" w:lineRule="exact"/>
              <w:rPr>
                <w:rFonts w:hint="eastAsia" w:hAnsi="宋体" w:cs="宋体"/>
                <w:color w:val="auto"/>
                <w:kern w:val="2"/>
                <w:sz w:val="21"/>
                <w:szCs w:val="21"/>
                <w:highlight w:val="none"/>
              </w:rPr>
            </w:pPr>
            <w:r>
              <w:rPr>
                <w:rFonts w:hint="eastAsia" w:hAnsi="宋体" w:cs="宋体"/>
                <w:color w:val="auto"/>
                <w:kern w:val="2"/>
                <w:sz w:val="21"/>
                <w:szCs w:val="21"/>
                <w:highlight w:val="none"/>
              </w:rPr>
              <w:t>三档（10分）：三项评审内容经评审均具有针对性、可操作性、且内容科学合理的。</w:t>
            </w:r>
          </w:p>
          <w:p w14:paraId="7E00C9AD">
            <w:pPr>
              <w:keepNext w:val="0"/>
              <w:keepLines w:val="0"/>
              <w:pageBreakBefore w:val="0"/>
              <w:widowControl/>
              <w:kinsoku/>
              <w:wordWrap/>
              <w:overflowPunct/>
              <w:topLinePunct w:val="0"/>
              <w:autoSpaceDE/>
              <w:autoSpaceDN/>
              <w:bidi w:val="0"/>
              <w:snapToGrid w:val="0"/>
              <w:spacing w:line="340" w:lineRule="exact"/>
              <w:textAlignment w:val="auto"/>
              <w:rPr>
                <w:color w:val="auto"/>
                <w:sz w:val="21"/>
                <w:szCs w:val="21"/>
                <w:highlight w:val="none"/>
              </w:rPr>
            </w:pPr>
            <w:r>
              <w:rPr>
                <w:rFonts w:hint="eastAsia" w:ascii="宋体" w:hAnsi="宋体" w:cs="宋体"/>
                <w:b/>
                <w:bCs w:val="0"/>
                <w:color w:val="auto"/>
                <w:sz w:val="21"/>
                <w:szCs w:val="21"/>
                <w:highlight w:val="none"/>
              </w:rPr>
              <w:t>注：未提供“</w:t>
            </w:r>
            <w:r>
              <w:rPr>
                <w:rFonts w:hint="eastAsia" w:hAnsi="宋体" w:cs="宋体"/>
                <w:b/>
                <w:bCs w:val="0"/>
                <w:color w:val="auto"/>
                <w:kern w:val="2"/>
                <w:sz w:val="21"/>
                <w:szCs w:val="21"/>
                <w:highlight w:val="none"/>
              </w:rPr>
              <w:t>安装实施方案</w:t>
            </w:r>
            <w:r>
              <w:rPr>
                <w:rFonts w:hint="eastAsia" w:ascii="宋体" w:hAnsi="宋体" w:cs="宋体"/>
                <w:b/>
                <w:bCs w:val="0"/>
                <w:color w:val="auto"/>
                <w:sz w:val="21"/>
                <w:szCs w:val="21"/>
                <w:highlight w:val="none"/>
              </w:rPr>
              <w:t>”或经评委评审未达到上述一档档次标准的，</w:t>
            </w:r>
            <w:r>
              <w:rPr>
                <w:rFonts w:hint="eastAsia" w:hAnsi="宋体" w:cs="宋体"/>
                <w:b/>
                <w:bCs w:val="0"/>
                <w:color w:val="auto"/>
                <w:kern w:val="2"/>
                <w:sz w:val="21"/>
                <w:szCs w:val="21"/>
                <w:highlight w:val="none"/>
              </w:rPr>
              <w:t>安装实施方案</w:t>
            </w:r>
            <w:r>
              <w:rPr>
                <w:rFonts w:hint="eastAsia"/>
                <w:b/>
                <w:bCs w:val="0"/>
                <w:color w:val="auto"/>
                <w:sz w:val="21"/>
                <w:szCs w:val="21"/>
                <w:highlight w:val="none"/>
              </w:rPr>
              <w:t>分</w:t>
            </w:r>
            <w:r>
              <w:rPr>
                <w:rFonts w:hint="eastAsia" w:ascii="宋体" w:hAnsi="宋体" w:cs="宋体"/>
                <w:b/>
                <w:bCs w:val="0"/>
                <w:color w:val="auto"/>
                <w:sz w:val="21"/>
                <w:szCs w:val="21"/>
                <w:highlight w:val="none"/>
              </w:rPr>
              <w:t>不予计分。</w:t>
            </w:r>
          </w:p>
        </w:tc>
      </w:tr>
      <w:tr w14:paraId="5502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525" w:type="dxa"/>
            <w:tcBorders>
              <w:top w:val="single" w:color="auto" w:sz="4" w:space="0"/>
              <w:left w:val="single" w:color="auto" w:sz="4" w:space="0"/>
              <w:right w:val="single" w:color="auto" w:sz="4" w:space="0"/>
            </w:tcBorders>
            <w:vAlign w:val="center"/>
          </w:tcPr>
          <w:p w14:paraId="73069A57">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4</w:t>
            </w:r>
          </w:p>
        </w:tc>
        <w:tc>
          <w:tcPr>
            <w:tcW w:w="1224" w:type="dxa"/>
            <w:tcBorders>
              <w:top w:val="single" w:color="auto" w:sz="4" w:space="0"/>
              <w:left w:val="single" w:color="auto" w:sz="4" w:space="0"/>
              <w:right w:val="single" w:color="auto" w:sz="4" w:space="0"/>
            </w:tcBorders>
            <w:shd w:val="clear" w:color="auto" w:fill="auto"/>
            <w:vAlign w:val="center"/>
          </w:tcPr>
          <w:p w14:paraId="5113BCA6">
            <w:pPr>
              <w:adjustRightInd w:val="0"/>
              <w:spacing w:line="470" w:lineRule="exact"/>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增值售后服务方案分（10分）</w:t>
            </w:r>
          </w:p>
        </w:tc>
        <w:tc>
          <w:tcPr>
            <w:tcW w:w="7701" w:type="dxa"/>
            <w:gridSpan w:val="2"/>
            <w:tcBorders>
              <w:top w:val="single" w:color="auto" w:sz="4" w:space="0"/>
              <w:left w:val="single" w:color="auto" w:sz="4" w:space="0"/>
              <w:right w:val="single" w:color="auto" w:sz="4" w:space="0"/>
            </w:tcBorders>
            <w:shd w:val="clear" w:color="auto" w:fill="auto"/>
            <w:vAlign w:val="center"/>
          </w:tcPr>
          <w:p w14:paraId="63207DBC">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评委根据投标人所提供的增值售后服务方案内容【包括但不限于：</w:t>
            </w:r>
            <w:r>
              <w:rPr>
                <w:rFonts w:hint="eastAsia" w:hAnsi="宋体" w:cs="宋体"/>
                <w:color w:val="auto"/>
                <w:sz w:val="21"/>
                <w:szCs w:val="21"/>
                <w:highlight w:val="none"/>
              </w:rPr>
              <w:t>①服务人员的配备、故障出现解决方案，②定期维护 (注明时间)，③技术培训方案，④保修期外维修方案，⑤售后服务措施及其他优惠措施等</w:t>
            </w:r>
            <w:r>
              <w:rPr>
                <w:rFonts w:hint="eastAsia" w:hAnsi="宋体" w:cs="宋体"/>
                <w:color w:val="auto"/>
                <w:kern w:val="2"/>
                <w:sz w:val="21"/>
                <w:szCs w:val="21"/>
                <w:highlight w:val="none"/>
              </w:rPr>
              <w:t>】，按以下方式进行独立评审打分：</w:t>
            </w:r>
          </w:p>
          <w:p w14:paraId="1D311C43">
            <w:pPr>
              <w:pStyle w:val="25"/>
              <w:spacing w:line="360" w:lineRule="exact"/>
              <w:rPr>
                <w:rFonts w:hAnsi="宋体" w:cs="宋体"/>
                <w:color w:val="auto"/>
                <w:sz w:val="21"/>
                <w:szCs w:val="21"/>
                <w:highlight w:val="none"/>
              </w:rPr>
            </w:pPr>
            <w:r>
              <w:rPr>
                <w:rFonts w:hint="eastAsia" w:hAnsi="宋体" w:cs="宋体"/>
                <w:color w:val="auto"/>
                <w:sz w:val="21"/>
                <w:szCs w:val="21"/>
                <w:highlight w:val="none"/>
              </w:rPr>
              <w:t>一档（2分）：五项评审因素有一项内容经评审合理、可行且具有针对性的；</w:t>
            </w:r>
          </w:p>
          <w:p w14:paraId="506E5D82">
            <w:pPr>
              <w:pStyle w:val="25"/>
              <w:spacing w:line="360" w:lineRule="exact"/>
              <w:rPr>
                <w:rFonts w:hAnsi="宋体" w:cs="宋体"/>
                <w:color w:val="auto"/>
                <w:sz w:val="21"/>
                <w:szCs w:val="21"/>
                <w:highlight w:val="none"/>
              </w:rPr>
            </w:pPr>
            <w:r>
              <w:rPr>
                <w:rFonts w:hint="eastAsia" w:hAnsi="宋体" w:cs="宋体"/>
                <w:color w:val="auto"/>
                <w:sz w:val="21"/>
                <w:szCs w:val="21"/>
                <w:highlight w:val="none"/>
              </w:rPr>
              <w:t>二档（4分）：五项评审因素有二项内容经评审合理、可行且具有针对性的；</w:t>
            </w:r>
          </w:p>
          <w:p w14:paraId="623FEA52">
            <w:pPr>
              <w:pStyle w:val="25"/>
              <w:spacing w:line="360" w:lineRule="exact"/>
              <w:outlineLvl w:val="0"/>
              <w:rPr>
                <w:rFonts w:hAnsi="宋体" w:cs="宋体"/>
                <w:color w:val="auto"/>
                <w:sz w:val="21"/>
                <w:szCs w:val="21"/>
                <w:highlight w:val="none"/>
              </w:rPr>
            </w:pPr>
            <w:r>
              <w:rPr>
                <w:rFonts w:hint="eastAsia" w:hAnsi="宋体" w:cs="宋体"/>
                <w:color w:val="auto"/>
                <w:sz w:val="21"/>
                <w:szCs w:val="21"/>
                <w:highlight w:val="none"/>
              </w:rPr>
              <w:t>三档（6分）：五项评审因素有三项内容经评审合理、可行且具有针对性的；</w:t>
            </w:r>
          </w:p>
          <w:p w14:paraId="3533E198">
            <w:pPr>
              <w:pStyle w:val="25"/>
              <w:spacing w:line="360" w:lineRule="exact"/>
              <w:outlineLvl w:val="0"/>
              <w:rPr>
                <w:rFonts w:hAnsi="宋体" w:cs="宋体"/>
                <w:color w:val="auto"/>
                <w:sz w:val="21"/>
                <w:szCs w:val="21"/>
                <w:highlight w:val="none"/>
              </w:rPr>
            </w:pPr>
            <w:r>
              <w:rPr>
                <w:rFonts w:hint="eastAsia" w:hAnsi="宋体" w:cs="宋体"/>
                <w:color w:val="auto"/>
                <w:sz w:val="21"/>
                <w:szCs w:val="21"/>
                <w:highlight w:val="none"/>
              </w:rPr>
              <w:t>四档（8分）：五项评审因素有四项内容经评审合理、可行且具有针对性的；</w:t>
            </w:r>
          </w:p>
          <w:p w14:paraId="61BC4AA3">
            <w:pPr>
              <w:pStyle w:val="25"/>
              <w:spacing w:line="400" w:lineRule="exact"/>
              <w:rPr>
                <w:rFonts w:hint="eastAsia" w:hAnsi="宋体" w:cs="宋体"/>
                <w:color w:val="auto"/>
                <w:sz w:val="21"/>
                <w:szCs w:val="21"/>
                <w:highlight w:val="none"/>
              </w:rPr>
            </w:pPr>
            <w:r>
              <w:rPr>
                <w:rFonts w:hint="eastAsia" w:hAnsi="宋体" w:cs="宋体"/>
                <w:color w:val="auto"/>
                <w:sz w:val="21"/>
                <w:szCs w:val="21"/>
                <w:highlight w:val="none"/>
              </w:rPr>
              <w:t>五档（10分）：五项评审因素均合理、可行且具有针对性的。</w:t>
            </w:r>
          </w:p>
          <w:p w14:paraId="37313CBB">
            <w:pPr>
              <w:pStyle w:val="13"/>
              <w:ind w:left="0" w:leftChars="0" w:firstLine="0" w:firstLineChars="0"/>
              <w:rPr>
                <w:color w:val="auto"/>
                <w:sz w:val="21"/>
                <w:szCs w:val="21"/>
                <w:highlight w:val="none"/>
              </w:rPr>
            </w:pPr>
            <w:r>
              <w:rPr>
                <w:rFonts w:hint="eastAsia" w:ascii="宋体" w:hAnsi="宋体" w:cs="宋体"/>
                <w:b/>
                <w:bCs w:val="0"/>
                <w:color w:val="auto"/>
                <w:sz w:val="21"/>
                <w:szCs w:val="21"/>
                <w:highlight w:val="none"/>
              </w:rPr>
              <w:t>注：未提供“</w:t>
            </w:r>
            <w:r>
              <w:rPr>
                <w:rFonts w:hint="eastAsia" w:ascii="宋体" w:hAnsi="宋体" w:cs="宋体"/>
                <w:b/>
                <w:color w:val="auto"/>
                <w:sz w:val="21"/>
                <w:szCs w:val="21"/>
                <w:highlight w:val="none"/>
              </w:rPr>
              <w:t>增值售后服务方案</w:t>
            </w:r>
            <w:r>
              <w:rPr>
                <w:rFonts w:hint="eastAsia" w:ascii="宋体" w:hAnsi="宋体" w:cs="宋体"/>
                <w:b/>
                <w:bCs w:val="0"/>
                <w:color w:val="auto"/>
                <w:sz w:val="21"/>
                <w:szCs w:val="21"/>
                <w:highlight w:val="none"/>
              </w:rPr>
              <w:t>”或经评委评审未达到上述一档档次标准的，</w:t>
            </w:r>
            <w:r>
              <w:rPr>
                <w:rFonts w:hint="eastAsia" w:ascii="宋体" w:hAnsi="宋体" w:cs="宋体"/>
                <w:b/>
                <w:color w:val="auto"/>
                <w:sz w:val="21"/>
                <w:szCs w:val="21"/>
                <w:highlight w:val="none"/>
              </w:rPr>
              <w:t>增值售后服务方案</w:t>
            </w:r>
            <w:r>
              <w:rPr>
                <w:rFonts w:hint="eastAsia"/>
                <w:b/>
                <w:bCs w:val="0"/>
                <w:color w:val="auto"/>
                <w:sz w:val="21"/>
                <w:szCs w:val="21"/>
                <w:highlight w:val="none"/>
              </w:rPr>
              <w:t>分</w:t>
            </w:r>
            <w:r>
              <w:rPr>
                <w:rFonts w:hint="eastAsia" w:ascii="宋体" w:hAnsi="宋体" w:cs="宋体"/>
                <w:b/>
                <w:bCs w:val="0"/>
                <w:color w:val="auto"/>
                <w:sz w:val="21"/>
                <w:szCs w:val="21"/>
                <w:highlight w:val="none"/>
              </w:rPr>
              <w:t>不予计分。</w:t>
            </w:r>
          </w:p>
        </w:tc>
      </w:tr>
      <w:tr w14:paraId="0A38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525" w:type="dxa"/>
            <w:tcBorders>
              <w:top w:val="single" w:color="auto" w:sz="4" w:space="0"/>
              <w:left w:val="single" w:color="auto" w:sz="4" w:space="0"/>
              <w:right w:val="single" w:color="auto" w:sz="4" w:space="0"/>
            </w:tcBorders>
            <w:vAlign w:val="center"/>
          </w:tcPr>
          <w:p w14:paraId="76D37E86">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5</w:t>
            </w:r>
          </w:p>
        </w:tc>
        <w:tc>
          <w:tcPr>
            <w:tcW w:w="1224" w:type="dxa"/>
            <w:tcBorders>
              <w:top w:val="single" w:color="auto" w:sz="4" w:space="0"/>
              <w:left w:val="single" w:color="auto" w:sz="4" w:space="0"/>
              <w:right w:val="single" w:color="auto" w:sz="4" w:space="0"/>
            </w:tcBorders>
            <w:vAlign w:val="center"/>
          </w:tcPr>
          <w:p w14:paraId="412AEAD0">
            <w:pPr>
              <w:adjustRightInd w:val="0"/>
              <w:spacing w:line="360" w:lineRule="auto"/>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履约能力分（8分）</w:t>
            </w:r>
          </w:p>
        </w:tc>
        <w:tc>
          <w:tcPr>
            <w:tcW w:w="7701" w:type="dxa"/>
            <w:gridSpan w:val="2"/>
            <w:tcBorders>
              <w:top w:val="single" w:color="auto" w:sz="4" w:space="0"/>
              <w:left w:val="single" w:color="auto" w:sz="4" w:space="0"/>
              <w:right w:val="single" w:color="auto" w:sz="4" w:space="0"/>
            </w:tcBorders>
            <w:vAlign w:val="center"/>
          </w:tcPr>
          <w:p w14:paraId="214AFC2A">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1）投标人或所投核心产品生产厂家通过ISO13485医疗器械质量管理体系认证、ISO9001质量管理体系认证且有效的（投标人于投标文件提供相应有效的认证证书复印件，并加盖投标人电子签章，否则不予认可），每提供1项得2分，最多得4分。</w:t>
            </w:r>
          </w:p>
          <w:p w14:paraId="444342CD">
            <w:pPr>
              <w:pStyle w:val="25"/>
              <w:spacing w:line="400" w:lineRule="exact"/>
              <w:rPr>
                <w:rFonts w:hAnsi="宋体" w:cs="宋体"/>
                <w:color w:val="auto"/>
                <w:sz w:val="21"/>
                <w:szCs w:val="21"/>
                <w:highlight w:val="none"/>
              </w:rPr>
            </w:pPr>
            <w:r>
              <w:rPr>
                <w:rFonts w:hint="eastAsia" w:hAnsi="宋体" w:cs="宋体"/>
                <w:color w:val="auto"/>
                <w:kern w:val="2"/>
                <w:sz w:val="21"/>
                <w:szCs w:val="21"/>
                <w:highlight w:val="none"/>
              </w:rPr>
              <w:t>（2）投标人或所投核心产品生产厂家自2021年1月1日以来的具有同类产品销售业绩的（业绩以中标、成交通知书或合同为准，并能清晰反映所销售的产品名称、数量，同一个编号的项目有两个或两个以上的分标中标的只算1个业绩，并加盖投标人电子签章，否则不予认可），每提供1个业绩得2分，最多得4分。</w:t>
            </w:r>
          </w:p>
        </w:tc>
      </w:tr>
      <w:tr w14:paraId="351D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20B81A0E">
            <w:pPr>
              <w:widowControl/>
              <w:jc w:val="center"/>
              <w:rPr>
                <w:rFonts w:ascii="宋体" w:hAnsi="宋体" w:cs="宋体"/>
                <w:b/>
                <w:color w:val="auto"/>
                <w:sz w:val="21"/>
                <w:szCs w:val="21"/>
                <w:highlight w:val="none"/>
              </w:rPr>
            </w:pPr>
            <w:r>
              <w:rPr>
                <w:rFonts w:hint="eastAsia" w:ascii="宋体" w:hAnsi="宋体" w:cs="宋体"/>
                <w:b/>
                <w:color w:val="auto"/>
                <w:sz w:val="21"/>
                <w:szCs w:val="21"/>
                <w:highlight w:val="none"/>
              </w:rPr>
              <w:t>6</w:t>
            </w:r>
          </w:p>
        </w:tc>
        <w:tc>
          <w:tcPr>
            <w:tcW w:w="1224" w:type="dxa"/>
            <w:tcBorders>
              <w:top w:val="single" w:color="auto" w:sz="4" w:space="0"/>
              <w:left w:val="single" w:color="auto" w:sz="4" w:space="0"/>
              <w:bottom w:val="single" w:color="auto" w:sz="4" w:space="0"/>
              <w:right w:val="single" w:color="auto" w:sz="4" w:space="0"/>
            </w:tcBorders>
            <w:vAlign w:val="center"/>
          </w:tcPr>
          <w:p w14:paraId="509F2823">
            <w:pPr>
              <w:adjustRightInd w:val="0"/>
              <w:spacing w:line="360" w:lineRule="auto"/>
              <w:jc w:val="center"/>
              <w:textAlignment w:val="baseline"/>
              <w:rPr>
                <w:rFonts w:ascii="宋体" w:hAnsi="宋体" w:cs="宋体"/>
                <w:b/>
                <w:color w:val="auto"/>
                <w:sz w:val="21"/>
                <w:szCs w:val="21"/>
                <w:highlight w:val="none"/>
              </w:rPr>
            </w:pPr>
            <w:r>
              <w:rPr>
                <w:rFonts w:hint="eastAsia" w:ascii="宋体" w:hAnsi="宋体" w:cs="宋体"/>
                <w:b/>
                <w:color w:val="auto"/>
                <w:sz w:val="21"/>
                <w:szCs w:val="21"/>
                <w:highlight w:val="none"/>
              </w:rPr>
              <w:t>政策分（2分）</w:t>
            </w:r>
          </w:p>
        </w:tc>
        <w:tc>
          <w:tcPr>
            <w:tcW w:w="7701"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1D1C7E96">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（1）属于财政部《节能产品政府采购品目清单》内优先采购（清单内未标注“★”的品目）的产品（投标文件中提供有效的认证证书复印件，并加盖投标人电子签章），得1分。</w:t>
            </w:r>
          </w:p>
          <w:p w14:paraId="67740DFA">
            <w:pPr>
              <w:pStyle w:val="25"/>
              <w:spacing w:line="400" w:lineRule="exact"/>
              <w:rPr>
                <w:rFonts w:hAnsi="宋体" w:cs="宋体"/>
                <w:color w:val="auto"/>
                <w:kern w:val="2"/>
                <w:sz w:val="21"/>
                <w:szCs w:val="21"/>
                <w:highlight w:val="none"/>
              </w:rPr>
            </w:pPr>
            <w:r>
              <w:rPr>
                <w:rFonts w:hint="eastAsia" w:hAnsi="宋体" w:cs="宋体"/>
                <w:color w:val="auto"/>
                <w:kern w:val="2"/>
                <w:sz w:val="21"/>
                <w:szCs w:val="21"/>
                <w:highlight w:val="none"/>
              </w:rPr>
              <w:t>（2）属于财政部《环境标志产品政府采购品目清单》内的产品（投标文件中提供有效的认证证书复印件，并加盖投标人电子签章），得1分。</w:t>
            </w:r>
          </w:p>
        </w:tc>
      </w:tr>
      <w:tr w14:paraId="6F6E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14:paraId="2CF392E3">
            <w:pPr>
              <w:rPr>
                <w:rFonts w:ascii="宋体" w:hAnsi="宋体" w:cs="宋体"/>
                <w:b/>
                <w:color w:val="auto"/>
                <w:sz w:val="21"/>
                <w:szCs w:val="21"/>
                <w:highlight w:val="none"/>
              </w:rPr>
            </w:pPr>
            <w:r>
              <w:rPr>
                <w:rFonts w:hint="eastAsia" w:ascii="宋体" w:hAnsi="宋体" w:cs="宋体"/>
                <w:b/>
                <w:bCs/>
                <w:color w:val="auto"/>
                <w:sz w:val="21"/>
                <w:szCs w:val="21"/>
                <w:highlight w:val="none"/>
              </w:rPr>
              <w:t>7.总得分为以上各项评审因素得分合计。</w:t>
            </w:r>
          </w:p>
        </w:tc>
      </w:tr>
    </w:tbl>
    <w:p w14:paraId="23639BE9">
      <w:pPr>
        <w:rPr>
          <w:rFonts w:ascii="宋体" w:hAnsi="宋体" w:cs="宋体"/>
          <w:b/>
          <w:color w:val="auto"/>
          <w:highlight w:val="none"/>
        </w:rPr>
      </w:pPr>
    </w:p>
    <w:p w14:paraId="649E5D45">
      <w:pPr>
        <w:pStyle w:val="25"/>
        <w:spacing w:line="360" w:lineRule="auto"/>
        <w:rPr>
          <w:rFonts w:hAnsi="宋体" w:cs="宋体"/>
          <w:b/>
          <w:color w:val="auto"/>
          <w:sz w:val="21"/>
          <w:highlight w:val="none"/>
        </w:rPr>
      </w:pPr>
    </w:p>
    <w:p w14:paraId="4907305B">
      <w:pPr>
        <w:pStyle w:val="5"/>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四、中标候选人推荐</w:t>
      </w:r>
    </w:p>
    <w:p w14:paraId="2551E551">
      <w:pPr>
        <w:pStyle w:val="25"/>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70E1F322">
      <w:pPr>
        <w:pStyle w:val="25"/>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569CE330">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br w:type="page"/>
      </w:r>
    </w:p>
    <w:p w14:paraId="0A39E548">
      <w:pPr>
        <w:pStyle w:val="4"/>
        <w:keepNext w:val="0"/>
        <w:keepLines w:val="0"/>
        <w:jc w:val="center"/>
        <w:rPr>
          <w:rFonts w:ascii="宋体" w:hAnsi="宋体" w:eastAsia="宋体" w:cs="宋体"/>
          <w:color w:val="auto"/>
          <w:highlight w:val="none"/>
        </w:rPr>
      </w:pPr>
    </w:p>
    <w:p w14:paraId="6DFC02F1">
      <w:pPr>
        <w:rPr>
          <w:rFonts w:ascii="宋体" w:hAnsi="宋体" w:cs="宋体"/>
          <w:color w:val="auto"/>
          <w:highlight w:val="none"/>
        </w:rPr>
      </w:pPr>
    </w:p>
    <w:p w14:paraId="20F45E8A">
      <w:pPr>
        <w:pStyle w:val="19"/>
        <w:rPr>
          <w:rFonts w:ascii="宋体" w:hAnsi="宋体" w:cs="宋体"/>
          <w:color w:val="auto"/>
          <w:highlight w:val="none"/>
        </w:rPr>
      </w:pPr>
    </w:p>
    <w:p w14:paraId="215BA5D7">
      <w:pPr>
        <w:pStyle w:val="19"/>
        <w:rPr>
          <w:rFonts w:ascii="宋体" w:hAnsi="宋体" w:cs="宋体"/>
          <w:color w:val="auto"/>
          <w:highlight w:val="none"/>
        </w:rPr>
      </w:pPr>
    </w:p>
    <w:p w14:paraId="5EA26247">
      <w:pPr>
        <w:pStyle w:val="19"/>
        <w:rPr>
          <w:rFonts w:ascii="宋体" w:hAnsi="宋体" w:cs="宋体"/>
          <w:color w:val="auto"/>
          <w:highlight w:val="none"/>
        </w:rPr>
      </w:pPr>
    </w:p>
    <w:p w14:paraId="631DE513">
      <w:pPr>
        <w:pStyle w:val="19"/>
        <w:rPr>
          <w:rFonts w:ascii="宋体" w:hAnsi="宋体" w:cs="宋体"/>
          <w:color w:val="auto"/>
          <w:highlight w:val="none"/>
        </w:rPr>
      </w:pPr>
    </w:p>
    <w:p w14:paraId="15702DFB">
      <w:pPr>
        <w:pStyle w:val="4"/>
        <w:keepNext w:val="0"/>
        <w:keepLines w:val="0"/>
        <w:jc w:val="center"/>
        <w:rPr>
          <w:rFonts w:ascii="宋体" w:hAnsi="宋体" w:eastAsia="宋体" w:cs="宋体"/>
          <w:color w:val="auto"/>
          <w:highlight w:val="none"/>
        </w:rPr>
      </w:pPr>
    </w:p>
    <w:p w14:paraId="575F320D">
      <w:pPr>
        <w:rPr>
          <w:rFonts w:ascii="宋体" w:hAnsi="宋体" w:cs="宋体"/>
          <w:color w:val="auto"/>
          <w:highlight w:val="none"/>
        </w:rPr>
      </w:pPr>
    </w:p>
    <w:p w14:paraId="54C9983B">
      <w:pPr>
        <w:pStyle w:val="4"/>
        <w:keepNext w:val="0"/>
        <w:keepLines w:val="0"/>
        <w:jc w:val="center"/>
        <w:rPr>
          <w:rFonts w:ascii="宋体" w:hAnsi="宋体" w:eastAsia="宋体" w:cs="宋体"/>
          <w:color w:val="auto"/>
          <w:highlight w:val="none"/>
        </w:rPr>
      </w:pPr>
    </w:p>
    <w:p w14:paraId="17A2BECD">
      <w:pPr>
        <w:pStyle w:val="3"/>
        <w:jc w:val="center"/>
        <w:rPr>
          <w:rFonts w:ascii="宋体" w:hAnsi="宋体" w:cs="宋体"/>
          <w:color w:val="auto"/>
          <w:highlight w:val="none"/>
        </w:rPr>
      </w:pPr>
      <w:bookmarkStart w:id="142" w:name="_Toc143259165"/>
      <w:bookmarkStart w:id="143" w:name="_Toc74320804"/>
      <w:r>
        <w:rPr>
          <w:rFonts w:hint="eastAsia" w:ascii="宋体" w:hAnsi="宋体" w:cs="宋体"/>
          <w:color w:val="auto"/>
          <w:highlight w:val="none"/>
        </w:rPr>
        <w:t>第五章 拟签订的合同文本</w:t>
      </w:r>
      <w:bookmarkEnd w:id="142"/>
      <w:bookmarkEnd w:id="143"/>
    </w:p>
    <w:p w14:paraId="085EFC9F">
      <w:pPr>
        <w:snapToGrid w:val="0"/>
        <w:jc w:val="center"/>
        <w:rPr>
          <w:rFonts w:ascii="宋体" w:hAnsi="宋体" w:cs="宋体"/>
          <w:bCs/>
          <w:color w:val="auto"/>
          <w:sz w:val="32"/>
          <w:szCs w:val="32"/>
          <w:highlight w:val="none"/>
        </w:rPr>
      </w:pPr>
    </w:p>
    <w:p w14:paraId="4C827673">
      <w:pPr>
        <w:snapToGrid w:val="0"/>
        <w:jc w:val="center"/>
        <w:rPr>
          <w:rFonts w:ascii="宋体" w:hAnsi="宋体" w:cs="宋体"/>
          <w:bCs/>
          <w:color w:val="auto"/>
          <w:sz w:val="32"/>
          <w:szCs w:val="32"/>
          <w:highlight w:val="none"/>
        </w:rPr>
      </w:pPr>
    </w:p>
    <w:p w14:paraId="1152AFC8">
      <w:pPr>
        <w:snapToGrid w:val="0"/>
        <w:jc w:val="center"/>
        <w:rPr>
          <w:rFonts w:ascii="宋体" w:hAnsi="宋体" w:cs="宋体"/>
          <w:bCs/>
          <w:color w:val="auto"/>
          <w:sz w:val="32"/>
          <w:szCs w:val="32"/>
          <w:highlight w:val="none"/>
        </w:rPr>
      </w:pPr>
    </w:p>
    <w:p w14:paraId="35D375CC">
      <w:pPr>
        <w:snapToGrid w:val="0"/>
        <w:jc w:val="center"/>
        <w:rPr>
          <w:rFonts w:ascii="宋体" w:hAnsi="宋体" w:cs="宋体"/>
          <w:bCs/>
          <w:color w:val="auto"/>
          <w:sz w:val="32"/>
          <w:szCs w:val="32"/>
          <w:highlight w:val="none"/>
        </w:rPr>
      </w:pPr>
    </w:p>
    <w:p w14:paraId="3FAE944A">
      <w:pPr>
        <w:snapToGrid w:val="0"/>
        <w:jc w:val="center"/>
        <w:rPr>
          <w:rFonts w:ascii="宋体" w:hAnsi="宋体" w:cs="宋体"/>
          <w:bCs/>
          <w:color w:val="auto"/>
          <w:sz w:val="32"/>
          <w:szCs w:val="32"/>
          <w:highlight w:val="none"/>
        </w:rPr>
      </w:pPr>
    </w:p>
    <w:p w14:paraId="09711E66">
      <w:pPr>
        <w:snapToGrid w:val="0"/>
        <w:jc w:val="center"/>
        <w:rPr>
          <w:rFonts w:ascii="宋体" w:hAnsi="宋体" w:cs="宋体"/>
          <w:bCs/>
          <w:color w:val="auto"/>
          <w:sz w:val="32"/>
          <w:szCs w:val="32"/>
          <w:highlight w:val="none"/>
        </w:rPr>
      </w:pPr>
    </w:p>
    <w:p w14:paraId="355217FA">
      <w:pPr>
        <w:snapToGrid w:val="0"/>
        <w:jc w:val="center"/>
        <w:rPr>
          <w:rFonts w:ascii="宋体" w:hAnsi="宋体" w:cs="宋体"/>
          <w:bCs/>
          <w:color w:val="auto"/>
          <w:sz w:val="32"/>
          <w:szCs w:val="32"/>
          <w:highlight w:val="none"/>
        </w:rPr>
      </w:pPr>
    </w:p>
    <w:p w14:paraId="36784887">
      <w:pPr>
        <w:snapToGrid w:val="0"/>
        <w:jc w:val="center"/>
        <w:rPr>
          <w:rFonts w:ascii="宋体" w:hAnsi="宋体" w:cs="宋体"/>
          <w:bCs/>
          <w:color w:val="auto"/>
          <w:sz w:val="32"/>
          <w:szCs w:val="32"/>
          <w:highlight w:val="none"/>
        </w:rPr>
      </w:pPr>
    </w:p>
    <w:p w14:paraId="62FCB8C8">
      <w:pPr>
        <w:snapToGrid w:val="0"/>
        <w:jc w:val="center"/>
        <w:rPr>
          <w:rFonts w:ascii="宋体" w:hAnsi="宋体" w:cs="宋体"/>
          <w:bCs/>
          <w:color w:val="auto"/>
          <w:sz w:val="32"/>
          <w:szCs w:val="32"/>
          <w:highlight w:val="none"/>
        </w:rPr>
      </w:pPr>
    </w:p>
    <w:p w14:paraId="5373794A">
      <w:pPr>
        <w:snapToGrid w:val="0"/>
        <w:jc w:val="center"/>
        <w:rPr>
          <w:rFonts w:ascii="宋体" w:hAnsi="宋体" w:cs="宋体"/>
          <w:bCs/>
          <w:color w:val="auto"/>
          <w:sz w:val="32"/>
          <w:szCs w:val="32"/>
          <w:highlight w:val="none"/>
        </w:rPr>
      </w:pPr>
    </w:p>
    <w:p w14:paraId="60C37C13">
      <w:pPr>
        <w:snapToGrid w:val="0"/>
        <w:jc w:val="center"/>
        <w:rPr>
          <w:rFonts w:ascii="宋体" w:hAnsi="宋体" w:cs="宋体"/>
          <w:bCs/>
          <w:color w:val="auto"/>
          <w:sz w:val="32"/>
          <w:szCs w:val="32"/>
          <w:highlight w:val="none"/>
        </w:rPr>
      </w:pPr>
    </w:p>
    <w:p w14:paraId="655674DB">
      <w:pPr>
        <w:snapToGrid w:val="0"/>
        <w:jc w:val="center"/>
        <w:rPr>
          <w:rFonts w:ascii="宋体" w:hAnsi="宋体" w:cs="宋体"/>
          <w:bCs/>
          <w:color w:val="auto"/>
          <w:sz w:val="32"/>
          <w:szCs w:val="32"/>
          <w:highlight w:val="none"/>
        </w:rPr>
      </w:pPr>
    </w:p>
    <w:p w14:paraId="46F4D605">
      <w:pPr>
        <w:snapToGrid w:val="0"/>
        <w:jc w:val="center"/>
        <w:rPr>
          <w:rFonts w:ascii="宋体" w:hAnsi="宋体" w:cs="宋体"/>
          <w:bCs/>
          <w:color w:val="auto"/>
          <w:sz w:val="32"/>
          <w:szCs w:val="32"/>
          <w:highlight w:val="none"/>
        </w:rPr>
      </w:pPr>
    </w:p>
    <w:p w14:paraId="401E6FFC">
      <w:pPr>
        <w:snapToGrid w:val="0"/>
        <w:spacing w:line="360" w:lineRule="auto"/>
        <w:ind w:firstLine="420" w:firstLineChars="200"/>
        <w:rPr>
          <w:rFonts w:ascii="宋体" w:hAnsi="宋体" w:cs="宋体"/>
          <w:color w:val="auto"/>
          <w:szCs w:val="21"/>
          <w:highlight w:val="none"/>
        </w:rPr>
      </w:pPr>
    </w:p>
    <w:p w14:paraId="7D7B791A">
      <w:pPr>
        <w:rPr>
          <w:rFonts w:ascii="宋体" w:hAnsi="宋体" w:cs="宋体"/>
          <w:color w:val="auto"/>
          <w:szCs w:val="21"/>
          <w:highlight w:val="none"/>
        </w:rPr>
      </w:pPr>
    </w:p>
    <w:p w14:paraId="528C8813">
      <w:pPr>
        <w:spacing w:line="500" w:lineRule="exact"/>
        <w:jc w:val="center"/>
        <w:rPr>
          <w:rFonts w:ascii="宋体" w:hAnsi="宋体"/>
          <w:b/>
          <w:color w:val="auto"/>
          <w:sz w:val="48"/>
          <w:szCs w:val="48"/>
          <w:highlight w:val="none"/>
        </w:rPr>
      </w:pPr>
      <w:bookmarkStart w:id="144" w:name="_Hlk55381736"/>
      <w:r>
        <w:rPr>
          <w:rFonts w:hint="eastAsia" w:ascii="宋体" w:hAnsi="宋体"/>
          <w:b/>
          <w:color w:val="auto"/>
          <w:sz w:val="48"/>
          <w:szCs w:val="48"/>
          <w:highlight w:val="none"/>
        </w:rPr>
        <w:t>医疗器械采购合同</w:t>
      </w:r>
    </w:p>
    <w:p w14:paraId="4EE860C6">
      <w:pPr>
        <w:spacing w:line="400" w:lineRule="exact"/>
        <w:rPr>
          <w:rFonts w:ascii="宋体" w:hAnsi="宋体"/>
          <w:b/>
          <w:color w:val="auto"/>
          <w:sz w:val="24"/>
          <w:highlight w:val="none"/>
        </w:rPr>
      </w:pPr>
    </w:p>
    <w:p w14:paraId="3D04803F">
      <w:pPr>
        <w:spacing w:line="400" w:lineRule="exact"/>
        <w:rPr>
          <w:rFonts w:ascii="宋体" w:hAnsi="宋体" w:cs="宋体"/>
          <w:b/>
          <w:color w:val="auto"/>
          <w:szCs w:val="21"/>
          <w:highlight w:val="none"/>
          <w:u w:val="single"/>
        </w:rPr>
      </w:pPr>
      <w:r>
        <w:rPr>
          <w:rFonts w:hint="eastAsia" w:ascii="宋体" w:hAnsi="宋体" w:cs="宋体"/>
          <w:b/>
          <w:color w:val="auto"/>
          <w:szCs w:val="21"/>
          <w:highlight w:val="none"/>
        </w:rPr>
        <w:t>项目名称：监护仪一批                    合同编号：</w:t>
      </w:r>
      <w:r>
        <w:rPr>
          <w:rFonts w:hint="eastAsia"/>
          <w:strike w:val="0"/>
          <w:dstrike w:val="0"/>
          <w:color w:val="auto"/>
          <w:highlight w:val="none"/>
          <w:u w:val="single"/>
          <w:lang w:val="en-US" w:eastAsia="zh-CN"/>
        </w:rPr>
        <w:t xml:space="preserve">      </w:t>
      </w:r>
      <w:r>
        <w:rPr>
          <w:rFonts w:hint="eastAsia" w:ascii="宋体" w:hAnsi="宋体" w:cs="宋体"/>
          <w:b/>
          <w:bCs/>
          <w:color w:val="auto"/>
          <w:szCs w:val="21"/>
          <w:highlight w:val="none"/>
          <w:u w:val="single"/>
        </w:rPr>
        <w:t xml:space="preserve">           </w:t>
      </w:r>
    </w:p>
    <w:p w14:paraId="58F8E6D6">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甲方：桂林医学院附属医院 </w:t>
      </w:r>
      <w:r>
        <w:rPr>
          <w:rFonts w:hint="eastAsia" w:ascii="宋体" w:hAnsi="宋体" w:cs="宋体"/>
          <w:b/>
          <w:color w:val="auto"/>
          <w:szCs w:val="21"/>
          <w:highlight w:val="none"/>
          <w:u w:val="single"/>
        </w:rPr>
        <w:t xml:space="preserve">      </w:t>
      </w:r>
    </w:p>
    <w:p w14:paraId="498AAB27">
      <w:pPr>
        <w:spacing w:line="400" w:lineRule="exact"/>
        <w:rPr>
          <w:rFonts w:ascii="宋体" w:hAnsi="宋体" w:cs="宋体"/>
          <w:b/>
          <w:color w:val="auto"/>
          <w:szCs w:val="21"/>
          <w:highlight w:val="none"/>
          <w:u w:val="single"/>
        </w:rPr>
      </w:pPr>
      <w:r>
        <w:rPr>
          <w:rFonts w:hint="eastAsia" w:ascii="宋体" w:hAnsi="宋体" w:cs="宋体"/>
          <w:b/>
          <w:color w:val="auto"/>
          <w:szCs w:val="21"/>
          <w:highlight w:val="none"/>
        </w:rPr>
        <w:t>乙方：</w:t>
      </w:r>
      <w:r>
        <w:rPr>
          <w:rFonts w:hint="eastAsia"/>
          <w:strike w:val="0"/>
          <w:dstrike w:val="0"/>
          <w:color w:val="auto"/>
          <w:highlight w:val="none"/>
          <w:u w:val="single"/>
          <w:lang w:val="en-US" w:eastAsia="zh-CN"/>
        </w:rPr>
        <w:t xml:space="preserve">      </w:t>
      </w:r>
      <w:r>
        <w:rPr>
          <w:rFonts w:hint="eastAsia" w:ascii="宋体" w:hAnsi="宋体" w:cs="宋体"/>
          <w:b/>
          <w:bCs/>
          <w:color w:val="auto"/>
          <w:szCs w:val="21"/>
          <w:highlight w:val="none"/>
          <w:u w:val="single"/>
        </w:rPr>
        <w:t xml:space="preserve">           </w:t>
      </w:r>
    </w:p>
    <w:p w14:paraId="759253E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甲乙双方根据中华人民共和国有关法律</w:t>
      </w:r>
      <w:r>
        <w:rPr>
          <w:rFonts w:hint="eastAsia" w:ascii="宋体" w:hAnsi="宋体" w:cs="宋体"/>
          <w:color w:val="auto"/>
          <w:szCs w:val="21"/>
          <w:highlight w:val="none"/>
          <w:lang w:eastAsia="zh-CN"/>
        </w:rPr>
        <w:t>、</w:t>
      </w:r>
      <w:r>
        <w:rPr>
          <w:rFonts w:hint="eastAsia" w:ascii="宋体" w:hAnsi="宋体" w:cs="宋体"/>
          <w:color w:val="auto"/>
          <w:szCs w:val="21"/>
          <w:highlight w:val="none"/>
        </w:rPr>
        <w:t>法规规定：经协商一致，订立本合同，供双方共同遵守：</w:t>
      </w:r>
    </w:p>
    <w:p w14:paraId="2FBE3B26">
      <w:pPr>
        <w:numPr>
          <w:ilvl w:val="0"/>
          <w:numId w:val="8"/>
        </w:numPr>
        <w:spacing w:line="400" w:lineRule="exact"/>
        <w:ind w:right="-105" w:rightChars="-50"/>
        <w:rPr>
          <w:rFonts w:ascii="宋体" w:hAnsi="宋体" w:cs="宋体"/>
          <w:b/>
          <w:color w:val="auto"/>
          <w:szCs w:val="21"/>
          <w:highlight w:val="none"/>
        </w:rPr>
      </w:pPr>
      <w:r>
        <w:rPr>
          <w:rFonts w:hint="eastAsia" w:ascii="宋体" w:hAnsi="宋体" w:cs="宋体"/>
          <w:b/>
          <w:color w:val="auto"/>
          <w:szCs w:val="21"/>
          <w:highlight w:val="none"/>
        </w:rPr>
        <w:t>货物名称、品牌、型号、规格（须与医疗器械注册证一致）、厂家、数量、金额</w:t>
      </w:r>
    </w:p>
    <w:p w14:paraId="217C7A52">
      <w:pPr>
        <w:spacing w:line="400" w:lineRule="exact"/>
        <w:ind w:right="-105" w:rightChars="-50"/>
        <w:rPr>
          <w:rFonts w:hint="default" w:ascii="宋体" w:hAnsi="宋体" w:eastAsia="宋体" w:cs="宋体"/>
          <w:b/>
          <w:color w:val="auto"/>
          <w:szCs w:val="21"/>
          <w:highlight w:val="none"/>
          <w:u w:val="single"/>
          <w:lang w:val="en-US" w:eastAsia="zh-CN"/>
        </w:rPr>
      </w:pPr>
      <w:r>
        <w:rPr>
          <w:rFonts w:hint="eastAsia" w:ascii="宋体" w:hAnsi="宋体" w:cs="宋体"/>
          <w:b/>
          <w:color w:val="auto"/>
          <w:szCs w:val="21"/>
          <w:highlight w:val="none"/>
        </w:rPr>
        <w:t>分标</w:t>
      </w:r>
      <w:r>
        <w:rPr>
          <w:rFonts w:hint="eastAsia" w:ascii="宋体" w:hAnsi="宋体" w:cs="宋体"/>
          <w:b/>
          <w:color w:val="auto"/>
          <w:szCs w:val="21"/>
          <w:highlight w:val="none"/>
          <w:u w:val="single"/>
          <w:lang w:val="en-US" w:eastAsia="zh-CN"/>
        </w:rPr>
        <w:t xml:space="preserve">   </w:t>
      </w:r>
    </w:p>
    <w:tbl>
      <w:tblPr>
        <w:tblStyle w:val="4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15"/>
        <w:gridCol w:w="958"/>
        <w:gridCol w:w="808"/>
        <w:gridCol w:w="680"/>
        <w:gridCol w:w="889"/>
        <w:gridCol w:w="785"/>
        <w:gridCol w:w="1050"/>
        <w:gridCol w:w="819"/>
        <w:gridCol w:w="1175"/>
      </w:tblGrid>
      <w:tr w14:paraId="5B27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859" w:type="dxa"/>
            <w:vAlign w:val="center"/>
          </w:tcPr>
          <w:p w14:paraId="2896FD6B">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1015" w:type="dxa"/>
            <w:vAlign w:val="center"/>
          </w:tcPr>
          <w:p w14:paraId="0F795189">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958" w:type="dxa"/>
            <w:vAlign w:val="center"/>
          </w:tcPr>
          <w:p w14:paraId="0BFCDAA9">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产品名称</w:t>
            </w:r>
          </w:p>
        </w:tc>
        <w:tc>
          <w:tcPr>
            <w:tcW w:w="808" w:type="dxa"/>
            <w:vAlign w:val="center"/>
          </w:tcPr>
          <w:p w14:paraId="1F472F0B">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器材注册证号</w:t>
            </w:r>
          </w:p>
        </w:tc>
        <w:tc>
          <w:tcPr>
            <w:tcW w:w="680" w:type="dxa"/>
            <w:vAlign w:val="center"/>
          </w:tcPr>
          <w:p w14:paraId="17A797F5">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品牌型号</w:t>
            </w:r>
          </w:p>
        </w:tc>
        <w:tc>
          <w:tcPr>
            <w:tcW w:w="889" w:type="dxa"/>
            <w:vAlign w:val="center"/>
          </w:tcPr>
          <w:p w14:paraId="23CD3D4E">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生产厂家</w:t>
            </w:r>
          </w:p>
        </w:tc>
        <w:tc>
          <w:tcPr>
            <w:tcW w:w="785" w:type="dxa"/>
            <w:vAlign w:val="center"/>
          </w:tcPr>
          <w:p w14:paraId="1CE1FB7F">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050" w:type="dxa"/>
            <w:vAlign w:val="center"/>
          </w:tcPr>
          <w:p w14:paraId="2558AD68">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819" w:type="dxa"/>
            <w:vAlign w:val="center"/>
          </w:tcPr>
          <w:p w14:paraId="32F3E5D8">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单价（元）</w:t>
            </w:r>
          </w:p>
        </w:tc>
        <w:tc>
          <w:tcPr>
            <w:tcW w:w="1175" w:type="dxa"/>
            <w:vAlign w:val="center"/>
          </w:tcPr>
          <w:p w14:paraId="5BED39CA">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总价（元）</w:t>
            </w:r>
          </w:p>
        </w:tc>
      </w:tr>
      <w:tr w14:paraId="5251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59" w:type="dxa"/>
          </w:tcPr>
          <w:p w14:paraId="5FD53295">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015" w:type="dxa"/>
          </w:tcPr>
          <w:p w14:paraId="1ACBE6EB">
            <w:pPr>
              <w:spacing w:line="400" w:lineRule="exact"/>
              <w:jc w:val="center"/>
              <w:rPr>
                <w:rFonts w:ascii="宋体" w:hAnsi="宋体" w:cs="宋体"/>
                <w:b/>
                <w:color w:val="auto"/>
                <w:szCs w:val="21"/>
                <w:highlight w:val="none"/>
              </w:rPr>
            </w:pPr>
          </w:p>
        </w:tc>
        <w:tc>
          <w:tcPr>
            <w:tcW w:w="958" w:type="dxa"/>
            <w:vAlign w:val="center"/>
          </w:tcPr>
          <w:p w14:paraId="4FB66138">
            <w:pPr>
              <w:spacing w:line="400" w:lineRule="exact"/>
              <w:jc w:val="center"/>
              <w:rPr>
                <w:rFonts w:ascii="宋体" w:hAnsi="宋体" w:cs="宋体"/>
                <w:b/>
                <w:color w:val="auto"/>
                <w:szCs w:val="21"/>
                <w:highlight w:val="none"/>
              </w:rPr>
            </w:pPr>
          </w:p>
        </w:tc>
        <w:tc>
          <w:tcPr>
            <w:tcW w:w="808" w:type="dxa"/>
            <w:vAlign w:val="center"/>
          </w:tcPr>
          <w:p w14:paraId="58A6B0C8">
            <w:pPr>
              <w:spacing w:line="400" w:lineRule="exact"/>
              <w:jc w:val="center"/>
              <w:rPr>
                <w:rFonts w:ascii="宋体" w:hAnsi="宋体" w:cs="宋体"/>
                <w:b/>
                <w:color w:val="auto"/>
                <w:szCs w:val="21"/>
                <w:highlight w:val="none"/>
              </w:rPr>
            </w:pPr>
          </w:p>
        </w:tc>
        <w:tc>
          <w:tcPr>
            <w:tcW w:w="680" w:type="dxa"/>
            <w:vAlign w:val="center"/>
          </w:tcPr>
          <w:p w14:paraId="470CAB60">
            <w:pPr>
              <w:spacing w:line="400" w:lineRule="exact"/>
              <w:jc w:val="center"/>
              <w:rPr>
                <w:rFonts w:ascii="宋体" w:hAnsi="宋体" w:cs="宋体"/>
                <w:b/>
                <w:color w:val="auto"/>
                <w:szCs w:val="21"/>
                <w:highlight w:val="none"/>
              </w:rPr>
            </w:pPr>
          </w:p>
        </w:tc>
        <w:tc>
          <w:tcPr>
            <w:tcW w:w="889" w:type="dxa"/>
            <w:vAlign w:val="center"/>
          </w:tcPr>
          <w:p w14:paraId="25B21E2A">
            <w:pPr>
              <w:spacing w:line="400" w:lineRule="exact"/>
              <w:jc w:val="center"/>
              <w:rPr>
                <w:rFonts w:ascii="宋体" w:hAnsi="宋体" w:cs="宋体"/>
                <w:b/>
                <w:color w:val="auto"/>
                <w:szCs w:val="21"/>
                <w:highlight w:val="none"/>
              </w:rPr>
            </w:pPr>
          </w:p>
        </w:tc>
        <w:tc>
          <w:tcPr>
            <w:tcW w:w="785" w:type="dxa"/>
            <w:vAlign w:val="center"/>
          </w:tcPr>
          <w:p w14:paraId="4381348D">
            <w:pPr>
              <w:spacing w:line="400" w:lineRule="exact"/>
              <w:jc w:val="center"/>
              <w:rPr>
                <w:rFonts w:ascii="宋体" w:hAnsi="宋体" w:cs="宋体"/>
                <w:b/>
                <w:color w:val="auto"/>
                <w:szCs w:val="21"/>
                <w:highlight w:val="none"/>
              </w:rPr>
            </w:pPr>
          </w:p>
        </w:tc>
        <w:tc>
          <w:tcPr>
            <w:tcW w:w="1050" w:type="dxa"/>
            <w:vAlign w:val="center"/>
          </w:tcPr>
          <w:p w14:paraId="4464B0E3">
            <w:pPr>
              <w:spacing w:line="400" w:lineRule="exact"/>
              <w:jc w:val="center"/>
              <w:rPr>
                <w:rFonts w:ascii="宋体" w:hAnsi="宋体" w:cs="宋体"/>
                <w:b/>
                <w:bCs/>
                <w:color w:val="auto"/>
                <w:szCs w:val="21"/>
                <w:highlight w:val="none"/>
              </w:rPr>
            </w:pPr>
          </w:p>
        </w:tc>
        <w:tc>
          <w:tcPr>
            <w:tcW w:w="819" w:type="dxa"/>
            <w:vAlign w:val="center"/>
          </w:tcPr>
          <w:p w14:paraId="6CFF2CB5">
            <w:pPr>
              <w:spacing w:line="400" w:lineRule="exact"/>
              <w:jc w:val="center"/>
              <w:rPr>
                <w:rFonts w:ascii="宋体" w:hAnsi="宋体" w:cs="宋体"/>
                <w:b/>
                <w:bCs/>
                <w:color w:val="auto"/>
                <w:szCs w:val="21"/>
                <w:highlight w:val="none"/>
              </w:rPr>
            </w:pPr>
          </w:p>
        </w:tc>
        <w:tc>
          <w:tcPr>
            <w:tcW w:w="1175" w:type="dxa"/>
            <w:vAlign w:val="center"/>
          </w:tcPr>
          <w:p w14:paraId="2FFF7B65">
            <w:pPr>
              <w:spacing w:line="400" w:lineRule="exact"/>
              <w:jc w:val="center"/>
              <w:rPr>
                <w:rFonts w:ascii="宋体" w:hAnsi="宋体" w:cs="宋体"/>
                <w:b/>
                <w:bCs/>
                <w:color w:val="auto"/>
                <w:szCs w:val="21"/>
                <w:highlight w:val="none"/>
              </w:rPr>
            </w:pPr>
          </w:p>
        </w:tc>
      </w:tr>
      <w:tr w14:paraId="1FAC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59" w:type="dxa"/>
          </w:tcPr>
          <w:p w14:paraId="3B0EA124">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015" w:type="dxa"/>
          </w:tcPr>
          <w:p w14:paraId="669226E3">
            <w:pPr>
              <w:spacing w:line="400" w:lineRule="exact"/>
              <w:jc w:val="center"/>
              <w:rPr>
                <w:rFonts w:ascii="宋体" w:hAnsi="宋体" w:cs="宋体"/>
                <w:b/>
                <w:color w:val="auto"/>
                <w:szCs w:val="21"/>
                <w:highlight w:val="none"/>
              </w:rPr>
            </w:pPr>
          </w:p>
        </w:tc>
        <w:tc>
          <w:tcPr>
            <w:tcW w:w="958" w:type="dxa"/>
            <w:vAlign w:val="center"/>
          </w:tcPr>
          <w:p w14:paraId="66DA2EE7">
            <w:pPr>
              <w:spacing w:line="400" w:lineRule="exact"/>
              <w:jc w:val="center"/>
              <w:rPr>
                <w:rFonts w:ascii="宋体" w:hAnsi="宋体" w:cs="宋体"/>
                <w:b/>
                <w:color w:val="auto"/>
                <w:szCs w:val="21"/>
                <w:highlight w:val="none"/>
              </w:rPr>
            </w:pPr>
          </w:p>
        </w:tc>
        <w:tc>
          <w:tcPr>
            <w:tcW w:w="808" w:type="dxa"/>
            <w:vAlign w:val="center"/>
          </w:tcPr>
          <w:p w14:paraId="6FCE9808">
            <w:pPr>
              <w:spacing w:line="400" w:lineRule="exact"/>
              <w:jc w:val="center"/>
              <w:rPr>
                <w:rFonts w:ascii="宋体" w:hAnsi="宋体" w:cs="宋体"/>
                <w:b/>
                <w:color w:val="auto"/>
                <w:szCs w:val="21"/>
                <w:highlight w:val="none"/>
              </w:rPr>
            </w:pPr>
          </w:p>
        </w:tc>
        <w:tc>
          <w:tcPr>
            <w:tcW w:w="680" w:type="dxa"/>
            <w:vAlign w:val="center"/>
          </w:tcPr>
          <w:p w14:paraId="5CF1216C">
            <w:pPr>
              <w:spacing w:line="400" w:lineRule="exact"/>
              <w:jc w:val="center"/>
              <w:rPr>
                <w:rFonts w:ascii="宋体" w:hAnsi="宋体" w:cs="宋体"/>
                <w:b/>
                <w:color w:val="auto"/>
                <w:szCs w:val="21"/>
                <w:highlight w:val="none"/>
              </w:rPr>
            </w:pPr>
          </w:p>
        </w:tc>
        <w:tc>
          <w:tcPr>
            <w:tcW w:w="889" w:type="dxa"/>
            <w:vAlign w:val="center"/>
          </w:tcPr>
          <w:p w14:paraId="299B6D74">
            <w:pPr>
              <w:spacing w:line="400" w:lineRule="exact"/>
              <w:jc w:val="center"/>
              <w:rPr>
                <w:rFonts w:ascii="宋体" w:hAnsi="宋体" w:cs="宋体"/>
                <w:b/>
                <w:color w:val="auto"/>
                <w:szCs w:val="21"/>
                <w:highlight w:val="none"/>
              </w:rPr>
            </w:pPr>
          </w:p>
        </w:tc>
        <w:tc>
          <w:tcPr>
            <w:tcW w:w="785" w:type="dxa"/>
            <w:vAlign w:val="center"/>
          </w:tcPr>
          <w:p w14:paraId="20D4E261">
            <w:pPr>
              <w:spacing w:line="400" w:lineRule="exact"/>
              <w:jc w:val="center"/>
              <w:rPr>
                <w:rFonts w:ascii="宋体" w:hAnsi="宋体" w:cs="宋体"/>
                <w:b/>
                <w:color w:val="auto"/>
                <w:szCs w:val="21"/>
                <w:highlight w:val="none"/>
              </w:rPr>
            </w:pPr>
          </w:p>
        </w:tc>
        <w:tc>
          <w:tcPr>
            <w:tcW w:w="1050" w:type="dxa"/>
            <w:vAlign w:val="center"/>
          </w:tcPr>
          <w:p w14:paraId="22312146">
            <w:pPr>
              <w:spacing w:line="400" w:lineRule="exact"/>
              <w:jc w:val="center"/>
              <w:rPr>
                <w:rFonts w:ascii="宋体" w:hAnsi="宋体" w:cs="宋体"/>
                <w:b/>
                <w:bCs/>
                <w:color w:val="auto"/>
                <w:szCs w:val="21"/>
                <w:highlight w:val="none"/>
              </w:rPr>
            </w:pPr>
          </w:p>
        </w:tc>
        <w:tc>
          <w:tcPr>
            <w:tcW w:w="819" w:type="dxa"/>
            <w:vAlign w:val="center"/>
          </w:tcPr>
          <w:p w14:paraId="30C0C8DE">
            <w:pPr>
              <w:spacing w:line="400" w:lineRule="exact"/>
              <w:jc w:val="center"/>
              <w:rPr>
                <w:rFonts w:ascii="宋体" w:hAnsi="宋体" w:cs="宋体"/>
                <w:b/>
                <w:bCs/>
                <w:color w:val="auto"/>
                <w:szCs w:val="21"/>
                <w:highlight w:val="none"/>
              </w:rPr>
            </w:pPr>
          </w:p>
        </w:tc>
        <w:tc>
          <w:tcPr>
            <w:tcW w:w="1175" w:type="dxa"/>
            <w:vAlign w:val="center"/>
          </w:tcPr>
          <w:p w14:paraId="22008ECC">
            <w:pPr>
              <w:spacing w:line="400" w:lineRule="exact"/>
              <w:jc w:val="center"/>
              <w:rPr>
                <w:rFonts w:ascii="宋体" w:hAnsi="宋体" w:cs="宋体"/>
                <w:b/>
                <w:bCs/>
                <w:color w:val="auto"/>
                <w:szCs w:val="21"/>
                <w:highlight w:val="none"/>
              </w:rPr>
            </w:pPr>
          </w:p>
        </w:tc>
      </w:tr>
      <w:tr w14:paraId="4C40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59" w:type="dxa"/>
          </w:tcPr>
          <w:p w14:paraId="2D1B8C8E">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w:t>
            </w:r>
          </w:p>
        </w:tc>
        <w:tc>
          <w:tcPr>
            <w:tcW w:w="1015" w:type="dxa"/>
          </w:tcPr>
          <w:p w14:paraId="55BDE527">
            <w:pPr>
              <w:spacing w:line="400" w:lineRule="exact"/>
              <w:jc w:val="center"/>
              <w:rPr>
                <w:rFonts w:ascii="宋体" w:hAnsi="宋体" w:cs="宋体"/>
                <w:b/>
                <w:color w:val="auto"/>
                <w:szCs w:val="21"/>
                <w:highlight w:val="none"/>
              </w:rPr>
            </w:pPr>
          </w:p>
        </w:tc>
        <w:tc>
          <w:tcPr>
            <w:tcW w:w="958" w:type="dxa"/>
            <w:vAlign w:val="center"/>
          </w:tcPr>
          <w:p w14:paraId="7FCB12FD">
            <w:pPr>
              <w:spacing w:line="400" w:lineRule="exact"/>
              <w:jc w:val="center"/>
              <w:rPr>
                <w:rFonts w:ascii="宋体" w:hAnsi="宋体" w:cs="宋体"/>
                <w:b/>
                <w:color w:val="auto"/>
                <w:szCs w:val="21"/>
                <w:highlight w:val="none"/>
              </w:rPr>
            </w:pPr>
          </w:p>
        </w:tc>
        <w:tc>
          <w:tcPr>
            <w:tcW w:w="808" w:type="dxa"/>
            <w:vAlign w:val="center"/>
          </w:tcPr>
          <w:p w14:paraId="460FCC14">
            <w:pPr>
              <w:spacing w:line="400" w:lineRule="exact"/>
              <w:jc w:val="center"/>
              <w:rPr>
                <w:rFonts w:ascii="宋体" w:hAnsi="宋体" w:cs="宋体"/>
                <w:b/>
                <w:color w:val="auto"/>
                <w:szCs w:val="21"/>
                <w:highlight w:val="none"/>
              </w:rPr>
            </w:pPr>
          </w:p>
        </w:tc>
        <w:tc>
          <w:tcPr>
            <w:tcW w:w="680" w:type="dxa"/>
            <w:vAlign w:val="center"/>
          </w:tcPr>
          <w:p w14:paraId="77B656E9">
            <w:pPr>
              <w:spacing w:line="400" w:lineRule="exact"/>
              <w:jc w:val="center"/>
              <w:rPr>
                <w:rFonts w:ascii="宋体" w:hAnsi="宋体" w:cs="宋体"/>
                <w:b/>
                <w:color w:val="auto"/>
                <w:szCs w:val="21"/>
                <w:highlight w:val="none"/>
              </w:rPr>
            </w:pPr>
          </w:p>
        </w:tc>
        <w:tc>
          <w:tcPr>
            <w:tcW w:w="889" w:type="dxa"/>
            <w:vAlign w:val="center"/>
          </w:tcPr>
          <w:p w14:paraId="06723E87">
            <w:pPr>
              <w:spacing w:line="400" w:lineRule="exact"/>
              <w:jc w:val="center"/>
              <w:rPr>
                <w:rFonts w:ascii="宋体" w:hAnsi="宋体" w:cs="宋体"/>
                <w:b/>
                <w:color w:val="auto"/>
                <w:szCs w:val="21"/>
                <w:highlight w:val="none"/>
              </w:rPr>
            </w:pPr>
          </w:p>
        </w:tc>
        <w:tc>
          <w:tcPr>
            <w:tcW w:w="785" w:type="dxa"/>
            <w:vAlign w:val="center"/>
          </w:tcPr>
          <w:p w14:paraId="15FE1C91">
            <w:pPr>
              <w:spacing w:line="400" w:lineRule="exact"/>
              <w:jc w:val="center"/>
              <w:rPr>
                <w:rFonts w:ascii="宋体" w:hAnsi="宋体" w:cs="宋体"/>
                <w:b/>
                <w:color w:val="auto"/>
                <w:szCs w:val="21"/>
                <w:highlight w:val="none"/>
              </w:rPr>
            </w:pPr>
          </w:p>
        </w:tc>
        <w:tc>
          <w:tcPr>
            <w:tcW w:w="1050" w:type="dxa"/>
            <w:vAlign w:val="center"/>
          </w:tcPr>
          <w:p w14:paraId="659A7298">
            <w:pPr>
              <w:spacing w:line="400" w:lineRule="exact"/>
              <w:jc w:val="center"/>
              <w:rPr>
                <w:rFonts w:ascii="宋体" w:hAnsi="宋体" w:cs="宋体"/>
                <w:b/>
                <w:bCs/>
                <w:color w:val="auto"/>
                <w:szCs w:val="21"/>
                <w:highlight w:val="none"/>
              </w:rPr>
            </w:pPr>
          </w:p>
        </w:tc>
        <w:tc>
          <w:tcPr>
            <w:tcW w:w="819" w:type="dxa"/>
            <w:vAlign w:val="center"/>
          </w:tcPr>
          <w:p w14:paraId="076E155F">
            <w:pPr>
              <w:spacing w:line="400" w:lineRule="exact"/>
              <w:jc w:val="center"/>
              <w:rPr>
                <w:rFonts w:ascii="宋体" w:hAnsi="宋体" w:cs="宋体"/>
                <w:b/>
                <w:bCs/>
                <w:color w:val="auto"/>
                <w:szCs w:val="21"/>
                <w:highlight w:val="none"/>
              </w:rPr>
            </w:pPr>
          </w:p>
        </w:tc>
        <w:tc>
          <w:tcPr>
            <w:tcW w:w="1175" w:type="dxa"/>
            <w:vAlign w:val="center"/>
          </w:tcPr>
          <w:p w14:paraId="61F12927">
            <w:pPr>
              <w:spacing w:line="400" w:lineRule="exact"/>
              <w:jc w:val="center"/>
              <w:rPr>
                <w:rFonts w:ascii="宋体" w:hAnsi="宋体" w:cs="宋体"/>
                <w:b/>
                <w:bCs/>
                <w:color w:val="auto"/>
                <w:szCs w:val="21"/>
                <w:highlight w:val="none"/>
              </w:rPr>
            </w:pPr>
          </w:p>
        </w:tc>
      </w:tr>
      <w:tr w14:paraId="0817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9038" w:type="dxa"/>
            <w:gridSpan w:val="10"/>
          </w:tcPr>
          <w:p w14:paraId="24D7136D">
            <w:pPr>
              <w:snapToGrid w:val="0"/>
              <w:spacing w:line="400" w:lineRule="exact"/>
              <w:jc w:val="left"/>
              <w:rPr>
                <w:rFonts w:ascii="宋体" w:hAnsi="宋体" w:cs="宋体"/>
                <w:color w:val="auto"/>
                <w:szCs w:val="21"/>
                <w:highlight w:val="none"/>
                <w:shd w:val="clear" w:color="auto" w:fill="FFFFFF"/>
              </w:rPr>
            </w:pPr>
            <w:r>
              <w:rPr>
                <w:rFonts w:hint="eastAsia" w:ascii="宋体" w:hAnsi="宋体" w:cs="宋体"/>
                <w:bCs/>
                <w:color w:val="auto"/>
                <w:szCs w:val="21"/>
                <w:highlight w:val="none"/>
              </w:rPr>
              <w:t>合计金额人民币（大写）：</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小写：¥</w:t>
            </w:r>
            <w:r>
              <w:rPr>
                <w:rFonts w:hint="eastAsia" w:ascii="宋体" w:hAnsi="宋体" w:cs="宋体"/>
                <w:b/>
                <w:bCs/>
                <w:color w:val="auto"/>
                <w:szCs w:val="21"/>
                <w:highlight w:val="none"/>
                <w:u w:val="single"/>
              </w:rPr>
              <w:t xml:space="preserve">             。</w:t>
            </w:r>
          </w:p>
          <w:p w14:paraId="1342969C">
            <w:pPr>
              <w:spacing w:line="400" w:lineRule="exact"/>
              <w:jc w:val="left"/>
              <w:rPr>
                <w:rFonts w:ascii="宋体" w:hAnsi="宋体" w:cs="宋体"/>
                <w:b/>
                <w:bCs/>
                <w:color w:val="auto"/>
                <w:szCs w:val="21"/>
                <w:highlight w:val="none"/>
              </w:rPr>
            </w:pPr>
            <w:r>
              <w:rPr>
                <w:rFonts w:hint="eastAsia" w:ascii="宋体" w:hAnsi="宋体" w:cs="宋体"/>
                <w:color w:val="auto"/>
                <w:szCs w:val="21"/>
                <w:highlight w:val="none"/>
              </w:rPr>
              <w:t>（合计金额包括但不限于货物货款、货物标准附件、备品配件、专用工具、包装、运输、装卸、保险、税金、货到就位和安装、调试、培训、保修</w:t>
            </w:r>
            <w:r>
              <w:rPr>
                <w:rFonts w:hint="eastAsia" w:ascii="宋体" w:hAnsi="宋体" w:cs="宋体"/>
                <w:color w:val="auto"/>
                <w:szCs w:val="21"/>
                <w:highlight w:val="none"/>
                <w:lang w:eastAsia="zh-CN"/>
              </w:rPr>
              <w:t>、开发端口及对接</w:t>
            </w:r>
            <w:r>
              <w:rPr>
                <w:rFonts w:hint="eastAsia" w:ascii="宋体" w:hAnsi="宋体" w:cs="宋体"/>
                <w:color w:val="auto"/>
                <w:szCs w:val="21"/>
                <w:highlight w:val="none"/>
              </w:rPr>
              <w:t>等的费用。如招标文件另有规定的，从其规定）</w:t>
            </w:r>
          </w:p>
        </w:tc>
      </w:tr>
    </w:tbl>
    <w:p w14:paraId="49D2FEF8">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二、付款条件及期限：</w:t>
      </w:r>
    </w:p>
    <w:p w14:paraId="01D2312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仪器设备类：本仪器设备验收合格后，乙方开具全额税务发票，甲方在收到发票后转账支付合同款的95%（无息），可采用汇票、云信、供应链、信用证等付款方式。合同款的5%在设备验收合格满1年后的三个月内转账支付（无息）。甲方付款前，乙方未按上述要求开具符合甲方要求的正规财务票据的，甲方有权暂缓或拒付款项且不构成违约。</w:t>
      </w:r>
    </w:p>
    <w:p w14:paraId="1DE54E6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票据要求：乙方必须按照甲方要求提供真实、有效、合法的正式税务发票。一旦发现乙方提供虚假税务发票，除须向甲方补开合法的税务发票外，须赔偿甲方发票票面金额一倍的违约金，且甲方有权终止合同，乙方不得提出异议，因终止合同而产生的一切损失均由乙方承担。</w:t>
      </w:r>
    </w:p>
    <w:p w14:paraId="277A4588">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三、货物包装、发运及运输</w:t>
      </w:r>
    </w:p>
    <w:p w14:paraId="3C7E1D70">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1.乙方应在货物发运前对其进行满足于运输距离、防潮、防震、防锈和防破损装卸要求的包装，以保证货物安全运输到达甲方指定地点。</w:t>
      </w:r>
    </w:p>
    <w:p w14:paraId="3F02E62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2.使用说明书、质量检验证明书、随配附件和工具以及清单等一并附于货物内。</w:t>
      </w:r>
    </w:p>
    <w:p w14:paraId="2BB7743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3.乙方负责将货物安全运送到甲方指定地点，并负责清理回收甲方舍弃的相关大件包装, 不另收任何费用。货到甲方前48小时，由乙方通知甲方接货；货到甲方后，乙方应通知甲方进行验收，验收合格，自甲方签字接收之日为乙方交付之日，交付之前一切货物风险由乙方承担。</w:t>
      </w:r>
    </w:p>
    <w:p w14:paraId="6BF2F013">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四、质量要求</w:t>
      </w:r>
    </w:p>
    <w:p w14:paraId="1EF64DF8">
      <w:pPr>
        <w:spacing w:line="400" w:lineRule="exact"/>
        <w:ind w:right="-210" w:rightChars="-100" w:firstLine="420" w:firstLineChars="200"/>
        <w:rPr>
          <w:rFonts w:ascii="宋体" w:hAnsi="宋体" w:cs="宋体"/>
          <w:color w:val="auto"/>
          <w:szCs w:val="21"/>
          <w:highlight w:val="none"/>
        </w:rPr>
      </w:pPr>
      <w:r>
        <w:rPr>
          <w:rFonts w:hint="eastAsia" w:ascii="宋体" w:hAnsi="宋体" w:cs="宋体"/>
          <w:color w:val="auto"/>
          <w:szCs w:val="21"/>
          <w:highlight w:val="none"/>
        </w:rPr>
        <w:t>1.乙方应按规定的货物性能、技术要求、质量标准向甲方提供未经使用的全新产品。</w:t>
      </w:r>
    </w:p>
    <w:p w14:paraId="39D469B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2.乙方提供货物的保修期为：</w:t>
      </w:r>
      <w:r>
        <w:rPr>
          <w:rFonts w:hint="eastAsia"/>
          <w:color w:val="auto"/>
          <w:highlight w:val="none"/>
        </w:rPr>
        <w:t>分标1：</w:t>
      </w:r>
      <w:r>
        <w:rPr>
          <w:rFonts w:hint="eastAsia"/>
          <w:color w:val="auto"/>
          <w:highlight w:val="none"/>
          <w:lang w:val="en-US" w:eastAsia="zh-CN"/>
        </w:rPr>
        <w:t>病人监护仪</w:t>
      </w:r>
      <w:r>
        <w:rPr>
          <w:rFonts w:hint="eastAsia" w:ascii="宋体" w:hAnsi="宋体" w:cs="宋体"/>
          <w:bCs/>
          <w:color w:val="auto"/>
          <w:szCs w:val="21"/>
          <w:highlight w:val="none"/>
        </w:rPr>
        <w:t>保修期</w:t>
      </w:r>
      <w:r>
        <w:rPr>
          <w:rFonts w:hint="eastAsia"/>
          <w:color w:val="auto"/>
          <w:highlight w:val="none"/>
        </w:rPr>
        <w:t>自交货物验收合格之日起至</w:t>
      </w:r>
      <w:r>
        <w:rPr>
          <w:rFonts w:hint="eastAsia"/>
          <w:strike w:val="0"/>
          <w:dstrike w:val="0"/>
          <w:color w:val="auto"/>
          <w:highlight w:val="none"/>
          <w:u w:val="single"/>
          <w:lang w:val="en-US" w:eastAsia="zh-CN"/>
        </w:rPr>
        <w:t xml:space="preserve">   </w:t>
      </w:r>
      <w:r>
        <w:rPr>
          <w:rFonts w:hint="eastAsia"/>
          <w:color w:val="auto"/>
          <w:highlight w:val="none"/>
        </w:rPr>
        <w:t>个月止</w:t>
      </w:r>
      <w:r>
        <w:rPr>
          <w:rFonts w:hint="eastAsia" w:ascii="宋体" w:hAnsi="宋体" w:cs="宋体"/>
          <w:bCs/>
          <w:color w:val="auto"/>
          <w:szCs w:val="21"/>
          <w:highlight w:val="none"/>
          <w:lang w:eastAsia="zh-CN"/>
        </w:rPr>
        <w:t>，</w:t>
      </w:r>
      <w:r>
        <w:rPr>
          <w:rFonts w:hint="eastAsia"/>
          <w:color w:val="auto"/>
          <w:highlight w:val="none"/>
          <w:lang w:val="en-US" w:eastAsia="zh-CN"/>
        </w:rPr>
        <w:t>中心监护系统保修期</w:t>
      </w:r>
      <w:r>
        <w:rPr>
          <w:rFonts w:hint="eastAsia"/>
          <w:color w:val="auto"/>
          <w:highlight w:val="none"/>
        </w:rPr>
        <w:t>自交货物验收合格之日起至</w:t>
      </w:r>
      <w:r>
        <w:rPr>
          <w:rFonts w:hint="eastAsia"/>
          <w:strike w:val="0"/>
          <w:dstrike w:val="0"/>
          <w:color w:val="auto"/>
          <w:highlight w:val="none"/>
          <w:u w:val="single"/>
          <w:lang w:val="en-US" w:eastAsia="zh-CN"/>
        </w:rPr>
        <w:t xml:space="preserve">      </w:t>
      </w:r>
      <w:r>
        <w:rPr>
          <w:rFonts w:hint="eastAsia"/>
          <w:color w:val="auto"/>
          <w:highlight w:val="none"/>
        </w:rPr>
        <w:t>个月止；分标2</w:t>
      </w:r>
      <w:r>
        <w:rPr>
          <w:rFonts w:hint="eastAsia" w:ascii="宋体" w:hAnsi="宋体" w:cs="宋体"/>
          <w:color w:val="auto"/>
          <w:szCs w:val="20"/>
          <w:highlight w:val="none"/>
        </w:rPr>
        <w:t xml:space="preserve"> ：病人监护仪</w:t>
      </w:r>
      <w:r>
        <w:rPr>
          <w:rFonts w:hint="eastAsia" w:ascii="宋体" w:hAnsi="宋体" w:cs="宋体"/>
          <w:bCs/>
          <w:color w:val="auto"/>
          <w:szCs w:val="21"/>
          <w:highlight w:val="none"/>
        </w:rPr>
        <w:t>21台保修期</w:t>
      </w:r>
      <w:r>
        <w:rPr>
          <w:rFonts w:hint="eastAsia"/>
          <w:color w:val="auto"/>
          <w:highlight w:val="none"/>
        </w:rPr>
        <w:t>自交货物验收合格之日起至</w:t>
      </w:r>
      <w:r>
        <w:rPr>
          <w:rFonts w:hint="eastAsia"/>
          <w:strike w:val="0"/>
          <w:dstrike w:val="0"/>
          <w:color w:val="auto"/>
          <w:highlight w:val="none"/>
          <w:u w:val="single"/>
          <w:lang w:val="en-US" w:eastAsia="zh-CN"/>
        </w:rPr>
        <w:t xml:space="preserve">     </w:t>
      </w:r>
      <w:r>
        <w:rPr>
          <w:rFonts w:hint="eastAsia"/>
          <w:color w:val="auto"/>
          <w:highlight w:val="none"/>
        </w:rPr>
        <w:t>个月止</w:t>
      </w:r>
      <w:r>
        <w:rPr>
          <w:rFonts w:hint="eastAsia" w:ascii="宋体" w:hAnsi="宋体" w:cs="宋体"/>
          <w:bCs/>
          <w:color w:val="auto"/>
          <w:szCs w:val="21"/>
          <w:highlight w:val="none"/>
        </w:rPr>
        <w:t>,</w:t>
      </w:r>
      <w:r>
        <w:rPr>
          <w:rFonts w:hint="eastAsia" w:ascii="宋体" w:hAnsi="宋体" w:cs="宋体"/>
          <w:color w:val="auto"/>
          <w:szCs w:val="20"/>
          <w:highlight w:val="none"/>
        </w:rPr>
        <w:t xml:space="preserve"> 遥测监护仪</w:t>
      </w:r>
      <w:r>
        <w:rPr>
          <w:rFonts w:hint="eastAsia" w:ascii="宋体" w:hAnsi="宋体" w:cs="宋体"/>
          <w:bCs/>
          <w:color w:val="auto"/>
          <w:szCs w:val="21"/>
          <w:highlight w:val="none"/>
        </w:rPr>
        <w:t>9台</w:t>
      </w:r>
      <w:r>
        <w:rPr>
          <w:rFonts w:hint="eastAsia"/>
          <w:color w:val="auto"/>
          <w:highlight w:val="none"/>
        </w:rPr>
        <w:t>自交货物验收合格之日起至</w:t>
      </w:r>
      <w:r>
        <w:rPr>
          <w:rFonts w:hint="eastAsia"/>
          <w:strike w:val="0"/>
          <w:dstrike w:val="0"/>
          <w:color w:val="auto"/>
          <w:highlight w:val="none"/>
          <w:u w:val="single"/>
          <w:lang w:val="en-US" w:eastAsia="zh-CN"/>
        </w:rPr>
        <w:t xml:space="preserve">  </w:t>
      </w:r>
      <w:r>
        <w:rPr>
          <w:rFonts w:hint="eastAsia"/>
          <w:color w:val="auto"/>
          <w:highlight w:val="none"/>
        </w:rPr>
        <w:t>个月止</w:t>
      </w:r>
      <w:r>
        <w:rPr>
          <w:rFonts w:hint="eastAsia" w:ascii="宋体" w:hAnsi="宋体" w:cs="宋体"/>
          <w:color w:val="auto"/>
          <w:highlight w:val="none"/>
        </w:rPr>
        <w:t>（保修期从设备验收合格之日起计算）；分标3</w:t>
      </w:r>
      <w:r>
        <w:rPr>
          <w:rFonts w:hint="eastAsia" w:ascii="宋体" w:hAnsi="宋体" w:cs="宋体"/>
          <w:color w:val="auto"/>
          <w:highlight w:val="none"/>
          <w:lang w:eastAsia="zh-CN"/>
        </w:rPr>
        <w:t>：</w:t>
      </w:r>
      <w:r>
        <w:rPr>
          <w:rFonts w:hint="eastAsia"/>
          <w:color w:val="auto"/>
          <w:highlight w:val="none"/>
        </w:rPr>
        <w:t>自交货物验收合格之日起至</w:t>
      </w:r>
      <w:r>
        <w:rPr>
          <w:rFonts w:hint="eastAsia"/>
          <w:strike w:val="0"/>
          <w:dstrike w:val="0"/>
          <w:color w:val="auto"/>
          <w:highlight w:val="none"/>
          <w:u w:val="single"/>
          <w:lang w:val="en-US" w:eastAsia="zh-CN"/>
        </w:rPr>
        <w:t xml:space="preserve">  </w:t>
      </w:r>
      <w:r>
        <w:rPr>
          <w:rFonts w:hint="eastAsia"/>
          <w:color w:val="auto"/>
          <w:highlight w:val="none"/>
        </w:rPr>
        <w:t>个月止</w:t>
      </w:r>
      <w:r>
        <w:rPr>
          <w:rFonts w:hint="eastAsia" w:ascii="宋体" w:hAnsi="宋体" w:cs="宋体"/>
          <w:color w:val="auto"/>
          <w:highlight w:val="none"/>
        </w:rPr>
        <w:t>（保修期从设备验收合格之日起计算）</w:t>
      </w:r>
      <w:r>
        <w:rPr>
          <w:rFonts w:hint="eastAsia"/>
          <w:color w:val="auto"/>
          <w:highlight w:val="none"/>
        </w:rPr>
        <w:t>。</w:t>
      </w:r>
      <w:r>
        <w:rPr>
          <w:rFonts w:hint="eastAsia" w:ascii="宋体" w:hAnsi="宋体" w:cs="宋体"/>
          <w:color w:val="auto"/>
          <w:szCs w:val="21"/>
          <w:highlight w:val="none"/>
        </w:rPr>
        <w:t>（按投标文件中生产厂家或授权代理商承诺的最长保修期为准）。在保修期内因货物本身的质量问题发生故障，乙方应负责免费修理和无条件更换, 并按售后服务承诺书（附件），延长保修期。</w:t>
      </w:r>
    </w:p>
    <w:p w14:paraId="3115697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保修期内，如在使用过程中发生质量问题，乙方在接到甲方通知后按承诺的时间（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内到达甲方现场处理。乙方未在承诺时间内到达处理，每次需按照该设备中标金额的1%支付违约金，违约金总金额不超过该设备总金额的5%，扣款直接以留存的5%合同价款抵扣，不足抵扣的，乙方须承担补足责任。否则乙方需按合同总金额的30%向甲方支付违约金并承担相应的法律责任。</w:t>
      </w:r>
    </w:p>
    <w:p w14:paraId="12C730DF">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五、货物的验收</w:t>
      </w:r>
    </w:p>
    <w:p w14:paraId="579F36D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1.乙方交货前应对产品作出全面检查和对验收文件进行整理列出清单，作为甲方收货验收和使用的技术条件依据，检验的结果应随货物交甲方。</w:t>
      </w:r>
    </w:p>
    <w:p w14:paraId="24E7402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2.甲方对乙方所交货物依照国家有关标准，进行现场验收，性能达到技术要求的给予签收，验收不合格不予签收，后果由乙方负责。</w:t>
      </w:r>
    </w:p>
    <w:p w14:paraId="30AAA51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3.乙方应在货到指定地点安装、调试完毕，确保正常使用，并及时配合甲方验收。</w:t>
      </w:r>
    </w:p>
    <w:p w14:paraId="2B1255AD">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六、交货期及交货方式</w:t>
      </w:r>
    </w:p>
    <w:p w14:paraId="7BB440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1.交货期：合同签订，接</w:t>
      </w:r>
      <w:r>
        <w:rPr>
          <w:rFonts w:hint="eastAsia" w:ascii="宋体" w:hAnsi="宋体" w:cs="宋体"/>
          <w:color w:val="auto"/>
          <w:szCs w:val="21"/>
          <w:highlight w:val="none"/>
          <w:lang w:eastAsia="zh-CN"/>
        </w:rPr>
        <w:t>到</w:t>
      </w:r>
      <w:r>
        <w:rPr>
          <w:rFonts w:hint="eastAsia" w:ascii="宋体" w:hAnsi="宋体" w:cs="宋体"/>
          <w:color w:val="auto"/>
          <w:szCs w:val="21"/>
          <w:highlight w:val="none"/>
        </w:rPr>
        <w:t>甲方供货通知后</w:t>
      </w:r>
      <w:r>
        <w:rPr>
          <w:rFonts w:hint="eastAsia"/>
          <w:strike w:val="0"/>
          <w:dstrike w:val="0"/>
          <w:color w:val="auto"/>
          <w:highlight w:val="none"/>
          <w:u w:val="single"/>
          <w:lang w:val="en-US" w:eastAsia="zh-CN"/>
        </w:rPr>
        <w:t xml:space="preserve">     </w:t>
      </w:r>
      <w:r>
        <w:rPr>
          <w:rFonts w:hint="eastAsia" w:ascii="宋体" w:hAnsi="宋体" w:cs="宋体"/>
          <w:color w:val="auto"/>
          <w:szCs w:val="21"/>
          <w:highlight w:val="none"/>
        </w:rPr>
        <w:t>个工作日内到货并安装调试完毕，达到正常使用状态。</w:t>
      </w:r>
    </w:p>
    <w:p w14:paraId="6F13310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2.交货方式：现场免费安装调试、培训、器械正常使用，验收合格。</w:t>
      </w:r>
    </w:p>
    <w:p w14:paraId="59024B2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3.交货地点：广西桂林市甲方医院内指定地点。</w:t>
      </w:r>
    </w:p>
    <w:p w14:paraId="7C36A742">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七、售后服务条款</w:t>
      </w:r>
    </w:p>
    <w:p w14:paraId="4ABF579A">
      <w:pPr>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1.交钥匙工程：本项目为交钥匙项目。</w:t>
      </w:r>
      <w:r>
        <w:rPr>
          <w:rFonts w:hint="eastAsia" w:ascii="宋体" w:hAnsi="宋体" w:cs="宋体"/>
          <w:color w:val="auto"/>
          <w:szCs w:val="21"/>
          <w:highlight w:val="none"/>
        </w:rPr>
        <w:t>乙方负责产品的安装调试及人员培训。</w:t>
      </w:r>
      <w:r>
        <w:rPr>
          <w:rFonts w:hint="eastAsia" w:ascii="宋体" w:hAnsi="宋体" w:cs="宋体"/>
          <w:color w:val="auto"/>
          <w:kern w:val="0"/>
          <w:szCs w:val="21"/>
          <w:highlight w:val="none"/>
        </w:rPr>
        <w:t>在保修期内，乙方必须保证甲方能够合法应用该器械/</w:t>
      </w:r>
      <w:r>
        <w:rPr>
          <w:rFonts w:hint="eastAsia" w:ascii="宋体" w:hAnsi="宋体" w:cs="宋体"/>
          <w:color w:val="auto"/>
          <w:szCs w:val="21"/>
          <w:highlight w:val="none"/>
        </w:rPr>
        <w:t>试剂</w:t>
      </w:r>
      <w:r>
        <w:rPr>
          <w:rFonts w:hint="eastAsia" w:ascii="宋体" w:hAnsi="宋体" w:cs="宋体"/>
          <w:color w:val="auto"/>
          <w:kern w:val="0"/>
          <w:szCs w:val="21"/>
          <w:highlight w:val="none"/>
        </w:rPr>
        <w:t>，并办理相关证件、手续，产生的费用包含在合同/协议价格中。在此过程中，甲方应当提供必要支持。若可能出现的后续证件、手续，乙方必须提供办理的流程及方法。</w:t>
      </w:r>
    </w:p>
    <w:p w14:paraId="2EE6E334">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2.易损零配件和专机专用试剂耗材价格表：本项目合同/协议中，应附易损零配件和专机专用试剂耗材价格表。</w:t>
      </w:r>
    </w:p>
    <w:p w14:paraId="6EF2A445">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维修技术支持：乙方一次性免费提供维护手册、维修手册、软件备份、故障代码表、备件清单等维护维修必需的材料和信息，否则不予验收。保修期外，无偿提供维修密码及软件在该项目中的使用权，按合同约定价格提供零部件、以及快速响应的技术支持。</w:t>
      </w:r>
      <w:r>
        <w:rPr>
          <w:rFonts w:hint="eastAsia" w:ascii="宋体" w:hAnsi="宋体" w:cs="宋体"/>
          <w:color w:val="auto"/>
          <w:szCs w:val="21"/>
          <w:highlight w:val="none"/>
        </w:rPr>
        <w:t>保修期外，如在使用过程中发生质量问题，乙方在接到甲方通知后在</w:t>
      </w:r>
      <w:r>
        <w:rPr>
          <w:rFonts w:hint="eastAsia"/>
          <w:strike w:val="0"/>
          <w:dstrike w:val="0"/>
          <w:color w:val="auto"/>
          <w:highlight w:val="none"/>
          <w:u w:val="single"/>
          <w:lang w:val="en-US" w:eastAsia="zh-CN"/>
        </w:rPr>
        <w:t xml:space="preserve">    </w:t>
      </w:r>
      <w:r>
        <w:rPr>
          <w:rFonts w:hint="eastAsia" w:ascii="宋体" w:hAnsi="宋体" w:cs="宋体"/>
          <w:color w:val="auto"/>
          <w:szCs w:val="21"/>
          <w:highlight w:val="none"/>
        </w:rPr>
        <w:t>小时内到达甲方现场处理。</w:t>
      </w:r>
    </w:p>
    <w:p w14:paraId="6874B0D9">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4.相关人员培训：标的</w:t>
      </w:r>
      <w:r>
        <w:rPr>
          <w:rFonts w:hint="eastAsia" w:ascii="宋体" w:hAnsi="宋体" w:cs="宋体"/>
          <w:color w:val="auto"/>
          <w:kern w:val="0"/>
          <w:szCs w:val="21"/>
          <w:highlight w:val="none"/>
          <w:u w:val="single"/>
        </w:rPr>
        <w:t>已</w:t>
      </w:r>
      <w:r>
        <w:rPr>
          <w:rFonts w:hint="eastAsia" w:ascii="宋体" w:hAnsi="宋体" w:cs="宋体"/>
          <w:color w:val="auto"/>
          <w:kern w:val="0"/>
          <w:szCs w:val="21"/>
          <w:highlight w:val="none"/>
        </w:rPr>
        <w:t>包含医护人员及工程人员的培训计划费用，其中分标医护人员省</w:t>
      </w:r>
      <w:r>
        <w:rPr>
          <w:rFonts w:hint="eastAsia" w:ascii="宋体" w:hAnsi="宋体" w:cs="宋体"/>
          <w:color w:val="auto"/>
          <w:kern w:val="0"/>
          <w:szCs w:val="21"/>
          <w:highlight w:val="none"/>
          <w:u w:val="single"/>
        </w:rPr>
        <w:t>区内/省区</w:t>
      </w:r>
      <w:r>
        <w:rPr>
          <w:rFonts w:hint="eastAsia" w:ascii="宋体" w:hAnsi="宋体" w:cs="宋体"/>
          <w:color w:val="auto"/>
          <w:kern w:val="0"/>
          <w:szCs w:val="21"/>
          <w:highlight w:val="none"/>
        </w:rPr>
        <w:t>外专项操作培训</w:t>
      </w:r>
      <w:r>
        <w:rPr>
          <w:rFonts w:hint="eastAsia"/>
          <w:strike w:val="0"/>
          <w:dstrike w:val="0"/>
          <w:color w:val="auto"/>
          <w:highlight w:val="none"/>
          <w:u w:val="single"/>
          <w:lang w:val="en-US" w:eastAsia="zh-CN"/>
        </w:rPr>
        <w:t xml:space="preserve">    </w:t>
      </w:r>
      <w:r>
        <w:rPr>
          <w:rFonts w:hint="eastAsia" w:ascii="宋体" w:hAnsi="宋体" w:cs="宋体"/>
          <w:color w:val="auto"/>
          <w:kern w:val="0"/>
          <w:szCs w:val="21"/>
          <w:highlight w:val="none"/>
        </w:rPr>
        <w:t>人次；工程人员</w:t>
      </w:r>
      <w:r>
        <w:rPr>
          <w:rFonts w:hint="eastAsia" w:ascii="宋体" w:hAnsi="宋体" w:cs="宋体"/>
          <w:color w:val="auto"/>
          <w:kern w:val="0"/>
          <w:szCs w:val="21"/>
          <w:highlight w:val="none"/>
          <w:u w:val="single"/>
        </w:rPr>
        <w:t>省区内/省区外</w:t>
      </w:r>
      <w:r>
        <w:rPr>
          <w:rFonts w:hint="eastAsia" w:ascii="宋体" w:hAnsi="宋体" w:cs="宋体"/>
          <w:color w:val="auto"/>
          <w:kern w:val="0"/>
          <w:szCs w:val="21"/>
          <w:highlight w:val="none"/>
        </w:rPr>
        <w:t>专项维保培训</w:t>
      </w:r>
      <w:r>
        <w:rPr>
          <w:rFonts w:hint="eastAsia"/>
          <w:strike w:val="0"/>
          <w:dstrike w:val="0"/>
          <w:color w:val="auto"/>
          <w:highlight w:val="none"/>
          <w:u w:val="single"/>
          <w:lang w:val="en-US" w:eastAsia="zh-CN"/>
        </w:rPr>
        <w:t xml:space="preserve">    </w:t>
      </w:r>
      <w:r>
        <w:rPr>
          <w:rFonts w:hint="eastAsia" w:ascii="宋体" w:hAnsi="宋体" w:cs="宋体"/>
          <w:color w:val="auto"/>
          <w:kern w:val="0"/>
          <w:szCs w:val="21"/>
          <w:highlight w:val="none"/>
        </w:rPr>
        <w:t>人次。</w:t>
      </w:r>
    </w:p>
    <w:p w14:paraId="7CA4E9C5">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5.乙方无偿保证甲方获得合同约定范围内所有软件功能，终身单机软件使用权。不得限制硬件配件采购，并在甲方自主更换配件后，无偿帮助甲方恢复原有的软件及系统，使甲方能够正常使用该器械/设备、项目。</w:t>
      </w:r>
    </w:p>
    <w:p w14:paraId="222410D5">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6.乙方承诺保修期内，按国家相关规定，执行保养及预防性维护，并提供报告。</w:t>
      </w:r>
    </w:p>
    <w:p w14:paraId="75E00941">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7.在设备规定的使用期限内，乙方必须保证配件供应。</w:t>
      </w:r>
      <w:r>
        <w:rPr>
          <w:rFonts w:hint="eastAsia" w:ascii="宋体" w:hAnsi="宋体" w:cs="宋体"/>
          <w:color w:val="auto"/>
          <w:szCs w:val="21"/>
          <w:highlight w:val="none"/>
        </w:rPr>
        <w:t>并承诺过保修期后的维修及配件更换不需预付款，按照医院正常付款流程办理。</w:t>
      </w:r>
    </w:p>
    <w:p w14:paraId="117B5DD4">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8.其他售后服务条款，详见售后服务承诺书。</w:t>
      </w:r>
    </w:p>
    <w:p w14:paraId="6C6A49B1">
      <w:pPr>
        <w:widowControl/>
        <w:shd w:val="clear" w:color="auto" w:fill="FFFFFF"/>
        <w:spacing w:line="360" w:lineRule="atLeas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9.售后服务承诺书原则上须有生产厂家或省级（含省级）以上代理商的盖章。</w:t>
      </w:r>
    </w:p>
    <w:p w14:paraId="3BFECC2A">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八、违约责任：</w:t>
      </w:r>
    </w:p>
    <w:p w14:paraId="3A83973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1.甲方无正当理由拒收的，违约方每天按合同标的</w:t>
      </w:r>
      <w:r>
        <w:rPr>
          <w:rFonts w:hint="eastAsia" w:ascii="宋体" w:hAnsi="宋体" w:cs="宋体"/>
          <w:color w:val="auto"/>
          <w:szCs w:val="21"/>
          <w:highlight w:val="none"/>
          <w:u w:val="single"/>
        </w:rPr>
        <w:t>0.3%</w:t>
      </w:r>
      <w:r>
        <w:rPr>
          <w:rFonts w:hint="eastAsia" w:ascii="宋体" w:hAnsi="宋体" w:cs="宋体"/>
          <w:color w:val="auto"/>
          <w:szCs w:val="21"/>
          <w:highlight w:val="none"/>
        </w:rPr>
        <w:t>支付违约金。</w:t>
      </w:r>
    </w:p>
    <w:p w14:paraId="62CA38E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逾期交付货物的，每逾期一日应支付违约金1000元，乙方逾期超过7天仍不能交货的,甲方有权单方面终止合同，乙方应按合同总金额的30%向甲方支付违约金，造成甲方损失的，由乙方负责赔偿，赔偿范围包括但不限于直接损失、逾期损失、以及维权产生的相关费用。</w:t>
      </w:r>
    </w:p>
    <w:p w14:paraId="3CD801A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货物不符合约定及甲方要求的，须无条件免费予以更换或弥补，由此导致的逾期交付责任由乙方承担；乙方拒绝更换弥补或更换三次仍不能达到甲方要求的，甲方有权解除合同，乙方应按合同总金额的30%向甲方支付违约金并赔偿甲方全部损失</w:t>
      </w:r>
    </w:p>
    <w:p w14:paraId="441CC3B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4.乙方未按约定履行售后服务或维保责任的，每发生一次应向甲方支付违约金1000元，甲方有权自行或委托第三方进行维保，由此产生的全部费用由乙方承担。</w:t>
      </w:r>
    </w:p>
    <w:p w14:paraId="06E7C01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5.乙方提供的投标文件如有虚假，视为乙方根本性违约，甲方有权单方面解除合同，并追究乙方相关法律责任。</w:t>
      </w:r>
    </w:p>
    <w:p w14:paraId="7499CF1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纠纷的解决方式：因合同引起的或与本合同有关的任何争议，由双方当事人协商解决；也可以向有关部门申请调解。协商或调解不成，当事人可依照有关法律规定将争议提交仲裁，或向甲方所在地的人民法院起诉。</w:t>
      </w:r>
    </w:p>
    <w:p w14:paraId="27888F52">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九、本合同一式肆份，甲方执叁份，乙方执壹份。本合同经甲乙双方签字盖章后生效，补充协议含售后服务承诺书等，与本合同具有同等法律效力。如甲乙双方合同条款内容不一致，以甲方存档的文本为正本。</w:t>
      </w:r>
    </w:p>
    <w:p w14:paraId="61A6C4EB">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十、本合同尾部及《廉洁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发送的文件及信息，无论是否实际收到，均视为有效送达。</w:t>
      </w:r>
    </w:p>
    <w:p w14:paraId="235D0A12">
      <w:pPr>
        <w:spacing w:line="400" w:lineRule="exact"/>
        <w:ind w:firstLine="422" w:firstLineChars="200"/>
        <w:rPr>
          <w:rFonts w:ascii="宋体" w:hAnsi="宋体" w:cs="宋体"/>
          <w:b/>
          <w:color w:val="auto"/>
          <w:szCs w:val="21"/>
          <w:highlight w:val="none"/>
        </w:rPr>
      </w:pPr>
    </w:p>
    <w:p w14:paraId="76ACDBDB">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十一、本合同如有未尽事宜，甲乙双方另行协商。</w:t>
      </w:r>
    </w:p>
    <w:p w14:paraId="4AA47F15">
      <w:pP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十二、附件：</w:t>
      </w:r>
    </w:p>
    <w:p w14:paraId="6F0E2BE1">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附件1：本设备适用耗材、试剂的价格表</w:t>
      </w:r>
    </w:p>
    <w:tbl>
      <w:tblPr>
        <w:tblStyle w:val="47"/>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1701"/>
        <w:gridCol w:w="709"/>
        <w:gridCol w:w="2410"/>
        <w:gridCol w:w="425"/>
        <w:gridCol w:w="425"/>
        <w:gridCol w:w="851"/>
        <w:gridCol w:w="1134"/>
      </w:tblGrid>
      <w:tr w14:paraId="0880A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127" w:type="dxa"/>
            <w:tcBorders>
              <w:top w:val="single" w:color="auto" w:sz="4" w:space="0"/>
              <w:left w:val="single" w:color="auto" w:sz="4" w:space="0"/>
              <w:bottom w:val="single" w:color="auto" w:sz="4" w:space="0"/>
              <w:right w:val="single" w:color="auto" w:sz="4" w:space="0"/>
            </w:tcBorders>
            <w:vAlign w:val="center"/>
          </w:tcPr>
          <w:p w14:paraId="4442D8E0">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耗材、试剂名称</w:t>
            </w:r>
          </w:p>
        </w:tc>
        <w:tc>
          <w:tcPr>
            <w:tcW w:w="1701" w:type="dxa"/>
            <w:tcBorders>
              <w:top w:val="single" w:color="auto" w:sz="4" w:space="0"/>
              <w:left w:val="single" w:color="auto" w:sz="4" w:space="0"/>
              <w:bottom w:val="single" w:color="auto" w:sz="4" w:space="0"/>
              <w:right w:val="single" w:color="auto" w:sz="4" w:space="0"/>
            </w:tcBorders>
            <w:vAlign w:val="center"/>
          </w:tcPr>
          <w:p w14:paraId="619372C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产品注册证号</w:t>
            </w:r>
          </w:p>
        </w:tc>
        <w:tc>
          <w:tcPr>
            <w:tcW w:w="709" w:type="dxa"/>
            <w:tcBorders>
              <w:top w:val="single" w:color="auto" w:sz="4" w:space="0"/>
              <w:left w:val="single" w:color="auto" w:sz="4" w:space="0"/>
              <w:bottom w:val="single" w:color="auto" w:sz="4" w:space="0"/>
              <w:right w:val="single" w:color="auto" w:sz="4" w:space="0"/>
            </w:tcBorders>
            <w:vAlign w:val="center"/>
          </w:tcPr>
          <w:p w14:paraId="0CD1FD45">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型号</w:t>
            </w:r>
          </w:p>
          <w:p w14:paraId="34974E7F">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规格</w:t>
            </w:r>
          </w:p>
        </w:tc>
        <w:tc>
          <w:tcPr>
            <w:tcW w:w="2410" w:type="dxa"/>
            <w:tcBorders>
              <w:top w:val="single" w:color="auto" w:sz="4" w:space="0"/>
              <w:left w:val="single" w:color="auto" w:sz="4" w:space="0"/>
              <w:bottom w:val="single" w:color="auto" w:sz="4" w:space="0"/>
              <w:right w:val="single" w:color="auto" w:sz="4" w:space="0"/>
            </w:tcBorders>
            <w:vAlign w:val="center"/>
          </w:tcPr>
          <w:p w14:paraId="6D136335">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生产厂家及品牌</w:t>
            </w:r>
          </w:p>
        </w:tc>
        <w:tc>
          <w:tcPr>
            <w:tcW w:w="425" w:type="dxa"/>
            <w:tcBorders>
              <w:top w:val="single" w:color="auto" w:sz="4" w:space="0"/>
              <w:left w:val="single" w:color="auto" w:sz="4" w:space="0"/>
              <w:bottom w:val="single" w:color="auto" w:sz="4" w:space="0"/>
              <w:right w:val="single" w:color="auto" w:sz="4" w:space="0"/>
            </w:tcBorders>
            <w:vAlign w:val="center"/>
          </w:tcPr>
          <w:p w14:paraId="7369AB7A">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425" w:type="dxa"/>
            <w:tcBorders>
              <w:top w:val="single" w:color="auto" w:sz="4" w:space="0"/>
              <w:left w:val="single" w:color="auto" w:sz="4" w:space="0"/>
              <w:bottom w:val="single" w:color="auto" w:sz="4" w:space="0"/>
              <w:right w:val="single" w:color="auto" w:sz="4" w:space="0"/>
            </w:tcBorders>
            <w:vAlign w:val="center"/>
          </w:tcPr>
          <w:p w14:paraId="56E40D71">
            <w:pPr>
              <w:pStyle w:val="33"/>
              <w:pBdr>
                <w:bottom w:val="none" w:color="auto" w:sz="0" w:space="0"/>
              </w:pBdr>
              <w:tabs>
                <w:tab w:val="left" w:pos="420"/>
                <w:tab w:val="center" w:pos="4153"/>
                <w:tab w:val="right" w:pos="8306"/>
                <w:tab w:val="clear" w:pos="0"/>
              </w:tabs>
              <w:snapToGrid/>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3CE5477F">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单价</w:t>
            </w:r>
          </w:p>
          <w:p w14:paraId="56D4CC68">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60AA2AF7">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总价（元）</w:t>
            </w:r>
          </w:p>
        </w:tc>
      </w:tr>
      <w:tr w14:paraId="5BCD3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2127" w:type="dxa"/>
            <w:tcBorders>
              <w:top w:val="single" w:color="auto" w:sz="4" w:space="0"/>
              <w:left w:val="single" w:color="auto" w:sz="4" w:space="0"/>
              <w:bottom w:val="single" w:color="auto" w:sz="4" w:space="0"/>
              <w:right w:val="single" w:color="auto" w:sz="4" w:space="0"/>
            </w:tcBorders>
            <w:vAlign w:val="center"/>
          </w:tcPr>
          <w:p w14:paraId="57FA0CB6">
            <w:pPr>
              <w:spacing w:line="400" w:lineRule="exact"/>
              <w:jc w:val="center"/>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BC819B6">
            <w:pPr>
              <w:spacing w:line="400" w:lineRule="exact"/>
              <w:jc w:val="center"/>
              <w:rPr>
                <w:rFonts w:ascii="宋体" w:hAnsi="宋体" w:cs="宋体"/>
                <w:b/>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8636D86">
            <w:pPr>
              <w:spacing w:line="400" w:lineRule="exact"/>
              <w:jc w:val="center"/>
              <w:rPr>
                <w:rFonts w:ascii="宋体" w:hAnsi="宋体" w:cs="宋体"/>
                <w:b/>
                <w:bCs/>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1AB08898">
            <w:pPr>
              <w:spacing w:line="400" w:lineRule="exact"/>
              <w:jc w:val="center"/>
              <w:rPr>
                <w:rFonts w:ascii="宋体" w:hAnsi="宋体" w:cs="宋体"/>
                <w:b/>
                <w:color w:val="auto"/>
                <w:szCs w:val="21"/>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1DE14BC1">
            <w:pPr>
              <w:spacing w:line="400" w:lineRule="exact"/>
              <w:jc w:val="center"/>
              <w:rPr>
                <w:rFonts w:ascii="宋体" w:hAnsi="宋体" w:cs="宋体"/>
                <w:b/>
                <w:color w:val="auto"/>
                <w:szCs w:val="21"/>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8EDC1FC">
            <w:pPr>
              <w:spacing w:line="400" w:lineRule="exact"/>
              <w:jc w:val="center"/>
              <w:rPr>
                <w:rFonts w:ascii="宋体" w:hAnsi="宋体" w:cs="宋体"/>
                <w:b/>
                <w:bCs/>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3974379">
            <w:pPr>
              <w:spacing w:line="400" w:lineRule="exact"/>
              <w:jc w:val="center"/>
              <w:rPr>
                <w:rFonts w:ascii="宋体" w:hAnsi="宋体" w:cs="宋体"/>
                <w:b/>
                <w:bCs/>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9B12A9">
            <w:pPr>
              <w:spacing w:line="400" w:lineRule="exact"/>
              <w:jc w:val="center"/>
              <w:rPr>
                <w:rFonts w:ascii="宋体" w:hAnsi="宋体" w:cs="宋体"/>
                <w:b/>
                <w:bCs/>
                <w:color w:val="auto"/>
                <w:szCs w:val="21"/>
                <w:highlight w:val="none"/>
              </w:rPr>
            </w:pPr>
          </w:p>
        </w:tc>
      </w:tr>
    </w:tbl>
    <w:p w14:paraId="2EE68595">
      <w:pPr>
        <w:spacing w:line="400" w:lineRule="exact"/>
        <w:rPr>
          <w:rFonts w:ascii="宋体" w:hAnsi="宋体" w:cs="宋体"/>
          <w:b/>
          <w:color w:val="auto"/>
          <w:szCs w:val="21"/>
          <w:highlight w:val="none"/>
        </w:rPr>
      </w:pPr>
    </w:p>
    <w:p w14:paraId="692A5AEA">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附件2：本设备易损零配件的价格表</w:t>
      </w:r>
    </w:p>
    <w:tbl>
      <w:tblPr>
        <w:tblStyle w:val="47"/>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1701"/>
        <w:gridCol w:w="709"/>
        <w:gridCol w:w="2410"/>
        <w:gridCol w:w="425"/>
        <w:gridCol w:w="425"/>
        <w:gridCol w:w="851"/>
        <w:gridCol w:w="1134"/>
      </w:tblGrid>
      <w:tr w14:paraId="15E66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127" w:type="dxa"/>
            <w:tcBorders>
              <w:top w:val="single" w:color="auto" w:sz="4" w:space="0"/>
              <w:left w:val="single" w:color="auto" w:sz="4" w:space="0"/>
              <w:bottom w:val="single" w:color="auto" w:sz="4" w:space="0"/>
              <w:right w:val="single" w:color="auto" w:sz="4" w:space="0"/>
            </w:tcBorders>
            <w:vAlign w:val="center"/>
          </w:tcPr>
          <w:p w14:paraId="721CEF7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易损配件名称</w:t>
            </w:r>
          </w:p>
        </w:tc>
        <w:tc>
          <w:tcPr>
            <w:tcW w:w="1701" w:type="dxa"/>
            <w:tcBorders>
              <w:top w:val="single" w:color="auto" w:sz="4" w:space="0"/>
              <w:left w:val="single" w:color="auto" w:sz="4" w:space="0"/>
              <w:bottom w:val="single" w:color="auto" w:sz="4" w:space="0"/>
              <w:right w:val="single" w:color="auto" w:sz="4" w:space="0"/>
            </w:tcBorders>
            <w:vAlign w:val="center"/>
          </w:tcPr>
          <w:p w14:paraId="59C60A2C">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产品注册证号</w:t>
            </w:r>
          </w:p>
        </w:tc>
        <w:tc>
          <w:tcPr>
            <w:tcW w:w="709" w:type="dxa"/>
            <w:tcBorders>
              <w:top w:val="single" w:color="auto" w:sz="4" w:space="0"/>
              <w:left w:val="single" w:color="auto" w:sz="4" w:space="0"/>
              <w:bottom w:val="single" w:color="auto" w:sz="4" w:space="0"/>
              <w:right w:val="single" w:color="auto" w:sz="4" w:space="0"/>
            </w:tcBorders>
            <w:vAlign w:val="center"/>
          </w:tcPr>
          <w:p w14:paraId="2DB976F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型号</w:t>
            </w:r>
          </w:p>
          <w:p w14:paraId="74A6A698">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规格</w:t>
            </w:r>
          </w:p>
        </w:tc>
        <w:tc>
          <w:tcPr>
            <w:tcW w:w="2410" w:type="dxa"/>
            <w:tcBorders>
              <w:top w:val="single" w:color="auto" w:sz="4" w:space="0"/>
              <w:left w:val="single" w:color="auto" w:sz="4" w:space="0"/>
              <w:bottom w:val="single" w:color="auto" w:sz="4" w:space="0"/>
              <w:right w:val="single" w:color="auto" w:sz="4" w:space="0"/>
            </w:tcBorders>
            <w:vAlign w:val="center"/>
          </w:tcPr>
          <w:p w14:paraId="7C3E60C4">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生产厂家及品牌</w:t>
            </w:r>
          </w:p>
        </w:tc>
        <w:tc>
          <w:tcPr>
            <w:tcW w:w="425" w:type="dxa"/>
            <w:tcBorders>
              <w:top w:val="single" w:color="auto" w:sz="4" w:space="0"/>
              <w:left w:val="single" w:color="auto" w:sz="4" w:space="0"/>
              <w:bottom w:val="single" w:color="auto" w:sz="4" w:space="0"/>
              <w:right w:val="single" w:color="auto" w:sz="4" w:space="0"/>
            </w:tcBorders>
            <w:vAlign w:val="center"/>
          </w:tcPr>
          <w:p w14:paraId="418E79A3">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425" w:type="dxa"/>
            <w:tcBorders>
              <w:top w:val="single" w:color="auto" w:sz="4" w:space="0"/>
              <w:left w:val="single" w:color="auto" w:sz="4" w:space="0"/>
              <w:bottom w:val="single" w:color="auto" w:sz="4" w:space="0"/>
              <w:right w:val="single" w:color="auto" w:sz="4" w:space="0"/>
            </w:tcBorders>
            <w:vAlign w:val="center"/>
          </w:tcPr>
          <w:p w14:paraId="62612650">
            <w:pPr>
              <w:pStyle w:val="33"/>
              <w:pBdr>
                <w:bottom w:val="none" w:color="auto" w:sz="0" w:space="0"/>
              </w:pBdr>
              <w:tabs>
                <w:tab w:val="left" w:pos="420"/>
                <w:tab w:val="center" w:pos="4153"/>
                <w:tab w:val="right" w:pos="8306"/>
                <w:tab w:val="clear" w:pos="0"/>
              </w:tabs>
              <w:snapToGrid/>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410EE55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单价</w:t>
            </w:r>
          </w:p>
          <w:p w14:paraId="45CA3638">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224EB645">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总价（元）</w:t>
            </w:r>
          </w:p>
        </w:tc>
      </w:tr>
      <w:tr w14:paraId="1EB87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2127" w:type="dxa"/>
            <w:tcBorders>
              <w:top w:val="single" w:color="auto" w:sz="4" w:space="0"/>
              <w:left w:val="single" w:color="auto" w:sz="4" w:space="0"/>
              <w:bottom w:val="single" w:color="auto" w:sz="4" w:space="0"/>
              <w:right w:val="single" w:color="auto" w:sz="4" w:space="0"/>
            </w:tcBorders>
            <w:vAlign w:val="center"/>
          </w:tcPr>
          <w:p w14:paraId="2B4D49F8">
            <w:pPr>
              <w:spacing w:line="400" w:lineRule="exact"/>
              <w:jc w:val="center"/>
              <w:rPr>
                <w:rFonts w:ascii="宋体" w:hAnsi="宋体" w:cs="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11A7BF4">
            <w:pPr>
              <w:spacing w:line="400" w:lineRule="exact"/>
              <w:jc w:val="center"/>
              <w:rPr>
                <w:rFonts w:ascii="宋体" w:hAnsi="宋体" w:cs="宋体"/>
                <w:b/>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F8E4630">
            <w:pPr>
              <w:spacing w:line="400" w:lineRule="exact"/>
              <w:jc w:val="center"/>
              <w:rPr>
                <w:rFonts w:ascii="宋体" w:hAnsi="宋体" w:cs="宋体"/>
                <w:b/>
                <w:bCs/>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049843B9">
            <w:pPr>
              <w:spacing w:line="400" w:lineRule="exact"/>
              <w:jc w:val="center"/>
              <w:rPr>
                <w:rFonts w:ascii="宋体" w:hAnsi="宋体" w:cs="宋体"/>
                <w:b/>
                <w:color w:val="auto"/>
                <w:szCs w:val="21"/>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FDF9471">
            <w:pPr>
              <w:spacing w:line="400" w:lineRule="exact"/>
              <w:jc w:val="center"/>
              <w:rPr>
                <w:rFonts w:ascii="宋体" w:hAnsi="宋体" w:cs="宋体"/>
                <w:b/>
                <w:color w:val="auto"/>
                <w:szCs w:val="21"/>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1ED4C57F">
            <w:pPr>
              <w:spacing w:line="400" w:lineRule="exact"/>
              <w:jc w:val="center"/>
              <w:rPr>
                <w:rFonts w:ascii="宋体" w:hAnsi="宋体" w:cs="宋体"/>
                <w:b/>
                <w:bCs/>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6CAFB11">
            <w:pPr>
              <w:spacing w:line="400" w:lineRule="exact"/>
              <w:jc w:val="center"/>
              <w:rPr>
                <w:rFonts w:ascii="宋体" w:hAnsi="宋体" w:cs="宋体"/>
                <w:b/>
                <w:bCs/>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67440B">
            <w:pPr>
              <w:spacing w:line="400" w:lineRule="exact"/>
              <w:jc w:val="center"/>
              <w:rPr>
                <w:rFonts w:ascii="宋体" w:hAnsi="宋体" w:cs="宋体"/>
                <w:b/>
                <w:bCs/>
                <w:color w:val="auto"/>
                <w:szCs w:val="21"/>
                <w:highlight w:val="none"/>
              </w:rPr>
            </w:pPr>
          </w:p>
        </w:tc>
      </w:tr>
    </w:tbl>
    <w:p w14:paraId="62CC4C2E">
      <w:pPr>
        <w:spacing w:line="400" w:lineRule="exact"/>
        <w:rPr>
          <w:rFonts w:ascii="宋体" w:hAnsi="宋体" w:cs="宋体"/>
          <w:b/>
          <w:color w:val="auto"/>
          <w:szCs w:val="21"/>
          <w:highlight w:val="none"/>
        </w:rPr>
      </w:pPr>
    </w:p>
    <w:p w14:paraId="120A5B0F">
      <w:pPr>
        <w:spacing w:line="400" w:lineRule="exact"/>
        <w:rPr>
          <w:rFonts w:ascii="宋体" w:hAnsi="宋体" w:cs="宋体"/>
          <w:b/>
          <w:color w:val="auto"/>
          <w:szCs w:val="21"/>
          <w:highlight w:val="none"/>
        </w:rPr>
      </w:pPr>
    </w:p>
    <w:p w14:paraId="6F85B144">
      <w:pPr>
        <w:spacing w:line="400" w:lineRule="exact"/>
        <w:rPr>
          <w:rFonts w:ascii="宋体" w:hAnsi="宋体" w:cs="宋体"/>
          <w:b/>
          <w:color w:val="auto"/>
          <w:szCs w:val="21"/>
          <w:highlight w:val="none"/>
        </w:rPr>
      </w:pPr>
    </w:p>
    <w:p w14:paraId="2A1CD244">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附件3：本设备（系统）配置清单</w:t>
      </w:r>
    </w:p>
    <w:tbl>
      <w:tblPr>
        <w:tblStyle w:val="47"/>
        <w:tblW w:w="9756"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418"/>
        <w:gridCol w:w="2977"/>
        <w:gridCol w:w="850"/>
        <w:gridCol w:w="992"/>
        <w:gridCol w:w="1708"/>
        <w:gridCol w:w="960"/>
      </w:tblGrid>
      <w:tr w14:paraId="636D6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851" w:type="dxa"/>
            <w:tcBorders>
              <w:top w:val="single" w:color="auto" w:sz="4" w:space="0"/>
              <w:left w:val="single" w:color="auto" w:sz="4" w:space="0"/>
              <w:bottom w:val="single" w:color="auto" w:sz="4" w:space="0"/>
              <w:right w:val="single" w:color="auto" w:sz="4" w:space="0"/>
            </w:tcBorders>
            <w:vAlign w:val="center"/>
          </w:tcPr>
          <w:p w14:paraId="2360CE32">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74F52A43">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部件编号</w:t>
            </w:r>
          </w:p>
        </w:tc>
        <w:tc>
          <w:tcPr>
            <w:tcW w:w="2977" w:type="dxa"/>
            <w:tcBorders>
              <w:top w:val="single" w:color="auto" w:sz="4" w:space="0"/>
              <w:left w:val="single" w:color="auto" w:sz="4" w:space="0"/>
              <w:bottom w:val="single" w:color="auto" w:sz="4" w:space="0"/>
              <w:right w:val="single" w:color="auto" w:sz="4" w:space="0"/>
            </w:tcBorders>
            <w:vAlign w:val="center"/>
          </w:tcPr>
          <w:p w14:paraId="4DEF6D4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850" w:type="dxa"/>
            <w:tcBorders>
              <w:top w:val="single" w:color="auto" w:sz="4" w:space="0"/>
              <w:left w:val="single" w:color="auto" w:sz="4" w:space="0"/>
              <w:bottom w:val="single" w:color="auto" w:sz="4" w:space="0"/>
              <w:right w:val="single" w:color="auto" w:sz="4" w:space="0"/>
            </w:tcBorders>
            <w:vAlign w:val="center"/>
          </w:tcPr>
          <w:p w14:paraId="1D6A2C2F">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11E341E7">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708" w:type="dxa"/>
            <w:tcBorders>
              <w:top w:val="single" w:color="auto" w:sz="4" w:space="0"/>
              <w:left w:val="single" w:color="auto" w:sz="4" w:space="0"/>
              <w:bottom w:val="single" w:color="auto" w:sz="4" w:space="0"/>
              <w:right w:val="single" w:color="auto" w:sz="4" w:space="0"/>
            </w:tcBorders>
            <w:vAlign w:val="center"/>
          </w:tcPr>
          <w:p w14:paraId="3936CCFC">
            <w:pPr>
              <w:pStyle w:val="33"/>
              <w:pBdr>
                <w:bottom w:val="none" w:color="auto" w:sz="0" w:space="0"/>
              </w:pBdr>
              <w:tabs>
                <w:tab w:val="left" w:pos="420"/>
                <w:tab w:val="center" w:pos="4153"/>
                <w:tab w:val="right" w:pos="8306"/>
                <w:tab w:val="clear" w:pos="0"/>
              </w:tabs>
              <w:snapToGrid/>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价格（元）</w:t>
            </w:r>
          </w:p>
        </w:tc>
        <w:tc>
          <w:tcPr>
            <w:tcW w:w="960" w:type="dxa"/>
            <w:tcBorders>
              <w:top w:val="single" w:color="auto" w:sz="4" w:space="0"/>
              <w:left w:val="single" w:color="auto" w:sz="4" w:space="0"/>
              <w:bottom w:val="single" w:color="auto" w:sz="4" w:space="0"/>
              <w:right w:val="single" w:color="auto" w:sz="4" w:space="0"/>
            </w:tcBorders>
            <w:vAlign w:val="center"/>
          </w:tcPr>
          <w:p w14:paraId="27C65B9E">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6662B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569A8E2C">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67DD5EE">
            <w:pPr>
              <w:spacing w:line="400" w:lineRule="exact"/>
              <w:jc w:val="center"/>
              <w:rPr>
                <w:rFonts w:ascii="宋体" w:hAnsi="宋体" w:cs="宋体"/>
                <w:b/>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39A3DB05">
            <w:pPr>
              <w:jc w:val="center"/>
              <w:rPr>
                <w:b/>
                <w:bCs/>
                <w:color w:val="auto"/>
                <w:highlight w:val="none"/>
              </w:rPr>
            </w:pPr>
            <w:r>
              <w:rPr>
                <w:rFonts w:hint="eastAsia"/>
                <w:b/>
                <w:bCs/>
                <w:color w:val="auto"/>
                <w:highlight w:val="none"/>
              </w:rPr>
              <w:t>必须填写完整</w:t>
            </w:r>
          </w:p>
        </w:tc>
        <w:tc>
          <w:tcPr>
            <w:tcW w:w="850" w:type="dxa"/>
            <w:tcBorders>
              <w:top w:val="single" w:color="auto" w:sz="4" w:space="0"/>
              <w:left w:val="single" w:color="auto" w:sz="4" w:space="0"/>
              <w:bottom w:val="single" w:color="auto" w:sz="4" w:space="0"/>
              <w:right w:val="single" w:color="auto" w:sz="4" w:space="0"/>
            </w:tcBorders>
            <w:vAlign w:val="center"/>
          </w:tcPr>
          <w:p w14:paraId="6AD7BF9D">
            <w:pPr>
              <w:spacing w:line="400" w:lineRule="exact"/>
              <w:jc w:val="center"/>
              <w:rPr>
                <w:rFonts w:ascii="宋体" w:hAnsi="宋体" w:cs="宋体"/>
                <w:b/>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E67D0EF">
            <w:pPr>
              <w:spacing w:line="400" w:lineRule="exact"/>
              <w:jc w:val="center"/>
              <w:rPr>
                <w:rFonts w:ascii="宋体" w:hAnsi="宋体" w:cs="宋体"/>
                <w:b/>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vAlign w:val="center"/>
          </w:tcPr>
          <w:p w14:paraId="7AB27B38">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7769F305">
            <w:pPr>
              <w:spacing w:line="400" w:lineRule="exact"/>
              <w:jc w:val="center"/>
              <w:rPr>
                <w:rFonts w:ascii="宋体" w:hAnsi="宋体" w:cs="宋体"/>
                <w:b/>
                <w:bCs/>
                <w:color w:val="auto"/>
                <w:szCs w:val="21"/>
                <w:highlight w:val="none"/>
              </w:rPr>
            </w:pPr>
          </w:p>
        </w:tc>
      </w:tr>
      <w:tr w14:paraId="65E3C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4FB1C3F5">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7FC9738">
            <w:pPr>
              <w:spacing w:line="400" w:lineRule="exact"/>
              <w:jc w:val="center"/>
              <w:rPr>
                <w:rFonts w:ascii="宋体" w:hAnsi="宋体" w:cs="宋体"/>
                <w:b/>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293DDE8B">
            <w:pPr>
              <w:jc w:val="center"/>
              <w:rPr>
                <w:b/>
                <w:bCs/>
                <w:color w:val="auto"/>
                <w:highlight w:val="none"/>
              </w:rPr>
            </w:pPr>
            <w:r>
              <w:rPr>
                <w:rFonts w:hint="eastAsia"/>
                <w:b/>
                <w:bCs/>
                <w:color w:val="auto"/>
                <w:highlight w:val="none"/>
              </w:rPr>
              <w:t>必须填写完整</w:t>
            </w:r>
          </w:p>
        </w:tc>
        <w:tc>
          <w:tcPr>
            <w:tcW w:w="850" w:type="dxa"/>
            <w:tcBorders>
              <w:top w:val="single" w:color="auto" w:sz="4" w:space="0"/>
              <w:left w:val="single" w:color="auto" w:sz="4" w:space="0"/>
              <w:bottom w:val="single" w:color="auto" w:sz="4" w:space="0"/>
              <w:right w:val="single" w:color="auto" w:sz="4" w:space="0"/>
            </w:tcBorders>
            <w:vAlign w:val="center"/>
          </w:tcPr>
          <w:p w14:paraId="274C8607">
            <w:pPr>
              <w:spacing w:line="400" w:lineRule="exact"/>
              <w:jc w:val="center"/>
              <w:rPr>
                <w:rFonts w:ascii="宋体" w:hAnsi="宋体" w:cs="宋体"/>
                <w:b/>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17C54AA">
            <w:pPr>
              <w:spacing w:line="400" w:lineRule="exact"/>
              <w:jc w:val="center"/>
              <w:rPr>
                <w:rFonts w:ascii="宋体" w:hAnsi="宋体" w:cs="宋体"/>
                <w:b/>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vAlign w:val="center"/>
          </w:tcPr>
          <w:p w14:paraId="018548B3">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62F6BB55">
            <w:pPr>
              <w:spacing w:line="400" w:lineRule="exact"/>
              <w:jc w:val="center"/>
              <w:rPr>
                <w:rFonts w:ascii="宋体" w:hAnsi="宋体" w:cs="宋体"/>
                <w:b/>
                <w:bCs/>
                <w:color w:val="auto"/>
                <w:szCs w:val="21"/>
                <w:highlight w:val="none"/>
              </w:rPr>
            </w:pPr>
          </w:p>
        </w:tc>
      </w:tr>
      <w:tr w14:paraId="5DE5A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22CC82DA">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4D9874E">
            <w:pPr>
              <w:spacing w:line="400" w:lineRule="exact"/>
              <w:jc w:val="center"/>
              <w:rPr>
                <w:rFonts w:ascii="宋体" w:hAnsi="宋体" w:cs="宋体"/>
                <w:b/>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369FD961">
            <w:pPr>
              <w:jc w:val="center"/>
              <w:rPr>
                <w:b/>
                <w:bCs/>
                <w:color w:val="auto"/>
                <w:highlight w:val="none"/>
              </w:rPr>
            </w:pPr>
            <w:r>
              <w:rPr>
                <w:rFonts w:hint="eastAsia"/>
                <w:b/>
                <w:bCs/>
                <w:color w:val="auto"/>
                <w:highlight w:val="none"/>
              </w:rPr>
              <w:t>必须填写完整</w:t>
            </w:r>
          </w:p>
        </w:tc>
        <w:tc>
          <w:tcPr>
            <w:tcW w:w="850" w:type="dxa"/>
            <w:tcBorders>
              <w:top w:val="single" w:color="auto" w:sz="4" w:space="0"/>
              <w:left w:val="single" w:color="auto" w:sz="4" w:space="0"/>
              <w:bottom w:val="single" w:color="auto" w:sz="4" w:space="0"/>
              <w:right w:val="single" w:color="auto" w:sz="4" w:space="0"/>
            </w:tcBorders>
            <w:vAlign w:val="center"/>
          </w:tcPr>
          <w:p w14:paraId="629A7ED0">
            <w:pPr>
              <w:spacing w:line="400" w:lineRule="exact"/>
              <w:jc w:val="center"/>
              <w:rPr>
                <w:rFonts w:ascii="宋体" w:hAnsi="宋体" w:cs="宋体"/>
                <w:b/>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B3CE75C">
            <w:pPr>
              <w:spacing w:line="400" w:lineRule="exact"/>
              <w:jc w:val="center"/>
              <w:rPr>
                <w:rFonts w:ascii="宋体" w:hAnsi="宋体" w:cs="宋体"/>
                <w:b/>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vAlign w:val="center"/>
          </w:tcPr>
          <w:p w14:paraId="08A0494F">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03B7147C">
            <w:pPr>
              <w:spacing w:line="400" w:lineRule="exact"/>
              <w:jc w:val="center"/>
              <w:rPr>
                <w:rFonts w:ascii="宋体" w:hAnsi="宋体" w:cs="宋体"/>
                <w:b/>
                <w:bCs/>
                <w:color w:val="auto"/>
                <w:szCs w:val="21"/>
                <w:highlight w:val="none"/>
              </w:rPr>
            </w:pPr>
          </w:p>
        </w:tc>
      </w:tr>
      <w:tr w14:paraId="553B8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0AD6842A">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B692763">
            <w:pPr>
              <w:spacing w:line="400" w:lineRule="exact"/>
              <w:jc w:val="center"/>
              <w:rPr>
                <w:rFonts w:ascii="宋体" w:hAnsi="宋体" w:cs="宋体"/>
                <w:b/>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6E2D1BA9">
            <w:pPr>
              <w:jc w:val="center"/>
              <w:rPr>
                <w:b/>
                <w:bCs/>
                <w:color w:val="auto"/>
                <w:highlight w:val="none"/>
              </w:rPr>
            </w:pPr>
            <w:r>
              <w:rPr>
                <w:rFonts w:hint="eastAsia"/>
                <w:b/>
                <w:bCs/>
                <w:color w:val="auto"/>
                <w:highlight w:val="none"/>
              </w:rPr>
              <w:t>必须填写完整</w:t>
            </w:r>
          </w:p>
        </w:tc>
        <w:tc>
          <w:tcPr>
            <w:tcW w:w="850" w:type="dxa"/>
            <w:tcBorders>
              <w:top w:val="single" w:color="auto" w:sz="4" w:space="0"/>
              <w:left w:val="single" w:color="auto" w:sz="4" w:space="0"/>
              <w:bottom w:val="single" w:color="auto" w:sz="4" w:space="0"/>
              <w:right w:val="single" w:color="auto" w:sz="4" w:space="0"/>
            </w:tcBorders>
            <w:vAlign w:val="center"/>
          </w:tcPr>
          <w:p w14:paraId="548CD6F1">
            <w:pPr>
              <w:spacing w:line="400" w:lineRule="exact"/>
              <w:jc w:val="center"/>
              <w:rPr>
                <w:rFonts w:ascii="宋体" w:hAnsi="宋体" w:cs="宋体"/>
                <w:b/>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1878582">
            <w:pPr>
              <w:spacing w:line="400" w:lineRule="exact"/>
              <w:jc w:val="center"/>
              <w:rPr>
                <w:rFonts w:ascii="宋体" w:hAnsi="宋体" w:cs="宋体"/>
                <w:b/>
                <w:color w:val="auto"/>
                <w:szCs w:val="21"/>
                <w:highlight w:val="none"/>
              </w:rPr>
            </w:pPr>
          </w:p>
        </w:tc>
        <w:tc>
          <w:tcPr>
            <w:tcW w:w="1708" w:type="dxa"/>
            <w:tcBorders>
              <w:top w:val="single" w:color="auto" w:sz="4" w:space="0"/>
              <w:left w:val="single" w:color="auto" w:sz="4" w:space="0"/>
              <w:bottom w:val="single" w:color="auto" w:sz="4" w:space="0"/>
              <w:right w:val="single" w:color="auto" w:sz="4" w:space="0"/>
            </w:tcBorders>
            <w:vAlign w:val="center"/>
          </w:tcPr>
          <w:p w14:paraId="78552B2C">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06FD58E5">
            <w:pPr>
              <w:spacing w:line="400" w:lineRule="exact"/>
              <w:jc w:val="center"/>
              <w:rPr>
                <w:rFonts w:ascii="宋体" w:hAnsi="宋体" w:cs="宋体"/>
                <w:b/>
                <w:bCs/>
                <w:color w:val="auto"/>
                <w:szCs w:val="21"/>
                <w:highlight w:val="none"/>
              </w:rPr>
            </w:pPr>
          </w:p>
        </w:tc>
      </w:tr>
      <w:tr w14:paraId="481F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159CB09C">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CA77ED5">
            <w:pPr>
              <w:wordWrap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14:paraId="37864782">
            <w:pPr>
              <w:widowControl/>
              <w:wordWrap w:val="0"/>
              <w:jc w:val="center"/>
              <w:rPr>
                <w:rFonts w:ascii="宋体" w:hAnsi="宋体" w:cs="宋体"/>
                <w:b/>
                <w:bCs/>
                <w:color w:val="auto"/>
                <w:szCs w:val="21"/>
                <w:highlight w:val="none"/>
              </w:rPr>
            </w:pPr>
            <w:r>
              <w:rPr>
                <w:rFonts w:hint="eastAsia" w:ascii="宋体" w:hAnsi="宋体" w:cs="宋体"/>
                <w:color w:val="auto"/>
                <w:kern w:val="0"/>
                <w:szCs w:val="21"/>
                <w:highlight w:val="none"/>
              </w:rPr>
              <w:t>使用说明书（不能删）</w:t>
            </w:r>
          </w:p>
        </w:tc>
        <w:tc>
          <w:tcPr>
            <w:tcW w:w="850" w:type="dxa"/>
            <w:tcBorders>
              <w:top w:val="single" w:color="auto" w:sz="4" w:space="0"/>
              <w:left w:val="single" w:color="auto" w:sz="4" w:space="0"/>
              <w:bottom w:val="single" w:color="auto" w:sz="4" w:space="0"/>
              <w:right w:val="single" w:color="auto" w:sz="4" w:space="0"/>
            </w:tcBorders>
            <w:vAlign w:val="center"/>
          </w:tcPr>
          <w:p w14:paraId="1CDD16BF">
            <w:pPr>
              <w:wordWrap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套</w:t>
            </w:r>
          </w:p>
        </w:tc>
        <w:tc>
          <w:tcPr>
            <w:tcW w:w="992" w:type="dxa"/>
            <w:tcBorders>
              <w:top w:val="single" w:color="auto" w:sz="4" w:space="0"/>
              <w:left w:val="single" w:color="auto" w:sz="4" w:space="0"/>
              <w:bottom w:val="single" w:color="auto" w:sz="4" w:space="0"/>
              <w:right w:val="single" w:color="auto" w:sz="4" w:space="0"/>
            </w:tcBorders>
            <w:vAlign w:val="center"/>
          </w:tcPr>
          <w:p w14:paraId="13F6C159">
            <w:pPr>
              <w:wordWrap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708" w:type="dxa"/>
            <w:tcBorders>
              <w:top w:val="single" w:color="auto" w:sz="4" w:space="0"/>
              <w:left w:val="single" w:color="auto" w:sz="4" w:space="0"/>
              <w:bottom w:val="single" w:color="auto" w:sz="4" w:space="0"/>
              <w:right w:val="single" w:color="auto" w:sz="4" w:space="0"/>
            </w:tcBorders>
            <w:vAlign w:val="center"/>
          </w:tcPr>
          <w:p w14:paraId="65A43FED">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107CAC32">
            <w:pPr>
              <w:spacing w:line="400" w:lineRule="exact"/>
              <w:jc w:val="center"/>
              <w:rPr>
                <w:rFonts w:ascii="宋体" w:hAnsi="宋体" w:cs="宋体"/>
                <w:b/>
                <w:bCs/>
                <w:color w:val="auto"/>
                <w:szCs w:val="21"/>
                <w:highlight w:val="none"/>
              </w:rPr>
            </w:pPr>
          </w:p>
        </w:tc>
      </w:tr>
      <w:tr w14:paraId="11052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7F9EC62F">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80632AE">
            <w:pPr>
              <w:wordWrap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14:paraId="428E08C2">
            <w:pPr>
              <w:widowControl/>
              <w:wordWrap w:val="0"/>
              <w:jc w:val="center"/>
              <w:rPr>
                <w:rFonts w:ascii="宋体" w:hAnsi="宋体" w:cs="宋体"/>
                <w:b/>
                <w:bCs/>
                <w:color w:val="auto"/>
                <w:szCs w:val="21"/>
                <w:highlight w:val="none"/>
              </w:rPr>
            </w:pPr>
            <w:r>
              <w:rPr>
                <w:rFonts w:hint="eastAsia" w:ascii="宋体" w:hAnsi="宋体" w:cs="宋体"/>
                <w:color w:val="auto"/>
                <w:kern w:val="0"/>
                <w:szCs w:val="21"/>
                <w:highlight w:val="none"/>
              </w:rPr>
              <w:t>设备保修卡（不能删）</w:t>
            </w:r>
          </w:p>
        </w:tc>
        <w:tc>
          <w:tcPr>
            <w:tcW w:w="850" w:type="dxa"/>
            <w:tcBorders>
              <w:top w:val="single" w:color="auto" w:sz="4" w:space="0"/>
              <w:left w:val="single" w:color="auto" w:sz="4" w:space="0"/>
              <w:bottom w:val="single" w:color="auto" w:sz="4" w:space="0"/>
              <w:right w:val="single" w:color="auto" w:sz="4" w:space="0"/>
            </w:tcBorders>
            <w:vAlign w:val="center"/>
          </w:tcPr>
          <w:p w14:paraId="0E354220">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份</w:t>
            </w:r>
          </w:p>
        </w:tc>
        <w:tc>
          <w:tcPr>
            <w:tcW w:w="992" w:type="dxa"/>
            <w:tcBorders>
              <w:top w:val="single" w:color="auto" w:sz="4" w:space="0"/>
              <w:left w:val="single" w:color="auto" w:sz="4" w:space="0"/>
              <w:bottom w:val="single" w:color="auto" w:sz="4" w:space="0"/>
              <w:right w:val="single" w:color="auto" w:sz="4" w:space="0"/>
            </w:tcBorders>
            <w:vAlign w:val="center"/>
          </w:tcPr>
          <w:p w14:paraId="1AFAA054">
            <w:pPr>
              <w:wordWrap w:val="0"/>
              <w:spacing w:line="400" w:lineRule="exact"/>
              <w:jc w:val="center"/>
              <w:rPr>
                <w:rFonts w:ascii="宋体" w:hAnsi="宋体" w:cs="宋体"/>
                <w:b/>
                <w:color w:val="auto"/>
                <w:szCs w:val="21"/>
                <w:highlight w:val="none"/>
              </w:rPr>
            </w:pPr>
            <w:r>
              <w:rPr>
                <w:rFonts w:hint="eastAsia" w:ascii="宋体" w:hAnsi="宋体" w:cs="宋体"/>
                <w:bCs/>
                <w:color w:val="auto"/>
                <w:szCs w:val="21"/>
                <w:highlight w:val="none"/>
              </w:rPr>
              <w:t>1</w:t>
            </w:r>
          </w:p>
        </w:tc>
        <w:tc>
          <w:tcPr>
            <w:tcW w:w="1708" w:type="dxa"/>
            <w:tcBorders>
              <w:top w:val="single" w:color="auto" w:sz="4" w:space="0"/>
              <w:left w:val="single" w:color="auto" w:sz="4" w:space="0"/>
              <w:bottom w:val="single" w:color="auto" w:sz="4" w:space="0"/>
              <w:right w:val="single" w:color="auto" w:sz="4" w:space="0"/>
            </w:tcBorders>
            <w:vAlign w:val="center"/>
          </w:tcPr>
          <w:p w14:paraId="52839E01">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1940564B">
            <w:pPr>
              <w:spacing w:line="400" w:lineRule="exact"/>
              <w:jc w:val="center"/>
              <w:rPr>
                <w:rFonts w:ascii="宋体" w:hAnsi="宋体" w:cs="宋体"/>
                <w:b/>
                <w:bCs/>
                <w:color w:val="auto"/>
                <w:szCs w:val="21"/>
                <w:highlight w:val="none"/>
              </w:rPr>
            </w:pPr>
          </w:p>
        </w:tc>
      </w:tr>
      <w:tr w14:paraId="11C4A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12DABF88">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FB013CB">
            <w:pPr>
              <w:wordWrap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14:paraId="2ADDB6F2">
            <w:pPr>
              <w:widowControl/>
              <w:wordWrap w:val="0"/>
              <w:jc w:val="center"/>
              <w:rPr>
                <w:rFonts w:ascii="宋体" w:hAnsi="宋体" w:cs="宋体"/>
                <w:color w:val="auto"/>
                <w:kern w:val="0"/>
                <w:szCs w:val="21"/>
                <w:highlight w:val="none"/>
              </w:rPr>
            </w:pPr>
            <w:r>
              <w:rPr>
                <w:rFonts w:hint="eastAsia" w:ascii="宋体" w:hAnsi="宋体" w:cs="宋体"/>
                <w:color w:val="auto"/>
                <w:kern w:val="0"/>
                <w:szCs w:val="21"/>
                <w:highlight w:val="none"/>
              </w:rPr>
              <w:t>合格证（不能删）</w:t>
            </w:r>
          </w:p>
        </w:tc>
        <w:tc>
          <w:tcPr>
            <w:tcW w:w="850" w:type="dxa"/>
            <w:tcBorders>
              <w:top w:val="single" w:color="auto" w:sz="4" w:space="0"/>
              <w:left w:val="single" w:color="auto" w:sz="4" w:space="0"/>
              <w:bottom w:val="single" w:color="auto" w:sz="4" w:space="0"/>
              <w:right w:val="single" w:color="auto" w:sz="4" w:space="0"/>
            </w:tcBorders>
            <w:vAlign w:val="center"/>
          </w:tcPr>
          <w:p w14:paraId="666F2EE0">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份</w:t>
            </w:r>
          </w:p>
        </w:tc>
        <w:tc>
          <w:tcPr>
            <w:tcW w:w="992" w:type="dxa"/>
            <w:tcBorders>
              <w:top w:val="single" w:color="auto" w:sz="4" w:space="0"/>
              <w:left w:val="single" w:color="auto" w:sz="4" w:space="0"/>
              <w:bottom w:val="single" w:color="auto" w:sz="4" w:space="0"/>
              <w:right w:val="single" w:color="auto" w:sz="4" w:space="0"/>
            </w:tcBorders>
            <w:vAlign w:val="center"/>
          </w:tcPr>
          <w:p w14:paraId="02ACEBF2">
            <w:pPr>
              <w:wordWrap w:val="0"/>
              <w:spacing w:line="400" w:lineRule="exact"/>
              <w:jc w:val="center"/>
              <w:rPr>
                <w:rFonts w:ascii="宋体" w:hAnsi="宋体" w:cs="宋体"/>
                <w:b/>
                <w:color w:val="auto"/>
                <w:szCs w:val="21"/>
                <w:highlight w:val="none"/>
              </w:rPr>
            </w:pPr>
            <w:r>
              <w:rPr>
                <w:rFonts w:hint="eastAsia" w:ascii="宋体" w:hAnsi="宋体" w:cs="宋体"/>
                <w:bCs/>
                <w:color w:val="auto"/>
                <w:szCs w:val="21"/>
                <w:highlight w:val="none"/>
              </w:rPr>
              <w:t>1</w:t>
            </w:r>
          </w:p>
        </w:tc>
        <w:tc>
          <w:tcPr>
            <w:tcW w:w="1708" w:type="dxa"/>
            <w:tcBorders>
              <w:top w:val="single" w:color="auto" w:sz="4" w:space="0"/>
              <w:left w:val="single" w:color="auto" w:sz="4" w:space="0"/>
              <w:bottom w:val="single" w:color="auto" w:sz="4" w:space="0"/>
              <w:right w:val="single" w:color="auto" w:sz="4" w:space="0"/>
            </w:tcBorders>
            <w:vAlign w:val="center"/>
          </w:tcPr>
          <w:p w14:paraId="52F84B79">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1300BB0C">
            <w:pPr>
              <w:spacing w:line="400" w:lineRule="exact"/>
              <w:jc w:val="center"/>
              <w:rPr>
                <w:rFonts w:ascii="宋体" w:hAnsi="宋体" w:cs="宋体"/>
                <w:b/>
                <w:bCs/>
                <w:color w:val="auto"/>
                <w:szCs w:val="21"/>
                <w:highlight w:val="none"/>
              </w:rPr>
            </w:pPr>
          </w:p>
        </w:tc>
      </w:tr>
      <w:tr w14:paraId="71ADB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03D4402D">
            <w:pPr>
              <w:spacing w:line="400" w:lineRule="exact"/>
              <w:jc w:val="center"/>
              <w:rPr>
                <w:rFonts w:ascii="宋体" w:hAnsi="宋体" w:cs="宋体"/>
                <w:b/>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F9BA4B2">
            <w:pPr>
              <w:wordWrap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14:paraId="6D4B6E93">
            <w:pPr>
              <w:widowControl/>
              <w:wordWrap w:val="0"/>
              <w:jc w:val="center"/>
              <w:rPr>
                <w:rFonts w:ascii="宋体" w:hAnsi="宋体" w:cs="宋体"/>
                <w:color w:val="auto"/>
                <w:kern w:val="0"/>
                <w:szCs w:val="21"/>
                <w:highlight w:val="none"/>
              </w:rPr>
            </w:pPr>
            <w:r>
              <w:rPr>
                <w:rFonts w:hint="eastAsia" w:ascii="宋体" w:hAnsi="宋体" w:cs="宋体"/>
                <w:color w:val="auto"/>
                <w:kern w:val="0"/>
                <w:szCs w:val="21"/>
                <w:highlight w:val="none"/>
              </w:rPr>
              <w:t>装箱单（不能删）</w:t>
            </w:r>
          </w:p>
        </w:tc>
        <w:tc>
          <w:tcPr>
            <w:tcW w:w="850" w:type="dxa"/>
            <w:tcBorders>
              <w:top w:val="single" w:color="auto" w:sz="4" w:space="0"/>
              <w:left w:val="single" w:color="auto" w:sz="4" w:space="0"/>
              <w:bottom w:val="single" w:color="auto" w:sz="4" w:space="0"/>
              <w:right w:val="single" w:color="auto" w:sz="4" w:space="0"/>
            </w:tcBorders>
            <w:vAlign w:val="center"/>
          </w:tcPr>
          <w:p w14:paraId="5667A785">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份</w:t>
            </w:r>
          </w:p>
        </w:tc>
        <w:tc>
          <w:tcPr>
            <w:tcW w:w="992" w:type="dxa"/>
            <w:tcBorders>
              <w:top w:val="single" w:color="auto" w:sz="4" w:space="0"/>
              <w:left w:val="single" w:color="auto" w:sz="4" w:space="0"/>
              <w:bottom w:val="single" w:color="auto" w:sz="4" w:space="0"/>
              <w:right w:val="single" w:color="auto" w:sz="4" w:space="0"/>
            </w:tcBorders>
            <w:vAlign w:val="center"/>
          </w:tcPr>
          <w:p w14:paraId="679A2AE5">
            <w:pPr>
              <w:wordWrap w:val="0"/>
              <w:spacing w:line="400" w:lineRule="exact"/>
              <w:jc w:val="center"/>
              <w:rPr>
                <w:rFonts w:ascii="宋体" w:hAnsi="宋体" w:cs="宋体"/>
                <w:b/>
                <w:color w:val="auto"/>
                <w:szCs w:val="21"/>
                <w:highlight w:val="none"/>
              </w:rPr>
            </w:pPr>
            <w:r>
              <w:rPr>
                <w:rFonts w:hint="eastAsia" w:ascii="宋体" w:hAnsi="宋体" w:cs="宋体"/>
                <w:bCs/>
                <w:color w:val="auto"/>
                <w:szCs w:val="21"/>
                <w:highlight w:val="none"/>
              </w:rPr>
              <w:t>1</w:t>
            </w:r>
          </w:p>
        </w:tc>
        <w:tc>
          <w:tcPr>
            <w:tcW w:w="1708" w:type="dxa"/>
            <w:tcBorders>
              <w:top w:val="single" w:color="auto" w:sz="4" w:space="0"/>
              <w:left w:val="single" w:color="auto" w:sz="4" w:space="0"/>
              <w:bottom w:val="single" w:color="auto" w:sz="4" w:space="0"/>
              <w:right w:val="single" w:color="auto" w:sz="4" w:space="0"/>
            </w:tcBorders>
            <w:vAlign w:val="center"/>
          </w:tcPr>
          <w:p w14:paraId="09709DA0">
            <w:pPr>
              <w:spacing w:line="400" w:lineRule="exact"/>
              <w:jc w:val="center"/>
              <w:rPr>
                <w:rFonts w:ascii="宋体" w:hAnsi="宋体" w:cs="宋体"/>
                <w:b/>
                <w:bCs/>
                <w:color w:val="auto"/>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14:paraId="37CD912B">
            <w:pPr>
              <w:spacing w:line="400" w:lineRule="exact"/>
              <w:jc w:val="center"/>
              <w:rPr>
                <w:rFonts w:ascii="宋体" w:hAnsi="宋体" w:cs="宋体"/>
                <w:b/>
                <w:bCs/>
                <w:color w:val="auto"/>
                <w:szCs w:val="21"/>
                <w:highlight w:val="none"/>
              </w:rPr>
            </w:pPr>
          </w:p>
        </w:tc>
      </w:tr>
    </w:tbl>
    <w:p w14:paraId="79B2999C">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附件4：售后服务承诺书[</w:t>
      </w:r>
      <w:r>
        <w:rPr>
          <w:rFonts w:hint="eastAsia" w:ascii="宋体" w:hAnsi="宋体" w:cs="宋体"/>
          <w:color w:val="auto"/>
          <w:kern w:val="0"/>
          <w:szCs w:val="21"/>
          <w:highlight w:val="none"/>
        </w:rPr>
        <w:t>原则上须有生产厂家或省级（含省级）以上代理商的盖章]</w:t>
      </w:r>
      <w:r>
        <w:rPr>
          <w:rFonts w:hint="eastAsia" w:ascii="宋体" w:hAnsi="宋体" w:cs="宋体"/>
          <w:b/>
          <w:color w:val="auto"/>
          <w:szCs w:val="21"/>
          <w:highlight w:val="none"/>
        </w:rPr>
        <w:t>。</w:t>
      </w:r>
    </w:p>
    <w:p w14:paraId="1493A9F9">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附件5：产品医疗器械注册证（如有必须提供，</w:t>
      </w:r>
      <w:r>
        <w:rPr>
          <w:rStyle w:val="55"/>
          <w:rFonts w:hint="eastAsia"/>
          <w:color w:val="auto"/>
          <w:highlight w:val="none"/>
        </w:rPr>
        <w:t>没有</w:t>
      </w:r>
      <w:r>
        <w:rPr>
          <w:rFonts w:hint="eastAsia" w:ascii="宋体" w:hAnsi="宋体" w:cs="宋体"/>
          <w:b/>
          <w:color w:val="auto"/>
          <w:szCs w:val="21"/>
          <w:highlight w:val="none"/>
        </w:rPr>
        <w:t>注册证的请提供设备生产厂家营业执照、医疗器械生产许可证；不属于医疗器械管理的请提供不属于医疗器械管理的证明）。</w:t>
      </w:r>
    </w:p>
    <w:p w14:paraId="51F006DC">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附件6：供应商的营业执照、医疗器械经营许可证、医疗器械经营备案凭证。</w:t>
      </w:r>
    </w:p>
    <w:p w14:paraId="77204CC6">
      <w:pPr>
        <w:spacing w:line="400" w:lineRule="exact"/>
        <w:rPr>
          <w:rFonts w:ascii="宋体" w:hAnsi="宋体" w:cs="宋体"/>
          <w:b/>
          <w:color w:val="auto"/>
          <w:szCs w:val="21"/>
          <w:highlight w:val="none"/>
        </w:rPr>
      </w:pPr>
      <w:r>
        <w:rPr>
          <w:rFonts w:hint="eastAsia" w:ascii="宋体" w:hAnsi="宋体" w:cs="宋体"/>
          <w:b/>
          <w:color w:val="auto"/>
          <w:szCs w:val="21"/>
          <w:highlight w:val="none"/>
        </w:rPr>
        <w:t>附件7：投标报价</w:t>
      </w:r>
    </w:p>
    <w:p w14:paraId="785C323B">
      <w:pPr>
        <w:spacing w:line="400" w:lineRule="exact"/>
        <w:rPr>
          <w:rFonts w:ascii="宋体" w:hAnsi="宋体" w:cs="宋体"/>
          <w:b/>
          <w:color w:val="auto"/>
          <w:szCs w:val="21"/>
          <w:highlight w:val="none"/>
          <w:u w:val="single"/>
        </w:rPr>
      </w:pPr>
      <w:r>
        <w:rPr>
          <w:rFonts w:hint="eastAsia" w:ascii="宋体" w:hAnsi="宋体" w:cs="宋体"/>
          <w:b/>
          <w:color w:val="auto"/>
          <w:szCs w:val="21"/>
          <w:highlight w:val="none"/>
        </w:rPr>
        <w:t>甲方（盖章）：桂林医学院附属医院       乙方（盖章）：</w:t>
      </w:r>
    </w:p>
    <w:p w14:paraId="11B43472">
      <w:pPr>
        <w:spacing w:line="400" w:lineRule="exact"/>
        <w:rPr>
          <w:rFonts w:ascii="宋体" w:hAnsi="宋体" w:cs="宋体"/>
          <w:b/>
          <w:color w:val="auto"/>
          <w:szCs w:val="21"/>
          <w:highlight w:val="none"/>
        </w:rPr>
      </w:pPr>
      <w:r>
        <w:rPr>
          <w:rFonts w:hint="eastAsia" w:ascii="宋体" w:hAnsi="宋体" w:cs="宋体"/>
          <w:b/>
          <w:color w:val="auto"/>
          <w:szCs w:val="21"/>
          <w:highlight w:val="none"/>
        </w:rPr>
        <w:t>甲方地址：桂林市秀峰区乐群路15号</w:t>
      </w:r>
      <w:r>
        <w:rPr>
          <w:rFonts w:hint="eastAsia" w:ascii="宋体" w:hAnsi="宋体" w:cs="宋体"/>
          <w:b/>
          <w:color w:val="auto"/>
          <w:szCs w:val="21"/>
          <w:highlight w:val="none"/>
        </w:rPr>
        <w:tab/>
      </w:r>
      <w:r>
        <w:rPr>
          <w:rFonts w:hint="eastAsia" w:ascii="宋体" w:hAnsi="宋体" w:cs="宋体"/>
          <w:b/>
          <w:color w:val="auto"/>
          <w:szCs w:val="21"/>
          <w:highlight w:val="none"/>
        </w:rPr>
        <w:t xml:space="preserve">   乙方地址：</w:t>
      </w:r>
    </w:p>
    <w:p w14:paraId="42AACF9B">
      <w:pPr>
        <w:spacing w:line="400" w:lineRule="exact"/>
        <w:ind w:left="5042" w:leftChars="2200" w:hanging="422" w:hangingChars="200"/>
        <w:rPr>
          <w:rFonts w:ascii="宋体" w:hAnsi="宋体" w:cs="宋体"/>
          <w:b/>
          <w:color w:val="auto"/>
          <w:szCs w:val="21"/>
          <w:highlight w:val="none"/>
        </w:rPr>
      </w:pPr>
      <w:r>
        <w:rPr>
          <w:rFonts w:hint="eastAsia" w:ascii="宋体" w:hAnsi="宋体" w:cs="宋体"/>
          <w:b/>
          <w:color w:val="auto"/>
          <w:szCs w:val="21"/>
          <w:highlight w:val="none"/>
        </w:rPr>
        <w:t>银行账号：</w:t>
      </w:r>
    </w:p>
    <w:p w14:paraId="281501C1">
      <w:pPr>
        <w:spacing w:line="400" w:lineRule="exact"/>
        <w:ind w:left="5042" w:leftChars="2200" w:hanging="422" w:hangingChars="200"/>
        <w:rPr>
          <w:rFonts w:ascii="宋体" w:hAnsi="宋体" w:cs="宋体"/>
          <w:b/>
          <w:color w:val="auto"/>
          <w:szCs w:val="21"/>
          <w:highlight w:val="none"/>
        </w:rPr>
      </w:pPr>
      <w:r>
        <w:rPr>
          <w:rFonts w:hint="eastAsia" w:ascii="宋体" w:hAnsi="宋体" w:cs="宋体"/>
          <w:b/>
          <w:color w:val="auto"/>
          <w:szCs w:val="21"/>
          <w:highlight w:val="none"/>
        </w:rPr>
        <w:t>开户行：</w:t>
      </w:r>
    </w:p>
    <w:p w14:paraId="7E328DF5">
      <w:pPr>
        <w:spacing w:line="400" w:lineRule="exact"/>
        <w:rPr>
          <w:rFonts w:ascii="宋体" w:hAnsi="宋体" w:cs="宋体"/>
          <w:b/>
          <w:color w:val="auto"/>
          <w:szCs w:val="21"/>
          <w:highlight w:val="none"/>
        </w:rPr>
      </w:pPr>
      <w:r>
        <w:rPr>
          <w:rFonts w:hint="eastAsia" w:ascii="宋体" w:hAnsi="宋体" w:cs="宋体"/>
          <w:b/>
          <w:color w:val="auto"/>
          <w:szCs w:val="21"/>
          <w:highlight w:val="none"/>
        </w:rPr>
        <w:t>电话：0773-2802050                    电   话：</w:t>
      </w:r>
    </w:p>
    <w:p w14:paraId="6CDE84E6">
      <w:pPr>
        <w:spacing w:line="400" w:lineRule="exact"/>
        <w:rPr>
          <w:rFonts w:ascii="宋体" w:hAnsi="宋体" w:cs="宋体"/>
          <w:b/>
          <w:color w:val="auto"/>
          <w:szCs w:val="21"/>
          <w:highlight w:val="none"/>
        </w:rPr>
      </w:pPr>
      <w:r>
        <w:rPr>
          <w:rFonts w:hint="eastAsia" w:ascii="宋体" w:hAnsi="宋体" w:cs="宋体"/>
          <w:b/>
          <w:color w:val="auto"/>
          <w:szCs w:val="21"/>
          <w:highlight w:val="none"/>
        </w:rPr>
        <w:t>法定代表人：                          法定代表人：</w:t>
      </w:r>
    </w:p>
    <w:p w14:paraId="1463B60D">
      <w:pPr>
        <w:spacing w:line="400" w:lineRule="exact"/>
        <w:rPr>
          <w:rFonts w:ascii="宋体" w:hAnsi="宋体" w:cs="宋体"/>
          <w:b/>
          <w:color w:val="auto"/>
          <w:szCs w:val="21"/>
          <w:highlight w:val="none"/>
        </w:rPr>
      </w:pPr>
      <w:r>
        <w:rPr>
          <w:rFonts w:hint="eastAsia" w:ascii="宋体" w:hAnsi="宋体" w:cs="宋体"/>
          <w:b/>
          <w:color w:val="auto"/>
          <w:szCs w:val="21"/>
          <w:highlight w:val="none"/>
        </w:rPr>
        <w:t>委托代理人：                          委托代理人：</w:t>
      </w:r>
    </w:p>
    <w:p w14:paraId="17130FDA">
      <w:pPr>
        <w:spacing w:line="400" w:lineRule="exact"/>
        <w:rPr>
          <w:rFonts w:ascii="宋体" w:hAnsi="宋体" w:cs="宋体"/>
          <w:b/>
          <w:color w:val="auto"/>
          <w:szCs w:val="21"/>
          <w:highlight w:val="none"/>
        </w:rPr>
      </w:pPr>
      <w:r>
        <w:rPr>
          <w:rFonts w:hint="eastAsia" w:ascii="宋体" w:hAnsi="宋体" w:cs="宋体"/>
          <w:b/>
          <w:color w:val="auto"/>
          <w:szCs w:val="21"/>
          <w:highlight w:val="none"/>
        </w:rPr>
        <w:t>签订日期：202     年   月   日        签订日期：202    年   月   日</w:t>
      </w:r>
    </w:p>
    <w:p w14:paraId="1FA8BB0F">
      <w:pPr>
        <w:spacing w:line="400" w:lineRule="exact"/>
        <w:jc w:val="center"/>
        <w:rPr>
          <w:rFonts w:ascii="宋体" w:hAnsi="宋体"/>
          <w:b/>
          <w:color w:val="auto"/>
          <w:sz w:val="24"/>
          <w:highlight w:val="none"/>
        </w:rPr>
      </w:pPr>
    </w:p>
    <w:p w14:paraId="04AD5A44">
      <w:pPr>
        <w:spacing w:line="400" w:lineRule="exact"/>
        <w:jc w:val="center"/>
        <w:rPr>
          <w:rFonts w:ascii="宋体" w:hAnsi="宋体"/>
          <w:b/>
          <w:color w:val="auto"/>
          <w:sz w:val="24"/>
          <w:highlight w:val="none"/>
        </w:rPr>
      </w:pPr>
    </w:p>
    <w:p w14:paraId="3664368A">
      <w:pPr>
        <w:spacing w:line="400" w:lineRule="exact"/>
        <w:jc w:val="center"/>
        <w:rPr>
          <w:rFonts w:ascii="宋体" w:hAnsi="宋体"/>
          <w:b/>
          <w:color w:val="auto"/>
          <w:sz w:val="24"/>
          <w:highlight w:val="none"/>
        </w:rPr>
      </w:pPr>
    </w:p>
    <w:p w14:paraId="22BF9B5D">
      <w:pPr>
        <w:spacing w:line="400" w:lineRule="exact"/>
        <w:jc w:val="center"/>
        <w:rPr>
          <w:rFonts w:ascii="宋体" w:hAnsi="宋体"/>
          <w:b/>
          <w:color w:val="auto"/>
          <w:sz w:val="24"/>
          <w:highlight w:val="none"/>
        </w:rPr>
      </w:pPr>
    </w:p>
    <w:p w14:paraId="5A326451">
      <w:pPr>
        <w:spacing w:line="400" w:lineRule="exact"/>
        <w:jc w:val="center"/>
        <w:rPr>
          <w:rFonts w:ascii="宋体" w:hAnsi="宋体"/>
          <w:b/>
          <w:color w:val="auto"/>
          <w:sz w:val="24"/>
          <w:highlight w:val="none"/>
        </w:rPr>
      </w:pPr>
    </w:p>
    <w:p w14:paraId="020E0FCB">
      <w:pPr>
        <w:spacing w:line="400" w:lineRule="exact"/>
        <w:jc w:val="center"/>
        <w:rPr>
          <w:rFonts w:ascii="宋体" w:hAnsi="宋体"/>
          <w:b/>
          <w:color w:val="auto"/>
          <w:sz w:val="24"/>
          <w:highlight w:val="none"/>
        </w:rPr>
      </w:pPr>
    </w:p>
    <w:p w14:paraId="579EABA1">
      <w:pPr>
        <w:spacing w:line="400" w:lineRule="exact"/>
        <w:jc w:val="center"/>
        <w:rPr>
          <w:rFonts w:ascii="宋体" w:hAnsi="宋体"/>
          <w:b/>
          <w:color w:val="auto"/>
          <w:sz w:val="24"/>
          <w:highlight w:val="none"/>
        </w:rPr>
      </w:pPr>
    </w:p>
    <w:p w14:paraId="503B2B8D">
      <w:pPr>
        <w:spacing w:line="400" w:lineRule="exact"/>
        <w:jc w:val="center"/>
        <w:rPr>
          <w:rFonts w:ascii="宋体" w:hAnsi="宋体"/>
          <w:b/>
          <w:color w:val="auto"/>
          <w:sz w:val="24"/>
          <w:highlight w:val="none"/>
        </w:rPr>
      </w:pPr>
    </w:p>
    <w:p w14:paraId="42B04F35">
      <w:pPr>
        <w:spacing w:line="400" w:lineRule="exact"/>
        <w:jc w:val="center"/>
        <w:rPr>
          <w:rFonts w:ascii="宋体" w:hAnsi="宋体"/>
          <w:b/>
          <w:color w:val="auto"/>
          <w:sz w:val="24"/>
          <w:highlight w:val="none"/>
        </w:rPr>
      </w:pPr>
    </w:p>
    <w:p w14:paraId="25842D60">
      <w:pPr>
        <w:spacing w:line="400" w:lineRule="exact"/>
        <w:jc w:val="center"/>
        <w:rPr>
          <w:rFonts w:ascii="宋体" w:hAnsi="宋体"/>
          <w:b/>
          <w:color w:val="auto"/>
          <w:sz w:val="24"/>
          <w:highlight w:val="none"/>
        </w:rPr>
      </w:pPr>
    </w:p>
    <w:p w14:paraId="3CAE2978">
      <w:pPr>
        <w:spacing w:line="400" w:lineRule="exact"/>
        <w:jc w:val="center"/>
        <w:rPr>
          <w:rFonts w:ascii="宋体" w:hAnsi="宋体"/>
          <w:b/>
          <w:color w:val="auto"/>
          <w:sz w:val="24"/>
          <w:highlight w:val="none"/>
        </w:rPr>
      </w:pPr>
    </w:p>
    <w:p w14:paraId="65362674">
      <w:pPr>
        <w:spacing w:line="400" w:lineRule="exact"/>
        <w:jc w:val="center"/>
        <w:rPr>
          <w:rFonts w:ascii="宋体" w:hAnsi="宋体"/>
          <w:b/>
          <w:color w:val="auto"/>
          <w:sz w:val="24"/>
          <w:highlight w:val="none"/>
        </w:rPr>
      </w:pPr>
    </w:p>
    <w:p w14:paraId="1DE39B2E">
      <w:pPr>
        <w:spacing w:line="400" w:lineRule="exact"/>
        <w:jc w:val="center"/>
        <w:rPr>
          <w:rFonts w:ascii="宋体" w:hAnsi="宋体"/>
          <w:b/>
          <w:color w:val="auto"/>
          <w:sz w:val="24"/>
          <w:highlight w:val="none"/>
        </w:rPr>
      </w:pPr>
    </w:p>
    <w:p w14:paraId="27492FA4">
      <w:pPr>
        <w:spacing w:line="400" w:lineRule="exact"/>
        <w:jc w:val="center"/>
        <w:rPr>
          <w:rFonts w:ascii="宋体" w:hAnsi="宋体"/>
          <w:b/>
          <w:color w:val="auto"/>
          <w:sz w:val="24"/>
          <w:highlight w:val="none"/>
        </w:rPr>
      </w:pPr>
    </w:p>
    <w:p w14:paraId="1CFDB5BF">
      <w:pPr>
        <w:spacing w:line="400" w:lineRule="exact"/>
        <w:jc w:val="center"/>
        <w:rPr>
          <w:rFonts w:ascii="宋体" w:hAnsi="宋体"/>
          <w:b/>
          <w:color w:val="auto"/>
          <w:sz w:val="24"/>
          <w:highlight w:val="none"/>
        </w:rPr>
      </w:pPr>
    </w:p>
    <w:p w14:paraId="6DFE362D">
      <w:pPr>
        <w:spacing w:line="400" w:lineRule="exact"/>
        <w:jc w:val="center"/>
        <w:rPr>
          <w:rFonts w:ascii="宋体" w:hAnsi="宋体"/>
          <w:b/>
          <w:color w:val="auto"/>
          <w:sz w:val="24"/>
          <w:highlight w:val="none"/>
        </w:rPr>
      </w:pPr>
    </w:p>
    <w:p w14:paraId="48B28B1D">
      <w:pPr>
        <w:spacing w:line="400" w:lineRule="exact"/>
        <w:jc w:val="center"/>
        <w:rPr>
          <w:rFonts w:ascii="宋体" w:hAnsi="宋体"/>
          <w:b/>
          <w:color w:val="auto"/>
          <w:sz w:val="24"/>
          <w:highlight w:val="none"/>
        </w:rPr>
      </w:pPr>
    </w:p>
    <w:p w14:paraId="3122CCCB">
      <w:pPr>
        <w:spacing w:line="400" w:lineRule="exact"/>
        <w:jc w:val="center"/>
        <w:rPr>
          <w:rFonts w:ascii="宋体" w:hAnsi="宋体"/>
          <w:b/>
          <w:color w:val="auto"/>
          <w:sz w:val="24"/>
          <w:highlight w:val="none"/>
        </w:rPr>
      </w:pPr>
      <w:r>
        <w:rPr>
          <w:rFonts w:hint="eastAsia" w:ascii="宋体" w:hAnsi="宋体"/>
          <w:b/>
          <w:color w:val="auto"/>
          <w:sz w:val="24"/>
          <w:highlight w:val="none"/>
        </w:rPr>
        <w:t>医疗卫生机构医药产品廉洁购销合同</w:t>
      </w:r>
    </w:p>
    <w:p w14:paraId="2AAA115F">
      <w:pPr>
        <w:spacing w:line="400" w:lineRule="exact"/>
        <w:ind w:firstLine="1205" w:firstLineChars="500"/>
        <w:rPr>
          <w:rFonts w:ascii="宋体" w:hAnsi="宋体"/>
          <w:b/>
          <w:color w:val="auto"/>
          <w:sz w:val="24"/>
          <w:highlight w:val="none"/>
        </w:rPr>
      </w:pPr>
      <w:r>
        <w:rPr>
          <w:rFonts w:hint="eastAsia" w:ascii="宋体" w:hAnsi="宋体"/>
          <w:b/>
          <w:color w:val="auto"/>
          <w:sz w:val="24"/>
          <w:highlight w:val="none"/>
        </w:rPr>
        <w:t>（含设备、耗材、后勤物资、基建工程、行业服务等）</w:t>
      </w:r>
    </w:p>
    <w:p w14:paraId="0BE13CC8">
      <w:pPr>
        <w:spacing w:line="400" w:lineRule="exact"/>
        <w:rPr>
          <w:rFonts w:ascii="宋体" w:hAnsi="宋体" w:cs="宋体"/>
          <w:b/>
          <w:color w:val="auto"/>
          <w:szCs w:val="21"/>
          <w:highlight w:val="none"/>
        </w:rPr>
      </w:pPr>
      <w:r>
        <w:rPr>
          <w:rFonts w:hint="eastAsia" w:ascii="宋体" w:hAnsi="宋体" w:cs="宋体"/>
          <w:b/>
          <w:color w:val="auto"/>
          <w:szCs w:val="21"/>
          <w:highlight w:val="none"/>
        </w:rPr>
        <w:t>甲方（医疗卫生机构）：桂林医学院附属医院</w:t>
      </w:r>
    </w:p>
    <w:p w14:paraId="4C56FB9A">
      <w:pPr>
        <w:spacing w:line="400" w:lineRule="exact"/>
        <w:rPr>
          <w:rFonts w:ascii="宋体" w:hAnsi="宋体" w:cs="宋体"/>
          <w:b/>
          <w:color w:val="auto"/>
          <w:szCs w:val="21"/>
          <w:highlight w:val="none"/>
        </w:rPr>
      </w:pPr>
      <w:r>
        <w:rPr>
          <w:rFonts w:hint="eastAsia" w:ascii="宋体" w:hAnsi="宋体" w:cs="宋体"/>
          <w:b/>
          <w:color w:val="auto"/>
          <w:szCs w:val="21"/>
          <w:highlight w:val="none"/>
        </w:rPr>
        <w:t>乙方（医药生产经营企业及其代理人）：XXXXXXX</w:t>
      </w:r>
    </w:p>
    <w:p w14:paraId="7D5FBA6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为进一步加强医疗卫生行风建设，规范医疗卫生机构医药购销行为，有效防范商业贿赂行为，营造公平交易、诚实守信的购销环境，经甲、乙双方协商，同意签订本合同，并共同遵守：</w:t>
      </w:r>
    </w:p>
    <w:p w14:paraId="6F8351BF">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一、甲乙双方按照《中华人民共和国民法典》及医药产品购销合同约定购销药品、医用设备、医用耗材试剂等医药产品。</w:t>
      </w:r>
    </w:p>
    <w:p w14:paraId="04A98AB5">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二、甲方应当严格执行医药产品购销合同验收、入库制度，对采购医药产品及发票进行查验，不得违反有关规定合同外采购、违价采购或从非规定渠道采购。</w:t>
      </w:r>
    </w:p>
    <w:p w14:paraId="4C4AD4C8">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8F1F31F">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四、严禁甲方工作人员利用任何途径和方式，为乙方统计医师个人及临床科室有关医药产品用量信息，或为乙方统计提供便利。</w:t>
      </w:r>
    </w:p>
    <w:p w14:paraId="247E0D87">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五、乙方不得以回扣、宴请等方式影响甲方工作人员采购或使用医药产品的选择权，不得在学术活动中提供旅游、超标准支付食宿费用。</w:t>
      </w:r>
    </w:p>
    <w:p w14:paraId="451E7B14">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六、乙方指定</w:t>
      </w:r>
      <w:r>
        <w:rPr>
          <w:rFonts w:hint="eastAsia" w:ascii="宋体" w:hAnsi="宋体" w:cs="宋体"/>
          <w:color w:val="auto"/>
          <w:szCs w:val="21"/>
          <w:highlight w:val="none"/>
          <w:u w:val="single"/>
        </w:rPr>
        <w:t xml:space="preserve">    姓名</w:t>
      </w:r>
      <w:r>
        <w:rPr>
          <w:rFonts w:hint="eastAsia" w:ascii="宋体" w:hAnsi="宋体" w:cs="宋体"/>
          <w:b/>
          <w:color w:val="auto"/>
          <w:szCs w:val="21"/>
          <w:highlight w:val="none"/>
        </w:rPr>
        <w:t>XXXXXXX</w:t>
      </w:r>
      <w:r>
        <w:rPr>
          <w:rFonts w:hint="eastAsia" w:ascii="宋体" w:hAnsi="宋体" w:cs="宋体"/>
          <w:color w:val="auto"/>
          <w:szCs w:val="21"/>
          <w:highlight w:val="none"/>
          <w:u w:val="single"/>
        </w:rPr>
        <w:t xml:space="preserve">  联系电话  </w:t>
      </w:r>
      <w:r>
        <w:rPr>
          <w:rFonts w:hint="eastAsia" w:ascii="宋体" w:hAnsi="宋体" w:cs="宋体"/>
          <w:b/>
          <w:color w:val="auto"/>
          <w:szCs w:val="21"/>
          <w:highlight w:val="none"/>
        </w:rPr>
        <w:t>XXXXXXX</w:t>
      </w:r>
      <w:r>
        <w:rPr>
          <w:rFonts w:hint="eastAsia" w:ascii="宋体" w:hAnsi="宋体" w:cs="宋体"/>
          <w:color w:val="auto"/>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5931BC4F">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14:paraId="0FA5C3E2">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八、本合同作为医药产品购销合同的重要组成部分，与购销合同一并执行，具有同等的法律效力。</w:t>
      </w:r>
    </w:p>
    <w:p w14:paraId="587D537B">
      <w:pPr>
        <w:spacing w:line="380" w:lineRule="exact"/>
        <w:ind w:firstLine="430" w:firstLineChars="205"/>
        <w:rPr>
          <w:rFonts w:ascii="宋体" w:hAnsi="宋体" w:cs="宋体"/>
          <w:color w:val="auto"/>
          <w:szCs w:val="21"/>
          <w:highlight w:val="none"/>
        </w:rPr>
      </w:pPr>
      <w:r>
        <w:rPr>
          <w:rFonts w:hint="eastAsia" w:ascii="宋体" w:hAnsi="宋体" w:cs="宋体"/>
          <w:color w:val="auto"/>
          <w:szCs w:val="21"/>
          <w:highlight w:val="none"/>
        </w:rPr>
        <w:t>九、本合同一式肆份，甲方执叁份，乙方执壹份，并从签订之日起生效。</w:t>
      </w:r>
    </w:p>
    <w:p w14:paraId="5CA96485">
      <w:pPr>
        <w:spacing w:line="400" w:lineRule="exact"/>
        <w:rPr>
          <w:rFonts w:ascii="宋体" w:hAnsi="宋体" w:cs="宋体"/>
          <w:color w:val="auto"/>
          <w:szCs w:val="21"/>
          <w:highlight w:val="none"/>
        </w:rPr>
      </w:pPr>
    </w:p>
    <w:p w14:paraId="38CC09E9">
      <w:pPr>
        <w:spacing w:line="400" w:lineRule="exact"/>
        <w:rPr>
          <w:rFonts w:ascii="宋体" w:hAnsi="宋体" w:cs="宋体"/>
          <w:b/>
          <w:color w:val="auto"/>
          <w:szCs w:val="21"/>
          <w:highlight w:val="none"/>
        </w:rPr>
      </w:pPr>
      <w:r>
        <w:rPr>
          <w:rFonts w:hint="eastAsia" w:ascii="宋体" w:hAnsi="宋体" w:cs="宋体"/>
          <w:b/>
          <w:color w:val="auto"/>
          <w:szCs w:val="21"/>
          <w:highlight w:val="none"/>
        </w:rPr>
        <w:t>甲方（盖章）：桂林医学院附属医院           乙方（盖章）：XXXXXXX</w:t>
      </w:r>
    </w:p>
    <w:p w14:paraId="217B5B74">
      <w:pPr>
        <w:spacing w:line="400" w:lineRule="exact"/>
        <w:rPr>
          <w:rFonts w:ascii="宋体" w:hAnsi="宋体" w:cs="宋体"/>
          <w:b/>
          <w:color w:val="auto"/>
          <w:szCs w:val="21"/>
          <w:highlight w:val="none"/>
        </w:rPr>
      </w:pPr>
      <w:r>
        <w:rPr>
          <w:rFonts w:hint="eastAsia" w:ascii="宋体" w:hAnsi="宋体" w:cs="宋体"/>
          <w:b/>
          <w:color w:val="auto"/>
          <w:szCs w:val="21"/>
          <w:highlight w:val="none"/>
        </w:rPr>
        <w:t>法定代表人（负责人）：                     法定代表人（负责人）：</w:t>
      </w:r>
    </w:p>
    <w:p w14:paraId="1727042E">
      <w:pPr>
        <w:spacing w:line="400" w:lineRule="exact"/>
        <w:rPr>
          <w:rFonts w:ascii="宋体" w:hAnsi="宋体" w:cs="宋体"/>
          <w:b/>
          <w:color w:val="auto"/>
          <w:szCs w:val="21"/>
          <w:highlight w:val="none"/>
          <w:u w:val="single"/>
        </w:rPr>
      </w:pPr>
      <w:r>
        <w:rPr>
          <w:rFonts w:hint="eastAsia" w:ascii="宋体" w:hAnsi="宋体" w:cs="宋体"/>
          <w:b/>
          <w:color w:val="auto"/>
          <w:szCs w:val="21"/>
          <w:highlight w:val="none"/>
        </w:rPr>
        <w:t>经办人签名：                              经办人签名：</w:t>
      </w:r>
    </w:p>
    <w:p w14:paraId="05569627">
      <w:pPr>
        <w:spacing w:line="400" w:lineRule="exact"/>
        <w:rPr>
          <w:rFonts w:ascii="宋体" w:hAnsi="宋体" w:cs="宋体"/>
          <w:b/>
          <w:color w:val="auto"/>
          <w:szCs w:val="21"/>
          <w:highlight w:val="none"/>
        </w:rPr>
      </w:pPr>
      <w:r>
        <w:rPr>
          <w:rFonts w:hint="eastAsia" w:ascii="宋体" w:hAnsi="宋体" w:cs="宋体"/>
          <w:b/>
          <w:color w:val="auto"/>
          <w:szCs w:val="21"/>
          <w:highlight w:val="none"/>
        </w:rPr>
        <w:t>签订日期：202    年   月   日             签订日期：202    年   月   日</w:t>
      </w:r>
    </w:p>
    <w:bookmarkEnd w:id="144"/>
    <w:p w14:paraId="286C1ED2">
      <w:pPr>
        <w:pStyle w:val="46"/>
        <w:ind w:firstLine="640"/>
        <w:rPr>
          <w:rFonts w:ascii="宋体" w:hAnsi="宋体" w:cs="宋体"/>
          <w:bCs/>
          <w:color w:val="auto"/>
          <w:szCs w:val="32"/>
          <w:highlight w:val="none"/>
        </w:rPr>
      </w:pPr>
    </w:p>
    <w:p w14:paraId="7D6F76DE">
      <w:pPr>
        <w:pStyle w:val="46"/>
        <w:ind w:firstLine="640"/>
        <w:rPr>
          <w:rFonts w:ascii="宋体" w:hAnsi="宋体" w:cs="宋体"/>
          <w:bCs/>
          <w:color w:val="auto"/>
          <w:szCs w:val="32"/>
          <w:highlight w:val="none"/>
        </w:rPr>
      </w:pPr>
    </w:p>
    <w:p w14:paraId="4B23741E">
      <w:pPr>
        <w:pStyle w:val="46"/>
        <w:ind w:firstLine="640"/>
        <w:rPr>
          <w:rFonts w:ascii="宋体" w:hAnsi="宋体" w:cs="宋体"/>
          <w:bCs/>
          <w:color w:val="auto"/>
          <w:szCs w:val="32"/>
          <w:highlight w:val="none"/>
        </w:rPr>
      </w:pPr>
    </w:p>
    <w:p w14:paraId="287B74EA">
      <w:pPr>
        <w:pStyle w:val="46"/>
        <w:ind w:firstLine="640"/>
        <w:rPr>
          <w:rFonts w:ascii="宋体" w:hAnsi="宋体" w:cs="宋体"/>
          <w:bCs/>
          <w:color w:val="auto"/>
          <w:szCs w:val="32"/>
          <w:highlight w:val="none"/>
        </w:rPr>
      </w:pPr>
    </w:p>
    <w:p w14:paraId="3C5EBC1C">
      <w:pPr>
        <w:rPr>
          <w:rFonts w:ascii="宋体" w:hAnsi="宋体" w:cs="宋体"/>
          <w:bCs/>
          <w:color w:val="auto"/>
          <w:sz w:val="32"/>
          <w:szCs w:val="32"/>
          <w:highlight w:val="none"/>
        </w:rPr>
      </w:pPr>
    </w:p>
    <w:p w14:paraId="12FFBD13">
      <w:pPr>
        <w:pStyle w:val="4"/>
        <w:rPr>
          <w:rFonts w:ascii="宋体" w:hAnsi="宋体" w:eastAsia="宋体" w:cs="宋体"/>
          <w:color w:val="auto"/>
          <w:highlight w:val="none"/>
        </w:rPr>
      </w:pPr>
    </w:p>
    <w:p w14:paraId="2E79EA79">
      <w:pPr>
        <w:rPr>
          <w:color w:val="auto"/>
          <w:highlight w:val="none"/>
        </w:rPr>
      </w:pPr>
    </w:p>
    <w:p w14:paraId="6CD03142">
      <w:pPr>
        <w:rPr>
          <w:rFonts w:ascii="宋体" w:hAnsi="宋体" w:cs="宋体"/>
          <w:bCs/>
          <w:color w:val="auto"/>
          <w:sz w:val="32"/>
          <w:szCs w:val="32"/>
          <w:highlight w:val="none"/>
        </w:rPr>
      </w:pPr>
    </w:p>
    <w:p w14:paraId="1C1C9BC3">
      <w:pPr>
        <w:rPr>
          <w:rFonts w:ascii="宋体" w:hAnsi="宋体" w:cs="宋体"/>
          <w:bCs/>
          <w:color w:val="auto"/>
          <w:sz w:val="32"/>
          <w:szCs w:val="32"/>
          <w:highlight w:val="none"/>
        </w:rPr>
      </w:pPr>
    </w:p>
    <w:p w14:paraId="28CA55F1">
      <w:pPr>
        <w:rPr>
          <w:rFonts w:ascii="宋体" w:hAnsi="宋体" w:cs="宋体"/>
          <w:bCs/>
          <w:color w:val="auto"/>
          <w:sz w:val="32"/>
          <w:szCs w:val="32"/>
          <w:highlight w:val="none"/>
        </w:rPr>
      </w:pPr>
    </w:p>
    <w:p w14:paraId="36150390">
      <w:pPr>
        <w:rPr>
          <w:rFonts w:ascii="宋体" w:hAnsi="宋体" w:cs="宋体"/>
          <w:bCs/>
          <w:color w:val="auto"/>
          <w:sz w:val="32"/>
          <w:szCs w:val="32"/>
          <w:highlight w:val="none"/>
        </w:rPr>
      </w:pPr>
    </w:p>
    <w:p w14:paraId="4CCBDF31">
      <w:pPr>
        <w:pStyle w:val="3"/>
        <w:jc w:val="center"/>
        <w:rPr>
          <w:rFonts w:ascii="宋体" w:hAnsi="宋体" w:cs="宋体"/>
          <w:color w:val="auto"/>
          <w:highlight w:val="none"/>
        </w:rPr>
      </w:pPr>
      <w:bookmarkStart w:id="145" w:name="_Toc74320805"/>
      <w:bookmarkStart w:id="146" w:name="_Toc143259166"/>
      <w:r>
        <w:rPr>
          <w:rFonts w:hint="eastAsia" w:ascii="宋体" w:hAnsi="宋体" w:cs="宋体"/>
          <w:color w:val="auto"/>
          <w:highlight w:val="none"/>
        </w:rPr>
        <w:t>第六章  投标文件格式</w:t>
      </w:r>
      <w:bookmarkEnd w:id="145"/>
      <w:bookmarkEnd w:id="146"/>
    </w:p>
    <w:p w14:paraId="4FB2A989">
      <w:pPr>
        <w:snapToGrid w:val="0"/>
        <w:spacing w:before="50" w:after="50"/>
        <w:outlineLvl w:val="1"/>
        <w:rPr>
          <w:rFonts w:ascii="宋体" w:hAnsi="宋体" w:cs="宋体"/>
          <w:color w:val="auto"/>
          <w:sz w:val="32"/>
          <w:szCs w:val="20"/>
          <w:highlight w:val="none"/>
        </w:rPr>
      </w:pPr>
    </w:p>
    <w:p w14:paraId="5EEF022B">
      <w:pPr>
        <w:snapToGrid w:val="0"/>
        <w:spacing w:before="50" w:after="50"/>
        <w:outlineLvl w:val="1"/>
        <w:rPr>
          <w:rFonts w:ascii="宋体" w:hAnsi="宋体" w:cs="宋体"/>
          <w:color w:val="auto"/>
          <w:sz w:val="32"/>
          <w:szCs w:val="20"/>
          <w:highlight w:val="none"/>
        </w:rPr>
      </w:pPr>
    </w:p>
    <w:p w14:paraId="38B0C2F9">
      <w:pPr>
        <w:snapToGrid w:val="0"/>
        <w:spacing w:before="50" w:after="50"/>
        <w:outlineLvl w:val="1"/>
        <w:rPr>
          <w:rFonts w:ascii="宋体" w:hAnsi="宋体" w:cs="宋体"/>
          <w:color w:val="auto"/>
          <w:sz w:val="32"/>
          <w:szCs w:val="20"/>
          <w:highlight w:val="none"/>
        </w:rPr>
      </w:pPr>
    </w:p>
    <w:p w14:paraId="5A992609">
      <w:pPr>
        <w:snapToGrid w:val="0"/>
        <w:spacing w:before="50" w:after="50"/>
        <w:outlineLvl w:val="1"/>
        <w:rPr>
          <w:rFonts w:ascii="宋体" w:hAnsi="宋体" w:cs="宋体"/>
          <w:color w:val="auto"/>
          <w:sz w:val="32"/>
          <w:szCs w:val="20"/>
          <w:highlight w:val="none"/>
        </w:rPr>
      </w:pPr>
    </w:p>
    <w:p w14:paraId="4AD7DDC6">
      <w:pPr>
        <w:snapToGrid w:val="0"/>
        <w:spacing w:before="50" w:after="50"/>
        <w:outlineLvl w:val="1"/>
        <w:rPr>
          <w:rFonts w:ascii="宋体" w:hAnsi="宋体" w:cs="宋体"/>
          <w:color w:val="auto"/>
          <w:sz w:val="32"/>
          <w:szCs w:val="20"/>
          <w:highlight w:val="none"/>
        </w:rPr>
      </w:pPr>
    </w:p>
    <w:p w14:paraId="1CAC8B43">
      <w:pPr>
        <w:snapToGrid w:val="0"/>
        <w:spacing w:before="50" w:after="50"/>
        <w:outlineLvl w:val="1"/>
        <w:rPr>
          <w:rFonts w:ascii="宋体" w:hAnsi="宋体" w:cs="宋体"/>
          <w:color w:val="auto"/>
          <w:sz w:val="32"/>
          <w:szCs w:val="20"/>
          <w:highlight w:val="none"/>
        </w:rPr>
      </w:pPr>
    </w:p>
    <w:p w14:paraId="4508545B">
      <w:pPr>
        <w:snapToGrid w:val="0"/>
        <w:spacing w:before="50" w:after="50"/>
        <w:outlineLvl w:val="1"/>
        <w:rPr>
          <w:rFonts w:ascii="宋体" w:hAnsi="宋体" w:cs="宋体"/>
          <w:color w:val="auto"/>
          <w:sz w:val="32"/>
          <w:szCs w:val="20"/>
          <w:highlight w:val="none"/>
        </w:rPr>
      </w:pPr>
    </w:p>
    <w:p w14:paraId="6909C231">
      <w:pPr>
        <w:snapToGrid w:val="0"/>
        <w:spacing w:before="50" w:after="50"/>
        <w:outlineLvl w:val="1"/>
        <w:rPr>
          <w:rFonts w:ascii="宋体" w:hAnsi="宋体" w:cs="宋体"/>
          <w:color w:val="auto"/>
          <w:sz w:val="32"/>
          <w:szCs w:val="20"/>
          <w:highlight w:val="none"/>
        </w:rPr>
      </w:pPr>
    </w:p>
    <w:p w14:paraId="69F6E3FA">
      <w:pPr>
        <w:snapToGrid w:val="0"/>
        <w:spacing w:before="50" w:after="50"/>
        <w:outlineLvl w:val="1"/>
        <w:rPr>
          <w:rFonts w:ascii="宋体" w:hAnsi="宋体" w:cs="宋体"/>
          <w:color w:val="auto"/>
          <w:sz w:val="32"/>
          <w:szCs w:val="20"/>
          <w:highlight w:val="none"/>
        </w:rPr>
      </w:pPr>
    </w:p>
    <w:p w14:paraId="70811120">
      <w:pPr>
        <w:snapToGrid w:val="0"/>
        <w:spacing w:before="50" w:after="50"/>
        <w:outlineLvl w:val="1"/>
        <w:rPr>
          <w:rFonts w:ascii="宋体" w:hAnsi="宋体" w:cs="宋体"/>
          <w:color w:val="auto"/>
          <w:sz w:val="32"/>
          <w:szCs w:val="20"/>
          <w:highlight w:val="none"/>
        </w:rPr>
      </w:pPr>
    </w:p>
    <w:p w14:paraId="205A1A3A">
      <w:pPr>
        <w:snapToGrid w:val="0"/>
        <w:spacing w:before="50" w:after="50"/>
        <w:outlineLvl w:val="1"/>
        <w:rPr>
          <w:rFonts w:ascii="宋体" w:hAnsi="宋体" w:cs="宋体"/>
          <w:color w:val="auto"/>
          <w:sz w:val="32"/>
          <w:szCs w:val="20"/>
          <w:highlight w:val="none"/>
        </w:rPr>
      </w:pPr>
    </w:p>
    <w:p w14:paraId="066392CD">
      <w:pPr>
        <w:snapToGrid w:val="0"/>
        <w:spacing w:before="50" w:after="50"/>
        <w:outlineLvl w:val="1"/>
        <w:rPr>
          <w:rFonts w:ascii="宋体" w:hAnsi="宋体" w:cs="宋体"/>
          <w:color w:val="auto"/>
          <w:sz w:val="32"/>
          <w:szCs w:val="20"/>
          <w:highlight w:val="none"/>
        </w:rPr>
      </w:pPr>
    </w:p>
    <w:p w14:paraId="7A7E9AC0">
      <w:pPr>
        <w:snapToGrid w:val="0"/>
        <w:spacing w:before="50" w:after="50"/>
        <w:outlineLvl w:val="1"/>
        <w:rPr>
          <w:rFonts w:ascii="宋体" w:hAnsi="宋体" w:cs="宋体"/>
          <w:color w:val="auto"/>
          <w:sz w:val="32"/>
          <w:szCs w:val="20"/>
          <w:highlight w:val="none"/>
        </w:rPr>
      </w:pPr>
    </w:p>
    <w:p w14:paraId="2D97D983">
      <w:pPr>
        <w:snapToGrid w:val="0"/>
        <w:spacing w:before="50" w:after="50"/>
        <w:outlineLvl w:val="1"/>
        <w:rPr>
          <w:rFonts w:ascii="宋体" w:hAnsi="宋体" w:cs="宋体"/>
          <w:color w:val="auto"/>
          <w:highlight w:val="none"/>
        </w:rPr>
      </w:pPr>
    </w:p>
    <w:p w14:paraId="63A52A45">
      <w:pPr>
        <w:rPr>
          <w:rFonts w:ascii="宋体" w:hAnsi="宋体" w:cs="宋体"/>
          <w:b/>
          <w:color w:val="auto"/>
          <w:sz w:val="28"/>
          <w:szCs w:val="28"/>
          <w:highlight w:val="none"/>
        </w:rPr>
      </w:pPr>
      <w:bookmarkStart w:id="147" w:name="_Toc19686836"/>
      <w:bookmarkStart w:id="148" w:name="_Toc254970557"/>
      <w:bookmarkStart w:id="149" w:name="_Toc254970698"/>
      <w:r>
        <w:rPr>
          <w:rFonts w:hint="eastAsia" w:ascii="宋体" w:hAnsi="宋体" w:cs="宋体"/>
          <w:b/>
          <w:color w:val="auto"/>
          <w:sz w:val="28"/>
          <w:szCs w:val="28"/>
          <w:highlight w:val="none"/>
        </w:rPr>
        <w:t>一、报价文件格式</w:t>
      </w:r>
      <w:bookmarkEnd w:id="147"/>
    </w:p>
    <w:p w14:paraId="5C58BFC3">
      <w:pPr>
        <w:snapToGrid w:val="0"/>
        <w:spacing w:before="120" w:beforeLines="50" w:after="50" w:line="360" w:lineRule="auto"/>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报价文件封面格式： </w:t>
      </w:r>
    </w:p>
    <w:p w14:paraId="034AABCF">
      <w:pPr>
        <w:snapToGrid w:val="0"/>
        <w:spacing w:before="120"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1816F0F6">
      <w:pPr>
        <w:snapToGrid w:val="0"/>
        <w:spacing w:before="120" w:beforeLines="50" w:after="50" w:line="400" w:lineRule="exact"/>
        <w:jc w:val="left"/>
        <w:rPr>
          <w:rFonts w:ascii="宋体" w:hAnsi="宋体" w:cs="宋体"/>
          <w:bCs/>
          <w:color w:val="auto"/>
          <w:sz w:val="48"/>
          <w:szCs w:val="48"/>
          <w:highlight w:val="none"/>
        </w:rPr>
      </w:pPr>
    </w:p>
    <w:p w14:paraId="5EF93CCB">
      <w:pPr>
        <w:snapToGrid w:val="0"/>
        <w:spacing w:before="120" w:beforeLines="50" w:after="50" w:line="4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报  价  文  件</w:t>
      </w:r>
    </w:p>
    <w:p w14:paraId="68216967">
      <w:pPr>
        <w:snapToGrid w:val="0"/>
        <w:spacing w:before="120" w:beforeLines="50" w:after="50" w:line="400" w:lineRule="exact"/>
        <w:rPr>
          <w:rFonts w:ascii="宋体" w:hAnsi="宋体" w:cs="宋体"/>
          <w:bCs/>
          <w:color w:val="auto"/>
          <w:sz w:val="24"/>
          <w:szCs w:val="20"/>
          <w:highlight w:val="none"/>
        </w:rPr>
      </w:pPr>
    </w:p>
    <w:p w14:paraId="4576E2B6">
      <w:pPr>
        <w:snapToGrid w:val="0"/>
        <w:spacing w:before="120" w:beforeLines="50" w:after="50" w:line="400" w:lineRule="exact"/>
        <w:rPr>
          <w:rFonts w:ascii="宋体" w:hAnsi="宋体" w:cs="宋体"/>
          <w:bCs/>
          <w:color w:val="auto"/>
          <w:sz w:val="24"/>
          <w:szCs w:val="20"/>
          <w:highlight w:val="none"/>
        </w:rPr>
      </w:pPr>
    </w:p>
    <w:p w14:paraId="127BEB09">
      <w:pPr>
        <w:snapToGrid w:val="0"/>
        <w:spacing w:before="120" w:beforeLines="50" w:after="50" w:line="400" w:lineRule="exact"/>
        <w:rPr>
          <w:rFonts w:ascii="宋体" w:hAnsi="宋体" w:cs="宋体"/>
          <w:bCs/>
          <w:color w:val="auto"/>
          <w:sz w:val="24"/>
          <w:szCs w:val="20"/>
          <w:highlight w:val="none"/>
        </w:rPr>
      </w:pPr>
    </w:p>
    <w:p w14:paraId="26417DF6">
      <w:pPr>
        <w:snapToGrid w:val="0"/>
        <w:spacing w:before="120" w:beforeLines="50" w:after="50" w:line="400" w:lineRule="exact"/>
        <w:rPr>
          <w:rFonts w:ascii="宋体" w:hAnsi="宋体" w:cs="宋体"/>
          <w:bCs/>
          <w:color w:val="auto"/>
          <w:sz w:val="24"/>
          <w:szCs w:val="20"/>
          <w:highlight w:val="none"/>
        </w:rPr>
      </w:pPr>
    </w:p>
    <w:p w14:paraId="12A832E4">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6BAE8720">
      <w:pPr>
        <w:snapToGrid w:val="0"/>
        <w:spacing w:before="120" w:beforeLines="50" w:after="50" w:line="400" w:lineRule="exact"/>
        <w:ind w:firstLine="360" w:firstLineChars="150"/>
        <w:rPr>
          <w:rFonts w:ascii="宋体" w:hAnsi="宋体" w:cs="宋体"/>
          <w:bCs/>
          <w:color w:val="auto"/>
          <w:sz w:val="24"/>
          <w:highlight w:val="none"/>
        </w:rPr>
      </w:pPr>
    </w:p>
    <w:p w14:paraId="21EBC72F">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3ACC8E72">
      <w:pPr>
        <w:snapToGrid w:val="0"/>
        <w:spacing w:before="120" w:beforeLines="50" w:after="50" w:line="400" w:lineRule="exact"/>
        <w:ind w:firstLine="360" w:firstLineChars="150"/>
        <w:rPr>
          <w:rFonts w:ascii="宋体" w:hAnsi="宋体" w:cs="宋体"/>
          <w:bCs/>
          <w:color w:val="auto"/>
          <w:sz w:val="24"/>
          <w:highlight w:val="none"/>
        </w:rPr>
      </w:pPr>
    </w:p>
    <w:p w14:paraId="7CC8DFA2">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分标号：</w:t>
      </w:r>
    </w:p>
    <w:p w14:paraId="443F0AAD">
      <w:pPr>
        <w:snapToGrid w:val="0"/>
        <w:spacing w:before="120" w:beforeLines="50" w:after="50" w:line="400" w:lineRule="exact"/>
        <w:ind w:firstLine="360" w:firstLineChars="150"/>
        <w:rPr>
          <w:rFonts w:ascii="宋体" w:hAnsi="宋体" w:cs="宋体"/>
          <w:bCs/>
          <w:color w:val="auto"/>
          <w:sz w:val="24"/>
          <w:highlight w:val="none"/>
        </w:rPr>
      </w:pPr>
    </w:p>
    <w:p w14:paraId="551B2546">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79B6A1C">
      <w:pPr>
        <w:snapToGrid w:val="0"/>
        <w:spacing w:before="120" w:beforeLines="50" w:after="50" w:line="400" w:lineRule="exact"/>
        <w:ind w:firstLine="360" w:firstLineChars="150"/>
        <w:rPr>
          <w:rFonts w:ascii="宋体" w:hAnsi="宋体" w:cs="宋体"/>
          <w:bCs/>
          <w:color w:val="auto"/>
          <w:sz w:val="24"/>
          <w:highlight w:val="none"/>
        </w:rPr>
      </w:pPr>
    </w:p>
    <w:p w14:paraId="6C2C4446">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2BEE34F2">
      <w:pPr>
        <w:pStyle w:val="7"/>
        <w:snapToGrid w:val="0"/>
        <w:spacing w:before="50" w:after="50" w:line="400" w:lineRule="exact"/>
        <w:ind w:firstLine="960" w:firstLineChars="400"/>
        <w:rPr>
          <w:rFonts w:ascii="宋体" w:hAnsi="宋体" w:cs="宋体"/>
          <w:bCs/>
          <w:color w:val="auto"/>
          <w:sz w:val="24"/>
          <w:szCs w:val="24"/>
          <w:highlight w:val="none"/>
        </w:rPr>
      </w:pPr>
    </w:p>
    <w:p w14:paraId="22844A17">
      <w:pPr>
        <w:snapToGrid w:val="0"/>
        <w:spacing w:before="120"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1696DE5C">
      <w:pPr>
        <w:snapToGrid w:val="0"/>
        <w:spacing w:before="120"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1D9A0422">
      <w:pPr>
        <w:snapToGrid w:val="0"/>
        <w:spacing w:before="50" w:after="12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14:paraId="7B2A0A27">
      <w:pPr>
        <w:snapToGrid w:val="0"/>
        <w:spacing w:before="120" w:beforeLines="50" w:after="50"/>
        <w:rPr>
          <w:rFonts w:ascii="宋体" w:hAnsi="宋体" w:cs="宋体"/>
          <w:b/>
          <w:color w:val="auto"/>
          <w:sz w:val="24"/>
          <w:highlight w:val="none"/>
        </w:rPr>
      </w:pPr>
    </w:p>
    <w:p w14:paraId="4C73676D">
      <w:pPr>
        <w:snapToGrid w:val="0"/>
        <w:spacing w:before="120" w:beforeLines="50" w:after="50"/>
        <w:rPr>
          <w:rFonts w:ascii="宋体" w:hAnsi="宋体" w:cs="宋体"/>
          <w:b/>
          <w:color w:val="auto"/>
          <w:sz w:val="24"/>
          <w:highlight w:val="none"/>
        </w:rPr>
      </w:pPr>
    </w:p>
    <w:p w14:paraId="68AC989F">
      <w:pPr>
        <w:snapToGrid w:val="0"/>
        <w:spacing w:before="120" w:beforeLines="50" w:after="50"/>
        <w:rPr>
          <w:rFonts w:ascii="宋体" w:hAnsi="宋体" w:cs="宋体"/>
          <w:b/>
          <w:color w:val="auto"/>
          <w:sz w:val="24"/>
          <w:highlight w:val="none"/>
        </w:rPr>
      </w:pPr>
    </w:p>
    <w:p w14:paraId="3EF56C3D">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3.部分</w:t>
      </w:r>
      <w:r>
        <w:rPr>
          <w:rFonts w:hint="eastAsia" w:ascii="宋体" w:hAnsi="宋体" w:cs="宋体"/>
          <w:b/>
          <w:bCs/>
          <w:color w:val="auto"/>
          <w:sz w:val="24"/>
          <w:highlight w:val="none"/>
        </w:rPr>
        <w:t>报价</w:t>
      </w:r>
      <w:r>
        <w:rPr>
          <w:rFonts w:hint="eastAsia" w:ascii="宋体" w:hAnsi="宋体" w:cs="宋体"/>
          <w:b/>
          <w:color w:val="auto"/>
          <w:sz w:val="24"/>
          <w:highlight w:val="none"/>
        </w:rPr>
        <w:t>文件格式</w:t>
      </w:r>
    </w:p>
    <w:p w14:paraId="2AE14C9D">
      <w:pPr>
        <w:snapToGrid w:val="0"/>
        <w:spacing w:before="120" w:beforeLines="50" w:after="50"/>
        <w:ind w:left="142"/>
        <w:jc w:val="left"/>
        <w:rPr>
          <w:rFonts w:ascii="宋体" w:hAnsi="宋体" w:cs="宋体"/>
          <w:b/>
          <w:color w:val="auto"/>
          <w:sz w:val="24"/>
          <w:highlight w:val="none"/>
        </w:rPr>
      </w:pPr>
    </w:p>
    <w:p w14:paraId="7D8A5AE0">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投标函：</w:t>
      </w:r>
    </w:p>
    <w:p w14:paraId="048C43EE">
      <w:pPr>
        <w:snapToGrid w:val="0"/>
        <w:spacing w:before="120"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 标 函</w:t>
      </w:r>
    </w:p>
    <w:p w14:paraId="055020E9">
      <w:pPr>
        <w:snapToGrid w:val="0"/>
        <w:spacing w:before="120" w:beforeLines="50" w:after="50" w:line="320" w:lineRule="exact"/>
        <w:jc w:val="center"/>
        <w:rPr>
          <w:rFonts w:ascii="宋体" w:hAnsi="宋体" w:cs="宋体"/>
          <w:b/>
          <w:color w:val="auto"/>
          <w:sz w:val="32"/>
          <w:szCs w:val="32"/>
          <w:highlight w:val="none"/>
        </w:rPr>
      </w:pPr>
    </w:p>
    <w:p w14:paraId="26FA22A7">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A0ACC74">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（项目编号：______）的招标公告，签字代表______（姓名）经正式授权并代表投标人______（投标人名称）提交投标文件。</w:t>
      </w:r>
    </w:p>
    <w:p w14:paraId="56EF45A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109E90F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19A45F5">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5A5A8471">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3.本投标有效期自投标截止之日起180日。</w:t>
      </w:r>
    </w:p>
    <w:p w14:paraId="142CFD88">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7483AE91">
      <w:pPr>
        <w:spacing w:line="400" w:lineRule="exact"/>
        <w:ind w:firstLine="420"/>
        <w:rPr>
          <w:rFonts w:ascii="宋体" w:hAnsi="宋体" w:cs="宋体"/>
          <w:color w:val="auto"/>
          <w:kern w:val="0"/>
          <w:sz w:val="24"/>
          <w:highlight w:val="none"/>
        </w:rPr>
      </w:pPr>
      <w:r>
        <w:rPr>
          <w:rFonts w:hint="eastAsia" w:ascii="宋体" w:hAnsi="宋体" w:cs="宋体"/>
          <w:color w:val="auto"/>
          <w:sz w:val="24"/>
          <w:highlight w:val="none"/>
        </w:rPr>
        <w:t>5.我方承诺，</w:t>
      </w:r>
      <w:r>
        <w:rPr>
          <w:rFonts w:hint="eastAsia" w:ascii="宋体" w:hAnsi="宋体" w:cs="宋体"/>
          <w:color w:val="auto"/>
          <w:kern w:val="0"/>
          <w:sz w:val="24"/>
          <w:highlight w:val="none"/>
        </w:rPr>
        <w:t>如我方中标，我方保证按本项目招标文件的规定及标准向贵单位一次性足额支付代理服务费。代理服务费发票我方选择开具：□</w:t>
      </w:r>
      <w:r>
        <w:rPr>
          <w:rFonts w:hint="eastAsia" w:ascii="宋体" w:hAnsi="宋体" w:cs="宋体"/>
          <w:color w:val="auto"/>
          <w:kern w:val="0"/>
          <w:sz w:val="24"/>
          <w:highlight w:val="none"/>
          <w:u w:val="single"/>
        </w:rPr>
        <w:t>增值税普通发票</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增值税专用发票</w:t>
      </w:r>
      <w:r>
        <w:rPr>
          <w:rFonts w:hint="eastAsia" w:ascii="宋体" w:hAnsi="宋体" w:cs="宋体"/>
          <w:color w:val="auto"/>
          <w:kern w:val="0"/>
          <w:sz w:val="24"/>
          <w:highlight w:val="none"/>
        </w:rPr>
        <w:t>，开票信息如下：</w:t>
      </w:r>
    </w:p>
    <w:p w14:paraId="3FE562CA">
      <w:pPr>
        <w:spacing w:line="400" w:lineRule="exact"/>
        <w:ind w:firstLine="420"/>
        <w:rPr>
          <w:rFonts w:ascii="宋体" w:hAnsi="宋体" w:cs="宋体"/>
          <w:color w:val="auto"/>
          <w:kern w:val="0"/>
          <w:sz w:val="24"/>
          <w:highlight w:val="none"/>
        </w:rPr>
      </w:pPr>
      <w:r>
        <w:rPr>
          <w:rFonts w:hint="eastAsia" w:ascii="宋体" w:hAnsi="宋体" w:cs="宋体"/>
          <w:color w:val="auto"/>
          <w:kern w:val="0"/>
          <w:sz w:val="24"/>
          <w:highlight w:val="none"/>
        </w:rPr>
        <w:t>①公司名称：</w:t>
      </w:r>
    </w:p>
    <w:p w14:paraId="58E6AE6F">
      <w:pPr>
        <w:spacing w:line="400" w:lineRule="exact"/>
        <w:ind w:firstLine="420"/>
        <w:rPr>
          <w:rFonts w:ascii="宋体" w:hAnsi="宋体" w:cs="宋体"/>
          <w:color w:val="auto"/>
          <w:kern w:val="0"/>
          <w:sz w:val="24"/>
          <w:highlight w:val="none"/>
        </w:rPr>
      </w:pPr>
      <w:r>
        <w:rPr>
          <w:rFonts w:hint="eastAsia" w:ascii="宋体" w:hAnsi="宋体" w:cs="宋体"/>
          <w:color w:val="auto"/>
          <w:kern w:val="0"/>
          <w:sz w:val="24"/>
          <w:highlight w:val="none"/>
        </w:rPr>
        <w:t>②纳税人识别号：</w:t>
      </w:r>
    </w:p>
    <w:p w14:paraId="36D8E5C8">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6.我方同意按照贵方要求提供与投标有关的一切数据或者资料。</w:t>
      </w:r>
    </w:p>
    <w:p w14:paraId="68FB3339">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7.我方向贵方提交的所有投标文件、资料都是准确的和真实的。</w:t>
      </w:r>
    </w:p>
    <w:p w14:paraId="50938031">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F3D839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根据《中华人民共和国政府采购法实施条例》第五十条要求对政府采购合同进行公告，但政府采购合同中涉及国家秘密、商业秘密的内容除外。我方就对本次投标文件进行注明如下：（两项内容中必须选择一项）</w:t>
      </w:r>
    </w:p>
    <w:p w14:paraId="08EF0E7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18B04BC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sz w:val="24"/>
          <w:highlight w:val="none"/>
          <w:u w:val="single"/>
        </w:rPr>
        <w:t xml:space="preserve">          ；</w:t>
      </w:r>
    </w:p>
    <w:p w14:paraId="1399132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10.与本投标有关的一切正式往来信函请寄：</w:t>
      </w:r>
    </w:p>
    <w:p w14:paraId="5854BD4B">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邮编：______</w:t>
      </w:r>
      <w:r>
        <w:rPr>
          <w:rFonts w:hint="eastAsia" w:ascii="宋体" w:hAnsi="宋体" w:cs="宋体"/>
          <w:color w:val="auto"/>
          <w:sz w:val="24"/>
          <w:highlight w:val="none"/>
          <w:u w:val="single"/>
        </w:rPr>
        <w:t xml:space="preserve">               </w:t>
      </w:r>
    </w:p>
    <w:p w14:paraId="574445E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 xml:space="preserve"> 电子邮箱：______</w:t>
      </w:r>
      <w:r>
        <w:rPr>
          <w:rFonts w:hint="eastAsia" w:ascii="宋体" w:hAnsi="宋体" w:cs="宋体"/>
          <w:color w:val="auto"/>
          <w:sz w:val="24"/>
          <w:highlight w:val="none"/>
          <w:u w:val="single"/>
        </w:rPr>
        <w:t xml:space="preserve">              </w:t>
      </w:r>
    </w:p>
    <w:p w14:paraId="76838DAB">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投标人名称:______</w:t>
      </w:r>
      <w:r>
        <w:rPr>
          <w:rFonts w:hint="eastAsia" w:ascii="宋体" w:hAnsi="宋体" w:cs="宋体"/>
          <w:color w:val="auto"/>
          <w:sz w:val="24"/>
          <w:highlight w:val="none"/>
          <w:u w:val="single"/>
        </w:rPr>
        <w:t xml:space="preserve">            </w:t>
      </w:r>
    </w:p>
    <w:p w14:paraId="58041C9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 xml:space="preserve">   银行账号：______</w:t>
      </w:r>
      <w:r>
        <w:rPr>
          <w:rFonts w:hint="eastAsia" w:ascii="宋体" w:hAnsi="宋体" w:cs="宋体"/>
          <w:color w:val="auto"/>
          <w:sz w:val="24"/>
          <w:highlight w:val="none"/>
          <w:u w:val="single"/>
        </w:rPr>
        <w:t xml:space="preserve">               </w:t>
      </w:r>
    </w:p>
    <w:p w14:paraId="1B6DF6FA">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法定代表人或者委托代理人（签字或者电子签名）:___________ </w:t>
      </w:r>
    </w:p>
    <w:p w14:paraId="0410ABD2">
      <w:pPr>
        <w:pStyle w:val="25"/>
        <w:spacing w:line="360" w:lineRule="auto"/>
        <w:contextualSpacing/>
        <w:jc w:val="center"/>
        <w:rPr>
          <w:rFonts w:hAnsi="宋体" w:cs="宋体"/>
          <w:color w:val="auto"/>
          <w:sz w:val="24"/>
          <w:highlight w:val="none"/>
        </w:rPr>
      </w:pPr>
    </w:p>
    <w:p w14:paraId="063E22C7">
      <w:pPr>
        <w:pStyle w:val="25"/>
        <w:spacing w:line="360" w:lineRule="auto"/>
        <w:contextualSpacing/>
        <w:jc w:val="center"/>
        <w:rPr>
          <w:rFonts w:hAnsi="宋体" w:cs="宋体"/>
          <w:color w:val="auto"/>
          <w:sz w:val="24"/>
          <w:highlight w:val="none"/>
        </w:rPr>
      </w:pPr>
    </w:p>
    <w:p w14:paraId="711FDCFD">
      <w:pPr>
        <w:pStyle w:val="25"/>
        <w:spacing w:line="360" w:lineRule="auto"/>
        <w:contextualSpacing/>
        <w:jc w:val="center"/>
        <w:rPr>
          <w:rFonts w:hAnsi="宋体" w:cs="宋体"/>
          <w:color w:val="auto"/>
          <w:sz w:val="24"/>
          <w:szCs w:val="24"/>
          <w:highlight w:val="none"/>
          <w:u w:val="single"/>
        </w:rPr>
      </w:pPr>
      <w:r>
        <w:rPr>
          <w:rFonts w:hint="eastAsia" w:hAnsi="宋体" w:cs="宋体"/>
          <w:color w:val="auto"/>
          <w:sz w:val="24"/>
          <w:highlight w:val="none"/>
        </w:rPr>
        <w:t>投标人名称（电子签章）：</w:t>
      </w:r>
    </w:p>
    <w:p w14:paraId="4E0C0A22">
      <w:pPr>
        <w:pStyle w:val="25"/>
        <w:spacing w:line="360" w:lineRule="auto"/>
        <w:ind w:firstLine="3360" w:firstLineChars="1400"/>
        <w:contextualSpacing/>
        <w:rPr>
          <w:rFonts w:hAnsi="宋体" w:cs="宋体"/>
          <w:color w:val="auto"/>
          <w:sz w:val="24"/>
          <w:highlight w:val="none"/>
        </w:rPr>
      </w:pPr>
      <w:r>
        <w:rPr>
          <w:rFonts w:hint="eastAsia" w:hAnsi="宋体" w:cs="宋体"/>
          <w:color w:val="auto"/>
          <w:sz w:val="24"/>
          <w:szCs w:val="24"/>
          <w:highlight w:val="none"/>
        </w:rPr>
        <w:t>年  月  日</w:t>
      </w:r>
    </w:p>
    <w:p w14:paraId="5D7BC85D">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开标一览表</w:t>
      </w:r>
    </w:p>
    <w:p w14:paraId="51157D4C">
      <w:pPr>
        <w:snapToGrid w:val="0"/>
        <w:spacing w:before="50" w:after="50" w:line="340" w:lineRule="exact"/>
        <w:jc w:val="center"/>
        <w:rPr>
          <w:rFonts w:ascii="宋体" w:hAnsi="宋体" w:cs="宋体"/>
          <w:b/>
          <w:color w:val="auto"/>
          <w:sz w:val="30"/>
          <w:highlight w:val="none"/>
        </w:rPr>
      </w:pPr>
      <w:r>
        <w:rPr>
          <w:rFonts w:hint="eastAsia" w:ascii="宋体" w:hAnsi="宋体" w:cs="宋体"/>
          <w:b/>
          <w:color w:val="auto"/>
          <w:sz w:val="30"/>
          <w:highlight w:val="none"/>
        </w:rPr>
        <w:t>开标一览表</w:t>
      </w:r>
    </w:p>
    <w:p w14:paraId="69915888">
      <w:pPr>
        <w:snapToGrid w:val="0"/>
        <w:spacing w:before="50" w:after="50" w:line="340" w:lineRule="exact"/>
        <w:jc w:val="center"/>
        <w:rPr>
          <w:rFonts w:ascii="宋体" w:hAnsi="宋体" w:cs="宋体"/>
          <w:b/>
          <w:color w:val="auto"/>
          <w:sz w:val="30"/>
          <w:szCs w:val="20"/>
          <w:highlight w:val="none"/>
        </w:rPr>
      </w:pPr>
    </w:p>
    <w:p w14:paraId="617C71FB">
      <w:pPr>
        <w:snapToGrid w:val="0"/>
        <w:spacing w:before="50" w:after="50" w:line="340" w:lineRule="exact"/>
        <w:rPr>
          <w:rFonts w:ascii="宋体" w:hAnsi="宋体" w:cs="宋体"/>
          <w:color w:val="auto"/>
          <w:sz w:val="24"/>
          <w:highlight w:val="none"/>
        </w:rPr>
      </w:pPr>
      <w:r>
        <w:rPr>
          <w:rFonts w:hint="eastAsia" w:ascii="宋体" w:hAnsi="宋体" w:cs="宋体"/>
          <w:color w:val="auto"/>
          <w:sz w:val="24"/>
          <w:highlight w:val="none"/>
        </w:rPr>
        <w:t xml:space="preserve">项目名称：                         项目编号：            </w:t>
      </w:r>
    </w:p>
    <w:p w14:paraId="6FBDD7F8">
      <w:pPr>
        <w:snapToGrid w:val="0"/>
        <w:spacing w:before="50" w:after="50" w:line="340" w:lineRule="exact"/>
        <w:rPr>
          <w:rFonts w:ascii="宋体" w:hAnsi="宋体" w:cs="宋体"/>
          <w:color w:val="auto"/>
          <w:sz w:val="24"/>
          <w:highlight w:val="none"/>
        </w:rPr>
      </w:pPr>
      <w:r>
        <w:rPr>
          <w:rFonts w:hint="eastAsia" w:ascii="宋体" w:hAnsi="宋体" w:cs="宋体"/>
          <w:color w:val="auto"/>
          <w:sz w:val="24"/>
          <w:highlight w:val="none"/>
        </w:rPr>
        <w:t xml:space="preserve">投标人名称：                       单位：元    </w:t>
      </w:r>
    </w:p>
    <w:p w14:paraId="3CC1EBD1">
      <w:pPr>
        <w:snapToGrid w:val="0"/>
        <w:spacing w:before="50" w:after="50" w:line="340" w:lineRule="exact"/>
        <w:rPr>
          <w:rFonts w:ascii="宋体" w:hAnsi="宋体" w:cs="宋体"/>
          <w:color w:val="auto"/>
          <w:sz w:val="24"/>
          <w:highlight w:val="none"/>
        </w:rPr>
      </w:pPr>
      <w:r>
        <w:rPr>
          <w:rFonts w:hint="eastAsia" w:ascii="宋体" w:hAnsi="宋体" w:cs="宋体"/>
          <w:color w:val="auto"/>
          <w:sz w:val="24"/>
          <w:highlight w:val="none"/>
        </w:rPr>
        <w:t>分标______</w:t>
      </w:r>
    </w:p>
    <w:tbl>
      <w:tblPr>
        <w:tblStyle w:val="47"/>
        <w:tblW w:w="493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
        <w:gridCol w:w="1358"/>
        <w:gridCol w:w="709"/>
        <w:gridCol w:w="1010"/>
        <w:gridCol w:w="623"/>
        <w:gridCol w:w="875"/>
        <w:gridCol w:w="807"/>
        <w:gridCol w:w="1084"/>
        <w:gridCol w:w="1180"/>
      </w:tblGrid>
      <w:tr w14:paraId="79887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14:paraId="6BB74D61">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90" w:type="pct"/>
            <w:tcBorders>
              <w:top w:val="single" w:color="auto" w:sz="4" w:space="0"/>
              <w:left w:val="single" w:color="auto" w:sz="4" w:space="0"/>
              <w:bottom w:val="single" w:color="auto" w:sz="4" w:space="0"/>
              <w:right w:val="single" w:color="auto" w:sz="4" w:space="0"/>
            </w:tcBorders>
            <w:vAlign w:val="center"/>
          </w:tcPr>
          <w:p w14:paraId="694FD446">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标的的名称</w:t>
            </w:r>
          </w:p>
        </w:tc>
        <w:tc>
          <w:tcPr>
            <w:tcW w:w="412" w:type="pct"/>
            <w:tcBorders>
              <w:top w:val="single" w:color="auto" w:sz="4" w:space="0"/>
              <w:left w:val="single" w:color="auto" w:sz="4" w:space="0"/>
              <w:bottom w:val="single" w:color="auto" w:sz="4" w:space="0"/>
              <w:right w:val="single" w:color="auto" w:sz="4" w:space="0"/>
            </w:tcBorders>
            <w:vAlign w:val="center"/>
          </w:tcPr>
          <w:p w14:paraId="73EB2AD9">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587" w:type="pct"/>
            <w:tcBorders>
              <w:top w:val="single" w:color="auto" w:sz="4" w:space="0"/>
              <w:left w:val="single" w:color="auto" w:sz="4" w:space="0"/>
              <w:bottom w:val="single" w:color="auto" w:sz="4" w:space="0"/>
              <w:right w:val="single" w:color="auto" w:sz="4" w:space="0"/>
            </w:tcBorders>
            <w:vAlign w:val="center"/>
          </w:tcPr>
          <w:p w14:paraId="68A0D9E9">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生产厂家（制造商）</w:t>
            </w:r>
          </w:p>
        </w:tc>
        <w:tc>
          <w:tcPr>
            <w:tcW w:w="362" w:type="pct"/>
            <w:tcBorders>
              <w:top w:val="single" w:color="auto" w:sz="4" w:space="0"/>
              <w:left w:val="single" w:color="auto" w:sz="4" w:space="0"/>
              <w:bottom w:val="single" w:color="auto" w:sz="4" w:space="0"/>
              <w:right w:val="single" w:color="auto" w:sz="4" w:space="0"/>
            </w:tcBorders>
            <w:vAlign w:val="center"/>
          </w:tcPr>
          <w:p w14:paraId="523353A9">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509" w:type="pct"/>
            <w:tcBorders>
              <w:top w:val="single" w:color="auto" w:sz="4" w:space="0"/>
              <w:left w:val="single" w:color="auto" w:sz="4" w:space="0"/>
              <w:bottom w:val="single" w:color="auto" w:sz="4" w:space="0"/>
              <w:right w:val="single" w:color="auto" w:sz="4" w:space="0"/>
            </w:tcBorders>
            <w:vAlign w:val="center"/>
          </w:tcPr>
          <w:p w14:paraId="012C2E48">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469" w:type="pct"/>
            <w:tcBorders>
              <w:top w:val="single" w:color="auto" w:sz="4" w:space="0"/>
              <w:left w:val="single" w:color="auto" w:sz="4" w:space="0"/>
              <w:bottom w:val="single" w:color="auto" w:sz="4" w:space="0"/>
              <w:right w:val="single" w:color="auto" w:sz="4" w:space="0"/>
            </w:tcBorders>
            <w:vAlign w:val="center"/>
          </w:tcPr>
          <w:p w14:paraId="4E1F8CCC">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数量及单位①</w:t>
            </w:r>
          </w:p>
        </w:tc>
        <w:tc>
          <w:tcPr>
            <w:tcW w:w="630" w:type="pct"/>
            <w:tcBorders>
              <w:top w:val="single" w:color="auto" w:sz="4" w:space="0"/>
              <w:left w:val="single" w:color="auto" w:sz="4" w:space="0"/>
              <w:bottom w:val="single" w:color="auto" w:sz="4" w:space="0"/>
              <w:right w:val="single" w:color="auto" w:sz="4" w:space="0"/>
            </w:tcBorders>
            <w:vAlign w:val="center"/>
          </w:tcPr>
          <w:p w14:paraId="4542AE9C">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p w14:paraId="0C04EEFE">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②</w:t>
            </w:r>
          </w:p>
        </w:tc>
        <w:tc>
          <w:tcPr>
            <w:tcW w:w="683" w:type="pct"/>
            <w:tcBorders>
              <w:top w:val="single" w:color="auto" w:sz="4" w:space="0"/>
              <w:left w:val="single" w:color="auto" w:sz="4" w:space="0"/>
              <w:bottom w:val="single" w:color="auto" w:sz="4" w:space="0"/>
              <w:right w:val="single" w:color="auto" w:sz="4" w:space="0"/>
            </w:tcBorders>
            <w:vAlign w:val="center"/>
          </w:tcPr>
          <w:p w14:paraId="0ABE1F14">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p w14:paraId="7E60A0BA">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③=①×②</w:t>
            </w:r>
          </w:p>
        </w:tc>
      </w:tr>
      <w:tr w14:paraId="1E664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14:paraId="64B99BCD">
            <w:pPr>
              <w:tabs>
                <w:tab w:val="left" w:pos="180"/>
                <w:tab w:val="left" w:pos="1620"/>
              </w:tabs>
              <w:adjustRightInd w:val="0"/>
              <w:snapToGrid w:val="0"/>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1</w:t>
            </w:r>
          </w:p>
        </w:tc>
        <w:tc>
          <w:tcPr>
            <w:tcW w:w="790" w:type="pct"/>
            <w:tcBorders>
              <w:top w:val="single" w:color="auto" w:sz="4" w:space="0"/>
              <w:left w:val="single" w:color="auto" w:sz="4" w:space="0"/>
              <w:bottom w:val="single" w:color="auto" w:sz="4" w:space="0"/>
              <w:right w:val="single" w:color="auto" w:sz="4" w:space="0"/>
            </w:tcBorders>
            <w:vAlign w:val="center"/>
          </w:tcPr>
          <w:p w14:paraId="4338D7C2">
            <w:pPr>
              <w:tabs>
                <w:tab w:val="left" w:pos="180"/>
                <w:tab w:val="left" w:pos="1620"/>
              </w:tabs>
              <w:adjustRightInd w:val="0"/>
              <w:snapToGrid w:val="0"/>
              <w:spacing w:line="360" w:lineRule="exact"/>
              <w:jc w:val="center"/>
              <w:rPr>
                <w:rFonts w:ascii="宋体" w:hAnsi="宋体" w:cs="宋体"/>
                <w:b/>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0AD1443D">
            <w:pPr>
              <w:snapToGrid w:val="0"/>
              <w:spacing w:before="50" w:after="50" w:line="360" w:lineRule="auto"/>
              <w:jc w:val="center"/>
              <w:rPr>
                <w:rFonts w:ascii="宋体" w:hAnsi="宋体" w:cs="宋体"/>
                <w:b/>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14:paraId="7BF029F1">
            <w:pPr>
              <w:snapToGrid w:val="0"/>
              <w:spacing w:before="50" w:after="50" w:line="360" w:lineRule="auto"/>
              <w:jc w:val="center"/>
              <w:rPr>
                <w:rFonts w:ascii="宋体" w:hAnsi="宋体" w:cs="宋体"/>
                <w:b/>
                <w:color w:val="auto"/>
                <w:sz w:val="24"/>
                <w:highlight w:val="none"/>
              </w:rPr>
            </w:pPr>
          </w:p>
        </w:tc>
        <w:tc>
          <w:tcPr>
            <w:tcW w:w="362" w:type="pct"/>
            <w:tcBorders>
              <w:top w:val="single" w:color="auto" w:sz="4" w:space="0"/>
              <w:left w:val="single" w:color="auto" w:sz="4" w:space="0"/>
              <w:bottom w:val="single" w:color="auto" w:sz="4" w:space="0"/>
              <w:right w:val="single" w:color="auto" w:sz="4" w:space="0"/>
            </w:tcBorders>
            <w:vAlign w:val="center"/>
          </w:tcPr>
          <w:p w14:paraId="5B9E3EDA">
            <w:pPr>
              <w:snapToGrid w:val="0"/>
              <w:spacing w:before="50" w:after="50" w:line="360" w:lineRule="auto"/>
              <w:rPr>
                <w:rFonts w:ascii="宋体" w:hAnsi="宋体" w:cs="宋体"/>
                <w:color w:val="auto"/>
                <w:sz w:val="24"/>
                <w:highlight w:val="none"/>
              </w:rPr>
            </w:pPr>
          </w:p>
        </w:tc>
        <w:tc>
          <w:tcPr>
            <w:tcW w:w="509" w:type="pct"/>
            <w:tcBorders>
              <w:top w:val="single" w:color="auto" w:sz="4" w:space="0"/>
              <w:left w:val="single" w:color="auto" w:sz="4" w:space="0"/>
              <w:bottom w:val="single" w:color="auto" w:sz="4" w:space="0"/>
              <w:right w:val="single" w:color="auto" w:sz="4" w:space="0"/>
            </w:tcBorders>
          </w:tcPr>
          <w:p w14:paraId="0C364DCD">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0710315F">
            <w:pPr>
              <w:snapToGrid w:val="0"/>
              <w:spacing w:before="50" w:after="50" w:line="360" w:lineRule="auto"/>
              <w:rPr>
                <w:rFonts w:ascii="宋体" w:hAnsi="宋体" w:cs="宋体"/>
                <w:color w:val="auto"/>
                <w:sz w:val="24"/>
                <w:highlight w:val="none"/>
              </w:rPr>
            </w:pPr>
          </w:p>
        </w:tc>
        <w:tc>
          <w:tcPr>
            <w:tcW w:w="630" w:type="pct"/>
            <w:tcBorders>
              <w:top w:val="single" w:color="auto" w:sz="4" w:space="0"/>
              <w:left w:val="single" w:color="auto" w:sz="4" w:space="0"/>
              <w:bottom w:val="single" w:color="auto" w:sz="4" w:space="0"/>
              <w:right w:val="single" w:color="auto" w:sz="4" w:space="0"/>
            </w:tcBorders>
            <w:vAlign w:val="center"/>
          </w:tcPr>
          <w:p w14:paraId="018D17B3">
            <w:pPr>
              <w:snapToGrid w:val="0"/>
              <w:spacing w:before="50" w:after="50" w:line="360" w:lineRule="auto"/>
              <w:rPr>
                <w:rFonts w:ascii="宋体" w:hAnsi="宋体" w:cs="宋体"/>
                <w:color w:val="auto"/>
                <w:sz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789A5661">
            <w:pPr>
              <w:snapToGrid w:val="0"/>
              <w:spacing w:before="50" w:after="50" w:line="360" w:lineRule="auto"/>
              <w:rPr>
                <w:rFonts w:ascii="宋体" w:hAnsi="宋体" w:cs="宋体"/>
                <w:color w:val="auto"/>
                <w:sz w:val="24"/>
                <w:highlight w:val="none"/>
              </w:rPr>
            </w:pPr>
          </w:p>
        </w:tc>
      </w:tr>
      <w:tr w14:paraId="34DF0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14:paraId="4C375FB9">
            <w:pPr>
              <w:tabs>
                <w:tab w:val="left" w:pos="180"/>
                <w:tab w:val="left" w:pos="1620"/>
              </w:tabs>
              <w:adjustRightInd w:val="0"/>
              <w:snapToGrid w:val="0"/>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2</w:t>
            </w:r>
          </w:p>
        </w:tc>
        <w:tc>
          <w:tcPr>
            <w:tcW w:w="790" w:type="pct"/>
            <w:tcBorders>
              <w:top w:val="single" w:color="auto" w:sz="4" w:space="0"/>
              <w:left w:val="single" w:color="auto" w:sz="4" w:space="0"/>
              <w:bottom w:val="single" w:color="auto" w:sz="4" w:space="0"/>
              <w:right w:val="single" w:color="auto" w:sz="4" w:space="0"/>
            </w:tcBorders>
            <w:vAlign w:val="center"/>
          </w:tcPr>
          <w:p w14:paraId="4D2850B9">
            <w:pPr>
              <w:tabs>
                <w:tab w:val="left" w:pos="180"/>
                <w:tab w:val="left" w:pos="1620"/>
              </w:tabs>
              <w:adjustRightInd w:val="0"/>
              <w:snapToGrid w:val="0"/>
              <w:spacing w:line="360" w:lineRule="exact"/>
              <w:jc w:val="center"/>
              <w:rPr>
                <w:rFonts w:ascii="宋体" w:hAnsi="宋体" w:cs="宋体"/>
                <w:b/>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191C9DAE">
            <w:pPr>
              <w:snapToGrid w:val="0"/>
              <w:spacing w:before="50" w:after="50" w:line="360" w:lineRule="auto"/>
              <w:jc w:val="center"/>
              <w:rPr>
                <w:rFonts w:ascii="宋体" w:hAnsi="宋体" w:cs="宋体"/>
                <w:b/>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14:paraId="51CF2E1F">
            <w:pPr>
              <w:snapToGrid w:val="0"/>
              <w:spacing w:before="50" w:after="50" w:line="360" w:lineRule="auto"/>
              <w:jc w:val="center"/>
              <w:rPr>
                <w:rFonts w:ascii="宋体" w:hAnsi="宋体" w:cs="宋体"/>
                <w:b/>
                <w:color w:val="auto"/>
                <w:sz w:val="24"/>
                <w:highlight w:val="none"/>
              </w:rPr>
            </w:pPr>
          </w:p>
        </w:tc>
        <w:tc>
          <w:tcPr>
            <w:tcW w:w="362" w:type="pct"/>
            <w:tcBorders>
              <w:top w:val="single" w:color="auto" w:sz="4" w:space="0"/>
              <w:left w:val="single" w:color="auto" w:sz="4" w:space="0"/>
              <w:bottom w:val="single" w:color="auto" w:sz="4" w:space="0"/>
              <w:right w:val="single" w:color="auto" w:sz="4" w:space="0"/>
            </w:tcBorders>
            <w:vAlign w:val="center"/>
          </w:tcPr>
          <w:p w14:paraId="7ECAC08A">
            <w:pPr>
              <w:snapToGrid w:val="0"/>
              <w:spacing w:before="50" w:after="50" w:line="360" w:lineRule="auto"/>
              <w:rPr>
                <w:rFonts w:ascii="宋体" w:hAnsi="宋体" w:cs="宋体"/>
                <w:color w:val="auto"/>
                <w:sz w:val="24"/>
                <w:highlight w:val="none"/>
              </w:rPr>
            </w:pPr>
          </w:p>
        </w:tc>
        <w:tc>
          <w:tcPr>
            <w:tcW w:w="509" w:type="pct"/>
            <w:tcBorders>
              <w:top w:val="single" w:color="auto" w:sz="4" w:space="0"/>
              <w:left w:val="single" w:color="auto" w:sz="4" w:space="0"/>
              <w:bottom w:val="single" w:color="auto" w:sz="4" w:space="0"/>
              <w:right w:val="single" w:color="auto" w:sz="4" w:space="0"/>
            </w:tcBorders>
          </w:tcPr>
          <w:p w14:paraId="37E632D7">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131C6754">
            <w:pPr>
              <w:snapToGrid w:val="0"/>
              <w:spacing w:before="50" w:after="50" w:line="360" w:lineRule="auto"/>
              <w:rPr>
                <w:rFonts w:ascii="宋体" w:hAnsi="宋体" w:cs="宋体"/>
                <w:color w:val="auto"/>
                <w:sz w:val="24"/>
                <w:highlight w:val="none"/>
              </w:rPr>
            </w:pPr>
          </w:p>
        </w:tc>
        <w:tc>
          <w:tcPr>
            <w:tcW w:w="630" w:type="pct"/>
            <w:tcBorders>
              <w:top w:val="single" w:color="auto" w:sz="4" w:space="0"/>
              <w:left w:val="single" w:color="auto" w:sz="4" w:space="0"/>
              <w:bottom w:val="single" w:color="auto" w:sz="4" w:space="0"/>
              <w:right w:val="single" w:color="auto" w:sz="4" w:space="0"/>
            </w:tcBorders>
            <w:vAlign w:val="center"/>
          </w:tcPr>
          <w:p w14:paraId="37B87557">
            <w:pPr>
              <w:snapToGrid w:val="0"/>
              <w:spacing w:before="50" w:after="50" w:line="360" w:lineRule="auto"/>
              <w:rPr>
                <w:rFonts w:ascii="宋体" w:hAnsi="宋体" w:cs="宋体"/>
                <w:color w:val="auto"/>
                <w:sz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2544CAAA">
            <w:pPr>
              <w:snapToGrid w:val="0"/>
              <w:spacing w:before="50" w:after="50" w:line="360" w:lineRule="auto"/>
              <w:rPr>
                <w:rFonts w:ascii="宋体" w:hAnsi="宋体" w:cs="宋体"/>
                <w:color w:val="auto"/>
                <w:sz w:val="24"/>
                <w:highlight w:val="none"/>
              </w:rPr>
            </w:pPr>
          </w:p>
        </w:tc>
      </w:tr>
      <w:tr w14:paraId="75D04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14:paraId="13D03E7B">
            <w:pPr>
              <w:tabs>
                <w:tab w:val="left" w:pos="180"/>
                <w:tab w:val="left" w:pos="1620"/>
              </w:tabs>
              <w:adjustRightInd w:val="0"/>
              <w:snapToGrid w:val="0"/>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w:t>
            </w:r>
          </w:p>
        </w:tc>
        <w:tc>
          <w:tcPr>
            <w:tcW w:w="790" w:type="pct"/>
            <w:tcBorders>
              <w:top w:val="single" w:color="auto" w:sz="4" w:space="0"/>
              <w:left w:val="single" w:color="auto" w:sz="4" w:space="0"/>
              <w:bottom w:val="single" w:color="auto" w:sz="4" w:space="0"/>
              <w:right w:val="single" w:color="auto" w:sz="4" w:space="0"/>
            </w:tcBorders>
            <w:vAlign w:val="center"/>
          </w:tcPr>
          <w:p w14:paraId="743695E6">
            <w:pPr>
              <w:tabs>
                <w:tab w:val="left" w:pos="180"/>
                <w:tab w:val="left" w:pos="1620"/>
              </w:tabs>
              <w:adjustRightInd w:val="0"/>
              <w:snapToGrid w:val="0"/>
              <w:spacing w:line="360" w:lineRule="exact"/>
              <w:jc w:val="center"/>
              <w:rPr>
                <w:rFonts w:ascii="宋体" w:hAnsi="宋体" w:cs="宋体"/>
                <w:b/>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01C751FA">
            <w:pPr>
              <w:snapToGrid w:val="0"/>
              <w:spacing w:before="50" w:after="50" w:line="360" w:lineRule="auto"/>
              <w:jc w:val="center"/>
              <w:rPr>
                <w:rFonts w:ascii="宋体" w:hAnsi="宋体" w:cs="宋体"/>
                <w:b/>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14:paraId="6FBA0DCB">
            <w:pPr>
              <w:snapToGrid w:val="0"/>
              <w:spacing w:before="50" w:after="50" w:line="360" w:lineRule="auto"/>
              <w:jc w:val="center"/>
              <w:rPr>
                <w:rFonts w:ascii="宋体" w:hAnsi="宋体" w:cs="宋体"/>
                <w:b/>
                <w:color w:val="auto"/>
                <w:sz w:val="24"/>
                <w:highlight w:val="none"/>
              </w:rPr>
            </w:pPr>
          </w:p>
        </w:tc>
        <w:tc>
          <w:tcPr>
            <w:tcW w:w="362" w:type="pct"/>
            <w:tcBorders>
              <w:top w:val="single" w:color="auto" w:sz="4" w:space="0"/>
              <w:left w:val="single" w:color="auto" w:sz="4" w:space="0"/>
              <w:bottom w:val="single" w:color="auto" w:sz="4" w:space="0"/>
              <w:right w:val="single" w:color="auto" w:sz="4" w:space="0"/>
            </w:tcBorders>
            <w:vAlign w:val="center"/>
          </w:tcPr>
          <w:p w14:paraId="79B6FEE2">
            <w:pPr>
              <w:snapToGrid w:val="0"/>
              <w:spacing w:before="50" w:after="50" w:line="360" w:lineRule="auto"/>
              <w:rPr>
                <w:rFonts w:ascii="宋体" w:hAnsi="宋体" w:cs="宋体"/>
                <w:color w:val="auto"/>
                <w:sz w:val="24"/>
                <w:highlight w:val="none"/>
              </w:rPr>
            </w:pPr>
          </w:p>
        </w:tc>
        <w:tc>
          <w:tcPr>
            <w:tcW w:w="509" w:type="pct"/>
            <w:tcBorders>
              <w:top w:val="single" w:color="auto" w:sz="4" w:space="0"/>
              <w:left w:val="single" w:color="auto" w:sz="4" w:space="0"/>
              <w:bottom w:val="single" w:color="auto" w:sz="4" w:space="0"/>
              <w:right w:val="single" w:color="auto" w:sz="4" w:space="0"/>
            </w:tcBorders>
          </w:tcPr>
          <w:p w14:paraId="72639D7E">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29021827">
            <w:pPr>
              <w:snapToGrid w:val="0"/>
              <w:spacing w:before="50" w:after="50" w:line="360" w:lineRule="auto"/>
              <w:rPr>
                <w:rFonts w:ascii="宋体" w:hAnsi="宋体" w:cs="宋体"/>
                <w:color w:val="auto"/>
                <w:sz w:val="24"/>
                <w:highlight w:val="none"/>
              </w:rPr>
            </w:pPr>
          </w:p>
        </w:tc>
        <w:tc>
          <w:tcPr>
            <w:tcW w:w="630" w:type="pct"/>
            <w:tcBorders>
              <w:top w:val="single" w:color="auto" w:sz="4" w:space="0"/>
              <w:left w:val="single" w:color="auto" w:sz="4" w:space="0"/>
              <w:bottom w:val="single" w:color="auto" w:sz="4" w:space="0"/>
              <w:right w:val="single" w:color="auto" w:sz="4" w:space="0"/>
            </w:tcBorders>
            <w:vAlign w:val="center"/>
          </w:tcPr>
          <w:p w14:paraId="03BCCFEA">
            <w:pPr>
              <w:snapToGrid w:val="0"/>
              <w:spacing w:before="50" w:after="50" w:line="360" w:lineRule="auto"/>
              <w:rPr>
                <w:rFonts w:ascii="宋体" w:hAnsi="宋体" w:cs="宋体"/>
                <w:color w:val="auto"/>
                <w:sz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318B7D2C">
            <w:pPr>
              <w:snapToGrid w:val="0"/>
              <w:spacing w:before="50" w:after="50" w:line="360" w:lineRule="auto"/>
              <w:rPr>
                <w:rFonts w:ascii="宋体" w:hAnsi="宋体" w:cs="宋体"/>
                <w:color w:val="auto"/>
                <w:sz w:val="24"/>
                <w:highlight w:val="none"/>
              </w:rPr>
            </w:pPr>
          </w:p>
        </w:tc>
      </w:tr>
      <w:tr w14:paraId="717BD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9"/>
            <w:tcBorders>
              <w:top w:val="single" w:color="auto" w:sz="4" w:space="0"/>
              <w:left w:val="single" w:color="auto" w:sz="4" w:space="0"/>
              <w:bottom w:val="single" w:color="auto" w:sz="4" w:space="0"/>
              <w:right w:val="single" w:color="auto" w:sz="4" w:space="0"/>
            </w:tcBorders>
          </w:tcPr>
          <w:p w14:paraId="70A35097">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合计金额大写：人民币______（¥ ______）</w:t>
            </w:r>
          </w:p>
        </w:tc>
      </w:tr>
    </w:tbl>
    <w:p w14:paraId="16D131CF">
      <w:pPr>
        <w:snapToGrid w:val="0"/>
        <w:spacing w:line="280" w:lineRule="exact"/>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30236BEC">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1.投标人的开标一览表必须加盖供应商CA电子签章并由法定代表人或者委托代理人签字或者电子签名，</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56D2134E">
      <w:pPr>
        <w:snapToGrid w:val="0"/>
        <w:spacing w:line="280" w:lineRule="exact"/>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报价一经涂改，应在涂改处加盖投标人公章或者加盖电子签章或者由法定代表人或者委托代理人签字（或者电子签名）</w:t>
      </w:r>
      <w:r>
        <w:rPr>
          <w:rFonts w:hint="eastAsia" w:ascii="宋体" w:hAnsi="宋体" w:cs="宋体"/>
          <w:b/>
          <w:color w:val="auto"/>
          <w:sz w:val="24"/>
          <w:highlight w:val="none"/>
        </w:rPr>
        <w:t>，否则其投标作无效标处理。</w:t>
      </w:r>
    </w:p>
    <w:p w14:paraId="17A0946E">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3.招标文件中列明采购专用耗材的，应按招标文件规定的耗材量或者按耗材的常规使用量提供报价。</w:t>
      </w:r>
    </w:p>
    <w:p w14:paraId="050FF19A">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4.如为联合体投标，“投标人名称”处必须列明联合体各方名称，并标注联合体牵头人名称，</w:t>
      </w:r>
      <w:r>
        <w:rPr>
          <w:rFonts w:hint="eastAsia" w:ascii="宋体" w:hAnsi="宋体" w:cs="宋体"/>
          <w:b/>
          <w:color w:val="auto"/>
          <w:sz w:val="24"/>
          <w:highlight w:val="none"/>
        </w:rPr>
        <w:t>否则其投标作无效标处理。</w:t>
      </w:r>
    </w:p>
    <w:p w14:paraId="68FEF5D7">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5.本项目货物各项号标的的“产地、生产厂家（制造商）、品牌、规格、型号、数量及单位、单价、投标报价”必须如实填写完整，</w:t>
      </w:r>
      <w:r>
        <w:rPr>
          <w:rFonts w:hint="eastAsia" w:ascii="宋体" w:hAnsi="宋体" w:cs="宋体"/>
          <w:b/>
          <w:color w:val="auto"/>
          <w:sz w:val="24"/>
          <w:highlight w:val="none"/>
        </w:rPr>
        <w:t>填写有缺漏的，投标作无效标处理。</w:t>
      </w:r>
    </w:p>
    <w:p w14:paraId="51E32C73">
      <w:pPr>
        <w:snapToGrid w:val="0"/>
        <w:spacing w:line="280" w:lineRule="exact"/>
        <w:ind w:firstLine="456" w:firstLineChars="200"/>
        <w:jc w:val="left"/>
        <w:rPr>
          <w:rFonts w:ascii="宋体" w:hAnsi="宋体" w:cs="宋体"/>
          <w:color w:val="auto"/>
          <w:spacing w:val="-6"/>
          <w:sz w:val="24"/>
          <w:highlight w:val="none"/>
        </w:rPr>
      </w:pPr>
      <w:r>
        <w:rPr>
          <w:rFonts w:hint="eastAsia" w:ascii="宋体" w:hAnsi="宋体" w:cs="宋体"/>
          <w:color w:val="auto"/>
          <w:spacing w:val="-6"/>
          <w:sz w:val="24"/>
          <w:highlight w:val="none"/>
        </w:rPr>
        <w:t>6.如为联合体投标，盖章处须加盖联合体牵头人电子签章，</w:t>
      </w:r>
      <w:r>
        <w:rPr>
          <w:rFonts w:hint="eastAsia" w:ascii="宋体" w:hAnsi="宋体" w:cs="宋体"/>
          <w:b/>
          <w:color w:val="auto"/>
          <w:spacing w:val="-6"/>
          <w:sz w:val="24"/>
          <w:highlight w:val="none"/>
        </w:rPr>
        <w:t>否则其投标作无效标处理。</w:t>
      </w:r>
    </w:p>
    <w:p w14:paraId="6A98F834">
      <w:pPr>
        <w:snapToGrid w:val="0"/>
        <w:spacing w:line="300" w:lineRule="exact"/>
        <w:ind w:firstLine="482" w:firstLineChars="200"/>
        <w:rPr>
          <w:rFonts w:ascii="宋体" w:hAnsi="宋体" w:cs="宋体"/>
          <w:b/>
          <w:color w:val="auto"/>
          <w:sz w:val="24"/>
          <w:highlight w:val="none"/>
        </w:rPr>
      </w:pPr>
    </w:p>
    <w:p w14:paraId="064961D4">
      <w:pPr>
        <w:snapToGrid w:val="0"/>
        <w:spacing w:line="300" w:lineRule="exact"/>
        <w:ind w:left="-2" w:leftChars="-1" w:right="-817" w:rightChars="-389"/>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法定代表人或者委托代理人（签字或者电子签名）：</w:t>
      </w:r>
    </w:p>
    <w:p w14:paraId="5150C710">
      <w:pPr>
        <w:snapToGrid w:val="0"/>
        <w:spacing w:line="300" w:lineRule="exact"/>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59B68C94">
      <w:pPr>
        <w:snapToGrid w:val="0"/>
        <w:spacing w:line="300" w:lineRule="exact"/>
        <w:ind w:left="-3" w:leftChars="-15" w:right="-817" w:rightChars="-389" w:hanging="28" w:hangingChars="12"/>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6381230C">
      <w:pPr>
        <w:rPr>
          <w:rFonts w:ascii="宋体" w:hAnsi="宋体" w:cs="宋体"/>
          <w:b/>
          <w:color w:val="auto"/>
          <w:sz w:val="28"/>
          <w:szCs w:val="28"/>
          <w:highlight w:val="none"/>
        </w:rPr>
      </w:pPr>
      <w:r>
        <w:rPr>
          <w:rFonts w:hint="eastAsia" w:ascii="宋体" w:hAnsi="宋体" w:cs="宋体"/>
          <w:b/>
          <w:bCs/>
          <w:color w:val="auto"/>
          <w:sz w:val="24"/>
          <w:highlight w:val="none"/>
        </w:rPr>
        <w:br w:type="page"/>
      </w:r>
      <w:bookmarkStart w:id="150" w:name="_Toc19686837"/>
      <w:r>
        <w:rPr>
          <w:rFonts w:hint="eastAsia" w:ascii="宋体" w:hAnsi="宋体" w:cs="宋体"/>
          <w:b/>
          <w:color w:val="auto"/>
          <w:sz w:val="28"/>
          <w:szCs w:val="28"/>
          <w:highlight w:val="none"/>
        </w:rPr>
        <w:t>二、资格证明文件格式</w:t>
      </w:r>
      <w:bookmarkEnd w:id="148"/>
      <w:bookmarkEnd w:id="149"/>
      <w:bookmarkEnd w:id="150"/>
    </w:p>
    <w:p w14:paraId="4B4CE2F6">
      <w:pPr>
        <w:numPr>
          <w:ilvl w:val="2"/>
          <w:numId w:val="9"/>
        </w:numPr>
        <w:snapToGrid w:val="0"/>
        <w:spacing w:before="120" w:beforeLines="50" w:after="50" w:line="360" w:lineRule="auto"/>
        <w:ind w:left="0" w:firstLine="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3C96EC2A">
      <w:pPr>
        <w:snapToGrid w:val="0"/>
        <w:spacing w:before="120"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49A12AD2">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2004A0D7">
      <w:pPr>
        <w:snapToGrid w:val="0"/>
        <w:spacing w:before="120" w:beforeLines="50" w:after="50"/>
        <w:rPr>
          <w:rFonts w:ascii="宋体" w:hAnsi="宋体" w:cs="宋体"/>
          <w:bCs/>
          <w:color w:val="auto"/>
          <w:sz w:val="24"/>
          <w:szCs w:val="20"/>
          <w:highlight w:val="none"/>
        </w:rPr>
      </w:pPr>
    </w:p>
    <w:p w14:paraId="2797E56E">
      <w:pPr>
        <w:snapToGrid w:val="0"/>
        <w:spacing w:before="120" w:beforeLines="50" w:after="50"/>
        <w:rPr>
          <w:rFonts w:ascii="宋体" w:hAnsi="宋体" w:cs="宋体"/>
          <w:bCs/>
          <w:color w:val="auto"/>
          <w:sz w:val="24"/>
          <w:szCs w:val="20"/>
          <w:highlight w:val="none"/>
        </w:rPr>
      </w:pPr>
    </w:p>
    <w:p w14:paraId="67FAA5C7">
      <w:pPr>
        <w:snapToGrid w:val="0"/>
        <w:spacing w:before="120" w:beforeLines="50" w:after="50"/>
        <w:rPr>
          <w:rFonts w:ascii="宋体" w:hAnsi="宋体" w:cs="宋体"/>
          <w:bCs/>
          <w:color w:val="auto"/>
          <w:sz w:val="24"/>
          <w:szCs w:val="20"/>
          <w:highlight w:val="none"/>
        </w:rPr>
      </w:pPr>
    </w:p>
    <w:p w14:paraId="580619A5">
      <w:pPr>
        <w:snapToGrid w:val="0"/>
        <w:spacing w:before="120" w:beforeLines="50" w:after="50"/>
        <w:rPr>
          <w:rFonts w:ascii="宋体" w:hAnsi="宋体" w:cs="宋体"/>
          <w:bCs/>
          <w:color w:val="auto"/>
          <w:sz w:val="24"/>
          <w:szCs w:val="20"/>
          <w:highlight w:val="none"/>
        </w:rPr>
      </w:pPr>
    </w:p>
    <w:p w14:paraId="37057052">
      <w:pPr>
        <w:snapToGrid w:val="0"/>
        <w:spacing w:before="120" w:beforeLines="50" w:after="50"/>
        <w:rPr>
          <w:rFonts w:ascii="宋体" w:hAnsi="宋体" w:cs="宋体"/>
          <w:bCs/>
          <w:color w:val="auto"/>
          <w:sz w:val="24"/>
          <w:szCs w:val="20"/>
          <w:highlight w:val="none"/>
        </w:rPr>
      </w:pPr>
    </w:p>
    <w:p w14:paraId="11490BF1">
      <w:pPr>
        <w:snapToGrid w:val="0"/>
        <w:spacing w:before="120" w:beforeLines="50" w:after="50"/>
        <w:rPr>
          <w:rFonts w:ascii="宋体" w:hAnsi="宋体" w:cs="宋体"/>
          <w:bCs/>
          <w:color w:val="auto"/>
          <w:sz w:val="24"/>
          <w:szCs w:val="20"/>
          <w:highlight w:val="none"/>
        </w:rPr>
      </w:pPr>
    </w:p>
    <w:p w14:paraId="0FA0F70F">
      <w:pPr>
        <w:snapToGrid w:val="0"/>
        <w:spacing w:before="120" w:beforeLines="50" w:after="50"/>
        <w:rPr>
          <w:rFonts w:ascii="宋体" w:hAnsi="宋体" w:cs="宋体"/>
          <w:bCs/>
          <w:color w:val="auto"/>
          <w:sz w:val="24"/>
          <w:szCs w:val="20"/>
          <w:highlight w:val="none"/>
        </w:rPr>
      </w:pPr>
    </w:p>
    <w:p w14:paraId="241F2062">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382AFF2A">
      <w:pPr>
        <w:snapToGrid w:val="0"/>
        <w:spacing w:before="120" w:beforeLines="50" w:after="50"/>
        <w:ind w:firstLine="540" w:firstLineChars="225"/>
        <w:rPr>
          <w:rFonts w:ascii="宋体" w:hAnsi="宋体" w:cs="宋体"/>
          <w:bCs/>
          <w:color w:val="auto"/>
          <w:sz w:val="24"/>
          <w:szCs w:val="20"/>
          <w:highlight w:val="none"/>
        </w:rPr>
      </w:pPr>
    </w:p>
    <w:p w14:paraId="7F45580D">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05308E15">
      <w:pPr>
        <w:snapToGrid w:val="0"/>
        <w:spacing w:before="120" w:beforeLines="50" w:after="50"/>
        <w:ind w:firstLine="540" w:firstLineChars="225"/>
        <w:rPr>
          <w:rFonts w:ascii="宋体" w:hAnsi="宋体" w:cs="宋体"/>
          <w:bCs/>
          <w:color w:val="auto"/>
          <w:sz w:val="24"/>
          <w:szCs w:val="20"/>
          <w:highlight w:val="none"/>
        </w:rPr>
      </w:pPr>
    </w:p>
    <w:p w14:paraId="21291543">
      <w:pPr>
        <w:pStyle w:val="7"/>
        <w:snapToGrid w:val="0"/>
        <w:spacing w:before="50" w:after="50"/>
        <w:ind w:firstLine="540" w:firstLineChars="225"/>
        <w:rPr>
          <w:rFonts w:ascii="宋体" w:hAnsi="宋体" w:cs="宋体"/>
          <w:bCs/>
          <w:color w:val="auto"/>
          <w:sz w:val="24"/>
          <w:szCs w:val="24"/>
          <w:highlight w:val="none"/>
        </w:rPr>
      </w:pPr>
    </w:p>
    <w:p w14:paraId="3584B5F9">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DE15C41">
      <w:pPr>
        <w:pStyle w:val="7"/>
        <w:snapToGrid w:val="0"/>
        <w:spacing w:before="50" w:after="50"/>
        <w:ind w:firstLine="540" w:firstLineChars="225"/>
        <w:rPr>
          <w:rFonts w:ascii="宋体" w:hAnsi="宋体" w:cs="宋体"/>
          <w:bCs/>
          <w:color w:val="auto"/>
          <w:sz w:val="24"/>
          <w:szCs w:val="24"/>
          <w:highlight w:val="none"/>
        </w:rPr>
      </w:pPr>
    </w:p>
    <w:p w14:paraId="1CE90431">
      <w:pPr>
        <w:pStyle w:val="7"/>
        <w:snapToGrid w:val="0"/>
        <w:spacing w:before="50" w:after="50"/>
        <w:ind w:firstLine="960" w:firstLineChars="400"/>
        <w:rPr>
          <w:rFonts w:ascii="宋体" w:hAnsi="宋体" w:cs="宋体"/>
          <w:bCs/>
          <w:color w:val="auto"/>
          <w:sz w:val="24"/>
          <w:szCs w:val="24"/>
          <w:highlight w:val="none"/>
        </w:rPr>
      </w:pPr>
    </w:p>
    <w:p w14:paraId="7E396428">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5BC188BB">
      <w:pPr>
        <w:snapToGrid w:val="0"/>
        <w:spacing w:before="120" w:beforeLines="50" w:after="50"/>
        <w:rPr>
          <w:rFonts w:ascii="宋体" w:hAnsi="宋体" w:cs="宋体"/>
          <w:color w:val="auto"/>
          <w:sz w:val="24"/>
          <w:szCs w:val="20"/>
          <w:highlight w:val="none"/>
        </w:rPr>
      </w:pPr>
    </w:p>
    <w:p w14:paraId="2CAB8570">
      <w:pPr>
        <w:snapToGrid w:val="0"/>
        <w:spacing w:before="120" w:beforeLines="50" w:after="50"/>
        <w:rPr>
          <w:rFonts w:ascii="宋体" w:hAnsi="宋体" w:cs="宋体"/>
          <w:color w:val="auto"/>
          <w:sz w:val="24"/>
          <w:szCs w:val="20"/>
          <w:highlight w:val="none"/>
        </w:rPr>
      </w:pPr>
    </w:p>
    <w:p w14:paraId="6C43B771">
      <w:pPr>
        <w:numPr>
          <w:ilvl w:val="2"/>
          <w:numId w:val="9"/>
        </w:numPr>
        <w:snapToGrid w:val="0"/>
        <w:spacing w:before="120"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041567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422EFB34">
      <w:pPr>
        <w:snapToGrid w:val="0"/>
        <w:spacing w:before="50" w:after="120" w:afterLines="50"/>
        <w:jc w:val="left"/>
        <w:rPr>
          <w:rFonts w:ascii="宋体" w:hAnsi="宋体" w:cs="宋体"/>
          <w:color w:val="auto"/>
          <w:sz w:val="24"/>
          <w:highlight w:val="none"/>
        </w:rPr>
      </w:pPr>
    </w:p>
    <w:p w14:paraId="66092016">
      <w:pPr>
        <w:snapToGrid w:val="0"/>
        <w:spacing w:before="50" w:after="120" w:afterLines="50"/>
        <w:jc w:val="left"/>
        <w:rPr>
          <w:rFonts w:ascii="宋体" w:hAnsi="宋体" w:cs="宋体"/>
          <w:color w:val="auto"/>
          <w:sz w:val="24"/>
          <w:highlight w:val="none"/>
        </w:rPr>
      </w:pPr>
    </w:p>
    <w:p w14:paraId="25FBA3F7">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w:t>
      </w:r>
      <w:r>
        <w:rPr>
          <w:rFonts w:hint="eastAsia" w:ascii="宋体" w:hAnsi="宋体" w:cs="宋体"/>
          <w:b/>
          <w:color w:val="auto"/>
          <w:sz w:val="28"/>
          <w:szCs w:val="28"/>
          <w:highlight w:val="none"/>
        </w:rPr>
        <w:t>投标人直接控股股东信息表</w:t>
      </w:r>
    </w:p>
    <w:p w14:paraId="0CC53C13">
      <w:pPr>
        <w:snapToGrid w:val="0"/>
        <w:spacing w:before="50" w:after="120" w:afterLines="50"/>
        <w:jc w:val="center"/>
        <w:rPr>
          <w:rFonts w:ascii="宋体" w:hAnsi="宋体" w:cs="宋体"/>
          <w:b/>
          <w:color w:val="auto"/>
          <w:sz w:val="28"/>
          <w:szCs w:val="28"/>
          <w:highlight w:val="none"/>
        </w:rPr>
      </w:pPr>
    </w:p>
    <w:p w14:paraId="4655765F">
      <w:pPr>
        <w:snapToGrid w:val="0"/>
        <w:spacing w:before="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4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E71C27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8E43EE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B4E781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DBE07A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674102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4A0F9F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4E54D5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88D2A0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41E56B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29E6C3">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459C4D1">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B5060DD">
            <w:pPr>
              <w:spacing w:line="360" w:lineRule="auto"/>
              <w:jc w:val="center"/>
              <w:rPr>
                <w:rFonts w:ascii="宋体" w:hAnsi="宋体" w:cs="宋体"/>
                <w:color w:val="auto"/>
                <w:kern w:val="0"/>
                <w:sz w:val="24"/>
                <w:highlight w:val="none"/>
              </w:rPr>
            </w:pPr>
          </w:p>
        </w:tc>
      </w:tr>
      <w:tr w14:paraId="64C177F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C9C592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065A79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DACF604">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F9CEE66">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0139F5">
            <w:pPr>
              <w:spacing w:line="360" w:lineRule="auto"/>
              <w:jc w:val="center"/>
              <w:rPr>
                <w:rFonts w:ascii="宋体" w:hAnsi="宋体" w:cs="宋体"/>
                <w:color w:val="auto"/>
                <w:kern w:val="0"/>
                <w:sz w:val="24"/>
                <w:highlight w:val="none"/>
              </w:rPr>
            </w:pPr>
          </w:p>
        </w:tc>
      </w:tr>
      <w:tr w14:paraId="3771BA0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32E3F9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14A632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4C53985">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7C8B00C">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B667FF7">
            <w:pPr>
              <w:spacing w:line="360" w:lineRule="auto"/>
              <w:jc w:val="center"/>
              <w:rPr>
                <w:rFonts w:ascii="宋体" w:hAnsi="宋体" w:cs="宋体"/>
                <w:color w:val="auto"/>
                <w:kern w:val="0"/>
                <w:sz w:val="24"/>
                <w:highlight w:val="none"/>
              </w:rPr>
            </w:pPr>
          </w:p>
        </w:tc>
      </w:tr>
      <w:tr w14:paraId="0845C03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87194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B62857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43C23A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B56073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D3EF848">
            <w:pPr>
              <w:spacing w:line="360" w:lineRule="auto"/>
              <w:jc w:val="center"/>
              <w:rPr>
                <w:rFonts w:ascii="宋体" w:hAnsi="宋体" w:cs="宋体"/>
                <w:color w:val="auto"/>
                <w:kern w:val="0"/>
                <w:sz w:val="24"/>
                <w:highlight w:val="none"/>
              </w:rPr>
            </w:pPr>
          </w:p>
        </w:tc>
      </w:tr>
    </w:tbl>
    <w:p w14:paraId="51647A49">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0A80F2B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57E75B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6576D304">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4944646A">
      <w:pPr>
        <w:snapToGrid w:val="0"/>
        <w:spacing w:line="360" w:lineRule="auto"/>
        <w:jc w:val="left"/>
        <w:rPr>
          <w:rFonts w:ascii="宋体" w:hAnsi="宋体" w:cs="宋体"/>
          <w:color w:val="auto"/>
          <w:sz w:val="24"/>
          <w:highlight w:val="none"/>
        </w:rPr>
      </w:pPr>
    </w:p>
    <w:p w14:paraId="25339BCD">
      <w:pPr>
        <w:snapToGrid w:val="0"/>
        <w:spacing w:line="360" w:lineRule="auto"/>
        <w:jc w:val="left"/>
        <w:rPr>
          <w:rFonts w:ascii="宋体" w:hAnsi="宋体" w:cs="宋体"/>
          <w:color w:val="auto"/>
          <w:sz w:val="24"/>
          <w:highlight w:val="none"/>
        </w:rPr>
      </w:pPr>
    </w:p>
    <w:p w14:paraId="0C26F129">
      <w:pPr>
        <w:snapToGrid w:val="0"/>
        <w:spacing w:line="360" w:lineRule="auto"/>
        <w:jc w:val="left"/>
        <w:rPr>
          <w:rFonts w:ascii="宋体" w:hAnsi="宋体" w:cs="宋体"/>
          <w:color w:val="auto"/>
          <w:sz w:val="24"/>
          <w:highlight w:val="none"/>
        </w:rPr>
      </w:pPr>
    </w:p>
    <w:p w14:paraId="38FEBD01">
      <w:pPr>
        <w:snapToGrid w:val="0"/>
        <w:spacing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w:t>
      </w:r>
    </w:p>
    <w:p w14:paraId="3F3067F4">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417FE726">
      <w:pPr>
        <w:snapToGrid w:val="0"/>
        <w:spacing w:line="360" w:lineRule="auto"/>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1500B818">
      <w:pPr>
        <w:snapToGrid w:val="0"/>
        <w:jc w:val="center"/>
        <w:rPr>
          <w:rFonts w:ascii="宋体" w:hAnsi="宋体" w:cs="宋体"/>
          <w:b/>
          <w:color w:val="auto"/>
          <w:sz w:val="28"/>
          <w:szCs w:val="28"/>
          <w:highlight w:val="none"/>
        </w:rPr>
      </w:pPr>
    </w:p>
    <w:p w14:paraId="3C0F81C2">
      <w:pPr>
        <w:snapToGrid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24"/>
          <w:highlight w:val="none"/>
        </w:rPr>
        <w:t>4.</w:t>
      </w:r>
      <w:r>
        <w:rPr>
          <w:rFonts w:hint="eastAsia" w:ascii="宋体" w:hAnsi="宋体" w:cs="宋体"/>
          <w:b/>
          <w:color w:val="auto"/>
          <w:sz w:val="28"/>
          <w:szCs w:val="28"/>
          <w:highlight w:val="none"/>
        </w:rPr>
        <w:t>投标人直接管理关系信息表</w:t>
      </w:r>
    </w:p>
    <w:p w14:paraId="3D9BA527">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4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3E2AC5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E0F284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F72A02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E893F9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4D8AB5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CAA3D3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FF2B7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17EDA6">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CBBB72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A6EAB90">
            <w:pPr>
              <w:spacing w:line="360" w:lineRule="auto"/>
              <w:jc w:val="center"/>
              <w:rPr>
                <w:rFonts w:ascii="宋体" w:hAnsi="宋体" w:cs="宋体"/>
                <w:color w:val="auto"/>
                <w:kern w:val="0"/>
                <w:sz w:val="24"/>
                <w:highlight w:val="none"/>
              </w:rPr>
            </w:pPr>
          </w:p>
        </w:tc>
      </w:tr>
      <w:tr w14:paraId="0823D63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C9603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83C093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B5990C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D0CF38B">
            <w:pPr>
              <w:spacing w:line="360" w:lineRule="auto"/>
              <w:jc w:val="center"/>
              <w:rPr>
                <w:rFonts w:ascii="宋体" w:hAnsi="宋体" w:cs="宋体"/>
                <w:color w:val="auto"/>
                <w:kern w:val="0"/>
                <w:sz w:val="24"/>
                <w:highlight w:val="none"/>
              </w:rPr>
            </w:pPr>
          </w:p>
        </w:tc>
      </w:tr>
      <w:tr w14:paraId="06E8FBB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F9529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793C3C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C31547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5C65103">
            <w:pPr>
              <w:spacing w:line="360" w:lineRule="auto"/>
              <w:jc w:val="center"/>
              <w:rPr>
                <w:rFonts w:ascii="宋体" w:hAnsi="宋体" w:cs="宋体"/>
                <w:color w:val="auto"/>
                <w:kern w:val="0"/>
                <w:sz w:val="24"/>
                <w:highlight w:val="none"/>
              </w:rPr>
            </w:pPr>
          </w:p>
        </w:tc>
      </w:tr>
      <w:tr w14:paraId="16B9268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25E76B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4EAC6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733F37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51550E1">
            <w:pPr>
              <w:spacing w:line="360" w:lineRule="auto"/>
              <w:jc w:val="center"/>
              <w:rPr>
                <w:rFonts w:ascii="宋体" w:hAnsi="宋体" w:cs="宋体"/>
                <w:color w:val="auto"/>
                <w:kern w:val="0"/>
                <w:sz w:val="24"/>
                <w:highlight w:val="none"/>
              </w:rPr>
            </w:pPr>
          </w:p>
        </w:tc>
      </w:tr>
    </w:tbl>
    <w:p w14:paraId="5F13B66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113FA33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53C7C41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410E043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3B4B22B">
      <w:pPr>
        <w:snapToGrid w:val="0"/>
        <w:spacing w:line="360" w:lineRule="auto"/>
        <w:jc w:val="left"/>
        <w:rPr>
          <w:rFonts w:ascii="宋体" w:hAnsi="宋体" w:cs="宋体"/>
          <w:color w:val="auto"/>
          <w:sz w:val="24"/>
          <w:highlight w:val="none"/>
        </w:rPr>
      </w:pPr>
    </w:p>
    <w:p w14:paraId="7A597459">
      <w:pPr>
        <w:snapToGrid w:val="0"/>
        <w:spacing w:line="360" w:lineRule="auto"/>
        <w:jc w:val="left"/>
        <w:rPr>
          <w:rFonts w:ascii="宋体" w:hAnsi="宋体" w:cs="宋体"/>
          <w:color w:val="auto"/>
          <w:sz w:val="24"/>
          <w:highlight w:val="none"/>
        </w:rPr>
      </w:pPr>
    </w:p>
    <w:p w14:paraId="2A1E922A">
      <w:pPr>
        <w:snapToGrid w:val="0"/>
        <w:spacing w:line="360" w:lineRule="auto"/>
        <w:jc w:val="left"/>
        <w:rPr>
          <w:rFonts w:ascii="宋体" w:hAnsi="宋体" w:cs="宋体"/>
          <w:color w:val="auto"/>
          <w:sz w:val="24"/>
          <w:highlight w:val="none"/>
        </w:rPr>
      </w:pPr>
    </w:p>
    <w:p w14:paraId="6A0290E6">
      <w:pPr>
        <w:snapToGrid w:val="0"/>
        <w:spacing w:line="360" w:lineRule="auto"/>
        <w:jc w:val="left"/>
        <w:rPr>
          <w:rFonts w:ascii="宋体" w:hAnsi="宋体" w:cs="宋体"/>
          <w:color w:val="auto"/>
          <w:sz w:val="24"/>
          <w:highlight w:val="none"/>
        </w:rPr>
      </w:pPr>
    </w:p>
    <w:p w14:paraId="77234575">
      <w:pPr>
        <w:snapToGrid w:val="0"/>
        <w:spacing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w:t>
      </w:r>
    </w:p>
    <w:p w14:paraId="2185B03A">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3594ADB5">
      <w:pPr>
        <w:snapToGrid w:val="0"/>
        <w:spacing w:line="360" w:lineRule="auto"/>
        <w:ind w:right="480" w:firstLine="240" w:firstLineChars="100"/>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19A61EA2">
      <w:pPr>
        <w:snapToGrid w:val="0"/>
        <w:spacing w:before="120" w:beforeLines="50" w:after="50"/>
        <w:jc w:val="left"/>
        <w:rPr>
          <w:rFonts w:ascii="宋体" w:hAnsi="宋体" w:cs="宋体"/>
          <w:b/>
          <w:color w:val="auto"/>
          <w:sz w:val="24"/>
          <w:szCs w:val="20"/>
          <w:highlight w:val="none"/>
        </w:rPr>
      </w:pPr>
    </w:p>
    <w:p w14:paraId="4FE4E562">
      <w:pPr>
        <w:snapToGrid w:val="0"/>
        <w:spacing w:line="360" w:lineRule="auto"/>
        <w:ind w:right="480" w:firstLine="210" w:firstLineChars="100"/>
        <w:jc w:val="left"/>
        <w:rPr>
          <w:rFonts w:ascii="宋体" w:hAnsi="宋体" w:cs="宋体"/>
          <w:color w:val="auto"/>
          <w:szCs w:val="21"/>
          <w:highlight w:val="none"/>
        </w:rPr>
      </w:pPr>
    </w:p>
    <w:p w14:paraId="0ED96B29">
      <w:pPr>
        <w:snapToGrid w:val="0"/>
        <w:spacing w:before="120" w:beforeLines="50" w:after="50"/>
        <w:jc w:val="left"/>
        <w:rPr>
          <w:rFonts w:ascii="宋体" w:hAnsi="宋体" w:cs="宋体"/>
          <w:b/>
          <w:color w:val="auto"/>
          <w:sz w:val="24"/>
          <w:szCs w:val="20"/>
          <w:highlight w:val="none"/>
        </w:rPr>
      </w:pPr>
    </w:p>
    <w:p w14:paraId="349CC002">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5.投标声明</w:t>
      </w:r>
    </w:p>
    <w:p w14:paraId="34D6F9B8">
      <w:pPr>
        <w:snapToGrid w:val="0"/>
        <w:spacing w:before="50" w:after="120" w:afterLines="50"/>
        <w:jc w:val="left"/>
        <w:rPr>
          <w:rFonts w:ascii="宋体" w:hAnsi="宋体" w:cs="宋体"/>
          <w:color w:val="auto"/>
          <w:highlight w:val="none"/>
        </w:rPr>
      </w:pPr>
    </w:p>
    <w:p w14:paraId="5B3D8BCD">
      <w:pPr>
        <w:snapToGrid w:val="0"/>
        <w:spacing w:before="50" w:after="120" w:afterLines="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投标声明</w:t>
      </w:r>
    </w:p>
    <w:p w14:paraId="21AAA88C">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6D5F28A4">
      <w:pPr>
        <w:spacing w:line="400" w:lineRule="exact"/>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我方参加贵单位组织项目</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）的政府采购活动。我方在此郑重声明：</w:t>
      </w:r>
    </w:p>
    <w:p w14:paraId="3CAD1EFC">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4EF5E8E">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3BF0E695">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1992469C">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4059064B">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4F964213">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7945F097">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676CE1DD">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36C1D89F">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674C8781">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716C3026">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2DB977AB">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w:t>
      </w:r>
      <w:r>
        <w:rPr>
          <w:rFonts w:hint="eastAsia" w:ascii="宋体" w:hAnsi="宋体" w:cs="宋体"/>
          <w:color w:val="auto"/>
          <w:spacing w:val="20"/>
          <w:sz w:val="24"/>
          <w:highlight w:val="none"/>
        </w:rPr>
        <w:t>（签字或者电子签名）：</w:t>
      </w:r>
    </w:p>
    <w:p w14:paraId="58C0AFB7">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0F43FE33">
      <w:pPr>
        <w:spacing w:line="400" w:lineRule="exact"/>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14:paraId="0BB2C140">
      <w:pPr>
        <w:spacing w:line="440" w:lineRule="exact"/>
        <w:contextualSpacing/>
        <w:rPr>
          <w:rFonts w:ascii="宋体" w:hAnsi="宋体" w:cs="宋体"/>
          <w:b/>
          <w:color w:val="auto"/>
          <w:sz w:val="24"/>
          <w:highlight w:val="none"/>
        </w:rPr>
      </w:pPr>
      <w:bookmarkStart w:id="151" w:name="_Toc19686838"/>
      <w:r>
        <w:rPr>
          <w:rFonts w:hint="eastAsia" w:ascii="宋体" w:hAnsi="宋体" w:cs="宋体"/>
          <w:b/>
          <w:color w:val="auto"/>
          <w:sz w:val="24"/>
          <w:highlight w:val="none"/>
        </w:rPr>
        <w:t>注：如为联合体投标，盖章处须加盖联合体牵头人电子签章并由联合体各方法定代表人分别签字或者盖章或者电子签名，否则投标无效。</w:t>
      </w:r>
    </w:p>
    <w:p w14:paraId="7C9324E1">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三、商务文件格式</w:t>
      </w:r>
      <w:bookmarkEnd w:id="151"/>
    </w:p>
    <w:p w14:paraId="4935F317">
      <w:pPr>
        <w:snapToGrid w:val="0"/>
        <w:spacing w:before="120"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21F88ED3">
      <w:pPr>
        <w:snapToGrid w:val="0"/>
        <w:spacing w:before="120"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09FBBEA4">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文  件</w:t>
      </w:r>
    </w:p>
    <w:p w14:paraId="3A4BE522">
      <w:pPr>
        <w:snapToGrid w:val="0"/>
        <w:spacing w:before="120" w:beforeLines="50" w:after="50"/>
        <w:rPr>
          <w:rFonts w:ascii="宋体" w:hAnsi="宋体" w:cs="宋体"/>
          <w:bCs/>
          <w:color w:val="auto"/>
          <w:sz w:val="24"/>
          <w:szCs w:val="20"/>
          <w:highlight w:val="none"/>
        </w:rPr>
      </w:pPr>
    </w:p>
    <w:p w14:paraId="3D4BA310">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18E122C8">
      <w:pPr>
        <w:snapToGrid w:val="0"/>
        <w:spacing w:before="120" w:beforeLines="50" w:after="50"/>
        <w:ind w:firstLine="540" w:firstLineChars="225"/>
        <w:rPr>
          <w:rFonts w:ascii="宋体" w:hAnsi="宋体" w:cs="宋体"/>
          <w:bCs/>
          <w:color w:val="auto"/>
          <w:sz w:val="24"/>
          <w:szCs w:val="20"/>
          <w:highlight w:val="none"/>
        </w:rPr>
      </w:pPr>
    </w:p>
    <w:p w14:paraId="122144BC">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41A57B9A">
      <w:pPr>
        <w:snapToGrid w:val="0"/>
        <w:spacing w:before="120" w:beforeLines="50" w:after="50"/>
        <w:ind w:firstLine="540" w:firstLineChars="225"/>
        <w:rPr>
          <w:rFonts w:ascii="宋体" w:hAnsi="宋体" w:cs="宋体"/>
          <w:bCs/>
          <w:color w:val="auto"/>
          <w:sz w:val="24"/>
          <w:szCs w:val="20"/>
          <w:highlight w:val="none"/>
        </w:rPr>
      </w:pPr>
    </w:p>
    <w:p w14:paraId="57B49D04">
      <w:pPr>
        <w:snapToGrid w:val="0"/>
        <w:spacing w:before="120" w:beforeLines="50" w:after="50"/>
        <w:ind w:firstLine="540" w:firstLineChars="225"/>
        <w:rPr>
          <w:rFonts w:ascii="宋体" w:hAnsi="宋体" w:cs="宋体"/>
          <w:bCs/>
          <w:color w:val="auto"/>
          <w:sz w:val="24"/>
          <w:szCs w:val="20"/>
          <w:highlight w:val="none"/>
        </w:rPr>
      </w:pPr>
    </w:p>
    <w:p w14:paraId="003FC1F4">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2C60CF55">
      <w:pPr>
        <w:pStyle w:val="7"/>
        <w:snapToGrid w:val="0"/>
        <w:spacing w:before="50" w:after="50"/>
        <w:ind w:firstLine="540" w:firstLineChars="225"/>
        <w:rPr>
          <w:rFonts w:ascii="宋体" w:hAnsi="宋体" w:cs="宋体"/>
          <w:bCs/>
          <w:color w:val="auto"/>
          <w:sz w:val="24"/>
          <w:szCs w:val="24"/>
          <w:highlight w:val="none"/>
        </w:rPr>
      </w:pPr>
    </w:p>
    <w:p w14:paraId="573D3D2E">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1B333DD5">
      <w:pPr>
        <w:pStyle w:val="7"/>
        <w:snapToGrid w:val="0"/>
        <w:spacing w:before="50" w:after="50"/>
        <w:ind w:firstLine="960" w:firstLineChars="400"/>
        <w:rPr>
          <w:rFonts w:ascii="宋体" w:hAnsi="宋体" w:cs="宋体"/>
          <w:bCs/>
          <w:color w:val="auto"/>
          <w:sz w:val="24"/>
          <w:szCs w:val="24"/>
          <w:highlight w:val="none"/>
        </w:rPr>
      </w:pPr>
    </w:p>
    <w:p w14:paraId="662EAC68">
      <w:pPr>
        <w:snapToGrid w:val="0"/>
        <w:spacing w:before="120"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50C1D55D">
      <w:pPr>
        <w:snapToGrid w:val="0"/>
        <w:spacing w:before="120" w:beforeLines="50" w:after="50"/>
        <w:rPr>
          <w:rFonts w:ascii="宋体" w:hAnsi="宋体" w:cs="宋体"/>
          <w:color w:val="auto"/>
          <w:sz w:val="24"/>
          <w:szCs w:val="20"/>
          <w:highlight w:val="none"/>
        </w:rPr>
      </w:pPr>
    </w:p>
    <w:p w14:paraId="6CAF5A01">
      <w:pPr>
        <w:snapToGrid w:val="0"/>
        <w:spacing w:line="360" w:lineRule="auto"/>
        <w:jc w:val="left"/>
        <w:rPr>
          <w:rFonts w:ascii="宋体" w:hAnsi="宋体" w:cs="宋体"/>
          <w:b/>
          <w:color w:val="auto"/>
          <w:sz w:val="24"/>
          <w:highlight w:val="none"/>
        </w:rPr>
      </w:pPr>
      <w:r>
        <w:rPr>
          <w:rFonts w:hint="eastAsia" w:ascii="宋体" w:hAnsi="宋体" w:cs="宋体"/>
          <w:color w:val="auto"/>
          <w:sz w:val="24"/>
          <w:szCs w:val="20"/>
          <w:highlight w:val="none"/>
        </w:rPr>
        <w:br w:type="page"/>
      </w:r>
      <w:r>
        <w:rPr>
          <w:rFonts w:hint="eastAsia" w:ascii="宋体" w:hAnsi="宋体" w:cs="宋体"/>
          <w:b/>
          <w:color w:val="auto"/>
          <w:sz w:val="24"/>
          <w:highlight w:val="none"/>
        </w:rPr>
        <w:t>2.商务文件目录</w:t>
      </w:r>
    </w:p>
    <w:p w14:paraId="196A7C0E">
      <w:pPr>
        <w:snapToGrid w:val="0"/>
        <w:spacing w:before="50" w:after="120" w:afterLines="50" w:line="360" w:lineRule="auto"/>
        <w:ind w:firstLine="560" w:firstLineChars="200"/>
        <w:jc w:val="left"/>
        <w:rPr>
          <w:rFonts w:ascii="宋体" w:hAnsi="宋体" w:cs="宋体"/>
          <w:b/>
          <w:bCs/>
          <w:color w:val="auto"/>
          <w:sz w:val="32"/>
          <w:szCs w:val="32"/>
          <w:highlight w:val="none"/>
        </w:rPr>
      </w:pPr>
      <w:r>
        <w:rPr>
          <w:rFonts w:hint="eastAsia" w:ascii="宋体" w:hAnsi="宋体" w:cs="宋体"/>
          <w:color w:val="auto"/>
          <w:sz w:val="28"/>
          <w:szCs w:val="28"/>
          <w:highlight w:val="none"/>
        </w:rPr>
        <w:t>根据招标文件规定及投标人提供的材料自行编写目录。</w:t>
      </w:r>
    </w:p>
    <w:p w14:paraId="00A4DE33">
      <w:pPr>
        <w:snapToGrid w:val="0"/>
        <w:spacing w:before="50" w:after="120" w:afterLines="50"/>
        <w:jc w:val="left"/>
        <w:rPr>
          <w:rFonts w:ascii="宋体" w:hAnsi="宋体" w:cs="宋体"/>
          <w:color w:val="auto"/>
          <w:highlight w:val="none"/>
        </w:rPr>
      </w:pPr>
    </w:p>
    <w:p w14:paraId="60142112">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3.部分商务文件格式</w:t>
      </w:r>
    </w:p>
    <w:p w14:paraId="635E96FC">
      <w:pPr>
        <w:snapToGrid w:val="0"/>
        <w:spacing w:before="120" w:beforeLines="50" w:after="50"/>
        <w:jc w:val="left"/>
        <w:rPr>
          <w:rFonts w:ascii="宋体" w:hAnsi="宋体" w:cs="宋体"/>
          <w:b/>
          <w:color w:val="auto"/>
          <w:sz w:val="24"/>
          <w:highlight w:val="none"/>
        </w:rPr>
      </w:pPr>
    </w:p>
    <w:p w14:paraId="54146F77">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t>投标人参加本项目无围标串标行为的承诺</w:t>
      </w:r>
    </w:p>
    <w:p w14:paraId="645C49AA">
      <w:pPr>
        <w:spacing w:line="360" w:lineRule="auto"/>
        <w:ind w:left="420"/>
        <w:contextualSpacing/>
        <w:jc w:val="center"/>
        <w:rPr>
          <w:rFonts w:ascii="宋体" w:hAnsi="宋体" w:cs="宋体"/>
          <w:b/>
          <w:color w:val="auto"/>
          <w:sz w:val="24"/>
          <w:highlight w:val="none"/>
        </w:rPr>
      </w:pPr>
      <w:r>
        <w:rPr>
          <w:rFonts w:hint="eastAsia" w:ascii="宋体" w:hAnsi="宋体" w:cs="宋体"/>
          <w:bCs/>
          <w:color w:val="auto"/>
          <w:spacing w:val="-11"/>
          <w:sz w:val="44"/>
          <w:szCs w:val="44"/>
          <w:highlight w:val="none"/>
        </w:rPr>
        <w:t>投标人参加本项目无围标串标行为的承诺函</w:t>
      </w:r>
    </w:p>
    <w:p w14:paraId="4CD9614A">
      <w:pPr>
        <w:spacing w:line="40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3FB97FEC">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29414630">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772E2229">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169E68B9">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1079C27D">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5FC923D2">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51129D4B">
      <w:pPr>
        <w:spacing w:line="400" w:lineRule="exact"/>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492B1BD6">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14:paraId="50964D01">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14:paraId="2924B827">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14:paraId="6D1EC883">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4357F31C">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48DC54A5">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56DC5D5D">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5B05BAB7">
      <w:pPr>
        <w:spacing w:line="400" w:lineRule="exact"/>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17512291">
      <w:pPr>
        <w:pStyle w:val="25"/>
        <w:spacing w:line="440" w:lineRule="exact"/>
        <w:ind w:firstLine="6840" w:firstLineChars="2850"/>
        <w:contextualSpacing/>
        <w:rPr>
          <w:rFonts w:hAnsi="宋体" w:cs="宋体"/>
          <w:color w:val="auto"/>
          <w:sz w:val="24"/>
          <w:szCs w:val="24"/>
          <w:highlight w:val="none"/>
        </w:rPr>
      </w:pPr>
    </w:p>
    <w:p w14:paraId="0DCA537E">
      <w:pPr>
        <w:pStyle w:val="25"/>
        <w:spacing w:line="440" w:lineRule="exact"/>
        <w:contextualSpacing/>
        <w:jc w:val="center"/>
        <w:rPr>
          <w:rFonts w:hAnsi="宋体" w:cs="宋体"/>
          <w:color w:val="auto"/>
          <w:sz w:val="24"/>
          <w:szCs w:val="24"/>
          <w:highlight w:val="none"/>
        </w:rPr>
      </w:pPr>
      <w:r>
        <w:rPr>
          <w:rFonts w:hint="eastAsia" w:hAnsi="宋体" w:cs="宋体"/>
          <w:color w:val="auto"/>
          <w:sz w:val="24"/>
          <w:szCs w:val="24"/>
          <w:highlight w:val="none"/>
        </w:rPr>
        <w:t>投标人名称（电子签章）</w:t>
      </w:r>
    </w:p>
    <w:p w14:paraId="2516723B">
      <w:pPr>
        <w:pStyle w:val="25"/>
        <w:spacing w:line="440" w:lineRule="exact"/>
        <w:ind w:firstLine="4200" w:firstLineChars="1750"/>
        <w:contextualSpacing/>
        <w:rPr>
          <w:rFonts w:hAnsi="宋体" w:cs="宋体"/>
          <w:color w:val="auto"/>
          <w:sz w:val="24"/>
          <w:highlight w:val="none"/>
        </w:rPr>
      </w:pPr>
      <w:r>
        <w:rPr>
          <w:rFonts w:hint="eastAsia" w:hAnsi="宋体" w:cs="宋体"/>
          <w:color w:val="auto"/>
          <w:sz w:val="24"/>
          <w:highlight w:val="none"/>
        </w:rPr>
        <w:t>年   月   日</w:t>
      </w:r>
    </w:p>
    <w:p w14:paraId="3B9618E6">
      <w:pPr>
        <w:snapToGrid w:val="0"/>
        <w:spacing w:before="120" w:beforeLines="50" w:after="50"/>
        <w:jc w:val="left"/>
        <w:rPr>
          <w:rFonts w:ascii="宋体" w:hAnsi="宋体" w:cs="宋体"/>
          <w:b/>
          <w:color w:val="auto"/>
          <w:sz w:val="24"/>
          <w:highlight w:val="none"/>
        </w:rPr>
      </w:pPr>
    </w:p>
    <w:p w14:paraId="391A9824">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t>法定代表人身份证明</w:t>
      </w:r>
    </w:p>
    <w:p w14:paraId="20E640BA">
      <w:pPr>
        <w:spacing w:before="240" w:beforeLines="100" w:after="120" w:afterLines="50"/>
        <w:ind w:left="54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法定代表人身份证明</w:t>
      </w:r>
    </w:p>
    <w:p w14:paraId="28D6E08A">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人：______</w:t>
      </w:r>
      <w:r>
        <w:rPr>
          <w:rFonts w:hint="eastAsia" w:ascii="宋体" w:hAnsi="宋体" w:cs="宋体"/>
          <w:color w:val="auto"/>
          <w:sz w:val="24"/>
          <w:highlight w:val="none"/>
          <w:u w:val="single"/>
        </w:rPr>
        <w:t xml:space="preserve">              </w:t>
      </w:r>
    </w:p>
    <w:p w14:paraId="17A0FD15">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_</w:t>
      </w:r>
      <w:r>
        <w:rPr>
          <w:rFonts w:hint="eastAsia" w:ascii="宋体" w:hAnsi="宋体" w:cs="宋体"/>
          <w:color w:val="auto"/>
          <w:sz w:val="24"/>
          <w:highlight w:val="none"/>
        </w:rPr>
        <w:t>______</w:t>
      </w:r>
      <w:r>
        <w:rPr>
          <w:rFonts w:hint="eastAsia" w:ascii="宋体" w:hAnsi="宋体" w:cs="宋体"/>
          <w:color w:val="auto"/>
          <w:sz w:val="24"/>
          <w:highlight w:val="none"/>
          <w:u w:val="single"/>
        </w:rPr>
        <w:t xml:space="preserve">              </w:t>
      </w:r>
    </w:p>
    <w:p w14:paraId="7BD01FFF">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性      别：______</w:t>
      </w:r>
      <w:r>
        <w:rPr>
          <w:rFonts w:hint="eastAsia" w:ascii="宋体" w:hAnsi="宋体" w:cs="宋体"/>
          <w:color w:val="auto"/>
          <w:sz w:val="24"/>
          <w:highlight w:val="none"/>
          <w:u w:val="single"/>
        </w:rPr>
        <w:t xml:space="preserve">              </w:t>
      </w:r>
    </w:p>
    <w:p w14:paraId="38F43567">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职      务：______</w:t>
      </w:r>
      <w:r>
        <w:rPr>
          <w:rFonts w:hint="eastAsia" w:ascii="宋体" w:hAnsi="宋体" w:cs="宋体"/>
          <w:color w:val="auto"/>
          <w:sz w:val="24"/>
          <w:highlight w:val="none"/>
          <w:u w:val="single"/>
        </w:rPr>
        <w:t xml:space="preserve">               </w:t>
      </w:r>
    </w:p>
    <w:p w14:paraId="79992C6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身份证号码：______</w:t>
      </w:r>
      <w:r>
        <w:rPr>
          <w:rFonts w:hint="eastAsia" w:ascii="宋体" w:hAnsi="宋体" w:cs="宋体"/>
          <w:color w:val="auto"/>
          <w:sz w:val="24"/>
          <w:highlight w:val="none"/>
          <w:u w:val="single"/>
        </w:rPr>
        <w:t xml:space="preserve">              </w:t>
      </w:r>
    </w:p>
    <w:p w14:paraId="00E63395">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16D6BA6E">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5FB3D546">
      <w:pPr>
        <w:spacing w:line="500" w:lineRule="exact"/>
        <w:ind w:left="540"/>
        <w:rPr>
          <w:rFonts w:ascii="宋体" w:hAnsi="宋体" w:cs="宋体"/>
          <w:color w:val="auto"/>
          <w:sz w:val="24"/>
          <w:highlight w:val="none"/>
        </w:rPr>
      </w:pPr>
    </w:p>
    <w:p w14:paraId="77401209">
      <w:pPr>
        <w:spacing w:line="500" w:lineRule="exact"/>
        <w:ind w:left="540"/>
        <w:rPr>
          <w:rFonts w:ascii="宋体" w:hAnsi="宋体" w:cs="宋体"/>
          <w:color w:val="auto"/>
          <w:sz w:val="24"/>
          <w:highlight w:val="none"/>
        </w:rPr>
      </w:pPr>
    </w:p>
    <w:p w14:paraId="7E553C84">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BB1A50E">
      <w:pPr>
        <w:spacing w:line="500" w:lineRule="exact"/>
        <w:ind w:left="540"/>
        <w:rPr>
          <w:rFonts w:ascii="宋体" w:hAnsi="宋体" w:cs="宋体"/>
          <w:color w:val="auto"/>
          <w:sz w:val="24"/>
          <w:highlight w:val="none"/>
        </w:rPr>
      </w:pPr>
    </w:p>
    <w:p w14:paraId="28906F86">
      <w:pPr>
        <w:spacing w:line="500" w:lineRule="exact"/>
        <w:ind w:left="540"/>
        <w:jc w:val="right"/>
        <w:rPr>
          <w:rFonts w:ascii="宋体" w:hAnsi="宋体" w:cs="宋体"/>
          <w:color w:val="auto"/>
          <w:sz w:val="24"/>
          <w:highlight w:val="none"/>
        </w:rPr>
      </w:pPr>
      <w:r>
        <w:rPr>
          <w:rFonts w:hint="eastAsia" w:ascii="宋体" w:hAnsi="宋体" w:cs="宋体"/>
          <w:color w:val="auto"/>
          <w:sz w:val="24"/>
          <w:highlight w:val="none"/>
        </w:rPr>
        <w:t>投标人名称（电子签章）</w:t>
      </w:r>
    </w:p>
    <w:p w14:paraId="102FA6CF">
      <w:pPr>
        <w:spacing w:line="500" w:lineRule="exact"/>
        <w:ind w:left="540"/>
        <w:jc w:val="right"/>
        <w:rPr>
          <w:rFonts w:ascii="宋体" w:hAnsi="宋体" w:cs="宋体"/>
          <w:color w:val="auto"/>
          <w:sz w:val="24"/>
          <w:highlight w:val="none"/>
        </w:rPr>
      </w:pPr>
    </w:p>
    <w:p w14:paraId="266476F3">
      <w:pPr>
        <w:wordWrap w:val="0"/>
        <w:snapToGrid w:val="0"/>
        <w:spacing w:before="120"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3F4C2327">
      <w:pPr>
        <w:snapToGrid w:val="0"/>
        <w:spacing w:before="120" w:beforeLines="50" w:after="50"/>
        <w:jc w:val="center"/>
        <w:rPr>
          <w:rFonts w:ascii="宋体" w:hAnsi="宋体" w:cs="宋体"/>
          <w:b/>
          <w:color w:val="auto"/>
          <w:sz w:val="24"/>
          <w:highlight w:val="none"/>
        </w:rPr>
      </w:pPr>
    </w:p>
    <w:p w14:paraId="5DC5262E">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603FB8A4">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授权委托书格式</w:t>
      </w:r>
    </w:p>
    <w:p w14:paraId="4E83E90C">
      <w:pPr>
        <w:snapToGrid w:val="0"/>
        <w:spacing w:before="120" w:beforeLines="50" w:after="50"/>
        <w:jc w:val="center"/>
        <w:rPr>
          <w:rFonts w:ascii="宋体" w:hAnsi="宋体" w:cs="宋体"/>
          <w:b/>
          <w:color w:val="auto"/>
          <w:sz w:val="44"/>
          <w:szCs w:val="44"/>
          <w:highlight w:val="none"/>
        </w:rPr>
      </w:pPr>
    </w:p>
    <w:p w14:paraId="47810F6C">
      <w:pPr>
        <w:spacing w:line="360" w:lineRule="auto"/>
        <w:contextualSpacing/>
        <w:jc w:val="center"/>
        <w:rPr>
          <w:rFonts w:ascii="宋体" w:hAnsi="宋体" w:cs="宋体"/>
          <w:bCs/>
          <w:color w:val="auto"/>
          <w:sz w:val="44"/>
          <w:szCs w:val="44"/>
          <w:highlight w:val="none"/>
        </w:rPr>
      </w:pPr>
      <w:r>
        <w:rPr>
          <w:rFonts w:hint="eastAsia" w:ascii="宋体" w:hAnsi="宋体" w:cs="宋体"/>
          <w:bCs/>
          <w:color w:val="auto"/>
          <w:sz w:val="44"/>
          <w:szCs w:val="44"/>
          <w:highlight w:val="none"/>
        </w:rPr>
        <w:t>授权委托书</w:t>
      </w:r>
    </w:p>
    <w:p w14:paraId="0D465175">
      <w:pPr>
        <w:spacing w:line="360" w:lineRule="auto"/>
        <w:contextualSpacing/>
        <w:jc w:val="center"/>
        <w:rPr>
          <w:rFonts w:ascii="宋体" w:hAnsi="宋体" w:cs="宋体"/>
          <w:bCs/>
          <w:color w:val="auto"/>
          <w:sz w:val="32"/>
          <w:szCs w:val="32"/>
          <w:highlight w:val="none"/>
        </w:rPr>
      </w:pPr>
      <w:r>
        <w:rPr>
          <w:rFonts w:hint="eastAsia" w:ascii="宋体" w:hAnsi="宋体" w:cs="宋体"/>
          <w:bCs/>
          <w:color w:val="auto"/>
          <w:sz w:val="32"/>
          <w:szCs w:val="32"/>
          <w:highlight w:val="none"/>
        </w:rPr>
        <w:t>（非联合体投标格式）</w:t>
      </w:r>
    </w:p>
    <w:p w14:paraId="394C1AF1">
      <w:pPr>
        <w:spacing w:line="360" w:lineRule="auto"/>
        <w:contextualSpacing/>
        <w:jc w:val="center"/>
        <w:rPr>
          <w:rFonts w:ascii="宋体" w:hAnsi="宋体" w:cs="宋体"/>
          <w:bCs/>
          <w:color w:val="auto"/>
          <w:sz w:val="24"/>
          <w:highlight w:val="none"/>
        </w:rPr>
      </w:pPr>
      <w:r>
        <w:rPr>
          <w:rFonts w:hint="eastAsia" w:ascii="宋体" w:hAnsi="宋体" w:cs="宋体"/>
          <w:bCs/>
          <w:color w:val="auto"/>
          <w:sz w:val="32"/>
          <w:szCs w:val="32"/>
          <w:highlight w:val="none"/>
        </w:rPr>
        <w:t>（如有委托时）</w:t>
      </w:r>
    </w:p>
    <w:p w14:paraId="577464D7">
      <w:pPr>
        <w:spacing w:line="440" w:lineRule="exact"/>
        <w:contextualSpacing/>
        <w:jc w:val="center"/>
        <w:rPr>
          <w:rFonts w:ascii="宋体" w:hAnsi="宋体" w:cs="宋体"/>
          <w:b/>
          <w:color w:val="auto"/>
          <w:sz w:val="24"/>
          <w:highlight w:val="none"/>
        </w:rPr>
      </w:pPr>
    </w:p>
    <w:p w14:paraId="5903D941">
      <w:pPr>
        <w:spacing w:line="440" w:lineRule="exact"/>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02940AF">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我（姓名）</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以我方的名义参加项目的投标活动，并代表我方全权办理针对上述项目的所有采购程序和环节的具体事务和签署相关文件。</w:t>
      </w:r>
    </w:p>
    <w:p w14:paraId="32C92132">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我方对委托代理人的签字或者电子签名事项负全部责任。</w:t>
      </w:r>
    </w:p>
    <w:p w14:paraId="547D3BA1">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0A3754AF">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09570C14">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22534960">
      <w:pPr>
        <w:spacing w:line="440" w:lineRule="exact"/>
        <w:contextualSpacing/>
        <w:rPr>
          <w:rFonts w:ascii="宋体" w:hAnsi="宋体" w:cs="宋体"/>
          <w:color w:val="auto"/>
          <w:sz w:val="24"/>
          <w:highlight w:val="none"/>
        </w:rPr>
      </w:pPr>
    </w:p>
    <w:p w14:paraId="10589B9F">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委托代理人（签字或者电子签名）：</w:t>
      </w:r>
    </w:p>
    <w:p w14:paraId="33DBBC1E">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委托代理人身份证号码：</w:t>
      </w:r>
    </w:p>
    <w:p w14:paraId="785400F7">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法定代表人（签字或者盖章或者电子签名）：</w:t>
      </w:r>
    </w:p>
    <w:p w14:paraId="530E2E2F">
      <w:pPr>
        <w:spacing w:line="440" w:lineRule="exact"/>
        <w:contextualSpacing/>
        <w:rPr>
          <w:rFonts w:ascii="宋体" w:hAnsi="宋体" w:cs="宋体"/>
          <w:color w:val="auto"/>
          <w:sz w:val="24"/>
          <w:highlight w:val="none"/>
        </w:rPr>
      </w:pPr>
    </w:p>
    <w:p w14:paraId="1D468B44">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EC10ED6">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4DC9999">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w:t>
      </w:r>
      <w:bookmarkStart w:id="152" w:name="_Hlk65851555"/>
      <w:bookmarkStart w:id="153" w:name="_Hlk65851620"/>
      <w:r>
        <w:rPr>
          <w:rFonts w:hint="eastAsia" w:ascii="宋体" w:hAnsi="宋体" w:cs="宋体"/>
          <w:color w:val="auto"/>
          <w:sz w:val="24"/>
          <w:highlight w:val="none"/>
        </w:rPr>
        <w:t>法定代表人必须在授权委托书上签字或者盖章或者电子签名</w:t>
      </w:r>
      <w:bookmarkEnd w:id="152"/>
      <w:r>
        <w:rPr>
          <w:rFonts w:hint="eastAsia" w:ascii="宋体" w:hAnsi="宋体" w:cs="宋体"/>
          <w:color w:val="auto"/>
          <w:sz w:val="24"/>
          <w:highlight w:val="none"/>
        </w:rPr>
        <w:t>，委托代理人必须在授权委托书上签字或者电子签名，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bookmarkEnd w:id="153"/>
    </w:p>
    <w:p w14:paraId="2A65AEC1">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2F1E8508">
      <w:pPr>
        <w:snapToGrid w:val="0"/>
        <w:spacing w:before="120" w:beforeLines="50" w:after="50"/>
        <w:ind w:firstLine="566" w:firstLineChars="236"/>
        <w:jc w:val="center"/>
        <w:rPr>
          <w:rFonts w:ascii="宋体" w:hAnsi="宋体" w:cs="宋体"/>
          <w:color w:val="auto"/>
          <w:sz w:val="44"/>
          <w:szCs w:val="44"/>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授权委托书</w:t>
      </w:r>
    </w:p>
    <w:p w14:paraId="619F5B11">
      <w:pPr>
        <w:snapToGrid w:val="0"/>
        <w:spacing w:before="120" w:beforeLines="50" w:after="50"/>
        <w:ind w:firstLine="755" w:firstLineChars="236"/>
        <w:jc w:val="center"/>
        <w:rPr>
          <w:rFonts w:ascii="宋体" w:hAnsi="宋体" w:cs="宋体"/>
          <w:color w:val="auto"/>
          <w:sz w:val="32"/>
          <w:szCs w:val="32"/>
          <w:highlight w:val="none"/>
        </w:rPr>
      </w:pPr>
      <w:r>
        <w:rPr>
          <w:rFonts w:hint="eastAsia" w:ascii="宋体" w:hAnsi="宋体" w:cs="宋体"/>
          <w:color w:val="auto"/>
          <w:sz w:val="32"/>
          <w:szCs w:val="32"/>
          <w:highlight w:val="none"/>
        </w:rPr>
        <w:t>（联合体投标格式）</w:t>
      </w:r>
    </w:p>
    <w:p w14:paraId="5376A5A7">
      <w:pPr>
        <w:snapToGrid w:val="0"/>
        <w:spacing w:before="120" w:beforeLines="50" w:after="50"/>
        <w:ind w:firstLine="755" w:firstLineChars="236"/>
        <w:jc w:val="center"/>
        <w:rPr>
          <w:rFonts w:ascii="宋体" w:hAnsi="宋体" w:cs="宋体"/>
          <w:color w:val="auto"/>
          <w:sz w:val="24"/>
          <w:highlight w:val="none"/>
        </w:rPr>
      </w:pPr>
      <w:r>
        <w:rPr>
          <w:rFonts w:hint="eastAsia" w:ascii="宋体" w:hAnsi="宋体" w:cs="宋体"/>
          <w:color w:val="auto"/>
          <w:sz w:val="32"/>
          <w:szCs w:val="32"/>
          <w:highlight w:val="none"/>
        </w:rPr>
        <w:t>（如有委托时）</w:t>
      </w:r>
    </w:p>
    <w:p w14:paraId="7891B131">
      <w:pPr>
        <w:spacing w:line="440" w:lineRule="exact"/>
        <w:contextualSpacing/>
        <w:jc w:val="left"/>
        <w:rPr>
          <w:rFonts w:ascii="宋体" w:hAnsi="宋体" w:cs="宋体"/>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8695FC8">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 xml:space="preserve">根据 </w:t>
      </w:r>
      <w:r>
        <w:rPr>
          <w:rFonts w:hint="eastAsia" w:ascii="宋体" w:hAnsi="宋体" w:cs="宋体"/>
          <w:color w:val="auto"/>
          <w:sz w:val="24"/>
          <w:highlight w:val="none"/>
          <w:u w:val="single"/>
        </w:rPr>
        <w:t xml:space="preserve"> （牵头人名称）</w:t>
      </w:r>
      <w:r>
        <w:rPr>
          <w:rFonts w:hint="eastAsia" w:ascii="宋体" w:hAnsi="宋体" w:cs="宋体"/>
          <w:color w:val="auto"/>
          <w:sz w:val="24"/>
          <w:highlight w:val="none"/>
        </w:rPr>
        <w:t>与</w:t>
      </w:r>
      <w:r>
        <w:rPr>
          <w:rFonts w:hint="eastAsia" w:ascii="宋体" w:hAnsi="宋体" w:cs="宋体"/>
          <w:color w:val="auto"/>
          <w:sz w:val="24"/>
          <w:highlight w:val="none"/>
          <w:u w:val="single"/>
        </w:rPr>
        <w:t>（联合体其他成员名称）</w:t>
      </w:r>
      <w:r>
        <w:rPr>
          <w:rFonts w:hint="eastAsia" w:ascii="宋体" w:hAnsi="宋体" w:cs="宋体"/>
          <w:color w:val="auto"/>
          <w:sz w:val="24"/>
          <w:highlight w:val="none"/>
        </w:rPr>
        <w:t>签订的《联合体投标协议书》的内容，</w:t>
      </w:r>
      <w:r>
        <w:rPr>
          <w:rFonts w:hint="eastAsia" w:ascii="宋体" w:hAnsi="宋体" w:cs="宋体"/>
          <w:color w:val="auto"/>
          <w:sz w:val="24"/>
          <w:highlight w:val="none"/>
          <w:u w:val="single"/>
        </w:rPr>
        <w:t>（牵头人名称）</w:t>
      </w:r>
      <w:r>
        <w:rPr>
          <w:rFonts w:hint="eastAsia" w:ascii="宋体" w:hAnsi="宋体" w:cs="宋体"/>
          <w:color w:val="auto"/>
          <w:sz w:val="24"/>
          <w:highlight w:val="none"/>
        </w:rPr>
        <w:t>的法定代表人</w:t>
      </w:r>
      <w:r>
        <w:rPr>
          <w:rFonts w:hint="eastAsia" w:ascii="宋体" w:hAnsi="宋体" w:cs="宋体"/>
          <w:color w:val="auto"/>
          <w:sz w:val="24"/>
          <w:highlight w:val="none"/>
          <w:u w:val="single"/>
        </w:rPr>
        <w:t>（姓名）</w:t>
      </w: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以我方的名义参加项目的投标活动，并代表我方全权办理针对上述项目的所有采购程序和环节的具体事务和签署相关文件。</w:t>
      </w:r>
    </w:p>
    <w:p w14:paraId="38299646">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我方对委托代理人的签字或者电子签名事项负全部责任。</w:t>
      </w:r>
    </w:p>
    <w:p w14:paraId="0AA55473">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55A06B2">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8EF1818">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附：牵头人法定代表人身份证明及委托代理人有效身份证正反面复印件</w:t>
      </w:r>
    </w:p>
    <w:p w14:paraId="034F2255">
      <w:pPr>
        <w:spacing w:line="440" w:lineRule="exact"/>
        <w:ind w:firstLine="566" w:firstLineChars="236"/>
        <w:contextualSpacing/>
        <w:rPr>
          <w:rFonts w:ascii="宋体" w:hAnsi="宋体" w:cs="宋体"/>
          <w:color w:val="auto"/>
          <w:sz w:val="24"/>
          <w:highlight w:val="none"/>
        </w:rPr>
      </w:pPr>
    </w:p>
    <w:p w14:paraId="08EB2820">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牵头人法定代表人（签字或者盖章或者电子签名）：</w:t>
      </w:r>
    </w:p>
    <w:p w14:paraId="23F7B3CB">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牵头人（电子签章）：</w:t>
      </w:r>
    </w:p>
    <w:p w14:paraId="70178FB8">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01DB855B">
      <w:pPr>
        <w:spacing w:line="440" w:lineRule="exact"/>
        <w:ind w:firstLine="566" w:firstLineChars="236"/>
        <w:contextualSpacing/>
        <w:rPr>
          <w:rFonts w:ascii="宋体" w:hAnsi="宋体" w:cs="宋体"/>
          <w:color w:val="auto"/>
          <w:sz w:val="24"/>
          <w:highlight w:val="none"/>
        </w:rPr>
      </w:pPr>
    </w:p>
    <w:p w14:paraId="6CDC48E0">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被授权人（签字或者电子签名）：</w:t>
      </w:r>
    </w:p>
    <w:p w14:paraId="09A22D55">
      <w:pPr>
        <w:spacing w:line="440" w:lineRule="exact"/>
        <w:ind w:firstLine="566" w:firstLineChars="236"/>
        <w:contextualSpacing/>
        <w:rPr>
          <w:rFonts w:ascii="宋体" w:hAnsi="宋体" w:cs="宋体"/>
          <w:color w:val="auto"/>
          <w:sz w:val="32"/>
          <w:szCs w:val="32"/>
          <w:highlight w:val="none"/>
        </w:rPr>
      </w:pPr>
      <w:r>
        <w:rPr>
          <w:rFonts w:hint="eastAsia" w:ascii="宋体" w:hAnsi="宋体" w:cs="宋体"/>
          <w:color w:val="auto"/>
          <w:sz w:val="24"/>
          <w:highlight w:val="none"/>
        </w:rPr>
        <w:t>日期：    年   月   日</w:t>
      </w:r>
    </w:p>
    <w:p w14:paraId="61C0169D">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注：1.法定代表人必须在授权委托书上签字或者盖章或者电子签名，委托代理人必须在授权委托书上签字或者电子签名，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p>
    <w:p w14:paraId="25D99AD5">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06279F49">
      <w:pPr>
        <w:snapToGrid w:val="0"/>
        <w:spacing w:before="50" w:after="120" w:afterLines="50"/>
        <w:jc w:val="left"/>
        <w:rPr>
          <w:rFonts w:ascii="宋体" w:hAnsi="宋体" w:cs="宋体"/>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992" w:gutter="0"/>
          <w:pgNumType w:start="0"/>
          <w:cols w:space="720" w:num="1"/>
          <w:titlePg/>
          <w:docGrid w:linePitch="312" w:charSpace="0"/>
        </w:sectPr>
      </w:pPr>
    </w:p>
    <w:p w14:paraId="4146ECC3">
      <w:pPr>
        <w:rPr>
          <w:rFonts w:ascii="宋体" w:hAnsi="宋体" w:cs="宋体"/>
          <w:color w:val="auto"/>
          <w:sz w:val="24"/>
          <w:highlight w:val="none"/>
        </w:rPr>
      </w:pPr>
    </w:p>
    <w:p w14:paraId="0DF5D2B2">
      <w:pPr>
        <w:rPr>
          <w:rFonts w:ascii="宋体" w:hAnsi="宋体" w:cs="宋体"/>
          <w:b/>
          <w:color w:val="auto"/>
          <w:sz w:val="24"/>
          <w:szCs w:val="20"/>
          <w:highlight w:val="none"/>
        </w:rPr>
      </w:pPr>
      <w:r>
        <w:rPr>
          <w:rFonts w:hint="eastAsia" w:ascii="宋体" w:hAnsi="宋体" w:cs="宋体"/>
          <w:b/>
          <w:color w:val="auto"/>
          <w:sz w:val="24"/>
          <w:highlight w:val="none"/>
        </w:rPr>
        <w:t>商务要求承诺响应表格式</w:t>
      </w:r>
    </w:p>
    <w:p w14:paraId="01D98616">
      <w:pPr>
        <w:snapToGrid w:val="0"/>
        <w:spacing w:before="50"/>
        <w:jc w:val="left"/>
        <w:rPr>
          <w:rFonts w:ascii="宋体" w:hAnsi="宋体" w:cs="宋体"/>
          <w:color w:val="auto"/>
          <w:sz w:val="24"/>
          <w:highlight w:val="none"/>
          <w:u w:val="single"/>
        </w:rPr>
      </w:pPr>
      <w:r>
        <w:rPr>
          <w:rFonts w:hint="eastAsia" w:ascii="宋体" w:hAnsi="宋体" w:cs="宋体"/>
          <w:color w:val="auto"/>
          <w:sz w:val="24"/>
          <w:highlight w:val="none"/>
        </w:rPr>
        <w:t>分标</w:t>
      </w:r>
    </w:p>
    <w:tbl>
      <w:tblPr>
        <w:tblStyle w:val="4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2"/>
        <w:gridCol w:w="5495"/>
      </w:tblGrid>
      <w:tr w14:paraId="2D618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2552" w:type="dxa"/>
            <w:tcBorders>
              <w:top w:val="single" w:color="auto" w:sz="4" w:space="0"/>
              <w:left w:val="single" w:color="auto" w:sz="4" w:space="0"/>
              <w:bottom w:val="single" w:color="auto" w:sz="4" w:space="0"/>
              <w:right w:val="single" w:color="auto" w:sz="4" w:space="0"/>
            </w:tcBorders>
            <w:vAlign w:val="center"/>
          </w:tcPr>
          <w:p w14:paraId="217DA228">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5495" w:type="dxa"/>
            <w:tcBorders>
              <w:top w:val="single" w:color="auto" w:sz="4" w:space="0"/>
              <w:left w:val="single" w:color="auto" w:sz="4" w:space="0"/>
              <w:bottom w:val="single" w:color="auto" w:sz="4" w:space="0"/>
              <w:right w:val="single" w:color="auto" w:sz="4" w:space="0"/>
            </w:tcBorders>
            <w:vAlign w:val="center"/>
          </w:tcPr>
          <w:p w14:paraId="3EBD5055">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投标人对应“招标文件商务要求”的详细承诺响应</w:t>
            </w:r>
          </w:p>
        </w:tc>
      </w:tr>
      <w:tr w14:paraId="17208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2552" w:type="dxa"/>
            <w:tcBorders>
              <w:top w:val="single" w:color="auto" w:sz="4" w:space="0"/>
              <w:left w:val="single" w:color="auto" w:sz="4" w:space="0"/>
              <w:bottom w:val="single" w:color="auto" w:sz="4" w:space="0"/>
              <w:right w:val="single" w:color="auto" w:sz="4" w:space="0"/>
            </w:tcBorders>
            <w:vAlign w:val="center"/>
          </w:tcPr>
          <w:p w14:paraId="720309DA">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（一）售后服务基本要求</w:t>
            </w:r>
          </w:p>
        </w:tc>
        <w:tc>
          <w:tcPr>
            <w:tcW w:w="5495" w:type="dxa"/>
            <w:tcBorders>
              <w:top w:val="single" w:color="auto" w:sz="4" w:space="0"/>
              <w:left w:val="single" w:color="auto" w:sz="4" w:space="0"/>
              <w:bottom w:val="single" w:color="auto" w:sz="4" w:space="0"/>
              <w:right w:val="single" w:color="auto" w:sz="4" w:space="0"/>
            </w:tcBorders>
          </w:tcPr>
          <w:p w14:paraId="3B390903">
            <w:pPr>
              <w:snapToGrid w:val="0"/>
              <w:spacing w:before="120" w:beforeLines="50"/>
              <w:jc w:val="center"/>
              <w:rPr>
                <w:rFonts w:ascii="宋体" w:hAnsi="宋体" w:cs="宋体"/>
                <w:color w:val="auto"/>
                <w:sz w:val="24"/>
                <w:highlight w:val="none"/>
              </w:rPr>
            </w:pPr>
          </w:p>
        </w:tc>
      </w:tr>
      <w:tr w14:paraId="1FA1B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2552" w:type="dxa"/>
            <w:tcBorders>
              <w:top w:val="single" w:color="auto" w:sz="4" w:space="0"/>
              <w:left w:val="single" w:color="auto" w:sz="4" w:space="0"/>
              <w:bottom w:val="single" w:color="auto" w:sz="4" w:space="0"/>
              <w:right w:val="single" w:color="auto" w:sz="4" w:space="0"/>
            </w:tcBorders>
            <w:vAlign w:val="center"/>
          </w:tcPr>
          <w:p w14:paraId="5E8D0FA0">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（二）合同签订时间</w:t>
            </w:r>
          </w:p>
        </w:tc>
        <w:tc>
          <w:tcPr>
            <w:tcW w:w="5495" w:type="dxa"/>
            <w:tcBorders>
              <w:top w:val="single" w:color="auto" w:sz="4" w:space="0"/>
              <w:left w:val="single" w:color="auto" w:sz="4" w:space="0"/>
              <w:bottom w:val="single" w:color="auto" w:sz="4" w:space="0"/>
              <w:right w:val="single" w:color="auto" w:sz="4" w:space="0"/>
            </w:tcBorders>
          </w:tcPr>
          <w:p w14:paraId="650C96A0">
            <w:pPr>
              <w:snapToGrid w:val="0"/>
              <w:spacing w:before="120" w:beforeLines="50"/>
              <w:ind w:left="43"/>
              <w:jc w:val="center"/>
              <w:rPr>
                <w:rFonts w:ascii="宋体" w:hAnsi="宋体" w:cs="宋体"/>
                <w:color w:val="auto"/>
                <w:sz w:val="24"/>
                <w:highlight w:val="none"/>
              </w:rPr>
            </w:pPr>
          </w:p>
        </w:tc>
      </w:tr>
      <w:tr w14:paraId="5F357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552" w:type="dxa"/>
            <w:tcBorders>
              <w:top w:val="single" w:color="auto" w:sz="4" w:space="0"/>
              <w:left w:val="single" w:color="auto" w:sz="4" w:space="0"/>
              <w:bottom w:val="single" w:color="auto" w:sz="4" w:space="0"/>
              <w:right w:val="single" w:color="auto" w:sz="4" w:space="0"/>
            </w:tcBorders>
            <w:vAlign w:val="center"/>
          </w:tcPr>
          <w:p w14:paraId="3470E69C">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（三）交付时间和地点</w:t>
            </w:r>
          </w:p>
        </w:tc>
        <w:tc>
          <w:tcPr>
            <w:tcW w:w="5495" w:type="dxa"/>
            <w:tcBorders>
              <w:top w:val="single" w:color="auto" w:sz="4" w:space="0"/>
              <w:left w:val="single" w:color="auto" w:sz="4" w:space="0"/>
              <w:bottom w:val="single" w:color="auto" w:sz="4" w:space="0"/>
              <w:right w:val="single" w:color="auto" w:sz="4" w:space="0"/>
            </w:tcBorders>
          </w:tcPr>
          <w:p w14:paraId="792DA55B">
            <w:pPr>
              <w:snapToGrid w:val="0"/>
              <w:spacing w:before="120" w:beforeLines="50"/>
              <w:jc w:val="center"/>
              <w:rPr>
                <w:rFonts w:ascii="宋体" w:hAnsi="宋体" w:cs="宋体"/>
                <w:color w:val="auto"/>
                <w:sz w:val="24"/>
                <w:highlight w:val="none"/>
              </w:rPr>
            </w:pPr>
          </w:p>
        </w:tc>
      </w:tr>
      <w:tr w14:paraId="2DF76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552" w:type="dxa"/>
            <w:tcBorders>
              <w:top w:val="single" w:color="auto" w:sz="4" w:space="0"/>
              <w:left w:val="single" w:color="auto" w:sz="4" w:space="0"/>
              <w:bottom w:val="single" w:color="auto" w:sz="4" w:space="0"/>
              <w:right w:val="single" w:color="auto" w:sz="4" w:space="0"/>
            </w:tcBorders>
            <w:vAlign w:val="center"/>
          </w:tcPr>
          <w:p w14:paraId="016964E1">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（四）付款方式</w:t>
            </w:r>
          </w:p>
        </w:tc>
        <w:tc>
          <w:tcPr>
            <w:tcW w:w="5495" w:type="dxa"/>
            <w:tcBorders>
              <w:top w:val="single" w:color="auto" w:sz="4" w:space="0"/>
              <w:left w:val="single" w:color="auto" w:sz="4" w:space="0"/>
              <w:bottom w:val="single" w:color="auto" w:sz="4" w:space="0"/>
              <w:right w:val="single" w:color="auto" w:sz="4" w:space="0"/>
            </w:tcBorders>
          </w:tcPr>
          <w:p w14:paraId="7697D8B8">
            <w:pPr>
              <w:snapToGrid w:val="0"/>
              <w:spacing w:before="120" w:beforeLines="50"/>
              <w:jc w:val="center"/>
              <w:rPr>
                <w:rFonts w:ascii="宋体" w:hAnsi="宋体" w:cs="宋体"/>
                <w:color w:val="auto"/>
                <w:sz w:val="24"/>
                <w:highlight w:val="none"/>
              </w:rPr>
            </w:pPr>
          </w:p>
        </w:tc>
      </w:tr>
      <w:tr w14:paraId="33B1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552" w:type="dxa"/>
            <w:tcBorders>
              <w:top w:val="single" w:color="auto" w:sz="4" w:space="0"/>
              <w:left w:val="single" w:color="auto" w:sz="4" w:space="0"/>
              <w:bottom w:val="single" w:color="auto" w:sz="4" w:space="0"/>
              <w:right w:val="single" w:color="auto" w:sz="4" w:space="0"/>
            </w:tcBorders>
            <w:vAlign w:val="center"/>
          </w:tcPr>
          <w:p w14:paraId="66A835F4">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（五）包装和运输</w:t>
            </w:r>
          </w:p>
        </w:tc>
        <w:tc>
          <w:tcPr>
            <w:tcW w:w="5495" w:type="dxa"/>
            <w:tcBorders>
              <w:top w:val="single" w:color="auto" w:sz="4" w:space="0"/>
              <w:left w:val="single" w:color="auto" w:sz="4" w:space="0"/>
              <w:bottom w:val="single" w:color="auto" w:sz="4" w:space="0"/>
              <w:right w:val="single" w:color="auto" w:sz="4" w:space="0"/>
            </w:tcBorders>
          </w:tcPr>
          <w:p w14:paraId="016849BA">
            <w:pPr>
              <w:snapToGrid w:val="0"/>
              <w:spacing w:before="120" w:beforeLines="50"/>
              <w:jc w:val="center"/>
              <w:rPr>
                <w:rFonts w:ascii="宋体" w:hAnsi="宋体" w:cs="宋体"/>
                <w:color w:val="auto"/>
                <w:sz w:val="24"/>
                <w:highlight w:val="none"/>
              </w:rPr>
            </w:pPr>
          </w:p>
        </w:tc>
      </w:tr>
      <w:tr w14:paraId="3109A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552" w:type="dxa"/>
            <w:tcBorders>
              <w:top w:val="single" w:color="auto" w:sz="4" w:space="0"/>
              <w:left w:val="single" w:color="auto" w:sz="4" w:space="0"/>
              <w:bottom w:val="single" w:color="auto" w:sz="4" w:space="0"/>
              <w:right w:val="single" w:color="auto" w:sz="4" w:space="0"/>
            </w:tcBorders>
            <w:vAlign w:val="center"/>
          </w:tcPr>
          <w:p w14:paraId="562FEA00">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（六）保险</w:t>
            </w:r>
          </w:p>
        </w:tc>
        <w:tc>
          <w:tcPr>
            <w:tcW w:w="5495" w:type="dxa"/>
            <w:tcBorders>
              <w:top w:val="single" w:color="auto" w:sz="4" w:space="0"/>
              <w:left w:val="single" w:color="auto" w:sz="4" w:space="0"/>
              <w:bottom w:val="single" w:color="auto" w:sz="4" w:space="0"/>
              <w:right w:val="single" w:color="auto" w:sz="4" w:space="0"/>
            </w:tcBorders>
          </w:tcPr>
          <w:p w14:paraId="122C69EF">
            <w:pPr>
              <w:snapToGrid w:val="0"/>
              <w:spacing w:before="120" w:beforeLines="50"/>
              <w:jc w:val="center"/>
              <w:rPr>
                <w:rFonts w:ascii="宋体" w:hAnsi="宋体" w:cs="宋体"/>
                <w:color w:val="auto"/>
                <w:sz w:val="24"/>
                <w:highlight w:val="none"/>
              </w:rPr>
            </w:pPr>
          </w:p>
        </w:tc>
      </w:tr>
      <w:tr w14:paraId="4B8B3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52" w:type="dxa"/>
            <w:tcBorders>
              <w:top w:val="single" w:color="auto" w:sz="4" w:space="0"/>
              <w:left w:val="single" w:color="auto" w:sz="4" w:space="0"/>
              <w:bottom w:val="single" w:color="auto" w:sz="4" w:space="0"/>
              <w:right w:val="single" w:color="auto" w:sz="4" w:space="0"/>
            </w:tcBorders>
            <w:vAlign w:val="center"/>
          </w:tcPr>
          <w:p w14:paraId="4577EC02">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（七）验收标准</w:t>
            </w:r>
          </w:p>
        </w:tc>
        <w:tc>
          <w:tcPr>
            <w:tcW w:w="5495" w:type="dxa"/>
            <w:tcBorders>
              <w:top w:val="single" w:color="auto" w:sz="4" w:space="0"/>
              <w:left w:val="single" w:color="auto" w:sz="4" w:space="0"/>
              <w:bottom w:val="single" w:color="auto" w:sz="4" w:space="0"/>
              <w:right w:val="single" w:color="auto" w:sz="4" w:space="0"/>
            </w:tcBorders>
          </w:tcPr>
          <w:p w14:paraId="75102A99">
            <w:pPr>
              <w:snapToGrid w:val="0"/>
              <w:spacing w:before="120" w:beforeLines="50"/>
              <w:jc w:val="center"/>
              <w:rPr>
                <w:rFonts w:ascii="宋体" w:hAnsi="宋体" w:cs="宋体"/>
                <w:color w:val="auto"/>
                <w:sz w:val="24"/>
                <w:highlight w:val="none"/>
              </w:rPr>
            </w:pPr>
          </w:p>
        </w:tc>
      </w:tr>
      <w:tr w14:paraId="501D2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6B1FA780">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（八）知识产权</w:t>
            </w:r>
          </w:p>
        </w:tc>
        <w:tc>
          <w:tcPr>
            <w:tcW w:w="5495" w:type="dxa"/>
            <w:tcBorders>
              <w:top w:val="single" w:color="auto" w:sz="4" w:space="0"/>
              <w:left w:val="single" w:color="auto" w:sz="4" w:space="0"/>
              <w:bottom w:val="single" w:color="auto" w:sz="4" w:space="0"/>
              <w:right w:val="single" w:color="auto" w:sz="4" w:space="0"/>
            </w:tcBorders>
          </w:tcPr>
          <w:p w14:paraId="7F498289">
            <w:pPr>
              <w:snapToGrid w:val="0"/>
              <w:spacing w:before="120" w:beforeLines="50"/>
              <w:jc w:val="center"/>
              <w:rPr>
                <w:rFonts w:ascii="宋体" w:hAnsi="宋体" w:cs="宋体"/>
                <w:color w:val="auto"/>
                <w:sz w:val="24"/>
                <w:highlight w:val="none"/>
              </w:rPr>
            </w:pPr>
          </w:p>
        </w:tc>
      </w:tr>
      <w:tr w14:paraId="6C109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7BBB6BAF">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（九）违约责任</w:t>
            </w:r>
          </w:p>
        </w:tc>
        <w:tc>
          <w:tcPr>
            <w:tcW w:w="5495" w:type="dxa"/>
            <w:tcBorders>
              <w:top w:val="single" w:color="auto" w:sz="4" w:space="0"/>
              <w:left w:val="single" w:color="auto" w:sz="4" w:space="0"/>
              <w:bottom w:val="single" w:color="auto" w:sz="4" w:space="0"/>
              <w:right w:val="single" w:color="auto" w:sz="4" w:space="0"/>
            </w:tcBorders>
          </w:tcPr>
          <w:p w14:paraId="1EA19CF1">
            <w:pPr>
              <w:snapToGrid w:val="0"/>
              <w:spacing w:before="120" w:beforeLines="50"/>
              <w:jc w:val="center"/>
              <w:rPr>
                <w:rFonts w:ascii="宋体" w:hAnsi="宋体" w:cs="宋体"/>
                <w:color w:val="auto"/>
                <w:sz w:val="24"/>
                <w:highlight w:val="none"/>
              </w:rPr>
            </w:pPr>
          </w:p>
        </w:tc>
      </w:tr>
      <w:tr w14:paraId="0F912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6667F3B1">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（十）医疗器械管理相应有效证明材料</w:t>
            </w:r>
          </w:p>
        </w:tc>
        <w:tc>
          <w:tcPr>
            <w:tcW w:w="5495" w:type="dxa"/>
            <w:tcBorders>
              <w:top w:val="single" w:color="auto" w:sz="4" w:space="0"/>
              <w:left w:val="single" w:color="auto" w:sz="4" w:space="0"/>
              <w:bottom w:val="single" w:color="auto" w:sz="4" w:space="0"/>
              <w:right w:val="single" w:color="auto" w:sz="4" w:space="0"/>
            </w:tcBorders>
          </w:tcPr>
          <w:p w14:paraId="4FF8356A">
            <w:pPr>
              <w:snapToGrid w:val="0"/>
              <w:spacing w:before="120" w:beforeLines="50"/>
              <w:jc w:val="center"/>
              <w:rPr>
                <w:rFonts w:ascii="宋体" w:hAnsi="宋体" w:cs="宋体"/>
                <w:color w:val="auto"/>
                <w:sz w:val="24"/>
                <w:highlight w:val="none"/>
              </w:rPr>
            </w:pPr>
          </w:p>
        </w:tc>
      </w:tr>
      <w:tr w14:paraId="73783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2ABB4913">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（十一）进口产品说明</w:t>
            </w:r>
          </w:p>
        </w:tc>
        <w:tc>
          <w:tcPr>
            <w:tcW w:w="5495" w:type="dxa"/>
            <w:tcBorders>
              <w:top w:val="single" w:color="auto" w:sz="4" w:space="0"/>
              <w:left w:val="single" w:color="auto" w:sz="4" w:space="0"/>
              <w:bottom w:val="single" w:color="auto" w:sz="4" w:space="0"/>
              <w:right w:val="single" w:color="auto" w:sz="4" w:space="0"/>
            </w:tcBorders>
          </w:tcPr>
          <w:p w14:paraId="01832503">
            <w:pPr>
              <w:snapToGrid w:val="0"/>
              <w:spacing w:before="120" w:beforeLines="50"/>
              <w:jc w:val="center"/>
              <w:rPr>
                <w:rFonts w:ascii="宋体" w:hAnsi="宋体" w:cs="宋体"/>
                <w:color w:val="auto"/>
                <w:sz w:val="24"/>
                <w:highlight w:val="none"/>
              </w:rPr>
            </w:pPr>
          </w:p>
        </w:tc>
      </w:tr>
      <w:tr w14:paraId="30C5B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717A9177">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（十二）采购预算及最高限价</w:t>
            </w:r>
          </w:p>
        </w:tc>
        <w:tc>
          <w:tcPr>
            <w:tcW w:w="5495" w:type="dxa"/>
            <w:tcBorders>
              <w:top w:val="single" w:color="auto" w:sz="4" w:space="0"/>
              <w:left w:val="single" w:color="auto" w:sz="4" w:space="0"/>
              <w:bottom w:val="single" w:color="auto" w:sz="4" w:space="0"/>
              <w:right w:val="single" w:color="auto" w:sz="4" w:space="0"/>
            </w:tcBorders>
          </w:tcPr>
          <w:p w14:paraId="1BC61738">
            <w:pPr>
              <w:snapToGrid w:val="0"/>
              <w:spacing w:before="120" w:beforeLines="50"/>
              <w:jc w:val="center"/>
              <w:rPr>
                <w:rFonts w:ascii="宋体" w:hAnsi="宋体" w:cs="宋体"/>
                <w:color w:val="auto"/>
                <w:sz w:val="24"/>
                <w:highlight w:val="none"/>
              </w:rPr>
            </w:pPr>
          </w:p>
        </w:tc>
      </w:tr>
    </w:tbl>
    <w:p w14:paraId="3D237DF2">
      <w:pPr>
        <w:pStyle w:val="18"/>
        <w:spacing w:line="360" w:lineRule="exact"/>
        <w:rPr>
          <w:rFonts w:ascii="宋体" w:hAnsi="宋体" w:cs="宋体"/>
          <w:color w:val="auto"/>
          <w:highlight w:val="none"/>
        </w:rPr>
      </w:pPr>
      <w:r>
        <w:rPr>
          <w:rFonts w:hint="eastAsia" w:ascii="宋体" w:hAnsi="宋体" w:cs="宋体"/>
          <w:color w:val="auto"/>
          <w:highlight w:val="none"/>
        </w:rPr>
        <w:t>注：</w:t>
      </w:r>
    </w:p>
    <w:p w14:paraId="1B13F441">
      <w:pPr>
        <w:pStyle w:val="20"/>
        <w:spacing w:line="360" w:lineRule="exact"/>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说明：应对照招标文件“第二章 采购需求”中的商务要求逐条作明确的投标响应。</w:t>
      </w:r>
    </w:p>
    <w:p w14:paraId="2138922D">
      <w:pPr>
        <w:snapToGrid w:val="0"/>
        <w:spacing w:before="50" w:after="50" w:line="360" w:lineRule="exact"/>
        <w:rPr>
          <w:rFonts w:ascii="宋体" w:hAnsi="宋体" w:cs="宋体"/>
          <w:color w:val="auto"/>
          <w:sz w:val="24"/>
          <w:highlight w:val="none"/>
        </w:rPr>
      </w:pPr>
    </w:p>
    <w:p w14:paraId="554640A7">
      <w:pPr>
        <w:snapToGrid w:val="0"/>
        <w:spacing w:before="50" w:after="50" w:line="360" w:lineRule="exact"/>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0EE3C0C0">
      <w:pPr>
        <w:snapToGrid w:val="0"/>
        <w:spacing w:before="120" w:beforeLines="50" w:line="360" w:lineRule="exact"/>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75872730">
      <w:pPr>
        <w:snapToGrid w:val="0"/>
        <w:spacing w:before="120" w:beforeLines="50" w:line="360" w:lineRule="exact"/>
        <w:rPr>
          <w:rFonts w:ascii="宋体" w:hAnsi="宋体" w:cs="宋体"/>
          <w:color w:val="auto"/>
          <w:spacing w:val="20"/>
          <w:sz w:val="24"/>
          <w:highlight w:val="none"/>
        </w:rPr>
      </w:pPr>
      <w:r>
        <w:rPr>
          <w:rFonts w:hint="eastAsia" w:ascii="宋体" w:hAnsi="宋体" w:cs="宋体"/>
          <w:color w:val="auto"/>
          <w:spacing w:val="20"/>
          <w:sz w:val="24"/>
          <w:highlight w:val="none"/>
        </w:rPr>
        <w:t>日  期：</w:t>
      </w:r>
    </w:p>
    <w:p w14:paraId="1E7CE4A6">
      <w:pPr>
        <w:snapToGrid w:val="0"/>
        <w:spacing w:before="120" w:beforeLines="50"/>
        <w:rPr>
          <w:rFonts w:ascii="宋体" w:hAnsi="宋体" w:cs="宋体"/>
          <w:b/>
          <w:color w:val="auto"/>
          <w:sz w:val="24"/>
          <w:highlight w:val="none"/>
        </w:rPr>
      </w:pPr>
    </w:p>
    <w:p w14:paraId="5D2EE1C8">
      <w:pPr>
        <w:snapToGrid w:val="0"/>
        <w:spacing w:before="120" w:beforeLines="50"/>
        <w:rPr>
          <w:rFonts w:ascii="宋体" w:hAnsi="宋体" w:cs="宋体"/>
          <w:b/>
          <w:color w:val="auto"/>
          <w:sz w:val="24"/>
          <w:highlight w:val="none"/>
        </w:rPr>
      </w:pPr>
    </w:p>
    <w:p w14:paraId="79A1CCB8">
      <w:pPr>
        <w:snapToGrid w:val="0"/>
        <w:spacing w:before="120" w:beforeLines="50"/>
        <w:rPr>
          <w:rFonts w:ascii="宋体" w:hAnsi="宋体" w:cs="宋体"/>
          <w:b/>
          <w:color w:val="auto"/>
          <w:sz w:val="24"/>
          <w:highlight w:val="none"/>
        </w:rPr>
      </w:pPr>
      <w:r>
        <w:rPr>
          <w:rFonts w:hint="eastAsia" w:ascii="宋体" w:hAnsi="宋体" w:cs="宋体"/>
          <w:b/>
          <w:color w:val="auto"/>
          <w:sz w:val="24"/>
          <w:highlight w:val="none"/>
        </w:rPr>
        <w:t>安装实施方案格式</w:t>
      </w:r>
    </w:p>
    <w:p w14:paraId="058A31D2">
      <w:pPr>
        <w:snapToGrid w:val="0"/>
        <w:spacing w:before="120" w:beforeLines="50"/>
        <w:jc w:val="center"/>
        <w:rPr>
          <w:rFonts w:ascii="宋体" w:hAnsi="宋体" w:cs="宋体"/>
          <w:b/>
          <w:color w:val="auto"/>
          <w:sz w:val="36"/>
          <w:szCs w:val="36"/>
          <w:highlight w:val="none"/>
        </w:rPr>
      </w:pPr>
      <w:r>
        <w:rPr>
          <w:rFonts w:hint="eastAsia" w:ascii="宋体" w:hAnsi="宋体" w:cs="宋体"/>
          <w:b/>
          <w:color w:val="auto"/>
          <w:sz w:val="36"/>
          <w:szCs w:val="36"/>
          <w:highlight w:val="none"/>
        </w:rPr>
        <w:t>分标安装实施方案方案</w:t>
      </w:r>
    </w:p>
    <w:p w14:paraId="35B4B5B8">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一、安装方案</w:t>
      </w:r>
    </w:p>
    <w:p w14:paraId="0E8F420C">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w:t>
      </w:r>
    </w:p>
    <w:p w14:paraId="22F2BC24">
      <w:pPr>
        <w:snapToGrid w:val="0"/>
        <w:spacing w:before="120" w:beforeLines="50"/>
        <w:rPr>
          <w:rFonts w:ascii="宋体" w:hAnsi="宋体" w:cs="宋体"/>
          <w:bCs/>
          <w:color w:val="auto"/>
          <w:szCs w:val="21"/>
          <w:highlight w:val="none"/>
        </w:rPr>
      </w:pPr>
    </w:p>
    <w:p w14:paraId="092ED59F">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二、设备调试方案</w:t>
      </w:r>
    </w:p>
    <w:p w14:paraId="12F20ACC">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w:t>
      </w:r>
    </w:p>
    <w:p w14:paraId="736746C3">
      <w:pPr>
        <w:snapToGrid w:val="0"/>
        <w:spacing w:before="120" w:beforeLines="50"/>
        <w:rPr>
          <w:rFonts w:ascii="宋体" w:hAnsi="宋体" w:cs="宋体"/>
          <w:bCs/>
          <w:color w:val="auto"/>
          <w:szCs w:val="21"/>
          <w:highlight w:val="none"/>
        </w:rPr>
      </w:pPr>
    </w:p>
    <w:p w14:paraId="70E5E44A">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三、设备试运行方案等</w:t>
      </w:r>
    </w:p>
    <w:p w14:paraId="0F6D68CA">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w:t>
      </w:r>
    </w:p>
    <w:p w14:paraId="50110F94">
      <w:pPr>
        <w:snapToGrid w:val="0"/>
        <w:spacing w:before="50" w:after="50"/>
        <w:rPr>
          <w:rFonts w:ascii="宋体" w:hAnsi="宋体" w:cs="宋体"/>
          <w:color w:val="auto"/>
          <w:sz w:val="24"/>
          <w:highlight w:val="none"/>
        </w:rPr>
      </w:pPr>
    </w:p>
    <w:p w14:paraId="125ADBFF">
      <w:pPr>
        <w:snapToGrid w:val="0"/>
        <w:spacing w:before="50" w:after="50"/>
        <w:rPr>
          <w:rFonts w:ascii="宋体" w:hAnsi="宋体" w:cs="宋体"/>
          <w:color w:val="auto"/>
          <w:sz w:val="24"/>
          <w:highlight w:val="none"/>
        </w:rPr>
      </w:pPr>
    </w:p>
    <w:p w14:paraId="4032BB21">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575C952E">
      <w:pPr>
        <w:snapToGrid w:val="0"/>
        <w:spacing w:before="120"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3EC27A91">
      <w:pPr>
        <w:snapToGrid w:val="0"/>
        <w:spacing w:before="120" w:beforeLines="50"/>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3D3F7873">
      <w:pPr>
        <w:pStyle w:val="57"/>
        <w:ind w:firstLine="420"/>
        <w:rPr>
          <w:rFonts w:ascii="宋体" w:hAnsi="宋体" w:cs="宋体"/>
          <w:color w:val="auto"/>
          <w:highlight w:val="none"/>
        </w:rPr>
      </w:pPr>
    </w:p>
    <w:p w14:paraId="003CD8CD">
      <w:pPr>
        <w:snapToGrid w:val="0"/>
        <w:spacing w:before="120" w:beforeLines="50"/>
        <w:rPr>
          <w:rFonts w:ascii="宋体" w:hAnsi="宋体" w:cs="宋体"/>
          <w:color w:val="auto"/>
          <w:spacing w:val="20"/>
          <w:sz w:val="24"/>
          <w:highlight w:val="none"/>
          <w:u w:val="single"/>
        </w:rPr>
      </w:pPr>
      <w:r>
        <w:rPr>
          <w:rFonts w:hint="eastAsia" w:ascii="宋体" w:hAnsi="宋体" w:cs="宋体"/>
          <w:b/>
          <w:color w:val="auto"/>
          <w:sz w:val="24"/>
          <w:highlight w:val="none"/>
        </w:rPr>
        <w:t>增值售后服务方案格式</w:t>
      </w:r>
    </w:p>
    <w:p w14:paraId="7F5C2638">
      <w:pPr>
        <w:snapToGrid w:val="0"/>
        <w:spacing w:before="120" w:beforeLines="50"/>
        <w:jc w:val="center"/>
        <w:rPr>
          <w:rFonts w:ascii="宋体" w:hAnsi="宋体" w:cs="宋体"/>
          <w:b/>
          <w:color w:val="auto"/>
          <w:sz w:val="36"/>
          <w:szCs w:val="36"/>
          <w:highlight w:val="none"/>
        </w:rPr>
      </w:pPr>
    </w:p>
    <w:p w14:paraId="47F63D8A">
      <w:pPr>
        <w:snapToGrid w:val="0"/>
        <w:spacing w:before="120" w:beforeLines="50"/>
        <w:jc w:val="center"/>
        <w:rPr>
          <w:rFonts w:ascii="宋体" w:hAnsi="宋体" w:cs="宋体"/>
          <w:b/>
          <w:color w:val="auto"/>
          <w:spacing w:val="20"/>
          <w:sz w:val="36"/>
          <w:szCs w:val="36"/>
          <w:highlight w:val="none"/>
          <w:u w:val="single"/>
        </w:rPr>
      </w:pPr>
      <w:r>
        <w:rPr>
          <w:rFonts w:hint="eastAsia" w:ascii="宋体" w:hAnsi="宋体" w:cs="宋体"/>
          <w:b/>
          <w:color w:val="auto"/>
          <w:sz w:val="36"/>
          <w:szCs w:val="36"/>
          <w:highlight w:val="none"/>
        </w:rPr>
        <w:t>分标增值售后服务方案</w:t>
      </w:r>
    </w:p>
    <w:p w14:paraId="1B23F271">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一、到达故障现场时间、故障出现解决方案</w:t>
      </w:r>
    </w:p>
    <w:p w14:paraId="51E689AA">
      <w:pPr>
        <w:snapToGrid w:val="0"/>
        <w:spacing w:before="120"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7A10715A">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二、定期维护 (注明时间)</w:t>
      </w:r>
    </w:p>
    <w:p w14:paraId="68663A28">
      <w:pPr>
        <w:snapToGrid w:val="0"/>
        <w:spacing w:before="120"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317AACBE">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三、技术培训方案</w:t>
      </w:r>
    </w:p>
    <w:p w14:paraId="4D0CCC47">
      <w:pPr>
        <w:snapToGrid w:val="0"/>
        <w:spacing w:before="120"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582FDC78">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四、保修期外维修方案</w:t>
      </w:r>
    </w:p>
    <w:p w14:paraId="59643F7F">
      <w:pPr>
        <w:snapToGrid w:val="0"/>
        <w:spacing w:before="120"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102E8CA0">
      <w:pPr>
        <w:snapToGrid w:val="0"/>
        <w:spacing w:before="120" w:beforeLines="50"/>
        <w:rPr>
          <w:rFonts w:ascii="宋体" w:hAnsi="宋体" w:cs="宋体"/>
          <w:bCs/>
          <w:color w:val="auto"/>
          <w:szCs w:val="21"/>
          <w:highlight w:val="none"/>
        </w:rPr>
      </w:pPr>
      <w:r>
        <w:rPr>
          <w:rFonts w:hint="eastAsia" w:ascii="宋体" w:hAnsi="宋体" w:cs="宋体"/>
          <w:bCs/>
          <w:color w:val="auto"/>
          <w:szCs w:val="21"/>
          <w:highlight w:val="none"/>
        </w:rPr>
        <w:t>五、售后服务措施及其他优惠措施</w:t>
      </w:r>
    </w:p>
    <w:p w14:paraId="12F13790">
      <w:pPr>
        <w:snapToGrid w:val="0"/>
        <w:spacing w:before="120"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24126F53">
      <w:pPr>
        <w:snapToGrid w:val="0"/>
        <w:spacing w:before="120" w:beforeLines="50"/>
        <w:rPr>
          <w:rFonts w:ascii="宋体" w:hAnsi="宋体" w:cs="宋体"/>
          <w:color w:val="auto"/>
          <w:sz w:val="24"/>
          <w:szCs w:val="20"/>
          <w:highlight w:val="none"/>
        </w:rPr>
      </w:pPr>
    </w:p>
    <w:p w14:paraId="434F78E1">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286C6C5C">
      <w:pPr>
        <w:snapToGrid w:val="0"/>
        <w:spacing w:before="120"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7DFAAE5C">
      <w:pPr>
        <w:snapToGrid w:val="0"/>
        <w:spacing w:before="120" w:beforeLines="50"/>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1E4B8A3D">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t>投标人业绩证明材料</w:t>
      </w:r>
    </w:p>
    <w:p w14:paraId="11568F2A">
      <w:pPr>
        <w:pStyle w:val="36"/>
        <w:snapToGrid w:val="0"/>
        <w:ind w:left="480" w:hanging="480"/>
        <w:rPr>
          <w:rFonts w:ascii="宋体" w:hAnsi="宋体" w:cs="宋体"/>
          <w:color w:val="auto"/>
          <w:sz w:val="24"/>
          <w:highlight w:val="none"/>
        </w:rPr>
      </w:pPr>
    </w:p>
    <w:p w14:paraId="00A1D1C0">
      <w:pPr>
        <w:pStyle w:val="36"/>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业绩情况一览表格式： </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55522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2FF4633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72CBC1C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55FADCA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合同金额</w:t>
            </w:r>
          </w:p>
          <w:p w14:paraId="415E2DC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2FF3FFD0">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7E63F96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2A80C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5C19A8F5">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68AA5EB">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1FB03EF9">
            <w:pPr>
              <w:jc w:val="left"/>
              <w:rPr>
                <w:rFonts w:ascii="宋体" w:hAnsi="宋体" w:cs="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2855CBDF">
            <w:pPr>
              <w:jc w:val="left"/>
              <w:rPr>
                <w:rFonts w:ascii="宋体" w:hAnsi="宋体" w:cs="宋体"/>
                <w:color w:val="auto"/>
                <w:sz w:val="24"/>
                <w:highlight w:val="none"/>
              </w:rPr>
            </w:pPr>
          </w:p>
        </w:tc>
      </w:tr>
      <w:tr w14:paraId="16D73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43EFAABA">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7968246">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F2A6C7F">
            <w:pPr>
              <w:snapToGrid w:val="0"/>
              <w:spacing w:line="24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6A634C34">
            <w:pPr>
              <w:snapToGrid w:val="0"/>
              <w:spacing w:line="240" w:lineRule="exact"/>
              <w:jc w:val="left"/>
              <w:rPr>
                <w:rFonts w:ascii="宋体" w:hAnsi="宋体" w:cs="宋体"/>
                <w:color w:val="auto"/>
                <w:sz w:val="24"/>
                <w:highlight w:val="none"/>
              </w:rPr>
            </w:pPr>
          </w:p>
        </w:tc>
      </w:tr>
      <w:tr w14:paraId="2B0A8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CB24FB7">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B3B4985">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C264FDF">
            <w:pPr>
              <w:snapToGrid w:val="0"/>
              <w:spacing w:before="50" w:after="12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3544D86">
            <w:pPr>
              <w:snapToGrid w:val="0"/>
              <w:spacing w:before="50" w:after="120" w:afterLines="50" w:line="400" w:lineRule="exact"/>
              <w:jc w:val="left"/>
              <w:rPr>
                <w:rFonts w:ascii="宋体" w:hAnsi="宋体" w:cs="宋体"/>
                <w:color w:val="auto"/>
                <w:sz w:val="24"/>
                <w:highlight w:val="none"/>
              </w:rPr>
            </w:pPr>
          </w:p>
        </w:tc>
      </w:tr>
      <w:tr w14:paraId="17F57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6AF9B2F8">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6807D06">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2C1527C">
            <w:pPr>
              <w:snapToGrid w:val="0"/>
              <w:spacing w:before="50" w:after="12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9A2763D">
            <w:pPr>
              <w:snapToGrid w:val="0"/>
              <w:spacing w:before="50" w:after="120" w:afterLines="50" w:line="400" w:lineRule="exact"/>
              <w:jc w:val="left"/>
              <w:rPr>
                <w:rFonts w:ascii="宋体" w:hAnsi="宋体" w:cs="宋体"/>
                <w:color w:val="auto"/>
                <w:sz w:val="24"/>
                <w:highlight w:val="none"/>
              </w:rPr>
            </w:pPr>
          </w:p>
        </w:tc>
      </w:tr>
      <w:tr w14:paraId="0C498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361070E">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9F8831F">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024A301">
            <w:pPr>
              <w:snapToGrid w:val="0"/>
              <w:spacing w:before="50" w:after="12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782DE02">
            <w:pPr>
              <w:snapToGrid w:val="0"/>
              <w:spacing w:before="50" w:after="120" w:afterLines="50" w:line="400" w:lineRule="exact"/>
              <w:jc w:val="left"/>
              <w:rPr>
                <w:rFonts w:ascii="宋体" w:hAnsi="宋体" w:cs="宋体"/>
                <w:color w:val="auto"/>
                <w:sz w:val="24"/>
                <w:highlight w:val="none"/>
              </w:rPr>
            </w:pPr>
          </w:p>
        </w:tc>
      </w:tr>
      <w:tr w14:paraId="5D0CF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4483A8E">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3FDD08E">
            <w:pPr>
              <w:snapToGrid w:val="0"/>
              <w:spacing w:before="50" w:after="12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2D08D02">
            <w:pPr>
              <w:snapToGrid w:val="0"/>
              <w:spacing w:before="50" w:after="12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5BF16FC9">
            <w:pPr>
              <w:snapToGrid w:val="0"/>
              <w:spacing w:before="50" w:after="120" w:afterLines="50" w:line="400" w:lineRule="exact"/>
              <w:jc w:val="left"/>
              <w:rPr>
                <w:rFonts w:ascii="宋体" w:hAnsi="宋体" w:cs="宋体"/>
                <w:color w:val="auto"/>
                <w:sz w:val="24"/>
                <w:highlight w:val="none"/>
              </w:rPr>
            </w:pPr>
          </w:p>
        </w:tc>
      </w:tr>
    </w:tbl>
    <w:p w14:paraId="74609290">
      <w:pPr>
        <w:pStyle w:val="15"/>
        <w:spacing w:before="0" w:after="0" w:line="360" w:lineRule="auto"/>
        <w:contextualSpacing/>
        <w:rPr>
          <w:rFonts w:ascii="宋体" w:hAnsi="宋体" w:eastAsia="宋体" w:cs="宋体"/>
          <w:color w:val="auto"/>
          <w:sz w:val="24"/>
          <w:szCs w:val="24"/>
          <w:highlight w:val="none"/>
        </w:rPr>
      </w:pPr>
    </w:p>
    <w:p w14:paraId="518755F7">
      <w:pPr>
        <w:pStyle w:val="15"/>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18C6600F">
      <w:pPr>
        <w:pStyle w:val="15"/>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法定代表人或者委托代理人（签字或者电子签名）：</w:t>
      </w:r>
      <w:r>
        <w:rPr>
          <w:rFonts w:hint="eastAsia" w:ascii="宋体" w:hAnsi="宋体" w:eastAsia="宋体" w:cs="宋体"/>
          <w:color w:val="auto"/>
          <w:sz w:val="24"/>
          <w:szCs w:val="24"/>
          <w:highlight w:val="none"/>
          <w:u w:val="single"/>
        </w:rPr>
        <w:t>　　　　　</w:t>
      </w:r>
    </w:p>
    <w:p w14:paraId="7E4F2093">
      <w:pPr>
        <w:spacing w:line="360" w:lineRule="auto"/>
        <w:ind w:right="480"/>
        <w:contextualSpacing/>
        <w:jc w:val="left"/>
        <w:rPr>
          <w:rFonts w:ascii="宋体" w:hAnsi="宋体" w:cs="宋体"/>
          <w:color w:val="auto"/>
          <w:sz w:val="24"/>
          <w:szCs w:val="20"/>
          <w:highlight w:val="none"/>
        </w:rPr>
      </w:pPr>
      <w:r>
        <w:rPr>
          <w:rFonts w:hint="eastAsia" w:ascii="宋体" w:hAnsi="宋体" w:cs="宋体"/>
          <w:color w:val="auto"/>
          <w:sz w:val="24"/>
          <w:highlight w:val="none"/>
        </w:rPr>
        <w:t>投标人名称（电子签章）：                                                               年    月    日</w:t>
      </w:r>
    </w:p>
    <w:p w14:paraId="41977908">
      <w:pPr>
        <w:snapToGrid w:val="0"/>
        <w:spacing w:before="50"/>
        <w:ind w:firstLine="480" w:firstLineChars="200"/>
        <w:jc w:val="left"/>
        <w:rPr>
          <w:rFonts w:ascii="宋体" w:hAnsi="宋体" w:cs="宋体"/>
          <w:color w:val="auto"/>
          <w:sz w:val="24"/>
          <w:szCs w:val="20"/>
          <w:highlight w:val="none"/>
        </w:rPr>
      </w:pPr>
    </w:p>
    <w:p w14:paraId="23321E13">
      <w:pPr>
        <w:snapToGrid w:val="0"/>
        <w:spacing w:before="50"/>
        <w:jc w:val="left"/>
        <w:rPr>
          <w:rFonts w:ascii="宋体" w:hAnsi="宋体" w:cs="宋体"/>
          <w:color w:val="auto"/>
          <w:sz w:val="24"/>
          <w:highlight w:val="none"/>
        </w:rPr>
      </w:pPr>
    </w:p>
    <w:p w14:paraId="555A0877">
      <w:pPr>
        <w:snapToGrid w:val="0"/>
        <w:spacing w:before="120" w:beforeLines="50"/>
        <w:rPr>
          <w:rFonts w:ascii="宋体" w:hAnsi="宋体" w:cs="宋体"/>
          <w:color w:val="auto"/>
          <w:sz w:val="24"/>
          <w:szCs w:val="20"/>
          <w:highlight w:val="none"/>
        </w:rPr>
        <w:sectPr>
          <w:pgSz w:w="11906" w:h="16838"/>
          <w:pgMar w:top="1440" w:right="1797" w:bottom="1440" w:left="1797" w:header="851" w:footer="992" w:gutter="0"/>
          <w:cols w:space="720" w:num="1"/>
          <w:docGrid w:linePitch="312" w:charSpace="0"/>
        </w:sectPr>
      </w:pPr>
    </w:p>
    <w:p w14:paraId="576D0B41">
      <w:pPr>
        <w:rPr>
          <w:rFonts w:ascii="宋体" w:hAnsi="宋体" w:cs="宋体"/>
          <w:b/>
          <w:color w:val="auto"/>
          <w:sz w:val="28"/>
          <w:szCs w:val="28"/>
          <w:highlight w:val="none"/>
        </w:rPr>
      </w:pPr>
      <w:r>
        <w:rPr>
          <w:rFonts w:hint="eastAsia" w:ascii="宋体" w:hAnsi="宋体" w:cs="宋体"/>
          <w:b/>
          <w:color w:val="auto"/>
          <w:sz w:val="28"/>
          <w:szCs w:val="28"/>
          <w:highlight w:val="none"/>
        </w:rPr>
        <w:t>四、技术文件格式</w:t>
      </w:r>
    </w:p>
    <w:p w14:paraId="24DD1ED5">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2F8C29FA">
      <w:pPr>
        <w:snapToGrid w:val="0"/>
        <w:spacing w:before="120"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1AC3C3BA">
      <w:pPr>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382405B2">
      <w:pPr>
        <w:snapToGrid w:val="0"/>
        <w:spacing w:before="120" w:beforeLines="50" w:after="50"/>
        <w:rPr>
          <w:rFonts w:ascii="宋体" w:hAnsi="宋体" w:cs="宋体"/>
          <w:bCs/>
          <w:color w:val="auto"/>
          <w:sz w:val="24"/>
          <w:szCs w:val="20"/>
          <w:highlight w:val="none"/>
        </w:rPr>
      </w:pPr>
    </w:p>
    <w:p w14:paraId="313BA577">
      <w:pPr>
        <w:snapToGrid w:val="0"/>
        <w:spacing w:before="120"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3D7E752F">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4922D9B2">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4D2AA4D6">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7CF33FAF">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412587AF">
      <w:pPr>
        <w:snapToGrid w:val="0"/>
        <w:spacing w:before="120" w:beforeLines="50" w:after="50"/>
        <w:ind w:firstLine="645"/>
        <w:jc w:val="center"/>
        <w:rPr>
          <w:rFonts w:ascii="宋体" w:hAnsi="宋体" w:cs="宋体"/>
          <w:color w:val="auto"/>
          <w:sz w:val="24"/>
          <w:szCs w:val="20"/>
          <w:highlight w:val="none"/>
        </w:rPr>
      </w:pPr>
    </w:p>
    <w:p w14:paraId="08BF2A6E">
      <w:pPr>
        <w:snapToGrid w:val="0"/>
        <w:spacing w:before="120" w:beforeLines="50" w:after="50"/>
        <w:ind w:left="142"/>
        <w:jc w:val="left"/>
        <w:rPr>
          <w:rFonts w:ascii="宋体" w:hAnsi="宋体" w:cs="宋体"/>
          <w:b/>
          <w:color w:val="auto"/>
          <w:sz w:val="24"/>
          <w:highlight w:val="none"/>
        </w:rPr>
      </w:pPr>
      <w:r>
        <w:rPr>
          <w:rFonts w:hint="eastAsia" w:ascii="宋体" w:hAnsi="宋体" w:cs="宋体"/>
          <w:b/>
          <w:bCs/>
          <w:color w:val="auto"/>
          <w:sz w:val="24"/>
          <w:highlight w:val="none"/>
        </w:rPr>
        <w:br w:type="page"/>
      </w:r>
      <w:r>
        <w:rPr>
          <w:rFonts w:hint="eastAsia" w:ascii="宋体" w:hAnsi="宋体" w:cs="宋体"/>
          <w:b/>
          <w:color w:val="auto"/>
          <w:sz w:val="24"/>
          <w:highlight w:val="none"/>
        </w:rPr>
        <w:t>2.技术文件目录</w:t>
      </w:r>
    </w:p>
    <w:p w14:paraId="2F024E03">
      <w:pPr>
        <w:snapToGrid w:val="0"/>
        <w:spacing w:before="50" w:after="120" w:afterLines="50"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5A78B021">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部分技术文件格式</w:t>
      </w:r>
    </w:p>
    <w:p w14:paraId="63DB2D29">
      <w:pPr>
        <w:snapToGrid w:val="0"/>
        <w:spacing w:before="120" w:beforeLines="50" w:after="50"/>
        <w:ind w:left="142"/>
        <w:jc w:val="left"/>
        <w:rPr>
          <w:rFonts w:ascii="宋体" w:hAnsi="宋体" w:cs="宋体"/>
          <w:b/>
          <w:color w:val="auto"/>
          <w:sz w:val="24"/>
          <w:highlight w:val="none"/>
        </w:rPr>
      </w:pPr>
    </w:p>
    <w:p w14:paraId="456786E5">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技术要求偏离表</w:t>
      </w:r>
    </w:p>
    <w:p w14:paraId="20F3D1C5">
      <w:pPr>
        <w:snapToGrid w:val="0"/>
        <w:spacing w:before="120" w:beforeLines="50" w:after="50"/>
        <w:ind w:left="142"/>
        <w:jc w:val="left"/>
        <w:rPr>
          <w:rFonts w:ascii="宋体" w:hAnsi="宋体" w:cs="宋体"/>
          <w:b/>
          <w:color w:val="auto"/>
          <w:sz w:val="24"/>
          <w:highlight w:val="none"/>
        </w:rPr>
      </w:pPr>
    </w:p>
    <w:p w14:paraId="131C5C41">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技术要求偏离表</w:t>
      </w:r>
    </w:p>
    <w:p w14:paraId="4541DD15">
      <w:pPr>
        <w:snapToGrid w:val="0"/>
        <w:spacing w:before="120" w:beforeLines="50" w:after="50"/>
        <w:ind w:left="142"/>
        <w:rPr>
          <w:rFonts w:ascii="宋体" w:hAnsi="宋体" w:cs="宋体"/>
          <w:color w:val="auto"/>
          <w:sz w:val="24"/>
          <w:szCs w:val="21"/>
          <w:highlight w:val="none"/>
          <w:u w:val="single"/>
        </w:rPr>
      </w:pPr>
      <w:r>
        <w:rPr>
          <w:rFonts w:hint="eastAsia" w:ascii="宋体" w:hAnsi="宋体" w:cs="宋体"/>
          <w:color w:val="auto"/>
          <w:sz w:val="24"/>
          <w:szCs w:val="21"/>
          <w:highlight w:val="none"/>
        </w:rPr>
        <w:t>分标</w:t>
      </w:r>
    </w:p>
    <w:tbl>
      <w:tblPr>
        <w:tblStyle w:val="4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303"/>
        <w:gridCol w:w="1834"/>
        <w:gridCol w:w="2181"/>
        <w:gridCol w:w="1934"/>
      </w:tblGrid>
      <w:tr w14:paraId="2A7E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5" w:type="dxa"/>
            <w:vAlign w:val="center"/>
          </w:tcPr>
          <w:p w14:paraId="1D144632">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项号</w:t>
            </w:r>
          </w:p>
        </w:tc>
        <w:tc>
          <w:tcPr>
            <w:tcW w:w="2303" w:type="dxa"/>
            <w:vAlign w:val="center"/>
          </w:tcPr>
          <w:p w14:paraId="5ABC0C7E">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标的的名称</w:t>
            </w:r>
          </w:p>
        </w:tc>
        <w:tc>
          <w:tcPr>
            <w:tcW w:w="1834" w:type="dxa"/>
            <w:vAlign w:val="center"/>
          </w:tcPr>
          <w:p w14:paraId="7924F238">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技术要求</w:t>
            </w:r>
          </w:p>
        </w:tc>
        <w:tc>
          <w:tcPr>
            <w:tcW w:w="2181" w:type="dxa"/>
            <w:vAlign w:val="center"/>
          </w:tcPr>
          <w:p w14:paraId="4F810133">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投标响应</w:t>
            </w:r>
          </w:p>
        </w:tc>
        <w:tc>
          <w:tcPr>
            <w:tcW w:w="1934" w:type="dxa"/>
            <w:vAlign w:val="center"/>
          </w:tcPr>
          <w:p w14:paraId="606E9E35">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偏离说明</w:t>
            </w:r>
          </w:p>
        </w:tc>
      </w:tr>
      <w:tr w14:paraId="3A64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5B85616C">
            <w:pPr>
              <w:pStyle w:val="25"/>
              <w:spacing w:line="600" w:lineRule="exact"/>
              <w:jc w:val="center"/>
              <w:rPr>
                <w:rFonts w:hAnsi="宋体" w:cs="宋体"/>
                <w:color w:val="auto"/>
                <w:kern w:val="2"/>
                <w:sz w:val="24"/>
                <w:highlight w:val="none"/>
              </w:rPr>
            </w:pPr>
            <w:r>
              <w:rPr>
                <w:rFonts w:hint="eastAsia" w:hAnsi="宋体" w:cs="宋体"/>
                <w:color w:val="auto"/>
                <w:kern w:val="2"/>
                <w:sz w:val="24"/>
                <w:highlight w:val="none"/>
              </w:rPr>
              <w:t>1</w:t>
            </w:r>
          </w:p>
        </w:tc>
        <w:tc>
          <w:tcPr>
            <w:tcW w:w="2303" w:type="dxa"/>
            <w:vAlign w:val="center"/>
          </w:tcPr>
          <w:p w14:paraId="4E19EE01">
            <w:pPr>
              <w:pStyle w:val="25"/>
              <w:spacing w:line="600" w:lineRule="exact"/>
              <w:jc w:val="center"/>
              <w:rPr>
                <w:rFonts w:hAnsi="宋体" w:cs="宋体"/>
                <w:color w:val="auto"/>
                <w:kern w:val="2"/>
                <w:sz w:val="24"/>
                <w:highlight w:val="none"/>
              </w:rPr>
            </w:pPr>
          </w:p>
        </w:tc>
        <w:tc>
          <w:tcPr>
            <w:tcW w:w="1834" w:type="dxa"/>
            <w:vAlign w:val="center"/>
          </w:tcPr>
          <w:p w14:paraId="5F108396">
            <w:pPr>
              <w:pStyle w:val="25"/>
              <w:spacing w:line="600" w:lineRule="exact"/>
              <w:jc w:val="center"/>
              <w:rPr>
                <w:rFonts w:hAnsi="宋体" w:cs="宋体"/>
                <w:color w:val="auto"/>
                <w:kern w:val="2"/>
                <w:sz w:val="24"/>
                <w:highlight w:val="none"/>
              </w:rPr>
            </w:pPr>
          </w:p>
        </w:tc>
        <w:tc>
          <w:tcPr>
            <w:tcW w:w="2181" w:type="dxa"/>
            <w:vAlign w:val="center"/>
          </w:tcPr>
          <w:p w14:paraId="309C0654">
            <w:pPr>
              <w:pStyle w:val="25"/>
              <w:spacing w:line="600" w:lineRule="exact"/>
              <w:jc w:val="center"/>
              <w:rPr>
                <w:rFonts w:hAnsi="宋体" w:cs="宋体"/>
                <w:color w:val="auto"/>
                <w:kern w:val="2"/>
                <w:sz w:val="24"/>
                <w:highlight w:val="none"/>
              </w:rPr>
            </w:pPr>
          </w:p>
        </w:tc>
        <w:tc>
          <w:tcPr>
            <w:tcW w:w="1934" w:type="dxa"/>
            <w:vAlign w:val="center"/>
          </w:tcPr>
          <w:p w14:paraId="214E9FE4">
            <w:pPr>
              <w:pStyle w:val="25"/>
              <w:spacing w:line="600" w:lineRule="exact"/>
              <w:jc w:val="center"/>
              <w:rPr>
                <w:rFonts w:hAnsi="宋体" w:cs="宋体"/>
                <w:color w:val="auto"/>
                <w:kern w:val="2"/>
                <w:sz w:val="24"/>
                <w:highlight w:val="none"/>
              </w:rPr>
            </w:pPr>
          </w:p>
        </w:tc>
      </w:tr>
      <w:tr w14:paraId="3E1E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7C334186">
            <w:pPr>
              <w:pStyle w:val="25"/>
              <w:spacing w:line="600" w:lineRule="exact"/>
              <w:jc w:val="center"/>
              <w:rPr>
                <w:rFonts w:hAnsi="宋体" w:cs="宋体"/>
                <w:color w:val="auto"/>
                <w:kern w:val="2"/>
                <w:sz w:val="24"/>
                <w:highlight w:val="none"/>
              </w:rPr>
            </w:pPr>
            <w:r>
              <w:rPr>
                <w:rFonts w:hint="eastAsia" w:hAnsi="宋体" w:cs="宋体"/>
                <w:color w:val="auto"/>
                <w:kern w:val="2"/>
                <w:sz w:val="24"/>
                <w:highlight w:val="none"/>
              </w:rPr>
              <w:t>2</w:t>
            </w:r>
          </w:p>
        </w:tc>
        <w:tc>
          <w:tcPr>
            <w:tcW w:w="2303" w:type="dxa"/>
            <w:vAlign w:val="center"/>
          </w:tcPr>
          <w:p w14:paraId="26FD56DF">
            <w:pPr>
              <w:pStyle w:val="25"/>
              <w:spacing w:line="600" w:lineRule="exact"/>
              <w:jc w:val="center"/>
              <w:rPr>
                <w:rFonts w:hAnsi="宋体" w:cs="宋体"/>
                <w:color w:val="auto"/>
                <w:kern w:val="2"/>
                <w:sz w:val="24"/>
                <w:highlight w:val="none"/>
              </w:rPr>
            </w:pPr>
          </w:p>
        </w:tc>
        <w:tc>
          <w:tcPr>
            <w:tcW w:w="1834" w:type="dxa"/>
            <w:vAlign w:val="center"/>
          </w:tcPr>
          <w:p w14:paraId="7318AEA7">
            <w:pPr>
              <w:pStyle w:val="25"/>
              <w:spacing w:line="600" w:lineRule="exact"/>
              <w:jc w:val="center"/>
              <w:rPr>
                <w:rFonts w:hAnsi="宋体" w:cs="宋体"/>
                <w:color w:val="auto"/>
                <w:kern w:val="2"/>
                <w:sz w:val="24"/>
                <w:highlight w:val="none"/>
              </w:rPr>
            </w:pPr>
          </w:p>
        </w:tc>
        <w:tc>
          <w:tcPr>
            <w:tcW w:w="2181" w:type="dxa"/>
            <w:vAlign w:val="center"/>
          </w:tcPr>
          <w:p w14:paraId="709EAF4D">
            <w:pPr>
              <w:pStyle w:val="25"/>
              <w:spacing w:line="600" w:lineRule="exact"/>
              <w:jc w:val="center"/>
              <w:rPr>
                <w:rFonts w:hAnsi="宋体" w:cs="宋体"/>
                <w:color w:val="auto"/>
                <w:kern w:val="2"/>
                <w:sz w:val="24"/>
                <w:highlight w:val="none"/>
              </w:rPr>
            </w:pPr>
          </w:p>
        </w:tc>
        <w:tc>
          <w:tcPr>
            <w:tcW w:w="1934" w:type="dxa"/>
            <w:vAlign w:val="center"/>
          </w:tcPr>
          <w:p w14:paraId="0FFF2741">
            <w:pPr>
              <w:pStyle w:val="25"/>
              <w:spacing w:line="600" w:lineRule="exact"/>
              <w:jc w:val="center"/>
              <w:rPr>
                <w:rFonts w:hAnsi="宋体" w:cs="宋体"/>
                <w:color w:val="auto"/>
                <w:kern w:val="2"/>
                <w:sz w:val="24"/>
                <w:highlight w:val="none"/>
              </w:rPr>
            </w:pPr>
          </w:p>
        </w:tc>
      </w:tr>
      <w:tr w14:paraId="31C4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4FBE3098">
            <w:pPr>
              <w:pStyle w:val="25"/>
              <w:spacing w:line="600" w:lineRule="exact"/>
              <w:jc w:val="center"/>
              <w:rPr>
                <w:rFonts w:hAnsi="宋体" w:cs="宋体"/>
                <w:color w:val="auto"/>
                <w:kern w:val="2"/>
                <w:sz w:val="24"/>
                <w:highlight w:val="none"/>
              </w:rPr>
            </w:pPr>
            <w:r>
              <w:rPr>
                <w:rFonts w:hint="eastAsia" w:hAnsi="宋体" w:cs="宋体"/>
                <w:color w:val="auto"/>
                <w:kern w:val="2"/>
                <w:sz w:val="24"/>
                <w:highlight w:val="none"/>
              </w:rPr>
              <w:t>......</w:t>
            </w:r>
          </w:p>
        </w:tc>
        <w:tc>
          <w:tcPr>
            <w:tcW w:w="2303" w:type="dxa"/>
            <w:vAlign w:val="center"/>
          </w:tcPr>
          <w:p w14:paraId="09178121">
            <w:pPr>
              <w:pStyle w:val="25"/>
              <w:spacing w:line="600" w:lineRule="exact"/>
              <w:jc w:val="center"/>
              <w:rPr>
                <w:rFonts w:hAnsi="宋体" w:cs="宋体"/>
                <w:color w:val="auto"/>
                <w:kern w:val="2"/>
                <w:sz w:val="24"/>
                <w:highlight w:val="none"/>
              </w:rPr>
            </w:pPr>
          </w:p>
        </w:tc>
        <w:tc>
          <w:tcPr>
            <w:tcW w:w="1834" w:type="dxa"/>
            <w:vAlign w:val="center"/>
          </w:tcPr>
          <w:p w14:paraId="77EA323D">
            <w:pPr>
              <w:pStyle w:val="25"/>
              <w:spacing w:line="600" w:lineRule="exact"/>
              <w:jc w:val="center"/>
              <w:rPr>
                <w:rFonts w:hAnsi="宋体" w:cs="宋体"/>
                <w:color w:val="auto"/>
                <w:kern w:val="2"/>
                <w:sz w:val="24"/>
                <w:highlight w:val="none"/>
              </w:rPr>
            </w:pPr>
          </w:p>
        </w:tc>
        <w:tc>
          <w:tcPr>
            <w:tcW w:w="2181" w:type="dxa"/>
            <w:vAlign w:val="center"/>
          </w:tcPr>
          <w:p w14:paraId="222D7F7D">
            <w:pPr>
              <w:pStyle w:val="25"/>
              <w:spacing w:line="600" w:lineRule="exact"/>
              <w:jc w:val="center"/>
              <w:rPr>
                <w:rFonts w:hAnsi="宋体" w:cs="宋体"/>
                <w:color w:val="auto"/>
                <w:kern w:val="2"/>
                <w:sz w:val="24"/>
                <w:highlight w:val="none"/>
              </w:rPr>
            </w:pPr>
          </w:p>
        </w:tc>
        <w:tc>
          <w:tcPr>
            <w:tcW w:w="1934" w:type="dxa"/>
            <w:vAlign w:val="center"/>
          </w:tcPr>
          <w:p w14:paraId="537C5BCE">
            <w:pPr>
              <w:pStyle w:val="25"/>
              <w:spacing w:line="600" w:lineRule="exact"/>
              <w:jc w:val="center"/>
              <w:rPr>
                <w:rFonts w:hAnsi="宋体" w:cs="宋体"/>
                <w:color w:val="auto"/>
                <w:kern w:val="2"/>
                <w:sz w:val="24"/>
                <w:highlight w:val="none"/>
              </w:rPr>
            </w:pPr>
          </w:p>
        </w:tc>
      </w:tr>
    </w:tbl>
    <w:p w14:paraId="43F92D89">
      <w:pPr>
        <w:pStyle w:val="18"/>
        <w:rPr>
          <w:rFonts w:ascii="宋体" w:hAnsi="宋体" w:cs="宋体"/>
          <w:color w:val="auto"/>
          <w:highlight w:val="none"/>
        </w:rPr>
      </w:pPr>
      <w:r>
        <w:rPr>
          <w:rFonts w:hint="eastAsia" w:ascii="宋体" w:hAnsi="宋体" w:cs="宋体"/>
          <w:color w:val="auto"/>
          <w:highlight w:val="none"/>
        </w:rPr>
        <w:t>注：</w:t>
      </w:r>
    </w:p>
    <w:p w14:paraId="7830324F">
      <w:pPr>
        <w:pStyle w:val="20"/>
        <w:spacing w:line="360" w:lineRule="auto"/>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采购需求”中的“技术要求”逐条作明确的投标响应，并作出偏离说明。</w:t>
      </w:r>
    </w:p>
    <w:p w14:paraId="22E38220">
      <w:pPr>
        <w:pStyle w:val="18"/>
        <w:spacing w:line="360" w:lineRule="auto"/>
        <w:rPr>
          <w:rFonts w:ascii="宋体" w:hAnsi="宋体" w:cs="宋体"/>
          <w:b w:val="0"/>
          <w:bCs w:val="0"/>
          <w:color w:val="auto"/>
          <w:highlight w:val="none"/>
        </w:rPr>
      </w:pPr>
      <w:r>
        <w:rPr>
          <w:rFonts w:hint="eastAsia" w:ascii="宋体" w:hAnsi="宋体" w:cs="宋体"/>
          <w:b w:val="0"/>
          <w:bCs w:val="0"/>
          <w:color w:val="auto"/>
          <w:highlight w:val="none"/>
        </w:rPr>
        <w:t>2.投标人根据投标货物的性能指标，对照招标文件技术要求，在“偏离说明”中注明“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2ABBD51A">
      <w:pPr>
        <w:pStyle w:val="20"/>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05A7E92F">
      <w:pPr>
        <w:pStyle w:val="20"/>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如技术要求偏离表中的投标响应与佐证材料不一致的，以佐证材料为准。</w:t>
      </w:r>
    </w:p>
    <w:p w14:paraId="1E81D72A">
      <w:pPr>
        <w:snapToGrid w:val="0"/>
        <w:spacing w:before="50" w:after="50" w:line="360" w:lineRule="auto"/>
        <w:rPr>
          <w:rFonts w:ascii="宋体" w:hAnsi="宋体" w:cs="宋体"/>
          <w:color w:val="auto"/>
          <w:sz w:val="24"/>
          <w:highlight w:val="none"/>
        </w:rPr>
      </w:pPr>
    </w:p>
    <w:p w14:paraId="191EC601">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113EEC19">
      <w:pPr>
        <w:snapToGrid w:val="0"/>
        <w:spacing w:before="50" w:after="50" w:line="360" w:lineRule="auto"/>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689DB1C6">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050AF103">
      <w:pPr>
        <w:snapToGrid w:val="0"/>
        <w:spacing w:before="50" w:after="50" w:line="360" w:lineRule="auto"/>
        <w:rPr>
          <w:rFonts w:ascii="宋体" w:hAnsi="宋体" w:cs="宋体"/>
          <w:color w:val="auto"/>
          <w:sz w:val="24"/>
          <w:szCs w:val="20"/>
          <w:highlight w:val="none"/>
        </w:rPr>
      </w:pPr>
    </w:p>
    <w:p w14:paraId="1DE93DAF">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289F36E7">
      <w:pPr>
        <w:snapToGrid w:val="0"/>
        <w:spacing w:before="120" w:beforeLines="50" w:after="50"/>
        <w:ind w:left="142"/>
        <w:jc w:val="left"/>
        <w:rPr>
          <w:rFonts w:ascii="宋体" w:hAnsi="宋体" w:cs="宋体"/>
          <w:color w:val="auto"/>
          <w:sz w:val="24"/>
          <w:szCs w:val="20"/>
          <w:highlight w:val="none"/>
        </w:rPr>
      </w:pPr>
      <w:r>
        <w:rPr>
          <w:rFonts w:hint="eastAsia" w:ascii="宋体" w:hAnsi="宋体" w:cs="宋体"/>
          <w:b/>
          <w:color w:val="auto"/>
          <w:sz w:val="24"/>
          <w:highlight w:val="none"/>
        </w:rPr>
        <w:t>设备性能配置清单</w:t>
      </w:r>
    </w:p>
    <w:p w14:paraId="316AD2D8">
      <w:pPr>
        <w:snapToGrid w:val="0"/>
        <w:spacing w:before="120" w:beforeLines="50" w:after="50"/>
        <w:ind w:left="142"/>
        <w:jc w:val="left"/>
        <w:rPr>
          <w:rFonts w:ascii="宋体" w:hAnsi="宋体" w:cs="宋体"/>
          <w:b/>
          <w:color w:val="auto"/>
          <w:sz w:val="24"/>
          <w:highlight w:val="none"/>
        </w:rPr>
      </w:pPr>
    </w:p>
    <w:p w14:paraId="14DF2D2E">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设备性能配置清单</w:t>
      </w:r>
    </w:p>
    <w:p w14:paraId="4451988E">
      <w:pPr>
        <w:snapToGrid w:val="0"/>
        <w:spacing w:before="120" w:beforeLines="50" w:after="50"/>
        <w:ind w:left="142"/>
        <w:rPr>
          <w:rFonts w:ascii="宋体" w:hAnsi="宋体" w:cs="宋体"/>
          <w:b/>
          <w:color w:val="auto"/>
          <w:sz w:val="32"/>
          <w:szCs w:val="32"/>
          <w:highlight w:val="none"/>
        </w:rPr>
      </w:pPr>
      <w:r>
        <w:rPr>
          <w:rFonts w:hint="eastAsia" w:ascii="宋体" w:hAnsi="宋体" w:cs="宋体"/>
          <w:color w:val="auto"/>
          <w:sz w:val="24"/>
          <w:szCs w:val="21"/>
          <w:highlight w:val="none"/>
        </w:rPr>
        <w:t>分标</w:t>
      </w:r>
    </w:p>
    <w:tbl>
      <w:tblPr>
        <w:tblStyle w:val="47"/>
        <w:tblW w:w="457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6"/>
        <w:gridCol w:w="1266"/>
        <w:gridCol w:w="920"/>
        <w:gridCol w:w="828"/>
        <w:gridCol w:w="1413"/>
        <w:gridCol w:w="461"/>
        <w:gridCol w:w="581"/>
        <w:gridCol w:w="1402"/>
      </w:tblGrid>
      <w:tr w14:paraId="4B2ED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28ADCBDB">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810" w:type="pct"/>
            <w:tcBorders>
              <w:top w:val="single" w:color="auto" w:sz="4" w:space="0"/>
              <w:left w:val="single" w:color="auto" w:sz="4" w:space="0"/>
              <w:bottom w:val="single" w:color="auto" w:sz="4" w:space="0"/>
              <w:right w:val="single" w:color="auto" w:sz="4" w:space="0"/>
            </w:tcBorders>
            <w:vAlign w:val="center"/>
          </w:tcPr>
          <w:p w14:paraId="2E33F90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589" w:type="pct"/>
            <w:tcBorders>
              <w:top w:val="single" w:color="auto" w:sz="4" w:space="0"/>
              <w:left w:val="single" w:color="auto" w:sz="4" w:space="0"/>
              <w:bottom w:val="single" w:color="auto" w:sz="4" w:space="0"/>
              <w:right w:val="single" w:color="auto" w:sz="4" w:space="0"/>
            </w:tcBorders>
            <w:vAlign w:val="center"/>
          </w:tcPr>
          <w:p w14:paraId="0E2057C5">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530" w:type="pct"/>
            <w:tcBorders>
              <w:top w:val="single" w:color="auto" w:sz="4" w:space="0"/>
              <w:left w:val="single" w:color="auto" w:sz="4" w:space="0"/>
              <w:bottom w:val="single" w:color="auto" w:sz="4" w:space="0"/>
              <w:right w:val="single" w:color="auto" w:sz="4" w:space="0"/>
            </w:tcBorders>
            <w:vAlign w:val="center"/>
          </w:tcPr>
          <w:p w14:paraId="68A998D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品牌</w:t>
            </w:r>
          </w:p>
        </w:tc>
        <w:tc>
          <w:tcPr>
            <w:tcW w:w="904" w:type="pct"/>
            <w:tcBorders>
              <w:top w:val="single" w:color="auto" w:sz="4" w:space="0"/>
              <w:left w:val="single" w:color="auto" w:sz="4" w:space="0"/>
              <w:bottom w:val="single" w:color="auto" w:sz="4" w:space="0"/>
              <w:right w:val="single" w:color="auto" w:sz="4" w:space="0"/>
            </w:tcBorders>
          </w:tcPr>
          <w:p w14:paraId="7916FD31">
            <w:pPr>
              <w:snapToGrid w:val="0"/>
              <w:spacing w:before="50" w:after="50"/>
              <w:jc w:val="center"/>
              <w:rPr>
                <w:rFonts w:ascii="宋体" w:hAnsi="宋体" w:cs="宋体"/>
                <w:color w:val="auto"/>
                <w:sz w:val="24"/>
                <w:highlight w:val="none"/>
              </w:rPr>
            </w:pPr>
          </w:p>
          <w:p w14:paraId="5828CAF7">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295" w:type="pct"/>
            <w:tcBorders>
              <w:top w:val="single" w:color="auto" w:sz="4" w:space="0"/>
              <w:left w:val="single" w:color="auto" w:sz="4" w:space="0"/>
              <w:bottom w:val="single" w:color="auto" w:sz="4" w:space="0"/>
              <w:right w:val="single" w:color="auto" w:sz="4" w:space="0"/>
            </w:tcBorders>
            <w:vAlign w:val="center"/>
          </w:tcPr>
          <w:p w14:paraId="45AE27E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制造商</w:t>
            </w:r>
          </w:p>
        </w:tc>
        <w:tc>
          <w:tcPr>
            <w:tcW w:w="372" w:type="pct"/>
            <w:tcBorders>
              <w:top w:val="single" w:color="auto" w:sz="4" w:space="0"/>
              <w:left w:val="single" w:color="auto" w:sz="4" w:space="0"/>
              <w:bottom w:val="single" w:color="auto" w:sz="4" w:space="0"/>
              <w:right w:val="single" w:color="auto" w:sz="4" w:space="0"/>
            </w:tcBorders>
            <w:vAlign w:val="center"/>
          </w:tcPr>
          <w:p w14:paraId="7A160B5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产地</w:t>
            </w:r>
          </w:p>
        </w:tc>
        <w:tc>
          <w:tcPr>
            <w:tcW w:w="897" w:type="pct"/>
            <w:tcBorders>
              <w:top w:val="single" w:color="auto" w:sz="4" w:space="0"/>
              <w:left w:val="single" w:color="auto" w:sz="4" w:space="0"/>
              <w:bottom w:val="single" w:color="auto" w:sz="4" w:space="0"/>
              <w:right w:val="single" w:color="auto" w:sz="4" w:space="0"/>
            </w:tcBorders>
            <w:vAlign w:val="center"/>
          </w:tcPr>
          <w:p w14:paraId="0FD773D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参数性能、指标及配置</w:t>
            </w:r>
          </w:p>
        </w:tc>
      </w:tr>
      <w:tr w14:paraId="5E21F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4B8C13B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810" w:type="pct"/>
            <w:tcBorders>
              <w:top w:val="single" w:color="auto" w:sz="4" w:space="0"/>
              <w:left w:val="single" w:color="auto" w:sz="4" w:space="0"/>
              <w:bottom w:val="single" w:color="auto" w:sz="4" w:space="0"/>
              <w:right w:val="single" w:color="auto" w:sz="4" w:space="0"/>
            </w:tcBorders>
            <w:vAlign w:val="center"/>
          </w:tcPr>
          <w:p w14:paraId="38C38310">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06FFC1C1">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078D3932">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4EBA3A4B">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107FC8E6">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5AA16047">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6E63E075">
            <w:pPr>
              <w:snapToGrid w:val="0"/>
              <w:spacing w:before="50" w:after="50"/>
              <w:jc w:val="center"/>
              <w:rPr>
                <w:rFonts w:ascii="宋体" w:hAnsi="宋体" w:cs="宋体"/>
                <w:color w:val="auto"/>
                <w:sz w:val="24"/>
                <w:highlight w:val="none"/>
              </w:rPr>
            </w:pPr>
          </w:p>
        </w:tc>
      </w:tr>
      <w:tr w14:paraId="41D31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0EEF2F0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2</w:t>
            </w:r>
          </w:p>
        </w:tc>
        <w:tc>
          <w:tcPr>
            <w:tcW w:w="810" w:type="pct"/>
            <w:tcBorders>
              <w:top w:val="single" w:color="auto" w:sz="4" w:space="0"/>
              <w:left w:val="single" w:color="auto" w:sz="4" w:space="0"/>
              <w:bottom w:val="single" w:color="auto" w:sz="4" w:space="0"/>
              <w:right w:val="single" w:color="auto" w:sz="4" w:space="0"/>
            </w:tcBorders>
            <w:vAlign w:val="center"/>
          </w:tcPr>
          <w:p w14:paraId="4EDA8A69">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082A62F1">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143D03AC">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4BB27FF8">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1B2D438A">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212B433B">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53352CF0">
            <w:pPr>
              <w:snapToGrid w:val="0"/>
              <w:spacing w:before="50" w:after="50"/>
              <w:jc w:val="center"/>
              <w:rPr>
                <w:rFonts w:ascii="宋体" w:hAnsi="宋体" w:cs="宋体"/>
                <w:color w:val="auto"/>
                <w:sz w:val="24"/>
                <w:highlight w:val="none"/>
              </w:rPr>
            </w:pPr>
          </w:p>
        </w:tc>
      </w:tr>
      <w:tr w14:paraId="320AD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247A5AE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3</w:t>
            </w:r>
          </w:p>
        </w:tc>
        <w:tc>
          <w:tcPr>
            <w:tcW w:w="810" w:type="pct"/>
            <w:tcBorders>
              <w:top w:val="single" w:color="auto" w:sz="4" w:space="0"/>
              <w:left w:val="single" w:color="auto" w:sz="4" w:space="0"/>
              <w:bottom w:val="single" w:color="auto" w:sz="4" w:space="0"/>
              <w:right w:val="single" w:color="auto" w:sz="4" w:space="0"/>
            </w:tcBorders>
            <w:vAlign w:val="center"/>
          </w:tcPr>
          <w:p w14:paraId="7886B9AD">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6C467050">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5D4D08FF">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46FDB9E1">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1B98F49B">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5A1790BC">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33FA79B9">
            <w:pPr>
              <w:snapToGrid w:val="0"/>
              <w:spacing w:before="50" w:after="50"/>
              <w:jc w:val="center"/>
              <w:rPr>
                <w:rFonts w:ascii="宋体" w:hAnsi="宋体" w:cs="宋体"/>
                <w:color w:val="auto"/>
                <w:sz w:val="24"/>
                <w:highlight w:val="none"/>
              </w:rPr>
            </w:pPr>
          </w:p>
        </w:tc>
      </w:tr>
      <w:tr w14:paraId="23F7F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6B4EF05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w:t>
            </w:r>
          </w:p>
        </w:tc>
        <w:tc>
          <w:tcPr>
            <w:tcW w:w="810" w:type="pct"/>
            <w:tcBorders>
              <w:top w:val="single" w:color="auto" w:sz="4" w:space="0"/>
              <w:left w:val="single" w:color="auto" w:sz="4" w:space="0"/>
              <w:bottom w:val="single" w:color="auto" w:sz="4" w:space="0"/>
              <w:right w:val="single" w:color="auto" w:sz="4" w:space="0"/>
            </w:tcBorders>
            <w:vAlign w:val="center"/>
          </w:tcPr>
          <w:p w14:paraId="2EC92D41">
            <w:pPr>
              <w:snapToGrid w:val="0"/>
              <w:spacing w:line="32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7D2DAFE7">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36C99266">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45DBC3E2">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3E7C0C8F">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0E58B90A">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237F8A65">
            <w:pPr>
              <w:snapToGrid w:val="0"/>
              <w:spacing w:before="50" w:after="50"/>
              <w:jc w:val="center"/>
              <w:rPr>
                <w:rFonts w:ascii="宋体" w:hAnsi="宋体" w:cs="宋体"/>
                <w:color w:val="auto"/>
                <w:sz w:val="24"/>
                <w:highlight w:val="none"/>
              </w:rPr>
            </w:pPr>
          </w:p>
        </w:tc>
      </w:tr>
    </w:tbl>
    <w:p w14:paraId="3A8729E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备注：</w:t>
      </w:r>
    </w:p>
    <w:p w14:paraId="298B1025">
      <w:pPr>
        <w:spacing w:line="360" w:lineRule="auto"/>
        <w:ind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以上设备性能配置清单中“货物名称、数量及单位、品牌、规格型号、制造商、产地、参数性能、指标及配置”必须如实填写完整，品牌、规格型号没有则填无</w:t>
      </w:r>
      <w:r>
        <w:rPr>
          <w:rFonts w:hint="eastAsia" w:ascii="宋体" w:hAnsi="宋体" w:cs="宋体"/>
          <w:b/>
          <w:color w:val="auto"/>
          <w:sz w:val="24"/>
          <w:highlight w:val="none"/>
        </w:rPr>
        <w:t>。</w:t>
      </w:r>
    </w:p>
    <w:p w14:paraId="29071048">
      <w:pPr>
        <w:spacing w:line="360" w:lineRule="auto"/>
        <w:ind w:firstLine="480" w:firstLineChars="200"/>
        <w:contextualSpacing/>
        <w:rPr>
          <w:rFonts w:ascii="宋体" w:hAnsi="宋体" w:cs="宋体"/>
          <w:color w:val="auto"/>
          <w:sz w:val="24"/>
          <w:highlight w:val="none"/>
        </w:rPr>
      </w:pPr>
    </w:p>
    <w:p w14:paraId="489BF8D0">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2C58A3A9">
      <w:pPr>
        <w:spacing w:line="360" w:lineRule="auto"/>
        <w:contextualSpacing/>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69ED947C">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567D14B5">
      <w:pPr>
        <w:snapToGrid w:val="0"/>
        <w:spacing w:before="50" w:after="120" w:afterLines="50"/>
        <w:jc w:val="left"/>
        <w:rPr>
          <w:rFonts w:ascii="宋体" w:hAnsi="宋体" w:cs="宋体"/>
          <w:color w:val="auto"/>
          <w:sz w:val="24"/>
          <w:szCs w:val="20"/>
          <w:highlight w:val="none"/>
        </w:rPr>
      </w:pPr>
    </w:p>
    <w:p w14:paraId="22AB778E">
      <w:pPr>
        <w:snapToGrid w:val="0"/>
        <w:spacing w:before="50" w:after="120" w:afterLines="50"/>
        <w:jc w:val="left"/>
        <w:rPr>
          <w:rFonts w:ascii="宋体" w:hAnsi="宋体" w:cs="宋体"/>
          <w:color w:val="auto"/>
          <w:sz w:val="24"/>
          <w:szCs w:val="20"/>
          <w:highlight w:val="none"/>
        </w:rPr>
      </w:pPr>
    </w:p>
    <w:p w14:paraId="6A262B67">
      <w:pPr>
        <w:pStyle w:val="19"/>
        <w:rPr>
          <w:rFonts w:ascii="宋体" w:hAnsi="宋体" w:cs="宋体"/>
          <w:color w:val="auto"/>
          <w:szCs w:val="20"/>
          <w:highlight w:val="none"/>
        </w:rPr>
      </w:pPr>
    </w:p>
    <w:p w14:paraId="58D36B54">
      <w:pPr>
        <w:pStyle w:val="19"/>
        <w:rPr>
          <w:rFonts w:ascii="宋体" w:hAnsi="宋体" w:cs="宋体"/>
          <w:color w:val="auto"/>
          <w:szCs w:val="20"/>
          <w:highlight w:val="none"/>
        </w:rPr>
      </w:pPr>
    </w:p>
    <w:p w14:paraId="5F22A275">
      <w:pPr>
        <w:pStyle w:val="19"/>
        <w:rPr>
          <w:rFonts w:ascii="宋体" w:hAnsi="宋体" w:cs="宋体"/>
          <w:color w:val="auto"/>
          <w:szCs w:val="20"/>
          <w:highlight w:val="none"/>
        </w:rPr>
      </w:pPr>
    </w:p>
    <w:p w14:paraId="61E18BCF">
      <w:pPr>
        <w:pStyle w:val="19"/>
        <w:rPr>
          <w:rFonts w:ascii="宋体" w:hAnsi="宋体" w:cs="宋体"/>
          <w:color w:val="auto"/>
          <w:szCs w:val="20"/>
          <w:highlight w:val="none"/>
        </w:rPr>
      </w:pPr>
    </w:p>
    <w:p w14:paraId="6E73318C">
      <w:pPr>
        <w:pStyle w:val="19"/>
        <w:rPr>
          <w:rFonts w:ascii="宋体" w:hAnsi="宋体" w:cs="宋体"/>
          <w:color w:val="auto"/>
          <w:szCs w:val="20"/>
          <w:highlight w:val="none"/>
        </w:rPr>
      </w:pPr>
    </w:p>
    <w:p w14:paraId="58BDF56A">
      <w:pPr>
        <w:pStyle w:val="19"/>
        <w:rPr>
          <w:rFonts w:ascii="宋体" w:hAnsi="宋体" w:cs="宋体"/>
          <w:color w:val="auto"/>
          <w:szCs w:val="20"/>
          <w:highlight w:val="none"/>
        </w:rPr>
      </w:pPr>
    </w:p>
    <w:p w14:paraId="220B8072">
      <w:pPr>
        <w:pStyle w:val="19"/>
        <w:rPr>
          <w:rFonts w:ascii="宋体" w:hAnsi="宋体" w:cs="宋体"/>
          <w:color w:val="auto"/>
          <w:szCs w:val="20"/>
          <w:highlight w:val="none"/>
        </w:rPr>
      </w:pPr>
    </w:p>
    <w:p w14:paraId="0CB2BDE2">
      <w:pPr>
        <w:pStyle w:val="19"/>
        <w:rPr>
          <w:rFonts w:ascii="宋体" w:hAnsi="宋体" w:cs="宋体"/>
          <w:color w:val="auto"/>
          <w:szCs w:val="20"/>
          <w:highlight w:val="none"/>
        </w:rPr>
      </w:pPr>
    </w:p>
    <w:p w14:paraId="19B79BDC">
      <w:pPr>
        <w:pStyle w:val="19"/>
        <w:rPr>
          <w:rFonts w:ascii="宋体" w:hAnsi="宋体" w:cs="宋体"/>
          <w:color w:val="auto"/>
          <w:szCs w:val="20"/>
          <w:highlight w:val="none"/>
        </w:rPr>
      </w:pPr>
    </w:p>
    <w:p w14:paraId="6DB268E5">
      <w:pPr>
        <w:pStyle w:val="19"/>
        <w:rPr>
          <w:rFonts w:ascii="宋体" w:hAnsi="宋体" w:cs="宋体"/>
          <w:color w:val="auto"/>
          <w:highlight w:val="none"/>
        </w:rPr>
      </w:pPr>
    </w:p>
    <w:p w14:paraId="42AC1BF0">
      <w:pPr>
        <w:rPr>
          <w:rFonts w:ascii="宋体" w:hAnsi="宋体" w:cs="宋体"/>
          <w:color w:val="auto"/>
          <w:highlight w:val="none"/>
        </w:rPr>
      </w:pPr>
    </w:p>
    <w:p w14:paraId="1D96C956">
      <w:pPr>
        <w:pStyle w:val="19"/>
        <w:rPr>
          <w:rFonts w:ascii="宋体" w:hAnsi="宋体" w:cs="宋体"/>
          <w:color w:val="auto"/>
          <w:highlight w:val="none"/>
        </w:rPr>
      </w:pPr>
    </w:p>
    <w:p w14:paraId="4F7205DE">
      <w:pPr>
        <w:rPr>
          <w:rFonts w:ascii="宋体" w:hAnsi="宋体" w:cs="宋体"/>
          <w:color w:val="auto"/>
          <w:highlight w:val="none"/>
        </w:rPr>
      </w:pPr>
    </w:p>
    <w:p w14:paraId="2C47E628">
      <w:pPr>
        <w:pStyle w:val="46"/>
        <w:ind w:firstLine="640"/>
        <w:rPr>
          <w:color w:val="auto"/>
          <w:highlight w:val="none"/>
        </w:rPr>
      </w:pPr>
    </w:p>
    <w:p w14:paraId="5B4B1193">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项目实施人员一览表</w:t>
      </w:r>
    </w:p>
    <w:p w14:paraId="319A8C7E">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44C45161">
      <w:pPr>
        <w:snapToGrid w:val="0"/>
        <w:spacing w:before="120" w:beforeLines="50" w:after="50"/>
        <w:ind w:left="142"/>
        <w:jc w:val="left"/>
        <w:rPr>
          <w:rFonts w:ascii="宋体" w:hAnsi="宋体" w:cs="宋体"/>
          <w:b/>
          <w:color w:val="auto"/>
          <w:sz w:val="32"/>
          <w:szCs w:val="32"/>
          <w:highlight w:val="none"/>
        </w:rPr>
      </w:pPr>
      <w:r>
        <w:rPr>
          <w:rFonts w:hint="eastAsia" w:ascii="宋体" w:hAnsi="宋体" w:cs="宋体"/>
          <w:color w:val="auto"/>
          <w:sz w:val="24"/>
          <w:szCs w:val="21"/>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26A9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B7FB78">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290DC79D">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701" w:type="dxa"/>
            <w:vAlign w:val="center"/>
          </w:tcPr>
          <w:p w14:paraId="661FC8AD">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420" w:type="dxa"/>
            <w:vAlign w:val="center"/>
          </w:tcPr>
          <w:p w14:paraId="2D9FA34C">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98" w:type="dxa"/>
            <w:vAlign w:val="center"/>
          </w:tcPr>
          <w:p w14:paraId="49AB2167">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6BB2F8B9">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843" w:type="dxa"/>
            <w:vAlign w:val="center"/>
          </w:tcPr>
          <w:p w14:paraId="2A4CC701">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130E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A6BE94">
            <w:pPr>
              <w:snapToGrid w:val="0"/>
              <w:spacing w:before="50" w:after="120" w:afterLines="50"/>
              <w:jc w:val="center"/>
              <w:rPr>
                <w:rFonts w:ascii="宋体" w:hAnsi="宋体" w:cs="宋体"/>
                <w:color w:val="auto"/>
                <w:sz w:val="24"/>
                <w:szCs w:val="20"/>
                <w:highlight w:val="none"/>
              </w:rPr>
            </w:pPr>
          </w:p>
        </w:tc>
        <w:tc>
          <w:tcPr>
            <w:tcW w:w="709" w:type="dxa"/>
            <w:vAlign w:val="center"/>
          </w:tcPr>
          <w:p w14:paraId="128E11D1">
            <w:pPr>
              <w:snapToGrid w:val="0"/>
              <w:spacing w:before="50" w:after="120" w:afterLines="50"/>
              <w:jc w:val="center"/>
              <w:rPr>
                <w:rFonts w:ascii="宋体" w:hAnsi="宋体" w:cs="宋体"/>
                <w:color w:val="auto"/>
                <w:sz w:val="24"/>
                <w:szCs w:val="20"/>
                <w:highlight w:val="none"/>
              </w:rPr>
            </w:pPr>
          </w:p>
        </w:tc>
        <w:tc>
          <w:tcPr>
            <w:tcW w:w="1701" w:type="dxa"/>
            <w:vAlign w:val="center"/>
          </w:tcPr>
          <w:p w14:paraId="590F4995">
            <w:pPr>
              <w:snapToGrid w:val="0"/>
              <w:spacing w:before="50" w:after="120" w:afterLines="50"/>
              <w:jc w:val="center"/>
              <w:rPr>
                <w:rFonts w:ascii="宋体" w:hAnsi="宋体" w:cs="宋体"/>
                <w:color w:val="auto"/>
                <w:sz w:val="24"/>
                <w:szCs w:val="20"/>
                <w:highlight w:val="none"/>
              </w:rPr>
            </w:pPr>
          </w:p>
        </w:tc>
        <w:tc>
          <w:tcPr>
            <w:tcW w:w="1420" w:type="dxa"/>
            <w:vAlign w:val="center"/>
          </w:tcPr>
          <w:p w14:paraId="4125932A">
            <w:pPr>
              <w:snapToGrid w:val="0"/>
              <w:spacing w:before="50" w:after="120" w:afterLines="50"/>
              <w:jc w:val="center"/>
              <w:rPr>
                <w:rFonts w:ascii="宋体" w:hAnsi="宋体" w:cs="宋体"/>
                <w:color w:val="auto"/>
                <w:sz w:val="24"/>
                <w:szCs w:val="20"/>
                <w:highlight w:val="none"/>
              </w:rPr>
            </w:pPr>
          </w:p>
        </w:tc>
        <w:tc>
          <w:tcPr>
            <w:tcW w:w="1698" w:type="dxa"/>
            <w:vAlign w:val="center"/>
          </w:tcPr>
          <w:p w14:paraId="24ABB7C5">
            <w:pPr>
              <w:snapToGrid w:val="0"/>
              <w:spacing w:before="50" w:after="120" w:afterLines="50"/>
              <w:jc w:val="center"/>
              <w:rPr>
                <w:rFonts w:ascii="宋体" w:hAnsi="宋体" w:cs="宋体"/>
                <w:color w:val="auto"/>
                <w:sz w:val="24"/>
                <w:szCs w:val="20"/>
                <w:highlight w:val="none"/>
              </w:rPr>
            </w:pPr>
          </w:p>
        </w:tc>
        <w:tc>
          <w:tcPr>
            <w:tcW w:w="1843" w:type="dxa"/>
            <w:vAlign w:val="center"/>
          </w:tcPr>
          <w:p w14:paraId="50504224">
            <w:pPr>
              <w:snapToGrid w:val="0"/>
              <w:spacing w:before="50" w:after="120" w:afterLines="50"/>
              <w:jc w:val="center"/>
              <w:rPr>
                <w:rFonts w:ascii="宋体" w:hAnsi="宋体" w:cs="宋体"/>
                <w:color w:val="auto"/>
                <w:sz w:val="24"/>
                <w:szCs w:val="20"/>
                <w:highlight w:val="none"/>
              </w:rPr>
            </w:pPr>
          </w:p>
        </w:tc>
      </w:tr>
      <w:tr w14:paraId="0361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3F2FC1">
            <w:pPr>
              <w:snapToGrid w:val="0"/>
              <w:spacing w:before="50" w:after="120" w:afterLines="50"/>
              <w:jc w:val="center"/>
              <w:rPr>
                <w:rFonts w:ascii="宋体" w:hAnsi="宋体" w:cs="宋体"/>
                <w:color w:val="auto"/>
                <w:sz w:val="24"/>
                <w:szCs w:val="20"/>
                <w:highlight w:val="none"/>
              </w:rPr>
            </w:pPr>
          </w:p>
        </w:tc>
        <w:tc>
          <w:tcPr>
            <w:tcW w:w="709" w:type="dxa"/>
            <w:vAlign w:val="center"/>
          </w:tcPr>
          <w:p w14:paraId="7A8879F0">
            <w:pPr>
              <w:snapToGrid w:val="0"/>
              <w:spacing w:before="50" w:after="120" w:afterLines="50"/>
              <w:jc w:val="center"/>
              <w:rPr>
                <w:rFonts w:ascii="宋体" w:hAnsi="宋体" w:cs="宋体"/>
                <w:color w:val="auto"/>
                <w:sz w:val="24"/>
                <w:szCs w:val="20"/>
                <w:highlight w:val="none"/>
              </w:rPr>
            </w:pPr>
          </w:p>
        </w:tc>
        <w:tc>
          <w:tcPr>
            <w:tcW w:w="1701" w:type="dxa"/>
            <w:vAlign w:val="center"/>
          </w:tcPr>
          <w:p w14:paraId="714B998F">
            <w:pPr>
              <w:snapToGrid w:val="0"/>
              <w:spacing w:before="50" w:after="120" w:afterLines="50"/>
              <w:jc w:val="center"/>
              <w:rPr>
                <w:rFonts w:ascii="宋体" w:hAnsi="宋体" w:cs="宋体"/>
                <w:color w:val="auto"/>
                <w:sz w:val="24"/>
                <w:szCs w:val="20"/>
                <w:highlight w:val="none"/>
              </w:rPr>
            </w:pPr>
          </w:p>
        </w:tc>
        <w:tc>
          <w:tcPr>
            <w:tcW w:w="1420" w:type="dxa"/>
            <w:vAlign w:val="center"/>
          </w:tcPr>
          <w:p w14:paraId="09AB8BDE">
            <w:pPr>
              <w:snapToGrid w:val="0"/>
              <w:spacing w:before="50" w:after="120" w:afterLines="50"/>
              <w:jc w:val="center"/>
              <w:rPr>
                <w:rFonts w:ascii="宋体" w:hAnsi="宋体" w:cs="宋体"/>
                <w:color w:val="auto"/>
                <w:sz w:val="24"/>
                <w:szCs w:val="20"/>
                <w:highlight w:val="none"/>
              </w:rPr>
            </w:pPr>
          </w:p>
        </w:tc>
        <w:tc>
          <w:tcPr>
            <w:tcW w:w="1698" w:type="dxa"/>
            <w:vAlign w:val="center"/>
          </w:tcPr>
          <w:p w14:paraId="7B7EE89E">
            <w:pPr>
              <w:snapToGrid w:val="0"/>
              <w:spacing w:before="50" w:after="120" w:afterLines="50"/>
              <w:jc w:val="center"/>
              <w:rPr>
                <w:rFonts w:ascii="宋体" w:hAnsi="宋体" w:cs="宋体"/>
                <w:color w:val="auto"/>
                <w:sz w:val="24"/>
                <w:szCs w:val="20"/>
                <w:highlight w:val="none"/>
              </w:rPr>
            </w:pPr>
          </w:p>
        </w:tc>
        <w:tc>
          <w:tcPr>
            <w:tcW w:w="1843" w:type="dxa"/>
            <w:vAlign w:val="center"/>
          </w:tcPr>
          <w:p w14:paraId="568C503F">
            <w:pPr>
              <w:snapToGrid w:val="0"/>
              <w:spacing w:before="50" w:after="120" w:afterLines="50"/>
              <w:jc w:val="center"/>
              <w:rPr>
                <w:rFonts w:ascii="宋体" w:hAnsi="宋体" w:cs="宋体"/>
                <w:color w:val="auto"/>
                <w:sz w:val="24"/>
                <w:szCs w:val="20"/>
                <w:highlight w:val="none"/>
              </w:rPr>
            </w:pPr>
          </w:p>
        </w:tc>
      </w:tr>
      <w:tr w14:paraId="0A03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8A04BE">
            <w:pPr>
              <w:snapToGrid w:val="0"/>
              <w:spacing w:before="50" w:after="120" w:afterLines="50"/>
              <w:jc w:val="center"/>
              <w:rPr>
                <w:rFonts w:ascii="宋体" w:hAnsi="宋体" w:cs="宋体"/>
                <w:color w:val="auto"/>
                <w:sz w:val="24"/>
                <w:szCs w:val="20"/>
                <w:highlight w:val="none"/>
              </w:rPr>
            </w:pPr>
          </w:p>
        </w:tc>
        <w:tc>
          <w:tcPr>
            <w:tcW w:w="709" w:type="dxa"/>
            <w:vAlign w:val="center"/>
          </w:tcPr>
          <w:p w14:paraId="07109FA0">
            <w:pPr>
              <w:snapToGrid w:val="0"/>
              <w:spacing w:before="50" w:after="120" w:afterLines="50"/>
              <w:jc w:val="center"/>
              <w:rPr>
                <w:rFonts w:ascii="宋体" w:hAnsi="宋体" w:cs="宋体"/>
                <w:color w:val="auto"/>
                <w:sz w:val="24"/>
                <w:szCs w:val="20"/>
                <w:highlight w:val="none"/>
              </w:rPr>
            </w:pPr>
          </w:p>
        </w:tc>
        <w:tc>
          <w:tcPr>
            <w:tcW w:w="1701" w:type="dxa"/>
            <w:vAlign w:val="center"/>
          </w:tcPr>
          <w:p w14:paraId="12DD578C">
            <w:pPr>
              <w:snapToGrid w:val="0"/>
              <w:spacing w:before="50" w:after="120" w:afterLines="50"/>
              <w:jc w:val="center"/>
              <w:rPr>
                <w:rFonts w:ascii="宋体" w:hAnsi="宋体" w:cs="宋体"/>
                <w:color w:val="auto"/>
                <w:sz w:val="24"/>
                <w:szCs w:val="20"/>
                <w:highlight w:val="none"/>
              </w:rPr>
            </w:pPr>
          </w:p>
        </w:tc>
        <w:tc>
          <w:tcPr>
            <w:tcW w:w="1420" w:type="dxa"/>
            <w:vAlign w:val="center"/>
          </w:tcPr>
          <w:p w14:paraId="2368AF8A">
            <w:pPr>
              <w:snapToGrid w:val="0"/>
              <w:spacing w:before="50" w:after="120" w:afterLines="50"/>
              <w:jc w:val="center"/>
              <w:rPr>
                <w:rFonts w:ascii="宋体" w:hAnsi="宋体" w:cs="宋体"/>
                <w:color w:val="auto"/>
                <w:sz w:val="24"/>
                <w:szCs w:val="20"/>
                <w:highlight w:val="none"/>
              </w:rPr>
            </w:pPr>
          </w:p>
        </w:tc>
        <w:tc>
          <w:tcPr>
            <w:tcW w:w="1698" w:type="dxa"/>
            <w:vAlign w:val="center"/>
          </w:tcPr>
          <w:p w14:paraId="521F2C68">
            <w:pPr>
              <w:snapToGrid w:val="0"/>
              <w:spacing w:before="50" w:after="120" w:afterLines="50"/>
              <w:jc w:val="center"/>
              <w:rPr>
                <w:rFonts w:ascii="宋体" w:hAnsi="宋体" w:cs="宋体"/>
                <w:color w:val="auto"/>
                <w:sz w:val="24"/>
                <w:szCs w:val="20"/>
                <w:highlight w:val="none"/>
              </w:rPr>
            </w:pPr>
          </w:p>
        </w:tc>
        <w:tc>
          <w:tcPr>
            <w:tcW w:w="1843" w:type="dxa"/>
            <w:vAlign w:val="center"/>
          </w:tcPr>
          <w:p w14:paraId="4F057B2F">
            <w:pPr>
              <w:snapToGrid w:val="0"/>
              <w:spacing w:before="50" w:after="120" w:afterLines="50"/>
              <w:jc w:val="center"/>
              <w:rPr>
                <w:rFonts w:ascii="宋体" w:hAnsi="宋体" w:cs="宋体"/>
                <w:color w:val="auto"/>
                <w:sz w:val="24"/>
                <w:szCs w:val="20"/>
                <w:highlight w:val="none"/>
              </w:rPr>
            </w:pPr>
          </w:p>
        </w:tc>
      </w:tr>
    </w:tbl>
    <w:p w14:paraId="31C42BC8">
      <w:pPr>
        <w:snapToGrid w:val="0"/>
        <w:spacing w:before="50" w:after="120" w:afterLines="50"/>
        <w:jc w:val="left"/>
        <w:rPr>
          <w:rFonts w:ascii="宋体" w:hAnsi="宋体" w:cs="宋体"/>
          <w:color w:val="auto"/>
          <w:sz w:val="24"/>
          <w:szCs w:val="20"/>
          <w:highlight w:val="none"/>
        </w:rPr>
      </w:pPr>
    </w:p>
    <w:p w14:paraId="4874B152">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169B1AFB">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1.在填写时，如本表格不适合投标单位的实际情况，可根据本表格式自行制表填写。</w:t>
      </w:r>
    </w:p>
    <w:p w14:paraId="06A593A6">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2.投标人应当附本表所列证书的复印件并加盖供应商CA电子签章。</w:t>
      </w:r>
    </w:p>
    <w:p w14:paraId="21AA5991">
      <w:pPr>
        <w:spacing w:line="360" w:lineRule="auto"/>
        <w:contextualSpacing/>
        <w:jc w:val="left"/>
        <w:rPr>
          <w:rFonts w:ascii="宋体" w:hAnsi="宋体" w:cs="宋体"/>
          <w:color w:val="auto"/>
          <w:sz w:val="24"/>
          <w:szCs w:val="20"/>
          <w:highlight w:val="none"/>
        </w:rPr>
      </w:pPr>
    </w:p>
    <w:p w14:paraId="6CD9EECA">
      <w:pPr>
        <w:spacing w:line="360" w:lineRule="auto"/>
        <w:contextualSpacing/>
        <w:jc w:val="left"/>
        <w:rPr>
          <w:rFonts w:ascii="宋体" w:hAnsi="宋体" w:cs="宋体"/>
          <w:color w:val="auto"/>
          <w:sz w:val="24"/>
          <w:szCs w:val="20"/>
          <w:highlight w:val="none"/>
        </w:rPr>
      </w:pPr>
    </w:p>
    <w:p w14:paraId="49122FD0">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37716FD9">
      <w:pPr>
        <w:spacing w:line="360" w:lineRule="auto"/>
        <w:contextualSpacing/>
        <w:jc w:val="left"/>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6FB37D79">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03DCC268">
      <w:pPr>
        <w:snapToGrid w:val="0"/>
        <w:spacing w:before="50" w:after="120" w:afterLines="50"/>
        <w:jc w:val="left"/>
        <w:rPr>
          <w:rFonts w:ascii="宋体" w:hAnsi="宋体" w:cs="宋体"/>
          <w:color w:val="auto"/>
          <w:sz w:val="24"/>
          <w:szCs w:val="20"/>
          <w:highlight w:val="none"/>
        </w:rPr>
      </w:pPr>
    </w:p>
    <w:p w14:paraId="1093511E">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选配件、专用耗材、售后服务优惠表</w:t>
      </w:r>
    </w:p>
    <w:p w14:paraId="5F1A339D">
      <w:pPr>
        <w:snapToGrid w:val="0"/>
        <w:spacing w:before="120" w:beforeLines="50" w:after="50"/>
        <w:ind w:left="142"/>
        <w:jc w:val="left"/>
        <w:rPr>
          <w:rFonts w:ascii="宋体" w:hAnsi="宋体" w:cs="宋体"/>
          <w:b/>
          <w:color w:val="auto"/>
          <w:sz w:val="24"/>
          <w:highlight w:val="none"/>
        </w:rPr>
      </w:pPr>
    </w:p>
    <w:p w14:paraId="396603BD">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选配件、专用耗材、售后服务优惠表</w:t>
      </w:r>
    </w:p>
    <w:p w14:paraId="0E124DBC">
      <w:pPr>
        <w:snapToGrid w:val="0"/>
        <w:spacing w:before="120" w:beforeLines="50" w:after="50"/>
        <w:ind w:left="142"/>
        <w:rPr>
          <w:rFonts w:ascii="宋体" w:hAnsi="宋体" w:cs="宋体"/>
          <w:b/>
          <w:color w:val="auto"/>
          <w:sz w:val="32"/>
          <w:szCs w:val="32"/>
          <w:highlight w:val="none"/>
        </w:rPr>
      </w:pPr>
      <w:r>
        <w:rPr>
          <w:rFonts w:hint="eastAsia" w:ascii="宋体" w:hAnsi="宋体" w:cs="宋体"/>
          <w:color w:val="auto"/>
          <w:sz w:val="24"/>
          <w:szCs w:val="21"/>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35962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5C49E8">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20E08F79">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1874247A">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276944A9">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73F73E26">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比市场价优惠率（%）</w:t>
            </w:r>
          </w:p>
        </w:tc>
      </w:tr>
      <w:tr w14:paraId="739E6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FB8A310">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2EB3B254">
            <w:pPr>
              <w:pStyle w:val="25"/>
              <w:snapToGrid w:val="0"/>
              <w:spacing w:before="295" w:after="295"/>
              <w:jc w:val="center"/>
              <w:rPr>
                <w:rFonts w:hAnsi="宋体" w:cs="宋体"/>
                <w:color w:val="auto"/>
                <w:kern w:val="2"/>
                <w:sz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1E5EDDD0">
            <w:pPr>
              <w:pStyle w:val="25"/>
              <w:snapToGrid w:val="0"/>
              <w:spacing w:before="295" w:after="295"/>
              <w:jc w:val="center"/>
              <w:rPr>
                <w:rFonts w:hAnsi="宋体" w:cs="宋体"/>
                <w:color w:val="auto"/>
                <w:kern w:val="2"/>
                <w:sz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28F12D16">
            <w:pPr>
              <w:pStyle w:val="25"/>
              <w:snapToGrid w:val="0"/>
              <w:spacing w:before="295" w:after="295"/>
              <w:jc w:val="center"/>
              <w:rPr>
                <w:rFonts w:hAnsi="宋体" w:cs="宋体"/>
                <w:color w:val="auto"/>
                <w:kern w:val="2"/>
                <w:sz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641EE53A">
            <w:pPr>
              <w:pStyle w:val="25"/>
              <w:snapToGrid w:val="0"/>
              <w:spacing w:before="295" w:after="295"/>
              <w:jc w:val="center"/>
              <w:rPr>
                <w:rFonts w:hAnsi="宋体" w:cs="宋体"/>
                <w:color w:val="auto"/>
                <w:kern w:val="2"/>
                <w:sz w:val="24"/>
                <w:highlight w:val="none"/>
              </w:rPr>
            </w:pPr>
          </w:p>
        </w:tc>
      </w:tr>
      <w:tr w14:paraId="3DDCD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C47799D">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01EFFD80">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15E1BE39">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B4966C7">
            <w:pPr>
              <w:pStyle w:val="25"/>
              <w:snapToGrid w:val="0"/>
              <w:spacing w:before="295" w:after="295"/>
              <w:jc w:val="center"/>
              <w:rPr>
                <w:rFonts w:hAnsi="宋体" w:cs="宋体"/>
                <w:color w:val="auto"/>
                <w:kern w:val="2"/>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07B42220">
            <w:pPr>
              <w:pStyle w:val="25"/>
              <w:snapToGrid w:val="0"/>
              <w:spacing w:before="295" w:after="295"/>
              <w:jc w:val="center"/>
              <w:rPr>
                <w:rFonts w:hAnsi="宋体" w:cs="宋体"/>
                <w:color w:val="auto"/>
                <w:kern w:val="2"/>
                <w:sz w:val="24"/>
                <w:highlight w:val="none"/>
              </w:rPr>
            </w:pPr>
          </w:p>
        </w:tc>
      </w:tr>
      <w:tr w14:paraId="2444B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AD35565">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32A7DFC9">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02112BAD">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6A80C12">
            <w:pPr>
              <w:pStyle w:val="25"/>
              <w:snapToGrid w:val="0"/>
              <w:spacing w:before="295" w:after="295"/>
              <w:jc w:val="center"/>
              <w:rPr>
                <w:rFonts w:hAnsi="宋体" w:cs="宋体"/>
                <w:color w:val="auto"/>
                <w:kern w:val="2"/>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0C0CB4D8">
            <w:pPr>
              <w:pStyle w:val="25"/>
              <w:snapToGrid w:val="0"/>
              <w:spacing w:before="295" w:after="295"/>
              <w:jc w:val="center"/>
              <w:rPr>
                <w:rFonts w:hAnsi="宋体" w:cs="宋体"/>
                <w:color w:val="auto"/>
                <w:kern w:val="2"/>
                <w:sz w:val="24"/>
                <w:highlight w:val="none"/>
              </w:rPr>
            </w:pPr>
          </w:p>
        </w:tc>
      </w:tr>
    </w:tbl>
    <w:p w14:paraId="46FCCE40">
      <w:pPr>
        <w:spacing w:line="360" w:lineRule="auto"/>
        <w:contextualSpacing/>
        <w:rPr>
          <w:rFonts w:ascii="宋体" w:hAnsi="宋体" w:cs="宋体"/>
          <w:color w:val="auto"/>
          <w:sz w:val="24"/>
          <w:highlight w:val="none"/>
        </w:rPr>
      </w:pPr>
    </w:p>
    <w:p w14:paraId="6F976711">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4844016A">
      <w:pPr>
        <w:spacing w:line="360" w:lineRule="auto"/>
        <w:contextualSpacing/>
        <w:jc w:val="left"/>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6D0C0DF8">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6DD8544B">
      <w:pPr>
        <w:snapToGrid w:val="0"/>
        <w:spacing w:before="50" w:after="120" w:afterLines="50"/>
        <w:jc w:val="left"/>
        <w:rPr>
          <w:rFonts w:ascii="宋体" w:hAnsi="宋体" w:cs="宋体"/>
          <w:color w:val="auto"/>
          <w:sz w:val="24"/>
          <w:szCs w:val="20"/>
          <w:highlight w:val="none"/>
        </w:rPr>
      </w:pPr>
    </w:p>
    <w:p w14:paraId="58D99CCE">
      <w:pPr>
        <w:rPr>
          <w:rFonts w:ascii="宋体" w:hAnsi="宋体" w:cs="宋体"/>
          <w:b/>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sz w:val="28"/>
          <w:szCs w:val="28"/>
          <w:highlight w:val="none"/>
        </w:rPr>
        <w:t>五、其他文书、文件格式</w:t>
      </w:r>
    </w:p>
    <w:p w14:paraId="0A7A9D41">
      <w:pPr>
        <w:snapToGrid w:val="0"/>
        <w:spacing w:before="120" w:beforeLines="50" w:after="50"/>
        <w:ind w:left="142"/>
        <w:jc w:val="left"/>
        <w:rPr>
          <w:rFonts w:ascii="宋体" w:hAnsi="宋体" w:cs="宋体"/>
          <w:b/>
          <w:color w:val="auto"/>
          <w:spacing w:val="20"/>
          <w:sz w:val="24"/>
          <w:highlight w:val="none"/>
        </w:rPr>
      </w:pPr>
      <w:r>
        <w:rPr>
          <w:rFonts w:hint="eastAsia" w:ascii="宋体" w:hAnsi="宋体" w:cs="宋体"/>
          <w:b/>
          <w:color w:val="auto"/>
          <w:spacing w:val="20"/>
          <w:sz w:val="24"/>
          <w:highlight w:val="none"/>
        </w:rPr>
        <w:t>1.联合投标协议书格式</w:t>
      </w:r>
    </w:p>
    <w:p w14:paraId="6ADC76D4">
      <w:pPr>
        <w:pStyle w:val="7"/>
        <w:overflowPunct w:val="0"/>
        <w:jc w:val="center"/>
        <w:rPr>
          <w:rFonts w:ascii="宋体" w:hAnsi="宋体" w:cs="宋体"/>
          <w:color w:val="auto"/>
          <w:sz w:val="44"/>
          <w:szCs w:val="44"/>
          <w:highlight w:val="none"/>
        </w:rPr>
      </w:pPr>
    </w:p>
    <w:p w14:paraId="51709245">
      <w:pPr>
        <w:pStyle w:val="7"/>
        <w:overflowPunct w:val="0"/>
        <w:jc w:val="center"/>
        <w:rPr>
          <w:rFonts w:ascii="宋体" w:hAnsi="宋体" w:cs="宋体"/>
          <w:color w:val="auto"/>
          <w:sz w:val="44"/>
          <w:szCs w:val="44"/>
          <w:highlight w:val="none"/>
        </w:rPr>
      </w:pPr>
      <w:r>
        <w:rPr>
          <w:rFonts w:hint="eastAsia" w:ascii="宋体" w:hAnsi="宋体" w:cs="宋体"/>
          <w:color w:val="auto"/>
          <w:sz w:val="44"/>
          <w:szCs w:val="44"/>
          <w:highlight w:val="none"/>
        </w:rPr>
        <w:t>联合体协议书</w:t>
      </w:r>
    </w:p>
    <w:p w14:paraId="1DCC2E9E">
      <w:pPr>
        <w:pStyle w:val="7"/>
        <w:overflowPunct w:val="0"/>
        <w:rPr>
          <w:rFonts w:ascii="宋体" w:hAnsi="宋体" w:cs="宋体"/>
          <w:color w:val="auto"/>
          <w:sz w:val="24"/>
          <w:highlight w:val="none"/>
        </w:rPr>
      </w:pPr>
    </w:p>
    <w:p w14:paraId="548EB0CA">
      <w:pPr>
        <w:pStyle w:val="7"/>
        <w:overflowPunct w:val="0"/>
        <w:spacing w:line="360" w:lineRule="auto"/>
        <w:contextualSpacing/>
        <w:rPr>
          <w:rFonts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z w:val="24"/>
          <w:highlight w:val="none"/>
        </w:rPr>
        <w:t>（所有成员单位名称）自愿组成</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（联合体名称）联合体，共同参加</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采购招标项目投标。现就联合体投标事宜订立如下协议。</w:t>
      </w:r>
    </w:p>
    <w:p w14:paraId="49A4691E">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ab/>
      </w:r>
      <w:r>
        <w:rPr>
          <w:rFonts w:hint="eastAsia" w:ascii="宋体" w:hAnsi="宋体" w:cs="宋体"/>
          <w:color w:val="auto"/>
          <w:sz w:val="24"/>
          <w:highlight w:val="none"/>
        </w:rPr>
        <w:t>（某成员单位名称）为</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（联合体名称）牵头人。</w:t>
      </w:r>
    </w:p>
    <w:p w14:paraId="79C83A78">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2.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17A8E644">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3.联合体牵头人在本项目中签署和盖章的一切文件和处理的一切事宜，联合体各成员均予以承认。联合体各成员将严格按照招标文件、投标文件和合同的要求全面履行义务，并向招标人承担连带责任。</w:t>
      </w:r>
    </w:p>
    <w:p w14:paraId="62CD7579">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1AD0510D">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5.本协议书自所有成员单位法定代表人或者其委托代理人签字（或者电子签名）或者盖公章之日起生效，合同履行完毕后自动失效。</w:t>
      </w:r>
    </w:p>
    <w:p w14:paraId="73DAE166">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ab/>
      </w:r>
      <w:r>
        <w:rPr>
          <w:rFonts w:hint="eastAsia" w:ascii="宋体" w:hAnsi="宋体" w:cs="宋体"/>
          <w:color w:val="auto"/>
          <w:sz w:val="24"/>
          <w:highlight w:val="none"/>
        </w:rPr>
        <w:t>份，联合体成员和招标人各执一份。</w:t>
      </w:r>
    </w:p>
    <w:p w14:paraId="73F2871E">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注：本协议书应附法定代表人身份证明；有委托代理的，应附授权委托书（格式自拟）。</w:t>
      </w:r>
    </w:p>
    <w:p w14:paraId="161D4434">
      <w:pPr>
        <w:pStyle w:val="7"/>
        <w:overflowPunct w:val="0"/>
        <w:spacing w:line="360" w:lineRule="auto"/>
        <w:ind w:firstLineChars="175"/>
        <w:contextualSpacing/>
        <w:rPr>
          <w:rFonts w:ascii="宋体" w:hAnsi="宋体" w:cs="宋体"/>
          <w:color w:val="auto"/>
          <w:sz w:val="24"/>
          <w:highlight w:val="none"/>
        </w:rPr>
      </w:pPr>
    </w:p>
    <w:p w14:paraId="6FFB8C99">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联合体牵头人名称（电子签章）：</w:t>
      </w:r>
    </w:p>
    <w:p w14:paraId="70666D1F">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法定代表人或者其委托代理人：</w:t>
      </w:r>
      <w:r>
        <w:rPr>
          <w:rFonts w:hint="eastAsia" w:ascii="宋体" w:hAnsi="宋体" w:cs="宋体"/>
          <w:color w:val="auto"/>
          <w:sz w:val="24"/>
          <w:highlight w:val="none"/>
        </w:rPr>
        <w:tab/>
      </w:r>
      <w:r>
        <w:rPr>
          <w:rFonts w:hint="eastAsia" w:ascii="宋体" w:hAnsi="宋体" w:cs="宋体"/>
          <w:color w:val="auto"/>
          <w:sz w:val="24"/>
          <w:highlight w:val="none"/>
        </w:rPr>
        <w:t>（签字或者电子签名）</w:t>
      </w:r>
    </w:p>
    <w:p w14:paraId="42698DC9">
      <w:pPr>
        <w:pStyle w:val="7"/>
        <w:overflowPunct w:val="0"/>
        <w:spacing w:line="360" w:lineRule="auto"/>
        <w:ind w:firstLineChars="175"/>
        <w:contextualSpacing/>
        <w:rPr>
          <w:rFonts w:ascii="宋体" w:hAnsi="宋体" w:cs="宋体"/>
          <w:color w:val="auto"/>
          <w:sz w:val="24"/>
          <w:highlight w:val="none"/>
        </w:rPr>
      </w:pPr>
    </w:p>
    <w:p w14:paraId="1861ED13">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联合体成员名称（盖公章或者电子签章）：</w:t>
      </w:r>
    </w:p>
    <w:p w14:paraId="3603C428">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法定代表人或者其委托代理人：</w:t>
      </w:r>
      <w:r>
        <w:rPr>
          <w:rFonts w:hint="eastAsia" w:ascii="宋体" w:hAnsi="宋体" w:cs="宋体"/>
          <w:color w:val="auto"/>
          <w:sz w:val="24"/>
          <w:highlight w:val="none"/>
        </w:rPr>
        <w:tab/>
      </w:r>
      <w:r>
        <w:rPr>
          <w:rFonts w:hint="eastAsia" w:ascii="宋体" w:hAnsi="宋体" w:cs="宋体"/>
          <w:color w:val="auto"/>
          <w:sz w:val="24"/>
          <w:highlight w:val="none"/>
        </w:rPr>
        <w:t>（签字或者电子签名）</w:t>
      </w:r>
    </w:p>
    <w:p w14:paraId="6BCA185A">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w:t>
      </w:r>
    </w:p>
    <w:p w14:paraId="61894BB9">
      <w:pPr>
        <w:pStyle w:val="7"/>
        <w:overflowPunct w:val="0"/>
        <w:spacing w:line="360" w:lineRule="auto"/>
        <w:ind w:firstLineChars="175"/>
        <w:contextualSpacing/>
        <w:rPr>
          <w:rFonts w:ascii="宋体" w:hAnsi="宋体" w:cs="宋体"/>
          <w:color w:val="auto"/>
          <w:sz w:val="24"/>
          <w:highlight w:val="none"/>
        </w:rPr>
      </w:pPr>
    </w:p>
    <w:p w14:paraId="154E0681">
      <w:pPr>
        <w:pStyle w:val="7"/>
        <w:overflowPunct w:val="0"/>
        <w:spacing w:line="360" w:lineRule="auto"/>
        <w:ind w:firstLineChars="175"/>
        <w:contextualSpacing/>
        <w:jc w:val="right"/>
        <w:rPr>
          <w:rFonts w:ascii="宋体" w:hAnsi="宋体" w:cs="宋体"/>
          <w:b/>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年</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p>
    <w:p w14:paraId="6663B749">
      <w:pPr>
        <w:snapToGrid w:val="0"/>
        <w:spacing w:before="120" w:beforeLines="50" w:after="50"/>
        <w:jc w:val="left"/>
        <w:rPr>
          <w:rFonts w:ascii="宋体" w:hAnsi="宋体" w:cs="宋体"/>
          <w:b/>
          <w:color w:val="auto"/>
          <w:sz w:val="24"/>
          <w:highlight w:val="none"/>
        </w:rPr>
      </w:pPr>
    </w:p>
    <w:p w14:paraId="5CE09995">
      <w:pPr>
        <w:snapToGrid w:val="0"/>
        <w:spacing w:before="120" w:beforeLines="50" w:after="50"/>
        <w:jc w:val="left"/>
        <w:rPr>
          <w:rFonts w:ascii="宋体" w:hAnsi="宋体" w:cs="宋体"/>
          <w:color w:val="auto"/>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2.中小企业声明函格式</w:t>
      </w:r>
    </w:p>
    <w:p w14:paraId="7BD2AB1F">
      <w:pPr>
        <w:rPr>
          <w:rFonts w:ascii="宋体" w:hAnsi="宋体" w:cs="宋体"/>
          <w:color w:val="auto"/>
          <w:highlight w:val="none"/>
        </w:rPr>
      </w:pPr>
    </w:p>
    <w:p w14:paraId="64369F99">
      <w:pPr>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中小企业声明函（货物）</w:t>
      </w:r>
    </w:p>
    <w:p w14:paraId="34529E9E">
      <w:pPr>
        <w:spacing w:before="2" w:line="500" w:lineRule="exact"/>
        <w:rPr>
          <w:rFonts w:ascii="宋体" w:hAnsi="宋体" w:cs="宋体"/>
          <w:b/>
          <w:bCs/>
          <w:color w:val="auto"/>
          <w:sz w:val="27"/>
          <w:szCs w:val="27"/>
          <w:highlight w:val="none"/>
        </w:rPr>
      </w:pPr>
    </w:p>
    <w:p w14:paraId="581B2D65">
      <w:pPr>
        <w:pStyle w:val="19"/>
        <w:spacing w:line="360" w:lineRule="auto"/>
        <w:ind w:left="-426" w:leftChars="-203" w:right="142" w:firstLine="480" w:firstLineChars="200"/>
        <w:contextualSpacing/>
        <w:rPr>
          <w:rFonts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w:t>
      </w:r>
      <w:r>
        <w:rPr>
          <w:rFonts w:hint="eastAsia" w:ascii="宋体" w:hAnsi="宋体" w:cs="宋体"/>
          <w:color w:val="auto"/>
          <w:kern w:val="24"/>
          <w:highlight w:val="none"/>
        </w:rPr>
        <w:t>采购活动，提供的货物全部由符合政策要求的中小企业制造。相关企业（含联合体中的中小企业、签订分包意向协议的中小企业）的具体情况如下：</w:t>
      </w:r>
    </w:p>
    <w:p w14:paraId="3F3E0136">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73C0DD64">
      <w:pPr>
        <w:tabs>
          <w:tab w:val="left" w:pos="1065"/>
          <w:tab w:val="left" w:pos="6477"/>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2DDD942C">
      <w:pPr>
        <w:pStyle w:val="19"/>
        <w:spacing w:line="360" w:lineRule="auto"/>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1EC5E471">
      <w:pPr>
        <w:pStyle w:val="19"/>
        <w:spacing w:line="360" w:lineRule="auto"/>
        <w:ind w:left="-405" w:leftChars="-193" w:right="142" w:firstLine="453"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5F7850B3">
      <w:pPr>
        <w:pStyle w:val="19"/>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44936908">
      <w:pPr>
        <w:pStyle w:val="19"/>
        <w:spacing w:line="360" w:lineRule="auto"/>
        <w:ind w:left="3960" w:right="1808"/>
        <w:contextualSpacing/>
        <w:rPr>
          <w:rFonts w:ascii="宋体" w:hAnsi="宋体" w:cs="宋体"/>
          <w:color w:val="auto"/>
          <w:kern w:val="24"/>
          <w:highlight w:val="none"/>
        </w:rPr>
      </w:pPr>
    </w:p>
    <w:p w14:paraId="491F4E99">
      <w:pPr>
        <w:pStyle w:val="19"/>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 xml:space="preserve">企业名称（电子签章）： </w:t>
      </w:r>
    </w:p>
    <w:p w14:paraId="44AF7DFF">
      <w:pPr>
        <w:pStyle w:val="19"/>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日期：</w:t>
      </w:r>
    </w:p>
    <w:p w14:paraId="6F716BD5">
      <w:pPr>
        <w:pStyle w:val="19"/>
        <w:spacing w:line="360" w:lineRule="auto"/>
        <w:ind w:left="3960" w:right="1808"/>
        <w:contextualSpacing/>
        <w:rPr>
          <w:rFonts w:ascii="宋体" w:hAnsi="宋体" w:cs="宋体"/>
          <w:color w:val="auto"/>
          <w:kern w:val="24"/>
          <w:highlight w:val="none"/>
        </w:rPr>
      </w:pPr>
    </w:p>
    <w:p w14:paraId="03ED27D0">
      <w:pPr>
        <w:pStyle w:val="19"/>
        <w:spacing w:line="360" w:lineRule="auto"/>
        <w:ind w:left="3960" w:right="1808"/>
        <w:contextualSpacing/>
        <w:rPr>
          <w:rFonts w:ascii="宋体" w:hAnsi="宋体" w:cs="宋体"/>
          <w:color w:val="auto"/>
          <w:kern w:val="24"/>
          <w:highlight w:val="none"/>
        </w:rPr>
      </w:pPr>
    </w:p>
    <w:p w14:paraId="5C33F668">
      <w:pPr>
        <w:pStyle w:val="19"/>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523E6F66">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3.残疾人福利性单位声明函格式</w:t>
      </w:r>
    </w:p>
    <w:p w14:paraId="6367CA39">
      <w:pPr>
        <w:spacing w:line="588" w:lineRule="exact"/>
        <w:jc w:val="center"/>
        <w:rPr>
          <w:rFonts w:ascii="宋体" w:hAnsi="宋体" w:cs="宋体"/>
          <w:b/>
          <w:color w:val="auto"/>
          <w:spacing w:val="6"/>
          <w:sz w:val="32"/>
          <w:szCs w:val="32"/>
          <w:highlight w:val="none"/>
        </w:rPr>
      </w:pPr>
    </w:p>
    <w:p w14:paraId="2FFF220E">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p w14:paraId="7B420CC2">
      <w:pPr>
        <w:spacing w:line="360" w:lineRule="auto"/>
        <w:contextualSpacing/>
        <w:rPr>
          <w:rFonts w:ascii="宋体" w:hAnsi="宋体" w:cs="宋体"/>
          <w:bCs/>
          <w:color w:val="auto"/>
          <w:spacing w:val="6"/>
          <w:sz w:val="30"/>
          <w:szCs w:val="30"/>
          <w:highlight w:val="none"/>
        </w:rPr>
      </w:pPr>
    </w:p>
    <w:p w14:paraId="543F14D7">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7498EBB8">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35057902">
      <w:pPr>
        <w:spacing w:line="360" w:lineRule="auto"/>
        <w:ind w:firstLine="504" w:firstLineChars="200"/>
        <w:contextualSpacing/>
        <w:rPr>
          <w:rFonts w:ascii="宋体" w:hAnsi="宋体" w:cs="宋体"/>
          <w:color w:val="auto"/>
          <w:spacing w:val="6"/>
          <w:sz w:val="24"/>
          <w:highlight w:val="none"/>
        </w:rPr>
      </w:pPr>
    </w:p>
    <w:p w14:paraId="114F0BDD">
      <w:pPr>
        <w:spacing w:line="360" w:lineRule="auto"/>
        <w:ind w:firstLine="504" w:firstLineChars="200"/>
        <w:contextualSpacing/>
        <w:rPr>
          <w:rFonts w:ascii="宋体" w:hAnsi="宋体" w:cs="宋体"/>
          <w:color w:val="auto"/>
          <w:spacing w:val="6"/>
          <w:sz w:val="24"/>
          <w:highlight w:val="none"/>
        </w:rPr>
      </w:pPr>
    </w:p>
    <w:p w14:paraId="1CCAE28A">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单位名称（电子签章）：</w:t>
      </w:r>
    </w:p>
    <w:p w14:paraId="2D89ECB4">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5119718C">
      <w:pPr>
        <w:spacing w:line="360" w:lineRule="auto"/>
        <w:contextualSpacing/>
        <w:rPr>
          <w:rFonts w:ascii="宋体" w:hAnsi="宋体" w:cs="宋体"/>
          <w:color w:val="auto"/>
          <w:sz w:val="24"/>
          <w:highlight w:val="none"/>
        </w:rPr>
      </w:pPr>
    </w:p>
    <w:p w14:paraId="69D6B7BD">
      <w:pPr>
        <w:spacing w:line="360" w:lineRule="auto"/>
        <w:contextualSpacing/>
        <w:rPr>
          <w:rFonts w:ascii="宋体" w:hAnsi="宋体" w:cs="宋体"/>
          <w:color w:val="auto"/>
          <w:sz w:val="24"/>
          <w:highlight w:val="none"/>
        </w:rPr>
      </w:pPr>
    </w:p>
    <w:p w14:paraId="78B29100">
      <w:pPr>
        <w:spacing w:line="360" w:lineRule="auto"/>
        <w:contextualSpacing/>
        <w:rPr>
          <w:rFonts w:ascii="宋体" w:hAnsi="宋体" w:cs="宋体"/>
          <w:color w:val="auto"/>
          <w:sz w:val="24"/>
          <w:highlight w:val="none"/>
        </w:rPr>
      </w:pPr>
    </w:p>
    <w:p w14:paraId="18546B1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E4F2ACC">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4.质疑函（格式）</w:t>
      </w:r>
    </w:p>
    <w:p w14:paraId="03FCA501">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质疑函（格式）</w:t>
      </w:r>
    </w:p>
    <w:p w14:paraId="1D8B454F">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3FEE807B">
      <w:pPr>
        <w:pStyle w:val="2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color w:val="auto"/>
          <w:sz w:val="24"/>
          <w:szCs w:val="24"/>
          <w:highlight w:val="none"/>
          <w:u w:val="single"/>
        </w:rPr>
        <w:t>　　　　　</w:t>
      </w:r>
    </w:p>
    <w:p w14:paraId="52AC3061">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56ACAFDE">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0D197CEF">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color w:val="auto"/>
          <w:sz w:val="24"/>
          <w:szCs w:val="24"/>
          <w:highlight w:val="none"/>
          <w:u w:val="single"/>
        </w:rPr>
        <w:t>　　　　　</w:t>
      </w:r>
    </w:p>
    <w:p w14:paraId="50404621">
      <w:pPr>
        <w:pStyle w:val="2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6BF20378">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767F0AD0">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6C43E807">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color w:val="auto"/>
          <w:sz w:val="24"/>
          <w:szCs w:val="24"/>
          <w:highlight w:val="none"/>
          <w:u w:val="single"/>
        </w:rPr>
        <w:t>　　　　　</w:t>
      </w:r>
    </w:p>
    <w:p w14:paraId="7144CAC9">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color w:val="auto"/>
          <w:sz w:val="24"/>
          <w:szCs w:val="24"/>
          <w:highlight w:val="none"/>
          <w:u w:val="single"/>
        </w:rPr>
        <w:t>　　　　　</w:t>
      </w:r>
    </w:p>
    <w:p w14:paraId="32CD460A">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color w:val="auto"/>
          <w:sz w:val="24"/>
          <w:szCs w:val="24"/>
          <w:highlight w:val="none"/>
          <w:u w:val="single"/>
        </w:rPr>
        <w:t>　　　　　</w:t>
      </w:r>
    </w:p>
    <w:p w14:paraId="41FF53E1">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r>
        <w:rPr>
          <w:rFonts w:hint="eastAsia" w:hAnsi="宋体" w:cs="宋体"/>
          <w:color w:val="auto"/>
          <w:sz w:val="24"/>
          <w:szCs w:val="24"/>
          <w:highlight w:val="none"/>
          <w:u w:val="single"/>
        </w:rPr>
        <w:t>　　　　　</w:t>
      </w:r>
    </w:p>
    <w:p w14:paraId="63E1EFDB">
      <w:pPr>
        <w:pStyle w:val="25"/>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□采购文件   采购文件获取日期：</w:t>
      </w:r>
    </w:p>
    <w:p w14:paraId="79FB9F3E">
      <w:pPr>
        <w:pStyle w:val="25"/>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25A63266">
      <w:pPr>
        <w:pStyle w:val="25"/>
        <w:spacing w:line="360" w:lineRule="auto"/>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□采购结果   </w:t>
      </w:r>
    </w:p>
    <w:p w14:paraId="3211A212">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77CE590A">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p>
    <w:p w14:paraId="36D66A90">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p>
    <w:p w14:paraId="65B65235">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p>
    <w:p w14:paraId="21A8D498">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0B3C6F5F">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0152A369">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0D95FBB1">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14:paraId="6F8F9398">
      <w:pPr>
        <w:pStyle w:val="25"/>
        <w:spacing w:line="360" w:lineRule="auto"/>
        <w:ind w:left="25" w:leftChars="12" w:firstLine="352" w:firstLineChars="147"/>
        <w:rPr>
          <w:rFonts w:hAnsi="宋体" w:cs="宋体"/>
          <w:color w:val="auto"/>
          <w:sz w:val="24"/>
          <w:szCs w:val="24"/>
          <w:highlight w:val="none"/>
        </w:rPr>
      </w:pPr>
    </w:p>
    <w:p w14:paraId="752D896F">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8E1E459">
      <w:pPr>
        <w:pStyle w:val="25"/>
        <w:spacing w:line="360" w:lineRule="auto"/>
        <w:ind w:left="25" w:leftChars="12" w:firstLine="352" w:firstLineChars="147"/>
        <w:rPr>
          <w:rFonts w:hAnsi="宋体" w:cs="宋体"/>
          <w:color w:val="auto"/>
          <w:sz w:val="24"/>
          <w:szCs w:val="24"/>
          <w:highlight w:val="none"/>
        </w:rPr>
      </w:pPr>
    </w:p>
    <w:p w14:paraId="1F643485">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5FD47C04">
      <w:pPr>
        <w:pStyle w:val="25"/>
        <w:snapToGrid w:val="0"/>
        <w:spacing w:line="360" w:lineRule="auto"/>
        <w:rPr>
          <w:rFonts w:hAnsi="宋体" w:cs="宋体"/>
          <w:b/>
          <w:color w:val="auto"/>
          <w:sz w:val="24"/>
          <w:szCs w:val="24"/>
          <w:highlight w:val="none"/>
        </w:rPr>
      </w:pPr>
    </w:p>
    <w:p w14:paraId="259120CF">
      <w:pPr>
        <w:pStyle w:val="2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551CD0A3">
      <w:pPr>
        <w:pStyle w:val="2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444599B7">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105AFD4">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6A6E6A14">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68B5D02C">
      <w:pPr>
        <w:pStyle w:val="25"/>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03F5D146">
      <w:pPr>
        <w:pStyle w:val="25"/>
        <w:snapToGrid w:val="0"/>
        <w:rPr>
          <w:rFonts w:hAnsi="宋体" w:cs="宋体"/>
          <w:b/>
          <w:color w:val="auto"/>
          <w:sz w:val="24"/>
          <w:szCs w:val="24"/>
          <w:highlight w:val="none"/>
        </w:rPr>
      </w:pPr>
    </w:p>
    <w:p w14:paraId="2AEF7040">
      <w:pPr>
        <w:spacing w:line="360" w:lineRule="auto"/>
        <w:jc w:val="left"/>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color w:val="auto"/>
          <w:sz w:val="24"/>
          <w:highlight w:val="none"/>
        </w:rPr>
        <w:t>5.投诉书（格式）</w:t>
      </w:r>
    </w:p>
    <w:p w14:paraId="23D0B589">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投诉书（格式）</w:t>
      </w:r>
    </w:p>
    <w:p w14:paraId="0B66F6C7">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49A5DD1D">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color w:val="auto"/>
          <w:sz w:val="24"/>
          <w:szCs w:val="24"/>
          <w:highlight w:val="none"/>
          <w:u w:val="single"/>
        </w:rPr>
        <w:t>　　　　　</w:t>
      </w:r>
    </w:p>
    <w:p w14:paraId="4ABAFF57">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3A9EB8DE">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color w:val="auto"/>
          <w:sz w:val="24"/>
          <w:szCs w:val="24"/>
          <w:highlight w:val="none"/>
          <w:u w:val="single"/>
        </w:rPr>
        <w:t>　　　　　</w:t>
      </w:r>
    </w:p>
    <w:p w14:paraId="73D6F09D">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371DAFF1">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1522F08E">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p>
    <w:p w14:paraId="75A6894F">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1BA1A0AF">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r>
        <w:rPr>
          <w:rFonts w:hint="eastAsia" w:hAnsi="宋体" w:cs="宋体"/>
          <w:color w:val="auto"/>
          <w:sz w:val="24"/>
          <w:szCs w:val="24"/>
          <w:highlight w:val="none"/>
          <w:u w:val="single"/>
        </w:rPr>
        <w:t>　　　　　</w:t>
      </w:r>
    </w:p>
    <w:p w14:paraId="431BC20E">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p>
    <w:p w14:paraId="64A7815C">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55B4EFBA">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38E4575B">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r>
        <w:rPr>
          <w:rFonts w:hint="eastAsia" w:hAnsi="宋体" w:cs="宋体"/>
          <w:color w:val="auto"/>
          <w:sz w:val="24"/>
          <w:szCs w:val="24"/>
          <w:highlight w:val="none"/>
          <w:u w:val="single"/>
        </w:rPr>
        <w:t>　　　　　</w:t>
      </w:r>
    </w:p>
    <w:p w14:paraId="7410106C">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7DC8F6CA">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color w:val="auto"/>
          <w:sz w:val="24"/>
          <w:szCs w:val="24"/>
          <w:highlight w:val="none"/>
          <w:u w:val="single"/>
        </w:rPr>
        <w:t>　　　　　</w:t>
      </w:r>
    </w:p>
    <w:p w14:paraId="500A84AC">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0E34C66E">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799593CB">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448426CE">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color w:val="auto"/>
          <w:sz w:val="24"/>
          <w:szCs w:val="24"/>
          <w:highlight w:val="none"/>
          <w:u w:val="single"/>
        </w:rPr>
        <w:t>　　　　　</w:t>
      </w:r>
    </w:p>
    <w:p w14:paraId="5E94F710">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color w:val="auto"/>
          <w:sz w:val="24"/>
          <w:szCs w:val="24"/>
          <w:highlight w:val="none"/>
          <w:u w:val="single"/>
        </w:rPr>
        <w:t>　　　　　</w:t>
      </w:r>
    </w:p>
    <w:p w14:paraId="4174B54C">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color w:val="auto"/>
          <w:sz w:val="24"/>
          <w:szCs w:val="24"/>
          <w:highlight w:val="none"/>
          <w:u w:val="single"/>
        </w:rPr>
        <w:t>　　　　　</w:t>
      </w:r>
    </w:p>
    <w:p w14:paraId="64FF1773">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color w:val="auto"/>
          <w:sz w:val="24"/>
          <w:szCs w:val="24"/>
          <w:highlight w:val="none"/>
          <w:u w:val="single"/>
        </w:rPr>
        <w:t>　　　　　</w:t>
      </w:r>
    </w:p>
    <w:p w14:paraId="172FB84E">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 xml:space="preserve">      公告期限：</w:t>
      </w:r>
    </w:p>
    <w:p w14:paraId="20D48F3F">
      <w:pPr>
        <w:pStyle w:val="25"/>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 xml:space="preserve">是/否 </w:t>
      </w:r>
      <w:r>
        <w:rPr>
          <w:rFonts w:hint="eastAsia" w:hAnsi="宋体" w:cs="宋体"/>
          <w:bCs/>
          <w:color w:val="auto"/>
          <w:sz w:val="24"/>
          <w:szCs w:val="24"/>
          <w:highlight w:val="none"/>
        </w:rPr>
        <w:t xml:space="preserve">     公告期限：</w:t>
      </w:r>
    </w:p>
    <w:p w14:paraId="31E0D5EE">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017DCBA0">
      <w:pPr>
        <w:pStyle w:val="25"/>
        <w:spacing w:line="360" w:lineRule="auto"/>
        <w:ind w:left="25" w:leftChars="12" w:firstLine="480" w:firstLineChars="200"/>
        <w:rPr>
          <w:rFonts w:hAnsi="宋体" w:cs="宋体"/>
          <w:color w:val="auto"/>
          <w:sz w:val="24"/>
          <w:szCs w:val="24"/>
          <w:highlight w:val="none"/>
        </w:rPr>
      </w:pPr>
      <w:r>
        <w:rPr>
          <w:rFonts w:hint="eastAsia" w:hAnsi="宋体" w:cs="宋体"/>
          <w:color w:val="auto"/>
          <w:sz w:val="24"/>
          <w:szCs w:val="24"/>
          <w:highlight w:val="none"/>
        </w:rPr>
        <w:t>投诉人于年月日，向提出质疑，质疑事项为：</w:t>
      </w:r>
    </w:p>
    <w:p w14:paraId="7D2E76E0">
      <w:pPr>
        <w:pStyle w:val="25"/>
        <w:spacing w:line="360" w:lineRule="auto"/>
        <w:ind w:firstLine="241"/>
        <w:rPr>
          <w:rFonts w:hAnsi="宋体" w:cs="宋体"/>
          <w:bCs/>
          <w:color w:val="auto"/>
          <w:sz w:val="24"/>
          <w:szCs w:val="24"/>
          <w:highlight w:val="none"/>
          <w:u w:val="single"/>
        </w:rPr>
      </w:pPr>
    </w:p>
    <w:p w14:paraId="3B754EC9">
      <w:pPr>
        <w:pStyle w:val="25"/>
        <w:spacing w:line="360" w:lineRule="auto"/>
        <w:ind w:firstLine="241"/>
        <w:rPr>
          <w:rFonts w:hAnsi="宋体" w:cs="宋体"/>
          <w:bCs/>
          <w:color w:val="auto"/>
          <w:sz w:val="24"/>
          <w:szCs w:val="24"/>
          <w:highlight w:val="none"/>
          <w:u w:val="single"/>
        </w:rPr>
      </w:pPr>
    </w:p>
    <w:p w14:paraId="28B8F1AD">
      <w:pPr>
        <w:pStyle w:val="25"/>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rPr>
        <w:t>年月日，</w:t>
      </w:r>
      <w:r>
        <w:rPr>
          <w:rFonts w:hint="eastAsia" w:hAnsi="宋体" w:cs="宋体"/>
          <w:bCs/>
          <w:color w:val="auto"/>
          <w:sz w:val="24"/>
          <w:szCs w:val="24"/>
          <w:highlight w:val="none"/>
        </w:rPr>
        <w:t xml:space="preserve">就质疑事项作出了答复/没有在法定期限内作出答复。                                                                                             </w:t>
      </w:r>
    </w:p>
    <w:p w14:paraId="0C20BE39">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7699628C">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p>
    <w:p w14:paraId="5DF2E31A">
      <w:pPr>
        <w:pStyle w:val="2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p>
    <w:p w14:paraId="5D50155E">
      <w:pPr>
        <w:pStyle w:val="25"/>
        <w:spacing w:line="360" w:lineRule="auto"/>
        <w:ind w:left="25" w:leftChars="12" w:firstLine="472" w:firstLineChars="197"/>
        <w:rPr>
          <w:rFonts w:hAnsi="宋体" w:cs="宋体"/>
          <w:color w:val="auto"/>
          <w:sz w:val="24"/>
          <w:szCs w:val="24"/>
          <w:highlight w:val="none"/>
        </w:rPr>
      </w:pPr>
    </w:p>
    <w:p w14:paraId="24B03C83">
      <w:pPr>
        <w:pStyle w:val="2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p>
    <w:p w14:paraId="03806D8D">
      <w:pPr>
        <w:pStyle w:val="25"/>
        <w:spacing w:line="360" w:lineRule="auto"/>
        <w:ind w:left="25" w:leftChars="12" w:firstLine="352" w:firstLineChars="147"/>
        <w:rPr>
          <w:rFonts w:hAnsi="宋体" w:cs="宋体"/>
          <w:bCs/>
          <w:color w:val="auto"/>
          <w:sz w:val="24"/>
          <w:szCs w:val="24"/>
          <w:highlight w:val="none"/>
          <w:u w:val="single"/>
        </w:rPr>
      </w:pPr>
    </w:p>
    <w:p w14:paraId="29679A7D">
      <w:pPr>
        <w:pStyle w:val="25"/>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p>
    <w:p w14:paraId="26B0835A">
      <w:pPr>
        <w:pStyle w:val="25"/>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39A21E96">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4CA02F32">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14:paraId="0EA7B789">
      <w:pPr>
        <w:pStyle w:val="25"/>
        <w:spacing w:line="360" w:lineRule="auto"/>
        <w:ind w:left="25" w:leftChars="12" w:firstLine="352" w:firstLineChars="147"/>
        <w:rPr>
          <w:rFonts w:hAnsi="宋体" w:cs="宋体"/>
          <w:color w:val="auto"/>
          <w:sz w:val="24"/>
          <w:szCs w:val="24"/>
          <w:highlight w:val="none"/>
        </w:rPr>
      </w:pPr>
    </w:p>
    <w:p w14:paraId="361E6611">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3E78F19">
      <w:pPr>
        <w:pStyle w:val="25"/>
        <w:spacing w:line="360" w:lineRule="auto"/>
        <w:ind w:left="25" w:leftChars="12" w:firstLine="352" w:firstLineChars="147"/>
        <w:rPr>
          <w:rFonts w:hAnsi="宋体" w:cs="宋体"/>
          <w:color w:val="auto"/>
          <w:sz w:val="24"/>
          <w:szCs w:val="24"/>
          <w:highlight w:val="none"/>
        </w:rPr>
      </w:pPr>
    </w:p>
    <w:p w14:paraId="1D11A5AE">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50176F82">
      <w:pPr>
        <w:pStyle w:val="25"/>
        <w:spacing w:line="360" w:lineRule="auto"/>
        <w:ind w:left="25" w:leftChars="12"/>
        <w:rPr>
          <w:rFonts w:hAnsi="宋体" w:cs="宋体"/>
          <w:b/>
          <w:color w:val="auto"/>
          <w:sz w:val="24"/>
          <w:szCs w:val="24"/>
          <w:highlight w:val="none"/>
        </w:rPr>
      </w:pPr>
      <w:r>
        <w:rPr>
          <w:rFonts w:hint="eastAsia" w:hAnsi="宋体" w:cs="宋体"/>
          <w:b/>
          <w:color w:val="auto"/>
          <w:sz w:val="24"/>
          <w:szCs w:val="24"/>
          <w:highlight w:val="none"/>
        </w:rPr>
        <w:t>说明：</w:t>
      </w:r>
    </w:p>
    <w:p w14:paraId="76323267">
      <w:pPr>
        <w:pStyle w:val="2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2532DFF7">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F3574D">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190BF9E3">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46CF90B0">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0C90349A">
      <w:pPr>
        <w:pStyle w:val="25"/>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ADD15">
    <w:pPr>
      <w:pStyle w:val="31"/>
      <w:jc w:val="center"/>
    </w:pPr>
    <w:r>
      <w:fldChar w:fldCharType="begin"/>
    </w:r>
    <w:r>
      <w:instrText xml:space="preserve"> PAGE   \* MERGEFORMAT </w:instrText>
    </w:r>
    <w:r>
      <w:fldChar w:fldCharType="separate"/>
    </w:r>
    <w:r>
      <w:rPr>
        <w:lang w:val="zh-CN"/>
      </w:rPr>
      <w:t>16</w:t>
    </w:r>
    <w:r>
      <w:rPr>
        <w:lang w:val="zh-CN"/>
      </w:rPr>
      <w:fldChar w:fldCharType="end"/>
    </w:r>
  </w:p>
  <w:p w14:paraId="186D06F6">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CA2BE">
    <w:pPr>
      <w:pStyle w:val="31"/>
      <w:framePr w:wrap="around" w:vAnchor="text" w:hAnchor="margin" w:xAlign="center" w:y="1"/>
      <w:rPr>
        <w:rStyle w:val="52"/>
      </w:rPr>
    </w:pPr>
    <w:r>
      <w:fldChar w:fldCharType="begin"/>
    </w:r>
    <w:r>
      <w:rPr>
        <w:rStyle w:val="52"/>
      </w:rPr>
      <w:instrText xml:space="preserve">PAGE  </w:instrText>
    </w:r>
    <w:r>
      <w:fldChar w:fldCharType="end"/>
    </w:r>
  </w:p>
  <w:p w14:paraId="1684DD8B">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98C05">
    <w:pPr>
      <w:pStyle w:val="31"/>
      <w:jc w:val="center"/>
    </w:pPr>
    <w:r>
      <w:fldChar w:fldCharType="begin"/>
    </w:r>
    <w:r>
      <w:instrText xml:space="preserve">PAGE   \* MERGEFORMAT</w:instrText>
    </w:r>
    <w:r>
      <w:fldChar w:fldCharType="separate"/>
    </w:r>
    <w:r>
      <w:rPr>
        <w:lang w:val="zh-CN"/>
      </w:rPr>
      <w:t>0</w:t>
    </w:r>
    <w:r>
      <w:rPr>
        <w:lang w:val="zh-CN"/>
      </w:rPr>
      <w:fldChar w:fldCharType="end"/>
    </w:r>
  </w:p>
  <w:p w14:paraId="26EEB22E">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35953">
    <w:pPr>
      <w:pStyle w:val="31"/>
      <w:jc w:val="center"/>
    </w:pPr>
    <w:r>
      <w:fldChar w:fldCharType="begin"/>
    </w:r>
    <w:r>
      <w:instrText xml:space="preserve"> PAGE   \* MERGEFORMAT </w:instrText>
    </w:r>
    <w:r>
      <w:fldChar w:fldCharType="separate"/>
    </w:r>
    <w:r>
      <w:rPr>
        <w:lang w:val="zh-CN"/>
      </w:rPr>
      <w:t>134</w:t>
    </w:r>
    <w:r>
      <w:rPr>
        <w:lang w:val="zh-CN"/>
      </w:rPr>
      <w:fldChar w:fldCharType="end"/>
    </w:r>
  </w:p>
  <w:p w14:paraId="6CB6C76E">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54B5">
    <w:pPr>
      <w:pStyle w:val="31"/>
      <w:framePr w:wrap="around" w:vAnchor="text" w:hAnchor="margin" w:xAlign="center" w:y="1"/>
      <w:rPr>
        <w:rStyle w:val="52"/>
      </w:rPr>
    </w:pPr>
    <w:r>
      <w:fldChar w:fldCharType="begin"/>
    </w:r>
    <w:r>
      <w:rPr>
        <w:rStyle w:val="52"/>
      </w:rPr>
      <w:instrText xml:space="preserve">PAGE  </w:instrText>
    </w:r>
    <w:r>
      <w:fldChar w:fldCharType="end"/>
    </w:r>
  </w:p>
  <w:p w14:paraId="3AE6CBA2">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42A2D">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80B58">
    <w:pPr>
      <w:pStyle w:val="33"/>
      <w:pBdr>
        <w:bottom w:val="none" w:color="auto" w:sz="0" w:space="0"/>
      </w:pBdr>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6230" cy="4782185"/>
          <wp:effectExtent l="0" t="0" r="13970" b="18415"/>
          <wp:wrapNone/>
          <wp:docPr id="4" name="WordPictureWatermark96546633"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96546633"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FEEAE">
    <w:pPr>
      <w:pStyle w:val="3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6230" cy="4782185"/>
          <wp:effectExtent l="0" t="0" r="13970" b="18415"/>
          <wp:wrapNone/>
          <wp:docPr id="3" name="WordPictureWatermark96546632"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96546632"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38C45">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6230" cy="4782185"/>
          <wp:effectExtent l="0" t="0" r="13970" b="18415"/>
          <wp:wrapNone/>
          <wp:docPr id="1" name="WordPictureWatermark96546631"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6546631"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DFF7">
    <w:pPr>
      <w:pStyle w:val="33"/>
      <w:pBdr>
        <w:bottom w:val="none" w:color="auto" w:sz="0" w:space="0"/>
      </w:pBdr>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396230" cy="4782185"/>
          <wp:effectExtent l="0" t="0" r="13970" b="18415"/>
          <wp:wrapNone/>
          <wp:docPr id="7" name="WordPictureWatermark96546636"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96546636"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D30BB">
    <w:pPr>
      <w:pStyle w:val="3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6230" cy="4782185"/>
          <wp:effectExtent l="0" t="0" r="13970" b="18415"/>
          <wp:wrapNone/>
          <wp:docPr id="6" name="WordPictureWatermark96546635"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96546635"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1DCB">
    <w:pPr>
      <w:pStyle w:val="3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6230" cy="4782185"/>
          <wp:effectExtent l="0" t="0" r="13970" b="18415"/>
          <wp:wrapNone/>
          <wp:docPr id="5" name="WordPictureWatermark96546634"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96546634"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B8DB7"/>
    <w:multiLevelType w:val="singleLevel"/>
    <w:tmpl w:val="FE2B8DB7"/>
    <w:lvl w:ilvl="0" w:tentative="0">
      <w:start w:val="4"/>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2">
    <w:nsid w:val="206B6802"/>
    <w:multiLevelType w:val="singleLevel"/>
    <w:tmpl w:val="206B6802"/>
    <w:lvl w:ilvl="0" w:tentative="0">
      <w:start w:val="1"/>
      <w:numFmt w:val="chineseCounting"/>
      <w:suff w:val="nothing"/>
      <w:lvlText w:val="%1、"/>
      <w:lvlJc w:val="left"/>
      <w:rPr>
        <w:rFonts w:hint="eastAsia"/>
      </w:r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7E66D773"/>
    <w:multiLevelType w:val="singleLevel"/>
    <w:tmpl w:val="7E66D773"/>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s>
  <w:rsids>
    <w:rsidRoot w:val="00020F00"/>
    <w:rsid w:val="0000085D"/>
    <w:rsid w:val="00006992"/>
    <w:rsid w:val="00010DCE"/>
    <w:rsid w:val="0001215A"/>
    <w:rsid w:val="000132CA"/>
    <w:rsid w:val="000142A5"/>
    <w:rsid w:val="00015B66"/>
    <w:rsid w:val="00015FCE"/>
    <w:rsid w:val="00020F00"/>
    <w:rsid w:val="00021F25"/>
    <w:rsid w:val="00023308"/>
    <w:rsid w:val="00026981"/>
    <w:rsid w:val="00027DBC"/>
    <w:rsid w:val="0003133C"/>
    <w:rsid w:val="000327B8"/>
    <w:rsid w:val="00033446"/>
    <w:rsid w:val="00033B41"/>
    <w:rsid w:val="00034752"/>
    <w:rsid w:val="000353E4"/>
    <w:rsid w:val="00035989"/>
    <w:rsid w:val="00036B9E"/>
    <w:rsid w:val="00040F42"/>
    <w:rsid w:val="00041E6B"/>
    <w:rsid w:val="00042D99"/>
    <w:rsid w:val="00044A6B"/>
    <w:rsid w:val="00047682"/>
    <w:rsid w:val="00050200"/>
    <w:rsid w:val="0005021C"/>
    <w:rsid w:val="0005070D"/>
    <w:rsid w:val="000514D1"/>
    <w:rsid w:val="000528BD"/>
    <w:rsid w:val="00052CC8"/>
    <w:rsid w:val="00056C35"/>
    <w:rsid w:val="000574F6"/>
    <w:rsid w:val="000579FA"/>
    <w:rsid w:val="00060307"/>
    <w:rsid w:val="00063225"/>
    <w:rsid w:val="00063BFA"/>
    <w:rsid w:val="00070C84"/>
    <w:rsid w:val="00071E99"/>
    <w:rsid w:val="00072814"/>
    <w:rsid w:val="00072ABD"/>
    <w:rsid w:val="00080927"/>
    <w:rsid w:val="00087BFC"/>
    <w:rsid w:val="00087E08"/>
    <w:rsid w:val="00091E6C"/>
    <w:rsid w:val="00093253"/>
    <w:rsid w:val="00094BEA"/>
    <w:rsid w:val="00095FB5"/>
    <w:rsid w:val="000A0961"/>
    <w:rsid w:val="000A1E59"/>
    <w:rsid w:val="000A5B6E"/>
    <w:rsid w:val="000A63DC"/>
    <w:rsid w:val="000A69FD"/>
    <w:rsid w:val="000A7BFF"/>
    <w:rsid w:val="000C1598"/>
    <w:rsid w:val="000C277E"/>
    <w:rsid w:val="000C2C36"/>
    <w:rsid w:val="000C4440"/>
    <w:rsid w:val="000C58D5"/>
    <w:rsid w:val="000C75D7"/>
    <w:rsid w:val="000D0251"/>
    <w:rsid w:val="000D48B9"/>
    <w:rsid w:val="000D5418"/>
    <w:rsid w:val="000D6326"/>
    <w:rsid w:val="000E02D5"/>
    <w:rsid w:val="000E098F"/>
    <w:rsid w:val="000E1703"/>
    <w:rsid w:val="000E177C"/>
    <w:rsid w:val="000E3E97"/>
    <w:rsid w:val="000E4D51"/>
    <w:rsid w:val="000E5771"/>
    <w:rsid w:val="000E61A4"/>
    <w:rsid w:val="000F29B5"/>
    <w:rsid w:val="000F3896"/>
    <w:rsid w:val="000F3EF2"/>
    <w:rsid w:val="000F6003"/>
    <w:rsid w:val="000F625A"/>
    <w:rsid w:val="000F7AED"/>
    <w:rsid w:val="00100162"/>
    <w:rsid w:val="001039D2"/>
    <w:rsid w:val="00103C69"/>
    <w:rsid w:val="00105357"/>
    <w:rsid w:val="0010758F"/>
    <w:rsid w:val="00111762"/>
    <w:rsid w:val="00111996"/>
    <w:rsid w:val="00112630"/>
    <w:rsid w:val="001137DD"/>
    <w:rsid w:val="00113980"/>
    <w:rsid w:val="001163B5"/>
    <w:rsid w:val="00120D55"/>
    <w:rsid w:val="001222C7"/>
    <w:rsid w:val="00124C13"/>
    <w:rsid w:val="00127169"/>
    <w:rsid w:val="0013265A"/>
    <w:rsid w:val="00133278"/>
    <w:rsid w:val="00133E97"/>
    <w:rsid w:val="00134464"/>
    <w:rsid w:val="00135F6B"/>
    <w:rsid w:val="001416C9"/>
    <w:rsid w:val="00141DA6"/>
    <w:rsid w:val="00141FC9"/>
    <w:rsid w:val="0014219C"/>
    <w:rsid w:val="001424B8"/>
    <w:rsid w:val="00143A9F"/>
    <w:rsid w:val="0015163C"/>
    <w:rsid w:val="001519A7"/>
    <w:rsid w:val="00152E9A"/>
    <w:rsid w:val="001535B9"/>
    <w:rsid w:val="0015737C"/>
    <w:rsid w:val="00160ADF"/>
    <w:rsid w:val="001629C9"/>
    <w:rsid w:val="00164293"/>
    <w:rsid w:val="00164384"/>
    <w:rsid w:val="001660CD"/>
    <w:rsid w:val="001663CF"/>
    <w:rsid w:val="00171C9C"/>
    <w:rsid w:val="00177BD1"/>
    <w:rsid w:val="00180580"/>
    <w:rsid w:val="001869E2"/>
    <w:rsid w:val="0019018C"/>
    <w:rsid w:val="00190B0A"/>
    <w:rsid w:val="00190C47"/>
    <w:rsid w:val="00191030"/>
    <w:rsid w:val="00191420"/>
    <w:rsid w:val="00192B8A"/>
    <w:rsid w:val="001A108D"/>
    <w:rsid w:val="001A33FD"/>
    <w:rsid w:val="001A3C80"/>
    <w:rsid w:val="001A758D"/>
    <w:rsid w:val="001B0143"/>
    <w:rsid w:val="001B3624"/>
    <w:rsid w:val="001B3D35"/>
    <w:rsid w:val="001B7D14"/>
    <w:rsid w:val="001C0306"/>
    <w:rsid w:val="001C1E54"/>
    <w:rsid w:val="001C2C0F"/>
    <w:rsid w:val="001C2E55"/>
    <w:rsid w:val="001C3725"/>
    <w:rsid w:val="001C3BA8"/>
    <w:rsid w:val="001C41A3"/>
    <w:rsid w:val="001C61E4"/>
    <w:rsid w:val="001C6EC3"/>
    <w:rsid w:val="001D2553"/>
    <w:rsid w:val="001D2AA1"/>
    <w:rsid w:val="001D33BF"/>
    <w:rsid w:val="001E035E"/>
    <w:rsid w:val="001E0460"/>
    <w:rsid w:val="001E0A6B"/>
    <w:rsid w:val="001E0F94"/>
    <w:rsid w:val="001E1DDC"/>
    <w:rsid w:val="001E2B78"/>
    <w:rsid w:val="001E2D52"/>
    <w:rsid w:val="001E3255"/>
    <w:rsid w:val="001E41CB"/>
    <w:rsid w:val="001E4BA6"/>
    <w:rsid w:val="001E58F4"/>
    <w:rsid w:val="001F0380"/>
    <w:rsid w:val="001F0BFB"/>
    <w:rsid w:val="001F409D"/>
    <w:rsid w:val="001F5ACF"/>
    <w:rsid w:val="001F7C7D"/>
    <w:rsid w:val="00201942"/>
    <w:rsid w:val="00201C6D"/>
    <w:rsid w:val="00201E1C"/>
    <w:rsid w:val="00202426"/>
    <w:rsid w:val="00205421"/>
    <w:rsid w:val="002070B3"/>
    <w:rsid w:val="00213DEC"/>
    <w:rsid w:val="00213FD7"/>
    <w:rsid w:val="0021562B"/>
    <w:rsid w:val="00217530"/>
    <w:rsid w:val="00217891"/>
    <w:rsid w:val="00217A7A"/>
    <w:rsid w:val="002204FF"/>
    <w:rsid w:val="002220C2"/>
    <w:rsid w:val="00224446"/>
    <w:rsid w:val="00225AC8"/>
    <w:rsid w:val="00225B3B"/>
    <w:rsid w:val="00226E5C"/>
    <w:rsid w:val="0022787E"/>
    <w:rsid w:val="00227D6A"/>
    <w:rsid w:val="00230B60"/>
    <w:rsid w:val="002336CC"/>
    <w:rsid w:val="0023388A"/>
    <w:rsid w:val="00235B6A"/>
    <w:rsid w:val="002414D0"/>
    <w:rsid w:val="00241715"/>
    <w:rsid w:val="002425AA"/>
    <w:rsid w:val="00243C04"/>
    <w:rsid w:val="002464A4"/>
    <w:rsid w:val="002465F2"/>
    <w:rsid w:val="00246993"/>
    <w:rsid w:val="00246C53"/>
    <w:rsid w:val="002526EF"/>
    <w:rsid w:val="00252E9B"/>
    <w:rsid w:val="00253FC5"/>
    <w:rsid w:val="00254598"/>
    <w:rsid w:val="002554C8"/>
    <w:rsid w:val="00255656"/>
    <w:rsid w:val="002560BD"/>
    <w:rsid w:val="00260145"/>
    <w:rsid w:val="00265FA2"/>
    <w:rsid w:val="00267915"/>
    <w:rsid w:val="0027060D"/>
    <w:rsid w:val="00270C14"/>
    <w:rsid w:val="00271254"/>
    <w:rsid w:val="00271270"/>
    <w:rsid w:val="00272611"/>
    <w:rsid w:val="00274C3B"/>
    <w:rsid w:val="00276F4B"/>
    <w:rsid w:val="002776BC"/>
    <w:rsid w:val="00277C14"/>
    <w:rsid w:val="002806E7"/>
    <w:rsid w:val="00280A7B"/>
    <w:rsid w:val="00281DE5"/>
    <w:rsid w:val="0028309A"/>
    <w:rsid w:val="00284BE5"/>
    <w:rsid w:val="0028557F"/>
    <w:rsid w:val="00285B0C"/>
    <w:rsid w:val="002868B5"/>
    <w:rsid w:val="0028750A"/>
    <w:rsid w:val="00287535"/>
    <w:rsid w:val="00291BE9"/>
    <w:rsid w:val="00291E2B"/>
    <w:rsid w:val="002932B9"/>
    <w:rsid w:val="00296C17"/>
    <w:rsid w:val="002974BF"/>
    <w:rsid w:val="002A12AE"/>
    <w:rsid w:val="002A1A59"/>
    <w:rsid w:val="002A32CB"/>
    <w:rsid w:val="002A4B46"/>
    <w:rsid w:val="002A7670"/>
    <w:rsid w:val="002B295E"/>
    <w:rsid w:val="002B2E91"/>
    <w:rsid w:val="002B4042"/>
    <w:rsid w:val="002B524C"/>
    <w:rsid w:val="002B56EB"/>
    <w:rsid w:val="002B68EC"/>
    <w:rsid w:val="002C0EAE"/>
    <w:rsid w:val="002C1477"/>
    <w:rsid w:val="002C47D2"/>
    <w:rsid w:val="002C4912"/>
    <w:rsid w:val="002C772D"/>
    <w:rsid w:val="002D033C"/>
    <w:rsid w:val="002D41D5"/>
    <w:rsid w:val="002D468B"/>
    <w:rsid w:val="002D758E"/>
    <w:rsid w:val="002D7F90"/>
    <w:rsid w:val="002E25B5"/>
    <w:rsid w:val="002E484B"/>
    <w:rsid w:val="002E7C69"/>
    <w:rsid w:val="002F1167"/>
    <w:rsid w:val="002F19EE"/>
    <w:rsid w:val="002F1F82"/>
    <w:rsid w:val="002F3360"/>
    <w:rsid w:val="002F4817"/>
    <w:rsid w:val="002F4DD2"/>
    <w:rsid w:val="002F5172"/>
    <w:rsid w:val="002F5BCF"/>
    <w:rsid w:val="002F7114"/>
    <w:rsid w:val="0030133C"/>
    <w:rsid w:val="00301F2E"/>
    <w:rsid w:val="00304303"/>
    <w:rsid w:val="0030459B"/>
    <w:rsid w:val="00304B01"/>
    <w:rsid w:val="00306458"/>
    <w:rsid w:val="003102B7"/>
    <w:rsid w:val="00313126"/>
    <w:rsid w:val="003158F6"/>
    <w:rsid w:val="00315A70"/>
    <w:rsid w:val="003166BB"/>
    <w:rsid w:val="00316826"/>
    <w:rsid w:val="00321CF6"/>
    <w:rsid w:val="00323A95"/>
    <w:rsid w:val="00327489"/>
    <w:rsid w:val="0033087B"/>
    <w:rsid w:val="003327CC"/>
    <w:rsid w:val="00333F85"/>
    <w:rsid w:val="00334114"/>
    <w:rsid w:val="00337929"/>
    <w:rsid w:val="00341A50"/>
    <w:rsid w:val="003420B8"/>
    <w:rsid w:val="00346AA8"/>
    <w:rsid w:val="003479D4"/>
    <w:rsid w:val="00351E02"/>
    <w:rsid w:val="0035205B"/>
    <w:rsid w:val="00352BD6"/>
    <w:rsid w:val="00352C59"/>
    <w:rsid w:val="00352E50"/>
    <w:rsid w:val="00352FD8"/>
    <w:rsid w:val="00353B06"/>
    <w:rsid w:val="003564A4"/>
    <w:rsid w:val="0035659D"/>
    <w:rsid w:val="0035660C"/>
    <w:rsid w:val="00356C18"/>
    <w:rsid w:val="00364131"/>
    <w:rsid w:val="003647D9"/>
    <w:rsid w:val="00366125"/>
    <w:rsid w:val="00366FF2"/>
    <w:rsid w:val="00371E76"/>
    <w:rsid w:val="003729B7"/>
    <w:rsid w:val="003749B7"/>
    <w:rsid w:val="003752CA"/>
    <w:rsid w:val="003762F4"/>
    <w:rsid w:val="003763A4"/>
    <w:rsid w:val="00380273"/>
    <w:rsid w:val="00380528"/>
    <w:rsid w:val="003825AA"/>
    <w:rsid w:val="0038368A"/>
    <w:rsid w:val="00383EDC"/>
    <w:rsid w:val="0038496E"/>
    <w:rsid w:val="00384AB5"/>
    <w:rsid w:val="00385C8D"/>
    <w:rsid w:val="00387BFE"/>
    <w:rsid w:val="00387CB4"/>
    <w:rsid w:val="00392B7B"/>
    <w:rsid w:val="003947CB"/>
    <w:rsid w:val="003A015C"/>
    <w:rsid w:val="003A0AA6"/>
    <w:rsid w:val="003A2D15"/>
    <w:rsid w:val="003A32F4"/>
    <w:rsid w:val="003A5203"/>
    <w:rsid w:val="003A7B59"/>
    <w:rsid w:val="003B156B"/>
    <w:rsid w:val="003B1A2A"/>
    <w:rsid w:val="003B207F"/>
    <w:rsid w:val="003B2979"/>
    <w:rsid w:val="003B41BB"/>
    <w:rsid w:val="003C1979"/>
    <w:rsid w:val="003C37DE"/>
    <w:rsid w:val="003C3C09"/>
    <w:rsid w:val="003C4AC1"/>
    <w:rsid w:val="003C54FF"/>
    <w:rsid w:val="003C5689"/>
    <w:rsid w:val="003C629F"/>
    <w:rsid w:val="003C633B"/>
    <w:rsid w:val="003C7104"/>
    <w:rsid w:val="003D045E"/>
    <w:rsid w:val="003D0534"/>
    <w:rsid w:val="003D3535"/>
    <w:rsid w:val="003D3C4F"/>
    <w:rsid w:val="003D3E61"/>
    <w:rsid w:val="003D47FE"/>
    <w:rsid w:val="003D7203"/>
    <w:rsid w:val="003E0CE2"/>
    <w:rsid w:val="003E2501"/>
    <w:rsid w:val="003E3706"/>
    <w:rsid w:val="003E6DCC"/>
    <w:rsid w:val="003E6E24"/>
    <w:rsid w:val="003F463C"/>
    <w:rsid w:val="003F4FCC"/>
    <w:rsid w:val="003F55EA"/>
    <w:rsid w:val="003F60F3"/>
    <w:rsid w:val="003F7DBC"/>
    <w:rsid w:val="004009F3"/>
    <w:rsid w:val="00401A2E"/>
    <w:rsid w:val="00401A4D"/>
    <w:rsid w:val="00403331"/>
    <w:rsid w:val="00404D5C"/>
    <w:rsid w:val="0040503B"/>
    <w:rsid w:val="004057A1"/>
    <w:rsid w:val="00405A90"/>
    <w:rsid w:val="004064E9"/>
    <w:rsid w:val="004066F2"/>
    <w:rsid w:val="004114A6"/>
    <w:rsid w:val="004120D9"/>
    <w:rsid w:val="00412262"/>
    <w:rsid w:val="0041257C"/>
    <w:rsid w:val="0041301D"/>
    <w:rsid w:val="00415B30"/>
    <w:rsid w:val="00416830"/>
    <w:rsid w:val="00416B33"/>
    <w:rsid w:val="004170FF"/>
    <w:rsid w:val="00417528"/>
    <w:rsid w:val="004245C0"/>
    <w:rsid w:val="00424B15"/>
    <w:rsid w:val="00424BD1"/>
    <w:rsid w:val="0043241E"/>
    <w:rsid w:val="00432B55"/>
    <w:rsid w:val="00436B8A"/>
    <w:rsid w:val="004420E7"/>
    <w:rsid w:val="00442C87"/>
    <w:rsid w:val="0044393D"/>
    <w:rsid w:val="0044412A"/>
    <w:rsid w:val="004450D0"/>
    <w:rsid w:val="0044686D"/>
    <w:rsid w:val="00450D4D"/>
    <w:rsid w:val="00451C52"/>
    <w:rsid w:val="00452648"/>
    <w:rsid w:val="00454CD8"/>
    <w:rsid w:val="0045582A"/>
    <w:rsid w:val="00455948"/>
    <w:rsid w:val="00457A5E"/>
    <w:rsid w:val="00460760"/>
    <w:rsid w:val="004607A8"/>
    <w:rsid w:val="00460C30"/>
    <w:rsid w:val="00460EE6"/>
    <w:rsid w:val="00463318"/>
    <w:rsid w:val="004645FD"/>
    <w:rsid w:val="00465C04"/>
    <w:rsid w:val="00466419"/>
    <w:rsid w:val="00466A2C"/>
    <w:rsid w:val="00466B2E"/>
    <w:rsid w:val="00466E27"/>
    <w:rsid w:val="00470A20"/>
    <w:rsid w:val="00471913"/>
    <w:rsid w:val="0047216E"/>
    <w:rsid w:val="0047230F"/>
    <w:rsid w:val="00472F70"/>
    <w:rsid w:val="004742BD"/>
    <w:rsid w:val="00475481"/>
    <w:rsid w:val="00476FCE"/>
    <w:rsid w:val="004818C0"/>
    <w:rsid w:val="00481F5D"/>
    <w:rsid w:val="00482050"/>
    <w:rsid w:val="00482946"/>
    <w:rsid w:val="00484E7B"/>
    <w:rsid w:val="004861BB"/>
    <w:rsid w:val="004862B8"/>
    <w:rsid w:val="004863FD"/>
    <w:rsid w:val="0048721D"/>
    <w:rsid w:val="00492558"/>
    <w:rsid w:val="0049410C"/>
    <w:rsid w:val="00495CB0"/>
    <w:rsid w:val="004A081D"/>
    <w:rsid w:val="004A3E0C"/>
    <w:rsid w:val="004A3F6D"/>
    <w:rsid w:val="004A3FDF"/>
    <w:rsid w:val="004A4E35"/>
    <w:rsid w:val="004A65D5"/>
    <w:rsid w:val="004A6DF2"/>
    <w:rsid w:val="004A7498"/>
    <w:rsid w:val="004B0612"/>
    <w:rsid w:val="004B10BF"/>
    <w:rsid w:val="004B152A"/>
    <w:rsid w:val="004B3052"/>
    <w:rsid w:val="004B3D83"/>
    <w:rsid w:val="004B69E0"/>
    <w:rsid w:val="004C0162"/>
    <w:rsid w:val="004C1DCA"/>
    <w:rsid w:val="004C4CFB"/>
    <w:rsid w:val="004C628E"/>
    <w:rsid w:val="004D030E"/>
    <w:rsid w:val="004D2E1D"/>
    <w:rsid w:val="004D3259"/>
    <w:rsid w:val="004D3E38"/>
    <w:rsid w:val="004D3FC0"/>
    <w:rsid w:val="004D416F"/>
    <w:rsid w:val="004D6B37"/>
    <w:rsid w:val="004E102E"/>
    <w:rsid w:val="004E2ED2"/>
    <w:rsid w:val="004E3FCA"/>
    <w:rsid w:val="004E444B"/>
    <w:rsid w:val="004E5E43"/>
    <w:rsid w:val="004E6117"/>
    <w:rsid w:val="004F01FD"/>
    <w:rsid w:val="004F0AC5"/>
    <w:rsid w:val="004F0D13"/>
    <w:rsid w:val="004F39D2"/>
    <w:rsid w:val="004F401E"/>
    <w:rsid w:val="004F608C"/>
    <w:rsid w:val="004F7DB4"/>
    <w:rsid w:val="00500A0A"/>
    <w:rsid w:val="00500A81"/>
    <w:rsid w:val="00503F12"/>
    <w:rsid w:val="00506FA9"/>
    <w:rsid w:val="005104FD"/>
    <w:rsid w:val="00511EAC"/>
    <w:rsid w:val="00512F6D"/>
    <w:rsid w:val="00513886"/>
    <w:rsid w:val="0051461C"/>
    <w:rsid w:val="00515C8B"/>
    <w:rsid w:val="00517F6F"/>
    <w:rsid w:val="00523608"/>
    <w:rsid w:val="005239D4"/>
    <w:rsid w:val="00523B45"/>
    <w:rsid w:val="00525767"/>
    <w:rsid w:val="005259CF"/>
    <w:rsid w:val="00525AA4"/>
    <w:rsid w:val="00530EA8"/>
    <w:rsid w:val="005320E5"/>
    <w:rsid w:val="00534C82"/>
    <w:rsid w:val="0053536E"/>
    <w:rsid w:val="00537958"/>
    <w:rsid w:val="00540C26"/>
    <w:rsid w:val="00542887"/>
    <w:rsid w:val="00545668"/>
    <w:rsid w:val="00545A18"/>
    <w:rsid w:val="005462B0"/>
    <w:rsid w:val="00547513"/>
    <w:rsid w:val="00550640"/>
    <w:rsid w:val="00551FDF"/>
    <w:rsid w:val="00552CBA"/>
    <w:rsid w:val="00553A4A"/>
    <w:rsid w:val="00553C26"/>
    <w:rsid w:val="0055453C"/>
    <w:rsid w:val="0055699B"/>
    <w:rsid w:val="00556C5F"/>
    <w:rsid w:val="005622CE"/>
    <w:rsid w:val="005625B0"/>
    <w:rsid w:val="005645B6"/>
    <w:rsid w:val="00564844"/>
    <w:rsid w:val="0056487F"/>
    <w:rsid w:val="005651BD"/>
    <w:rsid w:val="005663AC"/>
    <w:rsid w:val="00572214"/>
    <w:rsid w:val="005736B8"/>
    <w:rsid w:val="00573990"/>
    <w:rsid w:val="0057737E"/>
    <w:rsid w:val="00577408"/>
    <w:rsid w:val="00577479"/>
    <w:rsid w:val="0058151E"/>
    <w:rsid w:val="005816CF"/>
    <w:rsid w:val="005822B6"/>
    <w:rsid w:val="00583AAE"/>
    <w:rsid w:val="0058555B"/>
    <w:rsid w:val="00585B66"/>
    <w:rsid w:val="00587846"/>
    <w:rsid w:val="0059071B"/>
    <w:rsid w:val="00590DBC"/>
    <w:rsid w:val="00590FAF"/>
    <w:rsid w:val="005914DB"/>
    <w:rsid w:val="00592690"/>
    <w:rsid w:val="00592A26"/>
    <w:rsid w:val="00593E48"/>
    <w:rsid w:val="005A0C23"/>
    <w:rsid w:val="005A2DCF"/>
    <w:rsid w:val="005A30A9"/>
    <w:rsid w:val="005A4BBA"/>
    <w:rsid w:val="005A4E33"/>
    <w:rsid w:val="005B0387"/>
    <w:rsid w:val="005B0AA2"/>
    <w:rsid w:val="005B2925"/>
    <w:rsid w:val="005B2C44"/>
    <w:rsid w:val="005B3FD6"/>
    <w:rsid w:val="005B6AF7"/>
    <w:rsid w:val="005C0211"/>
    <w:rsid w:val="005C0742"/>
    <w:rsid w:val="005C4679"/>
    <w:rsid w:val="005C5CFC"/>
    <w:rsid w:val="005C7DDF"/>
    <w:rsid w:val="005D0173"/>
    <w:rsid w:val="005D44B2"/>
    <w:rsid w:val="005D4A9B"/>
    <w:rsid w:val="005D5245"/>
    <w:rsid w:val="005D5EA7"/>
    <w:rsid w:val="005D74D8"/>
    <w:rsid w:val="005D7DCD"/>
    <w:rsid w:val="005D7DDC"/>
    <w:rsid w:val="005E17CF"/>
    <w:rsid w:val="005E1809"/>
    <w:rsid w:val="005E204B"/>
    <w:rsid w:val="005E3275"/>
    <w:rsid w:val="005E5EE9"/>
    <w:rsid w:val="005F1D27"/>
    <w:rsid w:val="005F231D"/>
    <w:rsid w:val="005F2890"/>
    <w:rsid w:val="005F2F88"/>
    <w:rsid w:val="005F3EF8"/>
    <w:rsid w:val="005F44B7"/>
    <w:rsid w:val="005F481F"/>
    <w:rsid w:val="005F53E6"/>
    <w:rsid w:val="005F6B05"/>
    <w:rsid w:val="005F6C8A"/>
    <w:rsid w:val="005F75A7"/>
    <w:rsid w:val="005F7B62"/>
    <w:rsid w:val="006001E4"/>
    <w:rsid w:val="00602FBF"/>
    <w:rsid w:val="00603898"/>
    <w:rsid w:val="00604105"/>
    <w:rsid w:val="006053F7"/>
    <w:rsid w:val="00607CC4"/>
    <w:rsid w:val="006100D2"/>
    <w:rsid w:val="00610A28"/>
    <w:rsid w:val="006127A4"/>
    <w:rsid w:val="006128D0"/>
    <w:rsid w:val="00613F99"/>
    <w:rsid w:val="00615673"/>
    <w:rsid w:val="00615972"/>
    <w:rsid w:val="0061687E"/>
    <w:rsid w:val="006169CB"/>
    <w:rsid w:val="0062063C"/>
    <w:rsid w:val="00621153"/>
    <w:rsid w:val="00621CB7"/>
    <w:rsid w:val="00622D8A"/>
    <w:rsid w:val="0062323D"/>
    <w:rsid w:val="00623C55"/>
    <w:rsid w:val="00625812"/>
    <w:rsid w:val="006265ED"/>
    <w:rsid w:val="00630220"/>
    <w:rsid w:val="006310EB"/>
    <w:rsid w:val="006313F3"/>
    <w:rsid w:val="006348BB"/>
    <w:rsid w:val="00635519"/>
    <w:rsid w:val="006363EF"/>
    <w:rsid w:val="00636416"/>
    <w:rsid w:val="006374BD"/>
    <w:rsid w:val="00640DBC"/>
    <w:rsid w:val="00643590"/>
    <w:rsid w:val="00646433"/>
    <w:rsid w:val="00651D62"/>
    <w:rsid w:val="006522FC"/>
    <w:rsid w:val="00652944"/>
    <w:rsid w:val="00654283"/>
    <w:rsid w:val="0065547E"/>
    <w:rsid w:val="00655BCB"/>
    <w:rsid w:val="00657BB4"/>
    <w:rsid w:val="006601C3"/>
    <w:rsid w:val="006622D5"/>
    <w:rsid w:val="0066267A"/>
    <w:rsid w:val="0066447A"/>
    <w:rsid w:val="00666353"/>
    <w:rsid w:val="00670C2C"/>
    <w:rsid w:val="0067387D"/>
    <w:rsid w:val="00676091"/>
    <w:rsid w:val="00676258"/>
    <w:rsid w:val="0068003D"/>
    <w:rsid w:val="00681585"/>
    <w:rsid w:val="00681F9A"/>
    <w:rsid w:val="006828F8"/>
    <w:rsid w:val="006835DD"/>
    <w:rsid w:val="00683C55"/>
    <w:rsid w:val="00684B8B"/>
    <w:rsid w:val="006856CA"/>
    <w:rsid w:val="00687BD4"/>
    <w:rsid w:val="00691241"/>
    <w:rsid w:val="006927BE"/>
    <w:rsid w:val="00694196"/>
    <w:rsid w:val="00695292"/>
    <w:rsid w:val="006952B2"/>
    <w:rsid w:val="00695650"/>
    <w:rsid w:val="00695F25"/>
    <w:rsid w:val="00696442"/>
    <w:rsid w:val="00696C05"/>
    <w:rsid w:val="006A0129"/>
    <w:rsid w:val="006A162E"/>
    <w:rsid w:val="006A2E08"/>
    <w:rsid w:val="006A49A6"/>
    <w:rsid w:val="006A4A82"/>
    <w:rsid w:val="006B4415"/>
    <w:rsid w:val="006B7965"/>
    <w:rsid w:val="006C1A41"/>
    <w:rsid w:val="006C1A8D"/>
    <w:rsid w:val="006C1AE5"/>
    <w:rsid w:val="006C3C17"/>
    <w:rsid w:val="006C690E"/>
    <w:rsid w:val="006C76FE"/>
    <w:rsid w:val="006D19EA"/>
    <w:rsid w:val="006D2F8B"/>
    <w:rsid w:val="006D3182"/>
    <w:rsid w:val="006D5A39"/>
    <w:rsid w:val="006D6A33"/>
    <w:rsid w:val="006E0743"/>
    <w:rsid w:val="006E34EA"/>
    <w:rsid w:val="006E3D89"/>
    <w:rsid w:val="006E657A"/>
    <w:rsid w:val="006E6711"/>
    <w:rsid w:val="006F0C90"/>
    <w:rsid w:val="006F1628"/>
    <w:rsid w:val="006F625E"/>
    <w:rsid w:val="007046FB"/>
    <w:rsid w:val="00704D13"/>
    <w:rsid w:val="007054B1"/>
    <w:rsid w:val="007079A6"/>
    <w:rsid w:val="00707BC9"/>
    <w:rsid w:val="00707F41"/>
    <w:rsid w:val="00711A7B"/>
    <w:rsid w:val="007142FD"/>
    <w:rsid w:val="0071636D"/>
    <w:rsid w:val="007163D5"/>
    <w:rsid w:val="007166B0"/>
    <w:rsid w:val="00717972"/>
    <w:rsid w:val="00720481"/>
    <w:rsid w:val="00721574"/>
    <w:rsid w:val="0072234C"/>
    <w:rsid w:val="00724530"/>
    <w:rsid w:val="00727097"/>
    <w:rsid w:val="00727976"/>
    <w:rsid w:val="00730E3D"/>
    <w:rsid w:val="00733221"/>
    <w:rsid w:val="0073377D"/>
    <w:rsid w:val="00734C28"/>
    <w:rsid w:val="00737852"/>
    <w:rsid w:val="00737CB9"/>
    <w:rsid w:val="007406FD"/>
    <w:rsid w:val="00745A9A"/>
    <w:rsid w:val="00746921"/>
    <w:rsid w:val="007475D6"/>
    <w:rsid w:val="00750C8D"/>
    <w:rsid w:val="007518A3"/>
    <w:rsid w:val="00752101"/>
    <w:rsid w:val="00752ED9"/>
    <w:rsid w:val="007532DD"/>
    <w:rsid w:val="00755548"/>
    <w:rsid w:val="00755867"/>
    <w:rsid w:val="007558FE"/>
    <w:rsid w:val="00756394"/>
    <w:rsid w:val="00756542"/>
    <w:rsid w:val="00757C10"/>
    <w:rsid w:val="00760693"/>
    <w:rsid w:val="00762896"/>
    <w:rsid w:val="00762B4A"/>
    <w:rsid w:val="007637B3"/>
    <w:rsid w:val="0076545F"/>
    <w:rsid w:val="00765989"/>
    <w:rsid w:val="00767E6E"/>
    <w:rsid w:val="00770ADA"/>
    <w:rsid w:val="0077301F"/>
    <w:rsid w:val="007735FA"/>
    <w:rsid w:val="00773C03"/>
    <w:rsid w:val="00774C34"/>
    <w:rsid w:val="007750A3"/>
    <w:rsid w:val="00776A3F"/>
    <w:rsid w:val="00776BE2"/>
    <w:rsid w:val="007770D0"/>
    <w:rsid w:val="00780099"/>
    <w:rsid w:val="007802E6"/>
    <w:rsid w:val="007818B5"/>
    <w:rsid w:val="0078202F"/>
    <w:rsid w:val="007836C2"/>
    <w:rsid w:val="00787981"/>
    <w:rsid w:val="00790071"/>
    <w:rsid w:val="00791B02"/>
    <w:rsid w:val="0079306F"/>
    <w:rsid w:val="00793546"/>
    <w:rsid w:val="00793FEA"/>
    <w:rsid w:val="00794807"/>
    <w:rsid w:val="0079575B"/>
    <w:rsid w:val="0079733D"/>
    <w:rsid w:val="007A2349"/>
    <w:rsid w:val="007A2FB7"/>
    <w:rsid w:val="007A4178"/>
    <w:rsid w:val="007A5050"/>
    <w:rsid w:val="007A59AA"/>
    <w:rsid w:val="007A602D"/>
    <w:rsid w:val="007A6BBA"/>
    <w:rsid w:val="007A7CC7"/>
    <w:rsid w:val="007B0CF6"/>
    <w:rsid w:val="007B0D3F"/>
    <w:rsid w:val="007B1185"/>
    <w:rsid w:val="007B2519"/>
    <w:rsid w:val="007B36A8"/>
    <w:rsid w:val="007B3A10"/>
    <w:rsid w:val="007B4FF9"/>
    <w:rsid w:val="007C04A2"/>
    <w:rsid w:val="007C1104"/>
    <w:rsid w:val="007C15DE"/>
    <w:rsid w:val="007C4685"/>
    <w:rsid w:val="007C4D66"/>
    <w:rsid w:val="007C51BD"/>
    <w:rsid w:val="007C58C6"/>
    <w:rsid w:val="007C5D1D"/>
    <w:rsid w:val="007C790B"/>
    <w:rsid w:val="007D18B5"/>
    <w:rsid w:val="007D1C33"/>
    <w:rsid w:val="007D2E1E"/>
    <w:rsid w:val="007D4CD4"/>
    <w:rsid w:val="007D51EC"/>
    <w:rsid w:val="007D5490"/>
    <w:rsid w:val="007D56FB"/>
    <w:rsid w:val="007D725E"/>
    <w:rsid w:val="007D7E23"/>
    <w:rsid w:val="007E3885"/>
    <w:rsid w:val="007E53F4"/>
    <w:rsid w:val="007E7832"/>
    <w:rsid w:val="007F1FD2"/>
    <w:rsid w:val="007F493B"/>
    <w:rsid w:val="007F5670"/>
    <w:rsid w:val="007F5AF4"/>
    <w:rsid w:val="007F671C"/>
    <w:rsid w:val="00800546"/>
    <w:rsid w:val="0080111A"/>
    <w:rsid w:val="00801E5F"/>
    <w:rsid w:val="008023EE"/>
    <w:rsid w:val="00802446"/>
    <w:rsid w:val="0080328C"/>
    <w:rsid w:val="00803F48"/>
    <w:rsid w:val="00804520"/>
    <w:rsid w:val="00804F0D"/>
    <w:rsid w:val="00805A64"/>
    <w:rsid w:val="00805E5B"/>
    <w:rsid w:val="00805F2A"/>
    <w:rsid w:val="00807728"/>
    <w:rsid w:val="008117F7"/>
    <w:rsid w:val="00813FCD"/>
    <w:rsid w:val="00815C12"/>
    <w:rsid w:val="00816FCD"/>
    <w:rsid w:val="008206F4"/>
    <w:rsid w:val="0082290A"/>
    <w:rsid w:val="008246D8"/>
    <w:rsid w:val="00825BFE"/>
    <w:rsid w:val="00826A24"/>
    <w:rsid w:val="0083161F"/>
    <w:rsid w:val="008354DA"/>
    <w:rsid w:val="008374A5"/>
    <w:rsid w:val="00837F59"/>
    <w:rsid w:val="008419D4"/>
    <w:rsid w:val="00846176"/>
    <w:rsid w:val="00846959"/>
    <w:rsid w:val="00846D58"/>
    <w:rsid w:val="00847112"/>
    <w:rsid w:val="00850A76"/>
    <w:rsid w:val="008518E9"/>
    <w:rsid w:val="00851F77"/>
    <w:rsid w:val="00853CF1"/>
    <w:rsid w:val="00853F90"/>
    <w:rsid w:val="00854287"/>
    <w:rsid w:val="00854CD7"/>
    <w:rsid w:val="008560DC"/>
    <w:rsid w:val="0085675E"/>
    <w:rsid w:val="008608CE"/>
    <w:rsid w:val="00863FA0"/>
    <w:rsid w:val="008642AD"/>
    <w:rsid w:val="00864767"/>
    <w:rsid w:val="008658C1"/>
    <w:rsid w:val="00871420"/>
    <w:rsid w:val="0087284F"/>
    <w:rsid w:val="00873B39"/>
    <w:rsid w:val="00874F0A"/>
    <w:rsid w:val="0087537F"/>
    <w:rsid w:val="00875790"/>
    <w:rsid w:val="0088274C"/>
    <w:rsid w:val="0088553F"/>
    <w:rsid w:val="0088566E"/>
    <w:rsid w:val="00887AE8"/>
    <w:rsid w:val="00890A44"/>
    <w:rsid w:val="008952B1"/>
    <w:rsid w:val="00895D42"/>
    <w:rsid w:val="008A092E"/>
    <w:rsid w:val="008A0A21"/>
    <w:rsid w:val="008A0A2B"/>
    <w:rsid w:val="008A1271"/>
    <w:rsid w:val="008A139B"/>
    <w:rsid w:val="008A19CC"/>
    <w:rsid w:val="008A34A5"/>
    <w:rsid w:val="008A65A0"/>
    <w:rsid w:val="008B0AE4"/>
    <w:rsid w:val="008B386D"/>
    <w:rsid w:val="008B419D"/>
    <w:rsid w:val="008B49BE"/>
    <w:rsid w:val="008B5E1A"/>
    <w:rsid w:val="008C01CC"/>
    <w:rsid w:val="008C0841"/>
    <w:rsid w:val="008C320E"/>
    <w:rsid w:val="008C39B7"/>
    <w:rsid w:val="008C41BA"/>
    <w:rsid w:val="008C4745"/>
    <w:rsid w:val="008C4853"/>
    <w:rsid w:val="008C6CE3"/>
    <w:rsid w:val="008C70A4"/>
    <w:rsid w:val="008D61F0"/>
    <w:rsid w:val="008D6230"/>
    <w:rsid w:val="008E0BC0"/>
    <w:rsid w:val="008E0D93"/>
    <w:rsid w:val="008E1730"/>
    <w:rsid w:val="008E396D"/>
    <w:rsid w:val="008E5D9B"/>
    <w:rsid w:val="008E6BBD"/>
    <w:rsid w:val="008F1A37"/>
    <w:rsid w:val="008F1C7A"/>
    <w:rsid w:val="008F451C"/>
    <w:rsid w:val="008F68A8"/>
    <w:rsid w:val="009002D9"/>
    <w:rsid w:val="0090030F"/>
    <w:rsid w:val="00901117"/>
    <w:rsid w:val="00901F02"/>
    <w:rsid w:val="00901FAF"/>
    <w:rsid w:val="00903821"/>
    <w:rsid w:val="00903E8B"/>
    <w:rsid w:val="00904039"/>
    <w:rsid w:val="00906B23"/>
    <w:rsid w:val="009076DA"/>
    <w:rsid w:val="00907A72"/>
    <w:rsid w:val="00907FC8"/>
    <w:rsid w:val="00912121"/>
    <w:rsid w:val="00912206"/>
    <w:rsid w:val="00912500"/>
    <w:rsid w:val="009130B6"/>
    <w:rsid w:val="009137DE"/>
    <w:rsid w:val="0091551B"/>
    <w:rsid w:val="0091583A"/>
    <w:rsid w:val="00915DBE"/>
    <w:rsid w:val="00916271"/>
    <w:rsid w:val="00921ECE"/>
    <w:rsid w:val="00922188"/>
    <w:rsid w:val="00923524"/>
    <w:rsid w:val="00924DE2"/>
    <w:rsid w:val="00925B65"/>
    <w:rsid w:val="0092697C"/>
    <w:rsid w:val="00927437"/>
    <w:rsid w:val="00927CEA"/>
    <w:rsid w:val="0093183D"/>
    <w:rsid w:val="009324BB"/>
    <w:rsid w:val="0093345B"/>
    <w:rsid w:val="009365FC"/>
    <w:rsid w:val="009373A8"/>
    <w:rsid w:val="0094046D"/>
    <w:rsid w:val="009404DF"/>
    <w:rsid w:val="009425C8"/>
    <w:rsid w:val="009457D8"/>
    <w:rsid w:val="00951493"/>
    <w:rsid w:val="009517BB"/>
    <w:rsid w:val="00953B67"/>
    <w:rsid w:val="009552B5"/>
    <w:rsid w:val="00955DCE"/>
    <w:rsid w:val="00957384"/>
    <w:rsid w:val="009573D8"/>
    <w:rsid w:val="00957E28"/>
    <w:rsid w:val="00961749"/>
    <w:rsid w:val="00962015"/>
    <w:rsid w:val="00973168"/>
    <w:rsid w:val="00974DF1"/>
    <w:rsid w:val="009818AD"/>
    <w:rsid w:val="00981B72"/>
    <w:rsid w:val="009845EA"/>
    <w:rsid w:val="00984CC4"/>
    <w:rsid w:val="00986494"/>
    <w:rsid w:val="00990067"/>
    <w:rsid w:val="0099202B"/>
    <w:rsid w:val="00992DE9"/>
    <w:rsid w:val="009941A7"/>
    <w:rsid w:val="00994284"/>
    <w:rsid w:val="009A3960"/>
    <w:rsid w:val="009A3A59"/>
    <w:rsid w:val="009A45A8"/>
    <w:rsid w:val="009B13B5"/>
    <w:rsid w:val="009B2101"/>
    <w:rsid w:val="009B3489"/>
    <w:rsid w:val="009B55B3"/>
    <w:rsid w:val="009B620F"/>
    <w:rsid w:val="009B6850"/>
    <w:rsid w:val="009B6E58"/>
    <w:rsid w:val="009B6E7D"/>
    <w:rsid w:val="009B73FD"/>
    <w:rsid w:val="009B7A8F"/>
    <w:rsid w:val="009C0EA9"/>
    <w:rsid w:val="009C3F3C"/>
    <w:rsid w:val="009C56AE"/>
    <w:rsid w:val="009C5841"/>
    <w:rsid w:val="009C6617"/>
    <w:rsid w:val="009C7D1E"/>
    <w:rsid w:val="009D127F"/>
    <w:rsid w:val="009D4A4F"/>
    <w:rsid w:val="009D56DA"/>
    <w:rsid w:val="009E3F57"/>
    <w:rsid w:val="009E4836"/>
    <w:rsid w:val="009E4BDC"/>
    <w:rsid w:val="009E7F2B"/>
    <w:rsid w:val="009F1690"/>
    <w:rsid w:val="009F1EAD"/>
    <w:rsid w:val="009F37F6"/>
    <w:rsid w:val="009F425E"/>
    <w:rsid w:val="009F64A7"/>
    <w:rsid w:val="009F6559"/>
    <w:rsid w:val="009F734C"/>
    <w:rsid w:val="00A02076"/>
    <w:rsid w:val="00A023C8"/>
    <w:rsid w:val="00A02514"/>
    <w:rsid w:val="00A0420D"/>
    <w:rsid w:val="00A04629"/>
    <w:rsid w:val="00A05D8A"/>
    <w:rsid w:val="00A07C88"/>
    <w:rsid w:val="00A117BD"/>
    <w:rsid w:val="00A11CFA"/>
    <w:rsid w:val="00A1241B"/>
    <w:rsid w:val="00A12961"/>
    <w:rsid w:val="00A12CA4"/>
    <w:rsid w:val="00A138AE"/>
    <w:rsid w:val="00A13C40"/>
    <w:rsid w:val="00A142C3"/>
    <w:rsid w:val="00A14CD2"/>
    <w:rsid w:val="00A16817"/>
    <w:rsid w:val="00A21D38"/>
    <w:rsid w:val="00A225E2"/>
    <w:rsid w:val="00A22B96"/>
    <w:rsid w:val="00A24EC8"/>
    <w:rsid w:val="00A27D0B"/>
    <w:rsid w:val="00A31012"/>
    <w:rsid w:val="00A33FDF"/>
    <w:rsid w:val="00A34E30"/>
    <w:rsid w:val="00A3582D"/>
    <w:rsid w:val="00A35A46"/>
    <w:rsid w:val="00A35CCD"/>
    <w:rsid w:val="00A37807"/>
    <w:rsid w:val="00A37EDB"/>
    <w:rsid w:val="00A4051A"/>
    <w:rsid w:val="00A42E4E"/>
    <w:rsid w:val="00A45060"/>
    <w:rsid w:val="00A456B5"/>
    <w:rsid w:val="00A45F5F"/>
    <w:rsid w:val="00A46AE6"/>
    <w:rsid w:val="00A4765F"/>
    <w:rsid w:val="00A47FE7"/>
    <w:rsid w:val="00A51CC8"/>
    <w:rsid w:val="00A55E24"/>
    <w:rsid w:val="00A562C1"/>
    <w:rsid w:val="00A576CB"/>
    <w:rsid w:val="00A617AF"/>
    <w:rsid w:val="00A61B65"/>
    <w:rsid w:val="00A62967"/>
    <w:rsid w:val="00A638A7"/>
    <w:rsid w:val="00A63947"/>
    <w:rsid w:val="00A6462A"/>
    <w:rsid w:val="00A64861"/>
    <w:rsid w:val="00A65855"/>
    <w:rsid w:val="00A658A4"/>
    <w:rsid w:val="00A65F03"/>
    <w:rsid w:val="00A663C7"/>
    <w:rsid w:val="00A666B1"/>
    <w:rsid w:val="00A71C4A"/>
    <w:rsid w:val="00A723DE"/>
    <w:rsid w:val="00A72E9B"/>
    <w:rsid w:val="00A757EB"/>
    <w:rsid w:val="00A759C2"/>
    <w:rsid w:val="00A76022"/>
    <w:rsid w:val="00A85C54"/>
    <w:rsid w:val="00A87139"/>
    <w:rsid w:val="00A90A7A"/>
    <w:rsid w:val="00A91E23"/>
    <w:rsid w:val="00A92724"/>
    <w:rsid w:val="00A927F9"/>
    <w:rsid w:val="00A92C8F"/>
    <w:rsid w:val="00A92F8C"/>
    <w:rsid w:val="00A95E23"/>
    <w:rsid w:val="00A97042"/>
    <w:rsid w:val="00AA2F00"/>
    <w:rsid w:val="00AA3273"/>
    <w:rsid w:val="00AA3D6A"/>
    <w:rsid w:val="00AA4349"/>
    <w:rsid w:val="00AA5266"/>
    <w:rsid w:val="00AA5C73"/>
    <w:rsid w:val="00AA686D"/>
    <w:rsid w:val="00AB28AC"/>
    <w:rsid w:val="00AB4015"/>
    <w:rsid w:val="00AB422A"/>
    <w:rsid w:val="00AC13BE"/>
    <w:rsid w:val="00AC2F87"/>
    <w:rsid w:val="00AC314D"/>
    <w:rsid w:val="00AD0DCD"/>
    <w:rsid w:val="00AD167E"/>
    <w:rsid w:val="00AD5B97"/>
    <w:rsid w:val="00AD6D51"/>
    <w:rsid w:val="00AE02EE"/>
    <w:rsid w:val="00AE28C9"/>
    <w:rsid w:val="00AE4AC6"/>
    <w:rsid w:val="00AE506F"/>
    <w:rsid w:val="00AE5141"/>
    <w:rsid w:val="00AE7119"/>
    <w:rsid w:val="00AF0435"/>
    <w:rsid w:val="00AF4012"/>
    <w:rsid w:val="00AF46B2"/>
    <w:rsid w:val="00AF55B6"/>
    <w:rsid w:val="00AF5602"/>
    <w:rsid w:val="00AF5768"/>
    <w:rsid w:val="00B02A5A"/>
    <w:rsid w:val="00B10C19"/>
    <w:rsid w:val="00B16A84"/>
    <w:rsid w:val="00B16E4B"/>
    <w:rsid w:val="00B1770A"/>
    <w:rsid w:val="00B27A1F"/>
    <w:rsid w:val="00B31898"/>
    <w:rsid w:val="00B32265"/>
    <w:rsid w:val="00B3614C"/>
    <w:rsid w:val="00B37238"/>
    <w:rsid w:val="00B378C5"/>
    <w:rsid w:val="00B4035F"/>
    <w:rsid w:val="00B40FE4"/>
    <w:rsid w:val="00B447F2"/>
    <w:rsid w:val="00B44D86"/>
    <w:rsid w:val="00B47B47"/>
    <w:rsid w:val="00B51149"/>
    <w:rsid w:val="00B52D3C"/>
    <w:rsid w:val="00B54004"/>
    <w:rsid w:val="00B54646"/>
    <w:rsid w:val="00B55E93"/>
    <w:rsid w:val="00B62626"/>
    <w:rsid w:val="00B6394D"/>
    <w:rsid w:val="00B71C81"/>
    <w:rsid w:val="00B72B8D"/>
    <w:rsid w:val="00B72DAA"/>
    <w:rsid w:val="00B747A6"/>
    <w:rsid w:val="00B82FA4"/>
    <w:rsid w:val="00B8541F"/>
    <w:rsid w:val="00B86F8C"/>
    <w:rsid w:val="00B87258"/>
    <w:rsid w:val="00B8751A"/>
    <w:rsid w:val="00B90035"/>
    <w:rsid w:val="00B905F1"/>
    <w:rsid w:val="00B9416D"/>
    <w:rsid w:val="00B9542F"/>
    <w:rsid w:val="00B96475"/>
    <w:rsid w:val="00BA311B"/>
    <w:rsid w:val="00BA3A97"/>
    <w:rsid w:val="00BA5121"/>
    <w:rsid w:val="00BA62AC"/>
    <w:rsid w:val="00BB182D"/>
    <w:rsid w:val="00BB216D"/>
    <w:rsid w:val="00BB2F6A"/>
    <w:rsid w:val="00BB2FA9"/>
    <w:rsid w:val="00BB396C"/>
    <w:rsid w:val="00BB40A6"/>
    <w:rsid w:val="00BB4804"/>
    <w:rsid w:val="00BB4F18"/>
    <w:rsid w:val="00BB54B7"/>
    <w:rsid w:val="00BB62A8"/>
    <w:rsid w:val="00BC05AC"/>
    <w:rsid w:val="00BC3993"/>
    <w:rsid w:val="00BC424D"/>
    <w:rsid w:val="00BD4AAD"/>
    <w:rsid w:val="00BD7444"/>
    <w:rsid w:val="00BE08D4"/>
    <w:rsid w:val="00BE1AF5"/>
    <w:rsid w:val="00BE1B6D"/>
    <w:rsid w:val="00BE4184"/>
    <w:rsid w:val="00BE469F"/>
    <w:rsid w:val="00BE58A0"/>
    <w:rsid w:val="00BE5A21"/>
    <w:rsid w:val="00BE746B"/>
    <w:rsid w:val="00BE7DEE"/>
    <w:rsid w:val="00BF02E1"/>
    <w:rsid w:val="00BF1929"/>
    <w:rsid w:val="00BF3DD0"/>
    <w:rsid w:val="00BF4B68"/>
    <w:rsid w:val="00BF5C31"/>
    <w:rsid w:val="00BF696E"/>
    <w:rsid w:val="00BF6FFF"/>
    <w:rsid w:val="00C00DB6"/>
    <w:rsid w:val="00C014E8"/>
    <w:rsid w:val="00C01E63"/>
    <w:rsid w:val="00C02CA6"/>
    <w:rsid w:val="00C03421"/>
    <w:rsid w:val="00C036DA"/>
    <w:rsid w:val="00C039E0"/>
    <w:rsid w:val="00C042B1"/>
    <w:rsid w:val="00C0542E"/>
    <w:rsid w:val="00C05CD7"/>
    <w:rsid w:val="00C06218"/>
    <w:rsid w:val="00C07EC6"/>
    <w:rsid w:val="00C118F5"/>
    <w:rsid w:val="00C136DD"/>
    <w:rsid w:val="00C154D8"/>
    <w:rsid w:val="00C23D63"/>
    <w:rsid w:val="00C26BCF"/>
    <w:rsid w:val="00C276E8"/>
    <w:rsid w:val="00C30B74"/>
    <w:rsid w:val="00C33F3A"/>
    <w:rsid w:val="00C34B52"/>
    <w:rsid w:val="00C34CD7"/>
    <w:rsid w:val="00C36413"/>
    <w:rsid w:val="00C3681E"/>
    <w:rsid w:val="00C42F86"/>
    <w:rsid w:val="00C43C5D"/>
    <w:rsid w:val="00C47A4A"/>
    <w:rsid w:val="00C51156"/>
    <w:rsid w:val="00C5152D"/>
    <w:rsid w:val="00C5198C"/>
    <w:rsid w:val="00C53AD3"/>
    <w:rsid w:val="00C56D87"/>
    <w:rsid w:val="00C574D8"/>
    <w:rsid w:val="00C607F8"/>
    <w:rsid w:val="00C6551F"/>
    <w:rsid w:val="00C65DAC"/>
    <w:rsid w:val="00C664AD"/>
    <w:rsid w:val="00C7192B"/>
    <w:rsid w:val="00C72DDD"/>
    <w:rsid w:val="00C7457C"/>
    <w:rsid w:val="00C74E9D"/>
    <w:rsid w:val="00C74EC8"/>
    <w:rsid w:val="00C760F3"/>
    <w:rsid w:val="00C76823"/>
    <w:rsid w:val="00C82523"/>
    <w:rsid w:val="00C83214"/>
    <w:rsid w:val="00C83D1A"/>
    <w:rsid w:val="00C927F1"/>
    <w:rsid w:val="00C930AB"/>
    <w:rsid w:val="00C93BE5"/>
    <w:rsid w:val="00C947C9"/>
    <w:rsid w:val="00C95856"/>
    <w:rsid w:val="00C96128"/>
    <w:rsid w:val="00C97E67"/>
    <w:rsid w:val="00CA0552"/>
    <w:rsid w:val="00CA36CB"/>
    <w:rsid w:val="00CA3E1D"/>
    <w:rsid w:val="00CA508A"/>
    <w:rsid w:val="00CA5817"/>
    <w:rsid w:val="00CA613C"/>
    <w:rsid w:val="00CB00A4"/>
    <w:rsid w:val="00CB1189"/>
    <w:rsid w:val="00CB1649"/>
    <w:rsid w:val="00CB29D5"/>
    <w:rsid w:val="00CB46B3"/>
    <w:rsid w:val="00CB7073"/>
    <w:rsid w:val="00CB7B2E"/>
    <w:rsid w:val="00CC0B70"/>
    <w:rsid w:val="00CC1E85"/>
    <w:rsid w:val="00CC30F7"/>
    <w:rsid w:val="00CC3211"/>
    <w:rsid w:val="00CC38C8"/>
    <w:rsid w:val="00CD01D3"/>
    <w:rsid w:val="00CD5961"/>
    <w:rsid w:val="00CD74A6"/>
    <w:rsid w:val="00CD79A1"/>
    <w:rsid w:val="00CE4DC8"/>
    <w:rsid w:val="00CE6308"/>
    <w:rsid w:val="00CE7975"/>
    <w:rsid w:val="00CF0E93"/>
    <w:rsid w:val="00CF23C5"/>
    <w:rsid w:val="00CF6073"/>
    <w:rsid w:val="00CF6327"/>
    <w:rsid w:val="00CF7303"/>
    <w:rsid w:val="00CF7979"/>
    <w:rsid w:val="00CF7C03"/>
    <w:rsid w:val="00D03DC4"/>
    <w:rsid w:val="00D04BD2"/>
    <w:rsid w:val="00D05DD5"/>
    <w:rsid w:val="00D06304"/>
    <w:rsid w:val="00D07E2D"/>
    <w:rsid w:val="00D1130B"/>
    <w:rsid w:val="00D11A9A"/>
    <w:rsid w:val="00D158FC"/>
    <w:rsid w:val="00D15FCF"/>
    <w:rsid w:val="00D20CCC"/>
    <w:rsid w:val="00D21B02"/>
    <w:rsid w:val="00D22467"/>
    <w:rsid w:val="00D24653"/>
    <w:rsid w:val="00D25CE8"/>
    <w:rsid w:val="00D25D06"/>
    <w:rsid w:val="00D276B3"/>
    <w:rsid w:val="00D30254"/>
    <w:rsid w:val="00D316B7"/>
    <w:rsid w:val="00D33A34"/>
    <w:rsid w:val="00D34227"/>
    <w:rsid w:val="00D35428"/>
    <w:rsid w:val="00D3620C"/>
    <w:rsid w:val="00D3705F"/>
    <w:rsid w:val="00D40802"/>
    <w:rsid w:val="00D40A62"/>
    <w:rsid w:val="00D427F0"/>
    <w:rsid w:val="00D44680"/>
    <w:rsid w:val="00D45A2F"/>
    <w:rsid w:val="00D516FB"/>
    <w:rsid w:val="00D51D5E"/>
    <w:rsid w:val="00D54D84"/>
    <w:rsid w:val="00D5544D"/>
    <w:rsid w:val="00D55503"/>
    <w:rsid w:val="00D612F1"/>
    <w:rsid w:val="00D6249A"/>
    <w:rsid w:val="00D66EB9"/>
    <w:rsid w:val="00D670C6"/>
    <w:rsid w:val="00D70763"/>
    <w:rsid w:val="00D71277"/>
    <w:rsid w:val="00D71555"/>
    <w:rsid w:val="00D72155"/>
    <w:rsid w:val="00D74D94"/>
    <w:rsid w:val="00D775EE"/>
    <w:rsid w:val="00D81150"/>
    <w:rsid w:val="00D82D69"/>
    <w:rsid w:val="00D82E2D"/>
    <w:rsid w:val="00D832E5"/>
    <w:rsid w:val="00D858B6"/>
    <w:rsid w:val="00D85C50"/>
    <w:rsid w:val="00D85E10"/>
    <w:rsid w:val="00D85E81"/>
    <w:rsid w:val="00D9557F"/>
    <w:rsid w:val="00D972C4"/>
    <w:rsid w:val="00D9750B"/>
    <w:rsid w:val="00D97610"/>
    <w:rsid w:val="00D9781A"/>
    <w:rsid w:val="00DA174B"/>
    <w:rsid w:val="00DA2776"/>
    <w:rsid w:val="00DA2F12"/>
    <w:rsid w:val="00DA2FDA"/>
    <w:rsid w:val="00DB0259"/>
    <w:rsid w:val="00DB0529"/>
    <w:rsid w:val="00DB193C"/>
    <w:rsid w:val="00DB1F40"/>
    <w:rsid w:val="00DB3488"/>
    <w:rsid w:val="00DB4111"/>
    <w:rsid w:val="00DB45E4"/>
    <w:rsid w:val="00DB561B"/>
    <w:rsid w:val="00DB7DFD"/>
    <w:rsid w:val="00DC7B32"/>
    <w:rsid w:val="00DD0136"/>
    <w:rsid w:val="00DD01CE"/>
    <w:rsid w:val="00DD2C52"/>
    <w:rsid w:val="00DD42B6"/>
    <w:rsid w:val="00DD4F14"/>
    <w:rsid w:val="00DD53BA"/>
    <w:rsid w:val="00DD7223"/>
    <w:rsid w:val="00DD7362"/>
    <w:rsid w:val="00DD788B"/>
    <w:rsid w:val="00DE0C89"/>
    <w:rsid w:val="00DE10E7"/>
    <w:rsid w:val="00DE1A90"/>
    <w:rsid w:val="00DE217A"/>
    <w:rsid w:val="00DE253F"/>
    <w:rsid w:val="00DE4E8F"/>
    <w:rsid w:val="00DE7445"/>
    <w:rsid w:val="00DF04EE"/>
    <w:rsid w:val="00DF1115"/>
    <w:rsid w:val="00DF1EA8"/>
    <w:rsid w:val="00DF2C6B"/>
    <w:rsid w:val="00DF2CAC"/>
    <w:rsid w:val="00DF75D3"/>
    <w:rsid w:val="00E02D5E"/>
    <w:rsid w:val="00E04C70"/>
    <w:rsid w:val="00E0567F"/>
    <w:rsid w:val="00E0626B"/>
    <w:rsid w:val="00E1182F"/>
    <w:rsid w:val="00E126A3"/>
    <w:rsid w:val="00E155BD"/>
    <w:rsid w:val="00E16F4C"/>
    <w:rsid w:val="00E16FEB"/>
    <w:rsid w:val="00E1736F"/>
    <w:rsid w:val="00E2070D"/>
    <w:rsid w:val="00E213B8"/>
    <w:rsid w:val="00E23758"/>
    <w:rsid w:val="00E238A1"/>
    <w:rsid w:val="00E2602A"/>
    <w:rsid w:val="00E26BB6"/>
    <w:rsid w:val="00E30FF0"/>
    <w:rsid w:val="00E31154"/>
    <w:rsid w:val="00E32733"/>
    <w:rsid w:val="00E32F65"/>
    <w:rsid w:val="00E36B48"/>
    <w:rsid w:val="00E40A60"/>
    <w:rsid w:val="00E430E9"/>
    <w:rsid w:val="00E4325F"/>
    <w:rsid w:val="00E47CCC"/>
    <w:rsid w:val="00E50E2C"/>
    <w:rsid w:val="00E51C43"/>
    <w:rsid w:val="00E52ABE"/>
    <w:rsid w:val="00E60088"/>
    <w:rsid w:val="00E64072"/>
    <w:rsid w:val="00E64A44"/>
    <w:rsid w:val="00E6627D"/>
    <w:rsid w:val="00E6741F"/>
    <w:rsid w:val="00E67A1A"/>
    <w:rsid w:val="00E771F3"/>
    <w:rsid w:val="00E779E7"/>
    <w:rsid w:val="00E77B17"/>
    <w:rsid w:val="00E81313"/>
    <w:rsid w:val="00E81B31"/>
    <w:rsid w:val="00E832A8"/>
    <w:rsid w:val="00E873D1"/>
    <w:rsid w:val="00E87C36"/>
    <w:rsid w:val="00E900C5"/>
    <w:rsid w:val="00E90A01"/>
    <w:rsid w:val="00E90ACF"/>
    <w:rsid w:val="00E948E6"/>
    <w:rsid w:val="00E9666A"/>
    <w:rsid w:val="00E97135"/>
    <w:rsid w:val="00EA1C86"/>
    <w:rsid w:val="00EA2CB4"/>
    <w:rsid w:val="00EA54FD"/>
    <w:rsid w:val="00EB01B2"/>
    <w:rsid w:val="00EB01FB"/>
    <w:rsid w:val="00EB0261"/>
    <w:rsid w:val="00EB1BD6"/>
    <w:rsid w:val="00EB4776"/>
    <w:rsid w:val="00EB4C40"/>
    <w:rsid w:val="00EB74BB"/>
    <w:rsid w:val="00EC16B4"/>
    <w:rsid w:val="00EC1E28"/>
    <w:rsid w:val="00EC2415"/>
    <w:rsid w:val="00EC34E7"/>
    <w:rsid w:val="00EC42BD"/>
    <w:rsid w:val="00EC5ED0"/>
    <w:rsid w:val="00EC63AE"/>
    <w:rsid w:val="00EC6C21"/>
    <w:rsid w:val="00EC7658"/>
    <w:rsid w:val="00ED0593"/>
    <w:rsid w:val="00ED4D13"/>
    <w:rsid w:val="00EE0E49"/>
    <w:rsid w:val="00EE1169"/>
    <w:rsid w:val="00EE5615"/>
    <w:rsid w:val="00EF1B3C"/>
    <w:rsid w:val="00EF3454"/>
    <w:rsid w:val="00EF5559"/>
    <w:rsid w:val="00EF64B1"/>
    <w:rsid w:val="00EF7B0D"/>
    <w:rsid w:val="00F007C9"/>
    <w:rsid w:val="00F009DB"/>
    <w:rsid w:val="00F02762"/>
    <w:rsid w:val="00F041D5"/>
    <w:rsid w:val="00F043F4"/>
    <w:rsid w:val="00F04CFF"/>
    <w:rsid w:val="00F0501C"/>
    <w:rsid w:val="00F05770"/>
    <w:rsid w:val="00F120B7"/>
    <w:rsid w:val="00F14B76"/>
    <w:rsid w:val="00F244B7"/>
    <w:rsid w:val="00F3082A"/>
    <w:rsid w:val="00F31C57"/>
    <w:rsid w:val="00F36674"/>
    <w:rsid w:val="00F402B5"/>
    <w:rsid w:val="00F40959"/>
    <w:rsid w:val="00F40B12"/>
    <w:rsid w:val="00F40F93"/>
    <w:rsid w:val="00F42CAA"/>
    <w:rsid w:val="00F43B88"/>
    <w:rsid w:val="00F442EF"/>
    <w:rsid w:val="00F47D7C"/>
    <w:rsid w:val="00F50010"/>
    <w:rsid w:val="00F506D1"/>
    <w:rsid w:val="00F51045"/>
    <w:rsid w:val="00F5404F"/>
    <w:rsid w:val="00F54A7F"/>
    <w:rsid w:val="00F55D50"/>
    <w:rsid w:val="00F57D77"/>
    <w:rsid w:val="00F604D8"/>
    <w:rsid w:val="00F62B70"/>
    <w:rsid w:val="00F6395A"/>
    <w:rsid w:val="00F651C1"/>
    <w:rsid w:val="00F67CE7"/>
    <w:rsid w:val="00F70643"/>
    <w:rsid w:val="00F70707"/>
    <w:rsid w:val="00F717E7"/>
    <w:rsid w:val="00F71EA6"/>
    <w:rsid w:val="00F7395A"/>
    <w:rsid w:val="00F74997"/>
    <w:rsid w:val="00F762C7"/>
    <w:rsid w:val="00F76C86"/>
    <w:rsid w:val="00F77918"/>
    <w:rsid w:val="00F77A44"/>
    <w:rsid w:val="00F8058C"/>
    <w:rsid w:val="00F8077A"/>
    <w:rsid w:val="00F818BB"/>
    <w:rsid w:val="00F81A8C"/>
    <w:rsid w:val="00F82039"/>
    <w:rsid w:val="00F8283E"/>
    <w:rsid w:val="00F85470"/>
    <w:rsid w:val="00F86412"/>
    <w:rsid w:val="00F87E31"/>
    <w:rsid w:val="00F9594B"/>
    <w:rsid w:val="00F9598B"/>
    <w:rsid w:val="00F97844"/>
    <w:rsid w:val="00FA52F1"/>
    <w:rsid w:val="00FA617F"/>
    <w:rsid w:val="00FA7280"/>
    <w:rsid w:val="00FB0F48"/>
    <w:rsid w:val="00FB1CB7"/>
    <w:rsid w:val="00FB2377"/>
    <w:rsid w:val="00FB2A4D"/>
    <w:rsid w:val="00FB2BE6"/>
    <w:rsid w:val="00FB37B5"/>
    <w:rsid w:val="00FB4052"/>
    <w:rsid w:val="00FB446C"/>
    <w:rsid w:val="00FB7DB8"/>
    <w:rsid w:val="00FC1158"/>
    <w:rsid w:val="00FC1203"/>
    <w:rsid w:val="00FC4947"/>
    <w:rsid w:val="00FC4A0A"/>
    <w:rsid w:val="00FC5050"/>
    <w:rsid w:val="00FC675A"/>
    <w:rsid w:val="00FC68A3"/>
    <w:rsid w:val="00FD0B54"/>
    <w:rsid w:val="00FD15A4"/>
    <w:rsid w:val="00FD3D19"/>
    <w:rsid w:val="00FD6403"/>
    <w:rsid w:val="00FD7B95"/>
    <w:rsid w:val="00FE1340"/>
    <w:rsid w:val="00FE3E7B"/>
    <w:rsid w:val="00FE435C"/>
    <w:rsid w:val="00FE7CC5"/>
    <w:rsid w:val="00FF2782"/>
    <w:rsid w:val="00FF295A"/>
    <w:rsid w:val="00FF2A6F"/>
    <w:rsid w:val="00FF3FCD"/>
    <w:rsid w:val="00FF4C02"/>
    <w:rsid w:val="00FF5B50"/>
    <w:rsid w:val="00FF5EF9"/>
    <w:rsid w:val="00FF6B9B"/>
    <w:rsid w:val="00FF6F0A"/>
    <w:rsid w:val="00FF729B"/>
    <w:rsid w:val="010E70F1"/>
    <w:rsid w:val="011B0745"/>
    <w:rsid w:val="0129403A"/>
    <w:rsid w:val="01693DA9"/>
    <w:rsid w:val="01826A17"/>
    <w:rsid w:val="01B77866"/>
    <w:rsid w:val="01C33986"/>
    <w:rsid w:val="01CF2F0F"/>
    <w:rsid w:val="01DC2959"/>
    <w:rsid w:val="022C2E9B"/>
    <w:rsid w:val="025837A5"/>
    <w:rsid w:val="025909DE"/>
    <w:rsid w:val="029E24B5"/>
    <w:rsid w:val="02D13D4F"/>
    <w:rsid w:val="02F456F2"/>
    <w:rsid w:val="032441FD"/>
    <w:rsid w:val="039504BE"/>
    <w:rsid w:val="0398674A"/>
    <w:rsid w:val="03CB0F7B"/>
    <w:rsid w:val="0437743A"/>
    <w:rsid w:val="045A77D7"/>
    <w:rsid w:val="049251C3"/>
    <w:rsid w:val="04FF11CA"/>
    <w:rsid w:val="05424FE6"/>
    <w:rsid w:val="05921EE8"/>
    <w:rsid w:val="05BC1DCB"/>
    <w:rsid w:val="05F11169"/>
    <w:rsid w:val="06527826"/>
    <w:rsid w:val="06556C41"/>
    <w:rsid w:val="06A718B6"/>
    <w:rsid w:val="06AB256C"/>
    <w:rsid w:val="06B036DE"/>
    <w:rsid w:val="07027CB2"/>
    <w:rsid w:val="07346F7A"/>
    <w:rsid w:val="0736768B"/>
    <w:rsid w:val="075860A1"/>
    <w:rsid w:val="07866B35"/>
    <w:rsid w:val="07F341CA"/>
    <w:rsid w:val="082A5712"/>
    <w:rsid w:val="0858117E"/>
    <w:rsid w:val="086A32AC"/>
    <w:rsid w:val="086B7BE9"/>
    <w:rsid w:val="089247D2"/>
    <w:rsid w:val="08A22C7C"/>
    <w:rsid w:val="08DD2784"/>
    <w:rsid w:val="090B5587"/>
    <w:rsid w:val="091A588A"/>
    <w:rsid w:val="092F01B8"/>
    <w:rsid w:val="097C6801"/>
    <w:rsid w:val="098552F6"/>
    <w:rsid w:val="09CC7F17"/>
    <w:rsid w:val="09E366F4"/>
    <w:rsid w:val="09FC2CA4"/>
    <w:rsid w:val="0A14667A"/>
    <w:rsid w:val="0A217411"/>
    <w:rsid w:val="0A462BC7"/>
    <w:rsid w:val="0A663F6C"/>
    <w:rsid w:val="0A911A78"/>
    <w:rsid w:val="0AD1239D"/>
    <w:rsid w:val="0B1F4989"/>
    <w:rsid w:val="0B227CC9"/>
    <w:rsid w:val="0B2F58BB"/>
    <w:rsid w:val="0B45252D"/>
    <w:rsid w:val="0B452CDC"/>
    <w:rsid w:val="0B536D2E"/>
    <w:rsid w:val="0B626F71"/>
    <w:rsid w:val="0B7F5D75"/>
    <w:rsid w:val="0B9E10CF"/>
    <w:rsid w:val="0BA56541"/>
    <w:rsid w:val="0BE845BB"/>
    <w:rsid w:val="0BE934DD"/>
    <w:rsid w:val="0C186B74"/>
    <w:rsid w:val="0C6C1935"/>
    <w:rsid w:val="0C6C62F9"/>
    <w:rsid w:val="0C853538"/>
    <w:rsid w:val="0C905263"/>
    <w:rsid w:val="0CA05CB1"/>
    <w:rsid w:val="0CB24163"/>
    <w:rsid w:val="0CDE5118"/>
    <w:rsid w:val="0CE106DB"/>
    <w:rsid w:val="0CE75973"/>
    <w:rsid w:val="0CF663AE"/>
    <w:rsid w:val="0D2B61B4"/>
    <w:rsid w:val="0D6B4803"/>
    <w:rsid w:val="0D942D77"/>
    <w:rsid w:val="0D9D1AE5"/>
    <w:rsid w:val="0DB10079"/>
    <w:rsid w:val="0DFB64F3"/>
    <w:rsid w:val="0DFC36AD"/>
    <w:rsid w:val="0DFE49A3"/>
    <w:rsid w:val="0DFF3918"/>
    <w:rsid w:val="0E11418C"/>
    <w:rsid w:val="0E1A7E28"/>
    <w:rsid w:val="0E4A05AE"/>
    <w:rsid w:val="0E4D11C2"/>
    <w:rsid w:val="0E63372C"/>
    <w:rsid w:val="0E652AC5"/>
    <w:rsid w:val="0E682A23"/>
    <w:rsid w:val="0E8973CD"/>
    <w:rsid w:val="0EC06B1B"/>
    <w:rsid w:val="0EE651DB"/>
    <w:rsid w:val="0EF3685E"/>
    <w:rsid w:val="0EFB3810"/>
    <w:rsid w:val="0EFD76DC"/>
    <w:rsid w:val="0F3330FE"/>
    <w:rsid w:val="0F7756E1"/>
    <w:rsid w:val="0F7D6A6F"/>
    <w:rsid w:val="0FBD7CB1"/>
    <w:rsid w:val="0FBE6C35"/>
    <w:rsid w:val="0FD216B3"/>
    <w:rsid w:val="0FF52AA9"/>
    <w:rsid w:val="0FF8315F"/>
    <w:rsid w:val="100A29AA"/>
    <w:rsid w:val="10112315"/>
    <w:rsid w:val="102E4B93"/>
    <w:rsid w:val="103112F5"/>
    <w:rsid w:val="104D01F0"/>
    <w:rsid w:val="10527522"/>
    <w:rsid w:val="106A7434"/>
    <w:rsid w:val="10732363"/>
    <w:rsid w:val="1083295A"/>
    <w:rsid w:val="10937656"/>
    <w:rsid w:val="10BB784F"/>
    <w:rsid w:val="10CF45DA"/>
    <w:rsid w:val="10DB414B"/>
    <w:rsid w:val="10EA1EE2"/>
    <w:rsid w:val="110A251D"/>
    <w:rsid w:val="111E393A"/>
    <w:rsid w:val="115A6B37"/>
    <w:rsid w:val="11666897"/>
    <w:rsid w:val="11683CF4"/>
    <w:rsid w:val="11756831"/>
    <w:rsid w:val="123A0C48"/>
    <w:rsid w:val="12483364"/>
    <w:rsid w:val="127736F8"/>
    <w:rsid w:val="128F4AEF"/>
    <w:rsid w:val="12A433B1"/>
    <w:rsid w:val="12BB58E4"/>
    <w:rsid w:val="12E75B94"/>
    <w:rsid w:val="13563DAA"/>
    <w:rsid w:val="136F1C20"/>
    <w:rsid w:val="13877D68"/>
    <w:rsid w:val="139F3BE4"/>
    <w:rsid w:val="13BA2040"/>
    <w:rsid w:val="13C147CE"/>
    <w:rsid w:val="13D3452B"/>
    <w:rsid w:val="140774AD"/>
    <w:rsid w:val="14154836"/>
    <w:rsid w:val="14A34882"/>
    <w:rsid w:val="14D94773"/>
    <w:rsid w:val="15051099"/>
    <w:rsid w:val="1517701E"/>
    <w:rsid w:val="1519357C"/>
    <w:rsid w:val="152605A1"/>
    <w:rsid w:val="15842905"/>
    <w:rsid w:val="15CC66A1"/>
    <w:rsid w:val="16166064"/>
    <w:rsid w:val="163E57AE"/>
    <w:rsid w:val="164976AB"/>
    <w:rsid w:val="16505C99"/>
    <w:rsid w:val="167F4558"/>
    <w:rsid w:val="16AF4771"/>
    <w:rsid w:val="16BA0495"/>
    <w:rsid w:val="16D34E8F"/>
    <w:rsid w:val="16E46EF0"/>
    <w:rsid w:val="17033CFE"/>
    <w:rsid w:val="17215F32"/>
    <w:rsid w:val="1734382F"/>
    <w:rsid w:val="173C5B66"/>
    <w:rsid w:val="175470E6"/>
    <w:rsid w:val="17597546"/>
    <w:rsid w:val="17B9223F"/>
    <w:rsid w:val="17BE19D3"/>
    <w:rsid w:val="17D1198B"/>
    <w:rsid w:val="18067E8E"/>
    <w:rsid w:val="18176DF0"/>
    <w:rsid w:val="182013D2"/>
    <w:rsid w:val="182C5C1D"/>
    <w:rsid w:val="186758E2"/>
    <w:rsid w:val="18720C84"/>
    <w:rsid w:val="18972950"/>
    <w:rsid w:val="18AB01A9"/>
    <w:rsid w:val="18F51424"/>
    <w:rsid w:val="19244BA8"/>
    <w:rsid w:val="19445F08"/>
    <w:rsid w:val="197B7B7C"/>
    <w:rsid w:val="19B337B9"/>
    <w:rsid w:val="19D744CE"/>
    <w:rsid w:val="19EF7AF9"/>
    <w:rsid w:val="1A2521DD"/>
    <w:rsid w:val="1A2F6A1A"/>
    <w:rsid w:val="1A371634"/>
    <w:rsid w:val="1B050485"/>
    <w:rsid w:val="1B0B13D3"/>
    <w:rsid w:val="1B304838"/>
    <w:rsid w:val="1B495A57"/>
    <w:rsid w:val="1B634D6B"/>
    <w:rsid w:val="1B803B6F"/>
    <w:rsid w:val="1B9746C1"/>
    <w:rsid w:val="1BC9403A"/>
    <w:rsid w:val="1BF146E4"/>
    <w:rsid w:val="1C050957"/>
    <w:rsid w:val="1C0556D0"/>
    <w:rsid w:val="1C2C7853"/>
    <w:rsid w:val="1C3D1528"/>
    <w:rsid w:val="1C487D99"/>
    <w:rsid w:val="1C4955DC"/>
    <w:rsid w:val="1C5847A3"/>
    <w:rsid w:val="1C5C30AE"/>
    <w:rsid w:val="1C6E2185"/>
    <w:rsid w:val="1C7D3C0B"/>
    <w:rsid w:val="1C8C6544"/>
    <w:rsid w:val="1C9176B6"/>
    <w:rsid w:val="1C9920A6"/>
    <w:rsid w:val="1CB05C33"/>
    <w:rsid w:val="1CE066BD"/>
    <w:rsid w:val="1D914C03"/>
    <w:rsid w:val="1DD51824"/>
    <w:rsid w:val="1DEE08FE"/>
    <w:rsid w:val="1E3C40E9"/>
    <w:rsid w:val="1E786D7F"/>
    <w:rsid w:val="1E7F49B4"/>
    <w:rsid w:val="1EC47882"/>
    <w:rsid w:val="1ECE4BF1"/>
    <w:rsid w:val="1F182A70"/>
    <w:rsid w:val="1F1F5B3A"/>
    <w:rsid w:val="1F5F3A9B"/>
    <w:rsid w:val="1F856AAA"/>
    <w:rsid w:val="1FA3607E"/>
    <w:rsid w:val="1FBD6951"/>
    <w:rsid w:val="1FD24B33"/>
    <w:rsid w:val="1FD91AA0"/>
    <w:rsid w:val="1FF22B62"/>
    <w:rsid w:val="20303E66"/>
    <w:rsid w:val="20AD5964"/>
    <w:rsid w:val="20BF43BB"/>
    <w:rsid w:val="20F25A2B"/>
    <w:rsid w:val="20F66299"/>
    <w:rsid w:val="20F85F56"/>
    <w:rsid w:val="212B00D9"/>
    <w:rsid w:val="21413899"/>
    <w:rsid w:val="21433208"/>
    <w:rsid w:val="218755AB"/>
    <w:rsid w:val="21E6657A"/>
    <w:rsid w:val="22010E3A"/>
    <w:rsid w:val="223942B3"/>
    <w:rsid w:val="223C6316"/>
    <w:rsid w:val="2296771B"/>
    <w:rsid w:val="22F02729"/>
    <w:rsid w:val="22F4507B"/>
    <w:rsid w:val="23005130"/>
    <w:rsid w:val="232B2612"/>
    <w:rsid w:val="233012E3"/>
    <w:rsid w:val="23924B55"/>
    <w:rsid w:val="23C6058D"/>
    <w:rsid w:val="23FB1E25"/>
    <w:rsid w:val="23FD66CE"/>
    <w:rsid w:val="244D325D"/>
    <w:rsid w:val="24A15EE2"/>
    <w:rsid w:val="24AB715F"/>
    <w:rsid w:val="24AF5500"/>
    <w:rsid w:val="24B97925"/>
    <w:rsid w:val="24C85C3F"/>
    <w:rsid w:val="24D03CD9"/>
    <w:rsid w:val="24FB6FE0"/>
    <w:rsid w:val="25115DEC"/>
    <w:rsid w:val="251E084D"/>
    <w:rsid w:val="255B1D92"/>
    <w:rsid w:val="258278D2"/>
    <w:rsid w:val="25A14E0E"/>
    <w:rsid w:val="25AE3087"/>
    <w:rsid w:val="25AF7C37"/>
    <w:rsid w:val="25CF468D"/>
    <w:rsid w:val="25F81110"/>
    <w:rsid w:val="25FA35BC"/>
    <w:rsid w:val="26555728"/>
    <w:rsid w:val="26A7706F"/>
    <w:rsid w:val="26AC279E"/>
    <w:rsid w:val="26F34F21"/>
    <w:rsid w:val="270D0F81"/>
    <w:rsid w:val="27117D71"/>
    <w:rsid w:val="27167136"/>
    <w:rsid w:val="272F6449"/>
    <w:rsid w:val="277420AE"/>
    <w:rsid w:val="27814EF7"/>
    <w:rsid w:val="278D7C5E"/>
    <w:rsid w:val="2797417A"/>
    <w:rsid w:val="27A04C51"/>
    <w:rsid w:val="27C01197"/>
    <w:rsid w:val="27CC07A7"/>
    <w:rsid w:val="27CD66D3"/>
    <w:rsid w:val="27DC212D"/>
    <w:rsid w:val="28081174"/>
    <w:rsid w:val="2816238B"/>
    <w:rsid w:val="28181576"/>
    <w:rsid w:val="282854BD"/>
    <w:rsid w:val="28530E0E"/>
    <w:rsid w:val="28810F26"/>
    <w:rsid w:val="289447B6"/>
    <w:rsid w:val="289D21F4"/>
    <w:rsid w:val="289F15C5"/>
    <w:rsid w:val="28E868B0"/>
    <w:rsid w:val="28EF1322"/>
    <w:rsid w:val="290C1785"/>
    <w:rsid w:val="29553F04"/>
    <w:rsid w:val="29B2144F"/>
    <w:rsid w:val="29B2271B"/>
    <w:rsid w:val="29C323D4"/>
    <w:rsid w:val="29D0210E"/>
    <w:rsid w:val="29D67050"/>
    <w:rsid w:val="29D82521"/>
    <w:rsid w:val="29EB6C0A"/>
    <w:rsid w:val="29EB7B9D"/>
    <w:rsid w:val="29F714A0"/>
    <w:rsid w:val="2A1D495C"/>
    <w:rsid w:val="2A364396"/>
    <w:rsid w:val="2A47342D"/>
    <w:rsid w:val="2A5F6759"/>
    <w:rsid w:val="2A7F4FF2"/>
    <w:rsid w:val="2A8E16D9"/>
    <w:rsid w:val="2A9475EB"/>
    <w:rsid w:val="2A9665C1"/>
    <w:rsid w:val="2ACA1805"/>
    <w:rsid w:val="2AEC6B2B"/>
    <w:rsid w:val="2B0A0673"/>
    <w:rsid w:val="2B2D4A4E"/>
    <w:rsid w:val="2B370FA1"/>
    <w:rsid w:val="2B5050CE"/>
    <w:rsid w:val="2B5E540C"/>
    <w:rsid w:val="2B626DED"/>
    <w:rsid w:val="2B6C5576"/>
    <w:rsid w:val="2B726905"/>
    <w:rsid w:val="2B867023"/>
    <w:rsid w:val="2C5001FE"/>
    <w:rsid w:val="2C66290D"/>
    <w:rsid w:val="2C74637D"/>
    <w:rsid w:val="2C8C17BB"/>
    <w:rsid w:val="2C9C1C42"/>
    <w:rsid w:val="2CDB453F"/>
    <w:rsid w:val="2D8B7F95"/>
    <w:rsid w:val="2DA76D39"/>
    <w:rsid w:val="2DA84860"/>
    <w:rsid w:val="2DDB2F86"/>
    <w:rsid w:val="2DED6CD6"/>
    <w:rsid w:val="2E0B03C5"/>
    <w:rsid w:val="2E455B12"/>
    <w:rsid w:val="2E4E753A"/>
    <w:rsid w:val="2E9574DA"/>
    <w:rsid w:val="2E9F12BE"/>
    <w:rsid w:val="2EA14510"/>
    <w:rsid w:val="2EA27D06"/>
    <w:rsid w:val="2EA74B17"/>
    <w:rsid w:val="2EB5368F"/>
    <w:rsid w:val="2EBA7481"/>
    <w:rsid w:val="2EC025F4"/>
    <w:rsid w:val="2EC67693"/>
    <w:rsid w:val="2EC810F1"/>
    <w:rsid w:val="2ED753FC"/>
    <w:rsid w:val="2EF069F5"/>
    <w:rsid w:val="2F294338"/>
    <w:rsid w:val="2F302D5E"/>
    <w:rsid w:val="2F4862FA"/>
    <w:rsid w:val="2F5E1492"/>
    <w:rsid w:val="2F6C2EA4"/>
    <w:rsid w:val="2F77273B"/>
    <w:rsid w:val="2F86309A"/>
    <w:rsid w:val="2F9A46C5"/>
    <w:rsid w:val="2FD90D3F"/>
    <w:rsid w:val="2FF65D56"/>
    <w:rsid w:val="305D2219"/>
    <w:rsid w:val="306D72C1"/>
    <w:rsid w:val="30704CE7"/>
    <w:rsid w:val="316239A1"/>
    <w:rsid w:val="316B15CD"/>
    <w:rsid w:val="3216448E"/>
    <w:rsid w:val="322B56BF"/>
    <w:rsid w:val="328D2024"/>
    <w:rsid w:val="32BD2B5B"/>
    <w:rsid w:val="32C31F24"/>
    <w:rsid w:val="32FD7572"/>
    <w:rsid w:val="337771AE"/>
    <w:rsid w:val="338C5852"/>
    <w:rsid w:val="339F7A0C"/>
    <w:rsid w:val="33AE6A5E"/>
    <w:rsid w:val="33B3141F"/>
    <w:rsid w:val="33C42C0A"/>
    <w:rsid w:val="33D264BB"/>
    <w:rsid w:val="33E11727"/>
    <w:rsid w:val="341C3E29"/>
    <w:rsid w:val="342463B4"/>
    <w:rsid w:val="34427402"/>
    <w:rsid w:val="346E6803"/>
    <w:rsid w:val="347100A1"/>
    <w:rsid w:val="348222AE"/>
    <w:rsid w:val="348A4CBF"/>
    <w:rsid w:val="34931DC5"/>
    <w:rsid w:val="34A477BF"/>
    <w:rsid w:val="34AF401B"/>
    <w:rsid w:val="34D80120"/>
    <w:rsid w:val="350933CD"/>
    <w:rsid w:val="353F29DC"/>
    <w:rsid w:val="35635963"/>
    <w:rsid w:val="35753BC1"/>
    <w:rsid w:val="35B5609F"/>
    <w:rsid w:val="35CB5AD6"/>
    <w:rsid w:val="35E13AD9"/>
    <w:rsid w:val="35E30B2B"/>
    <w:rsid w:val="35FC00A6"/>
    <w:rsid w:val="362829E1"/>
    <w:rsid w:val="36316394"/>
    <w:rsid w:val="36AC53C0"/>
    <w:rsid w:val="36D55BA7"/>
    <w:rsid w:val="36E71A96"/>
    <w:rsid w:val="36EE262B"/>
    <w:rsid w:val="37166820"/>
    <w:rsid w:val="37313B18"/>
    <w:rsid w:val="37415715"/>
    <w:rsid w:val="3748158D"/>
    <w:rsid w:val="375D3FE4"/>
    <w:rsid w:val="376932B2"/>
    <w:rsid w:val="379F3EED"/>
    <w:rsid w:val="37AB1B1C"/>
    <w:rsid w:val="37BA1D5F"/>
    <w:rsid w:val="37CA3EDB"/>
    <w:rsid w:val="37E9704B"/>
    <w:rsid w:val="380939E1"/>
    <w:rsid w:val="383C2774"/>
    <w:rsid w:val="3845264E"/>
    <w:rsid w:val="385C6972"/>
    <w:rsid w:val="38C34BC3"/>
    <w:rsid w:val="38CD161E"/>
    <w:rsid w:val="38D2636E"/>
    <w:rsid w:val="38FF5FAB"/>
    <w:rsid w:val="39095129"/>
    <w:rsid w:val="391361DB"/>
    <w:rsid w:val="391B71E0"/>
    <w:rsid w:val="393A3F57"/>
    <w:rsid w:val="395343DC"/>
    <w:rsid w:val="395D1F82"/>
    <w:rsid w:val="397D4EE4"/>
    <w:rsid w:val="399049A3"/>
    <w:rsid w:val="399A6DBB"/>
    <w:rsid w:val="39EC2D56"/>
    <w:rsid w:val="39F41558"/>
    <w:rsid w:val="3A00548E"/>
    <w:rsid w:val="3A1E3B4B"/>
    <w:rsid w:val="3A8F74D3"/>
    <w:rsid w:val="3AAB46ED"/>
    <w:rsid w:val="3AC60BDB"/>
    <w:rsid w:val="3AD067E5"/>
    <w:rsid w:val="3AD97E6F"/>
    <w:rsid w:val="3AE77EE0"/>
    <w:rsid w:val="3AEC19EF"/>
    <w:rsid w:val="3B1A3241"/>
    <w:rsid w:val="3B493953"/>
    <w:rsid w:val="3B60266D"/>
    <w:rsid w:val="3B7364AD"/>
    <w:rsid w:val="3B847179"/>
    <w:rsid w:val="3B991666"/>
    <w:rsid w:val="3BB6736F"/>
    <w:rsid w:val="3BD31641"/>
    <w:rsid w:val="3BD57167"/>
    <w:rsid w:val="3C037EF5"/>
    <w:rsid w:val="3C4D4F50"/>
    <w:rsid w:val="3CE9395D"/>
    <w:rsid w:val="3CFF7E49"/>
    <w:rsid w:val="3D077723"/>
    <w:rsid w:val="3D453E79"/>
    <w:rsid w:val="3D8A3020"/>
    <w:rsid w:val="3DE11AA5"/>
    <w:rsid w:val="3E577856"/>
    <w:rsid w:val="3E646581"/>
    <w:rsid w:val="3E825552"/>
    <w:rsid w:val="3E8517C5"/>
    <w:rsid w:val="3EB61701"/>
    <w:rsid w:val="3EBA6451"/>
    <w:rsid w:val="3EBB26CC"/>
    <w:rsid w:val="3EC05EAD"/>
    <w:rsid w:val="3ECA545B"/>
    <w:rsid w:val="3F43263A"/>
    <w:rsid w:val="3F566811"/>
    <w:rsid w:val="3F6E1604"/>
    <w:rsid w:val="3F995B77"/>
    <w:rsid w:val="3FD05D64"/>
    <w:rsid w:val="400215FE"/>
    <w:rsid w:val="401455C3"/>
    <w:rsid w:val="405B4D28"/>
    <w:rsid w:val="4094294D"/>
    <w:rsid w:val="40A3733C"/>
    <w:rsid w:val="40B530C4"/>
    <w:rsid w:val="411029F0"/>
    <w:rsid w:val="41195D48"/>
    <w:rsid w:val="41872CB2"/>
    <w:rsid w:val="41B80C5C"/>
    <w:rsid w:val="421656C4"/>
    <w:rsid w:val="42193252"/>
    <w:rsid w:val="42277EF7"/>
    <w:rsid w:val="42411CEA"/>
    <w:rsid w:val="425C0A3B"/>
    <w:rsid w:val="426B76F0"/>
    <w:rsid w:val="42A96C58"/>
    <w:rsid w:val="42DA6C55"/>
    <w:rsid w:val="42F56341"/>
    <w:rsid w:val="43103916"/>
    <w:rsid w:val="432431A4"/>
    <w:rsid w:val="43371E77"/>
    <w:rsid w:val="43B46EA6"/>
    <w:rsid w:val="43E066A9"/>
    <w:rsid w:val="43E16008"/>
    <w:rsid w:val="43F0701E"/>
    <w:rsid w:val="43F55B48"/>
    <w:rsid w:val="4410037A"/>
    <w:rsid w:val="44136A7F"/>
    <w:rsid w:val="44426641"/>
    <w:rsid w:val="44633262"/>
    <w:rsid w:val="448B4867"/>
    <w:rsid w:val="448C45F8"/>
    <w:rsid w:val="44D53D34"/>
    <w:rsid w:val="44F92940"/>
    <w:rsid w:val="4501063B"/>
    <w:rsid w:val="45132AAF"/>
    <w:rsid w:val="451D02E5"/>
    <w:rsid w:val="451F1C84"/>
    <w:rsid w:val="451F649D"/>
    <w:rsid w:val="452E6B76"/>
    <w:rsid w:val="455D4E4D"/>
    <w:rsid w:val="45BE6EBE"/>
    <w:rsid w:val="465346DC"/>
    <w:rsid w:val="46CD03D6"/>
    <w:rsid w:val="47001852"/>
    <w:rsid w:val="47131AAE"/>
    <w:rsid w:val="478236DD"/>
    <w:rsid w:val="47A948D0"/>
    <w:rsid w:val="47B65A57"/>
    <w:rsid w:val="47DB01D8"/>
    <w:rsid w:val="47EA6BCA"/>
    <w:rsid w:val="480F755D"/>
    <w:rsid w:val="48194880"/>
    <w:rsid w:val="483C3E0E"/>
    <w:rsid w:val="487973A3"/>
    <w:rsid w:val="489D2DBB"/>
    <w:rsid w:val="48D12A65"/>
    <w:rsid w:val="48E94252"/>
    <w:rsid w:val="48FB15B1"/>
    <w:rsid w:val="492E1C8A"/>
    <w:rsid w:val="49C13E32"/>
    <w:rsid w:val="4A193EF2"/>
    <w:rsid w:val="4A5B1180"/>
    <w:rsid w:val="4A5C41EE"/>
    <w:rsid w:val="4A6B59BD"/>
    <w:rsid w:val="4A730277"/>
    <w:rsid w:val="4A8B47B9"/>
    <w:rsid w:val="4A8C0C78"/>
    <w:rsid w:val="4A911DE8"/>
    <w:rsid w:val="4AB20618"/>
    <w:rsid w:val="4AC44A5C"/>
    <w:rsid w:val="4AD056CA"/>
    <w:rsid w:val="4AEC09FB"/>
    <w:rsid w:val="4B2C6678"/>
    <w:rsid w:val="4B3D1D4B"/>
    <w:rsid w:val="4B841AD9"/>
    <w:rsid w:val="4B922D11"/>
    <w:rsid w:val="4BF9040A"/>
    <w:rsid w:val="4C0B61D0"/>
    <w:rsid w:val="4C716A38"/>
    <w:rsid w:val="4CBC4A0C"/>
    <w:rsid w:val="4CC26F13"/>
    <w:rsid w:val="4D021D86"/>
    <w:rsid w:val="4D041B29"/>
    <w:rsid w:val="4D1D0B56"/>
    <w:rsid w:val="4D216D20"/>
    <w:rsid w:val="4D2E66D8"/>
    <w:rsid w:val="4D4B13F3"/>
    <w:rsid w:val="4D6B7D84"/>
    <w:rsid w:val="4D743336"/>
    <w:rsid w:val="4D761F49"/>
    <w:rsid w:val="4D7E765F"/>
    <w:rsid w:val="4DB536B0"/>
    <w:rsid w:val="4DF530F4"/>
    <w:rsid w:val="4E031D7A"/>
    <w:rsid w:val="4E250514"/>
    <w:rsid w:val="4E2A50F1"/>
    <w:rsid w:val="4E3C3FC8"/>
    <w:rsid w:val="4E524648"/>
    <w:rsid w:val="4E7A439B"/>
    <w:rsid w:val="4E7A7301"/>
    <w:rsid w:val="4E8567CB"/>
    <w:rsid w:val="4E873E5B"/>
    <w:rsid w:val="4EB4266F"/>
    <w:rsid w:val="4EC13713"/>
    <w:rsid w:val="4ECC0B5C"/>
    <w:rsid w:val="4EF37BD9"/>
    <w:rsid w:val="4EF85CE6"/>
    <w:rsid w:val="4F075432"/>
    <w:rsid w:val="4F0E056F"/>
    <w:rsid w:val="4F46070C"/>
    <w:rsid w:val="4F477F24"/>
    <w:rsid w:val="4F506DD9"/>
    <w:rsid w:val="4F5603B0"/>
    <w:rsid w:val="4F7B372A"/>
    <w:rsid w:val="4FFC0E5A"/>
    <w:rsid w:val="4FFF2864"/>
    <w:rsid w:val="50383E81"/>
    <w:rsid w:val="50492ED6"/>
    <w:rsid w:val="50594E5E"/>
    <w:rsid w:val="506A549A"/>
    <w:rsid w:val="5091587B"/>
    <w:rsid w:val="50AA427B"/>
    <w:rsid w:val="50E27D28"/>
    <w:rsid w:val="50F30CAD"/>
    <w:rsid w:val="50F33EC0"/>
    <w:rsid w:val="510460CD"/>
    <w:rsid w:val="51390634"/>
    <w:rsid w:val="516D352B"/>
    <w:rsid w:val="51733EAB"/>
    <w:rsid w:val="51A26F77"/>
    <w:rsid w:val="51BD44CE"/>
    <w:rsid w:val="51BE5C1E"/>
    <w:rsid w:val="51CB640B"/>
    <w:rsid w:val="51D21E7F"/>
    <w:rsid w:val="51E1029C"/>
    <w:rsid w:val="522B1A1A"/>
    <w:rsid w:val="524B2DC8"/>
    <w:rsid w:val="52A47596"/>
    <w:rsid w:val="52AF2B74"/>
    <w:rsid w:val="52D11EE3"/>
    <w:rsid w:val="52F61A46"/>
    <w:rsid w:val="530110AB"/>
    <w:rsid w:val="53171B77"/>
    <w:rsid w:val="531D551D"/>
    <w:rsid w:val="534E1882"/>
    <w:rsid w:val="53E478AF"/>
    <w:rsid w:val="540A6CA8"/>
    <w:rsid w:val="541128AF"/>
    <w:rsid w:val="541D443E"/>
    <w:rsid w:val="54307E41"/>
    <w:rsid w:val="543563F0"/>
    <w:rsid w:val="547846DC"/>
    <w:rsid w:val="5488245D"/>
    <w:rsid w:val="54CB6F02"/>
    <w:rsid w:val="54D6640B"/>
    <w:rsid w:val="54F63F7F"/>
    <w:rsid w:val="551E1D72"/>
    <w:rsid w:val="55204C11"/>
    <w:rsid w:val="55306D65"/>
    <w:rsid w:val="553841BF"/>
    <w:rsid w:val="556E388B"/>
    <w:rsid w:val="55806D8B"/>
    <w:rsid w:val="55CC0587"/>
    <w:rsid w:val="55D77168"/>
    <w:rsid w:val="560C77D2"/>
    <w:rsid w:val="56142BD0"/>
    <w:rsid w:val="56304A34"/>
    <w:rsid w:val="5643193D"/>
    <w:rsid w:val="56462CE4"/>
    <w:rsid w:val="56867584"/>
    <w:rsid w:val="569A6B8C"/>
    <w:rsid w:val="56EA7B13"/>
    <w:rsid w:val="56EE0A49"/>
    <w:rsid w:val="56F05B65"/>
    <w:rsid w:val="5715598F"/>
    <w:rsid w:val="572D5C52"/>
    <w:rsid w:val="57473B22"/>
    <w:rsid w:val="575D4AEE"/>
    <w:rsid w:val="57736AB0"/>
    <w:rsid w:val="577D699F"/>
    <w:rsid w:val="57C07912"/>
    <w:rsid w:val="580F7106"/>
    <w:rsid w:val="58133B49"/>
    <w:rsid w:val="584720E0"/>
    <w:rsid w:val="585A0885"/>
    <w:rsid w:val="585E590B"/>
    <w:rsid w:val="58D27FB8"/>
    <w:rsid w:val="58F9524E"/>
    <w:rsid w:val="594B23BF"/>
    <w:rsid w:val="599B48CE"/>
    <w:rsid w:val="59A3777C"/>
    <w:rsid w:val="59DB7BE7"/>
    <w:rsid w:val="59E529BF"/>
    <w:rsid w:val="5A1D6EB3"/>
    <w:rsid w:val="5A352FBE"/>
    <w:rsid w:val="5A390534"/>
    <w:rsid w:val="5A4A63D7"/>
    <w:rsid w:val="5A715E56"/>
    <w:rsid w:val="5A901AAA"/>
    <w:rsid w:val="5A9B04D6"/>
    <w:rsid w:val="5AF513D3"/>
    <w:rsid w:val="5B2E4D4E"/>
    <w:rsid w:val="5B6F4A8B"/>
    <w:rsid w:val="5B8D2B5D"/>
    <w:rsid w:val="5BF74EC7"/>
    <w:rsid w:val="5C1F50E4"/>
    <w:rsid w:val="5C205BA2"/>
    <w:rsid w:val="5CC96302"/>
    <w:rsid w:val="5CCC1228"/>
    <w:rsid w:val="5CF93B2D"/>
    <w:rsid w:val="5D124D61"/>
    <w:rsid w:val="5D83037A"/>
    <w:rsid w:val="5DA90013"/>
    <w:rsid w:val="5DB03139"/>
    <w:rsid w:val="5DB9023F"/>
    <w:rsid w:val="5DE057B4"/>
    <w:rsid w:val="5DED7EE9"/>
    <w:rsid w:val="5DFF6F42"/>
    <w:rsid w:val="5E4443F8"/>
    <w:rsid w:val="5E914D18"/>
    <w:rsid w:val="5EBB21E3"/>
    <w:rsid w:val="5EC71A4F"/>
    <w:rsid w:val="5ED811C0"/>
    <w:rsid w:val="5EFE78C9"/>
    <w:rsid w:val="5F04319F"/>
    <w:rsid w:val="5F230C6E"/>
    <w:rsid w:val="5F6D55CC"/>
    <w:rsid w:val="5F826B1D"/>
    <w:rsid w:val="5F8C1EAA"/>
    <w:rsid w:val="5F8F74AA"/>
    <w:rsid w:val="5FE559CD"/>
    <w:rsid w:val="5FEB71DA"/>
    <w:rsid w:val="5FF13C7F"/>
    <w:rsid w:val="606B6E69"/>
    <w:rsid w:val="607A491A"/>
    <w:rsid w:val="607E0D2F"/>
    <w:rsid w:val="60932FCA"/>
    <w:rsid w:val="60A33482"/>
    <w:rsid w:val="60B52CF3"/>
    <w:rsid w:val="60D9470F"/>
    <w:rsid w:val="611742AB"/>
    <w:rsid w:val="612049BB"/>
    <w:rsid w:val="614F614E"/>
    <w:rsid w:val="6151253D"/>
    <w:rsid w:val="615841C4"/>
    <w:rsid w:val="615978D1"/>
    <w:rsid w:val="615C785F"/>
    <w:rsid w:val="61A24411"/>
    <w:rsid w:val="61B16610"/>
    <w:rsid w:val="61CD3451"/>
    <w:rsid w:val="61DD2A6C"/>
    <w:rsid w:val="61E6479E"/>
    <w:rsid w:val="62486582"/>
    <w:rsid w:val="624B0417"/>
    <w:rsid w:val="625E7607"/>
    <w:rsid w:val="62614A02"/>
    <w:rsid w:val="62625805"/>
    <w:rsid w:val="62AC1A0A"/>
    <w:rsid w:val="62F85366"/>
    <w:rsid w:val="631E68A0"/>
    <w:rsid w:val="632C0E54"/>
    <w:rsid w:val="63862972"/>
    <w:rsid w:val="639F1C85"/>
    <w:rsid w:val="63FC4110"/>
    <w:rsid w:val="641066D8"/>
    <w:rsid w:val="6411743B"/>
    <w:rsid w:val="642C15E5"/>
    <w:rsid w:val="64301C12"/>
    <w:rsid w:val="643207A1"/>
    <w:rsid w:val="647805F8"/>
    <w:rsid w:val="64877D3C"/>
    <w:rsid w:val="649829A9"/>
    <w:rsid w:val="64AD03D2"/>
    <w:rsid w:val="64C42F83"/>
    <w:rsid w:val="64C74ED6"/>
    <w:rsid w:val="64EB67CE"/>
    <w:rsid w:val="6524523D"/>
    <w:rsid w:val="653F690B"/>
    <w:rsid w:val="658729D1"/>
    <w:rsid w:val="65A11CE5"/>
    <w:rsid w:val="6614060F"/>
    <w:rsid w:val="6639016F"/>
    <w:rsid w:val="66392D9A"/>
    <w:rsid w:val="66415276"/>
    <w:rsid w:val="664240C0"/>
    <w:rsid w:val="6663635F"/>
    <w:rsid w:val="66754F1F"/>
    <w:rsid w:val="669058B5"/>
    <w:rsid w:val="66993F11"/>
    <w:rsid w:val="66B772E6"/>
    <w:rsid w:val="66CE13EF"/>
    <w:rsid w:val="66D7138E"/>
    <w:rsid w:val="66DB4D83"/>
    <w:rsid w:val="67346614"/>
    <w:rsid w:val="674120F2"/>
    <w:rsid w:val="6744501E"/>
    <w:rsid w:val="674E7C3D"/>
    <w:rsid w:val="67674868"/>
    <w:rsid w:val="678151D6"/>
    <w:rsid w:val="678C7A88"/>
    <w:rsid w:val="67BD6B7E"/>
    <w:rsid w:val="67EB2EF9"/>
    <w:rsid w:val="688C2BE0"/>
    <w:rsid w:val="688F1299"/>
    <w:rsid w:val="68994EF5"/>
    <w:rsid w:val="68EF29E6"/>
    <w:rsid w:val="690D50F9"/>
    <w:rsid w:val="695A0B28"/>
    <w:rsid w:val="697C498C"/>
    <w:rsid w:val="69927E5F"/>
    <w:rsid w:val="69D0221D"/>
    <w:rsid w:val="6A4242B5"/>
    <w:rsid w:val="6A8272FB"/>
    <w:rsid w:val="6A912B8B"/>
    <w:rsid w:val="6AC341F7"/>
    <w:rsid w:val="6AC72C42"/>
    <w:rsid w:val="6AF44665"/>
    <w:rsid w:val="6B1713A0"/>
    <w:rsid w:val="6B1D6721"/>
    <w:rsid w:val="6B6E08BB"/>
    <w:rsid w:val="6B710969"/>
    <w:rsid w:val="6B9E135C"/>
    <w:rsid w:val="6BBA58AE"/>
    <w:rsid w:val="6BD47F4C"/>
    <w:rsid w:val="6BDA5FDD"/>
    <w:rsid w:val="6BEC3BD0"/>
    <w:rsid w:val="6BF32B6E"/>
    <w:rsid w:val="6C082324"/>
    <w:rsid w:val="6C1B20C5"/>
    <w:rsid w:val="6C8D4D71"/>
    <w:rsid w:val="6CCF3B4B"/>
    <w:rsid w:val="6D1F7993"/>
    <w:rsid w:val="6D427557"/>
    <w:rsid w:val="6D6C470B"/>
    <w:rsid w:val="6D7018D3"/>
    <w:rsid w:val="6D724E66"/>
    <w:rsid w:val="6DB36A59"/>
    <w:rsid w:val="6E027D32"/>
    <w:rsid w:val="6E331948"/>
    <w:rsid w:val="6E533D98"/>
    <w:rsid w:val="6E5B0E2F"/>
    <w:rsid w:val="6E5C35A4"/>
    <w:rsid w:val="6ED352FB"/>
    <w:rsid w:val="6EEE0796"/>
    <w:rsid w:val="6F154861"/>
    <w:rsid w:val="6F486B64"/>
    <w:rsid w:val="6F814220"/>
    <w:rsid w:val="6F8B1310"/>
    <w:rsid w:val="6FAE2A7D"/>
    <w:rsid w:val="6FAF5830"/>
    <w:rsid w:val="6FB7452E"/>
    <w:rsid w:val="6FEA732C"/>
    <w:rsid w:val="6FFC43C3"/>
    <w:rsid w:val="701D4BDE"/>
    <w:rsid w:val="70204F9A"/>
    <w:rsid w:val="704240C4"/>
    <w:rsid w:val="705D4A5A"/>
    <w:rsid w:val="70897BFE"/>
    <w:rsid w:val="70911BAC"/>
    <w:rsid w:val="70A02736"/>
    <w:rsid w:val="70B43760"/>
    <w:rsid w:val="70C108B5"/>
    <w:rsid w:val="70CB47E1"/>
    <w:rsid w:val="71482A17"/>
    <w:rsid w:val="71701401"/>
    <w:rsid w:val="718129CA"/>
    <w:rsid w:val="71C0365F"/>
    <w:rsid w:val="71C1201B"/>
    <w:rsid w:val="71C32FA0"/>
    <w:rsid w:val="71E865E8"/>
    <w:rsid w:val="7202642B"/>
    <w:rsid w:val="722153EB"/>
    <w:rsid w:val="723247C9"/>
    <w:rsid w:val="727D464C"/>
    <w:rsid w:val="72801E0E"/>
    <w:rsid w:val="728A58AF"/>
    <w:rsid w:val="728D72D4"/>
    <w:rsid w:val="72F6424D"/>
    <w:rsid w:val="72FF004B"/>
    <w:rsid w:val="734168B5"/>
    <w:rsid w:val="7351143E"/>
    <w:rsid w:val="73591E51"/>
    <w:rsid w:val="736305DA"/>
    <w:rsid w:val="736507F6"/>
    <w:rsid w:val="7379604F"/>
    <w:rsid w:val="73CD213F"/>
    <w:rsid w:val="73D43285"/>
    <w:rsid w:val="73D94D40"/>
    <w:rsid w:val="740F250F"/>
    <w:rsid w:val="74160B04"/>
    <w:rsid w:val="74205BD2"/>
    <w:rsid w:val="74671F38"/>
    <w:rsid w:val="746C7962"/>
    <w:rsid w:val="746F0BDF"/>
    <w:rsid w:val="747B1BB4"/>
    <w:rsid w:val="74B3090C"/>
    <w:rsid w:val="74B72AE2"/>
    <w:rsid w:val="74FD4A5E"/>
    <w:rsid w:val="750000AA"/>
    <w:rsid w:val="759C55AE"/>
    <w:rsid w:val="75A35605"/>
    <w:rsid w:val="75A62A4E"/>
    <w:rsid w:val="75C438F9"/>
    <w:rsid w:val="75D01109"/>
    <w:rsid w:val="75D61CF2"/>
    <w:rsid w:val="760342F6"/>
    <w:rsid w:val="76054C7B"/>
    <w:rsid w:val="766E5C13"/>
    <w:rsid w:val="76B61368"/>
    <w:rsid w:val="76C03F95"/>
    <w:rsid w:val="76D33CC8"/>
    <w:rsid w:val="76DE134D"/>
    <w:rsid w:val="76F33ECC"/>
    <w:rsid w:val="77004391"/>
    <w:rsid w:val="770B0336"/>
    <w:rsid w:val="772876AC"/>
    <w:rsid w:val="773418AC"/>
    <w:rsid w:val="7745495D"/>
    <w:rsid w:val="778C4E61"/>
    <w:rsid w:val="77B25FEB"/>
    <w:rsid w:val="77BC77E7"/>
    <w:rsid w:val="77C96E79"/>
    <w:rsid w:val="77C979EF"/>
    <w:rsid w:val="780266F5"/>
    <w:rsid w:val="78203E33"/>
    <w:rsid w:val="783E05E3"/>
    <w:rsid w:val="78590CF3"/>
    <w:rsid w:val="7881218E"/>
    <w:rsid w:val="788B576D"/>
    <w:rsid w:val="78AD0549"/>
    <w:rsid w:val="78B418D7"/>
    <w:rsid w:val="78E81443"/>
    <w:rsid w:val="78F910FB"/>
    <w:rsid w:val="79137054"/>
    <w:rsid w:val="795F234F"/>
    <w:rsid w:val="796A0C20"/>
    <w:rsid w:val="79721340"/>
    <w:rsid w:val="79A35740"/>
    <w:rsid w:val="79AD4A5C"/>
    <w:rsid w:val="79AD7538"/>
    <w:rsid w:val="79B078F9"/>
    <w:rsid w:val="79D00993"/>
    <w:rsid w:val="79DB3109"/>
    <w:rsid w:val="7A0519F3"/>
    <w:rsid w:val="7A0E68EE"/>
    <w:rsid w:val="7A290AAC"/>
    <w:rsid w:val="7A3F5061"/>
    <w:rsid w:val="7A6F5AB6"/>
    <w:rsid w:val="7AC23EDC"/>
    <w:rsid w:val="7ACA6D89"/>
    <w:rsid w:val="7AF35895"/>
    <w:rsid w:val="7B2173E8"/>
    <w:rsid w:val="7B336A83"/>
    <w:rsid w:val="7B5B428C"/>
    <w:rsid w:val="7B774DF6"/>
    <w:rsid w:val="7B9D6653"/>
    <w:rsid w:val="7BCB4C79"/>
    <w:rsid w:val="7BD42F30"/>
    <w:rsid w:val="7BF5648F"/>
    <w:rsid w:val="7C3E59B8"/>
    <w:rsid w:val="7C806757"/>
    <w:rsid w:val="7C9E2682"/>
    <w:rsid w:val="7CC44922"/>
    <w:rsid w:val="7CCF7DA9"/>
    <w:rsid w:val="7CD41616"/>
    <w:rsid w:val="7CF160B0"/>
    <w:rsid w:val="7D39684F"/>
    <w:rsid w:val="7D761851"/>
    <w:rsid w:val="7D8379F3"/>
    <w:rsid w:val="7D8A547F"/>
    <w:rsid w:val="7D9879F5"/>
    <w:rsid w:val="7DBD71A6"/>
    <w:rsid w:val="7DC336AA"/>
    <w:rsid w:val="7DCF1BFE"/>
    <w:rsid w:val="7E050960"/>
    <w:rsid w:val="7E0712F2"/>
    <w:rsid w:val="7E5A4710"/>
    <w:rsid w:val="7E7C2950"/>
    <w:rsid w:val="7E9D0CF2"/>
    <w:rsid w:val="7EB57E1E"/>
    <w:rsid w:val="7EBA56AC"/>
    <w:rsid w:val="7EC04E5E"/>
    <w:rsid w:val="7F0D7F93"/>
    <w:rsid w:val="7F0F03A1"/>
    <w:rsid w:val="7F1955B0"/>
    <w:rsid w:val="7F3217A8"/>
    <w:rsid w:val="7F7818B1"/>
    <w:rsid w:val="7F952167"/>
    <w:rsid w:val="7FBC19D7"/>
    <w:rsid w:val="7FCA06E4"/>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1"/>
    <w:qFormat/>
    <w:uiPriority w:val="0"/>
    <w:pPr>
      <w:keepNext/>
      <w:keepLines/>
      <w:spacing w:before="260" w:after="260" w:line="416" w:lineRule="auto"/>
      <w:outlineLvl w:val="2"/>
    </w:pPr>
    <w:rPr>
      <w:b/>
      <w:bCs/>
      <w:kern w:val="0"/>
      <w:sz w:val="32"/>
      <w:szCs w:val="32"/>
    </w:rPr>
  </w:style>
  <w:style w:type="paragraph" w:styleId="6">
    <w:name w:val="heading 5"/>
    <w:basedOn w:val="1"/>
    <w:next w:val="7"/>
    <w:link w:val="62"/>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3"/>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4"/>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6"/>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index 8"/>
    <w:basedOn w:val="1"/>
    <w:next w:val="1"/>
    <w:qFormat/>
    <w:uiPriority w:val="0"/>
    <w:pPr>
      <w:spacing w:line="400" w:lineRule="exact"/>
      <w:ind w:left="2940" w:firstLine="1044" w:firstLineChars="200"/>
      <w:jc w:val="left"/>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7"/>
    <w:unhideWhenUsed/>
    <w:qFormat/>
    <w:uiPriority w:val="0"/>
    <w:pPr>
      <w:shd w:val="clear" w:color="auto" w:fill="000080"/>
    </w:pPr>
    <w:rPr>
      <w:rFonts w:hint="eastAsia" w:ascii="宋体" w:hAnsi="宋体"/>
      <w:kern w:val="0"/>
      <w:sz w:val="20"/>
      <w:szCs w:val="20"/>
    </w:rPr>
  </w:style>
  <w:style w:type="paragraph" w:styleId="17">
    <w:name w:val="annotation text"/>
    <w:basedOn w:val="1"/>
    <w:link w:val="68"/>
    <w:unhideWhenUsed/>
    <w:qFormat/>
    <w:uiPriority w:val="99"/>
    <w:pPr>
      <w:jc w:val="left"/>
    </w:pPr>
  </w:style>
  <w:style w:type="paragraph" w:styleId="18">
    <w:name w:val="Body Text 3"/>
    <w:basedOn w:val="1"/>
    <w:link w:val="69"/>
    <w:qFormat/>
    <w:uiPriority w:val="0"/>
    <w:pPr>
      <w:spacing w:line="500" w:lineRule="exact"/>
    </w:pPr>
    <w:rPr>
      <w:b/>
      <w:bCs/>
      <w:kern w:val="0"/>
      <w:sz w:val="24"/>
    </w:rPr>
  </w:style>
  <w:style w:type="paragraph" w:styleId="19">
    <w:name w:val="Body Text"/>
    <w:basedOn w:val="1"/>
    <w:link w:val="70"/>
    <w:qFormat/>
    <w:uiPriority w:val="0"/>
    <w:pPr>
      <w:spacing w:line="380" w:lineRule="exact"/>
    </w:pPr>
    <w:rPr>
      <w:kern w:val="0"/>
      <w:sz w:val="24"/>
    </w:rPr>
  </w:style>
  <w:style w:type="paragraph" w:styleId="20">
    <w:name w:val="Body Text Indent"/>
    <w:basedOn w:val="1"/>
    <w:link w:val="71"/>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13"/>
    <w:link w:val="72"/>
    <w:qFormat/>
    <w:uiPriority w:val="99"/>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3"/>
    <w:qFormat/>
    <w:uiPriority w:val="0"/>
    <w:pPr>
      <w:ind w:left="100" w:leftChars="2500"/>
    </w:pPr>
    <w:rPr>
      <w:rFonts w:ascii="宋体" w:hAnsi="Courier New"/>
      <w:kern w:val="0"/>
      <w:sz w:val="20"/>
      <w:szCs w:val="21"/>
    </w:rPr>
  </w:style>
  <w:style w:type="paragraph" w:styleId="28">
    <w:name w:val="Body Text Indent 2"/>
    <w:basedOn w:val="1"/>
    <w:link w:val="74"/>
    <w:qFormat/>
    <w:uiPriority w:val="0"/>
    <w:pPr>
      <w:ind w:firstLine="630"/>
    </w:pPr>
    <w:rPr>
      <w:kern w:val="0"/>
      <w:sz w:val="32"/>
      <w:szCs w:val="20"/>
    </w:rPr>
  </w:style>
  <w:style w:type="paragraph" w:styleId="29">
    <w:name w:val="endnote text"/>
    <w:basedOn w:val="1"/>
    <w:link w:val="75"/>
    <w:unhideWhenUsed/>
    <w:qFormat/>
    <w:uiPriority w:val="99"/>
    <w:pPr>
      <w:snapToGrid w:val="0"/>
      <w:jc w:val="left"/>
    </w:pPr>
  </w:style>
  <w:style w:type="paragraph" w:styleId="30">
    <w:name w:val="Balloon Text"/>
    <w:basedOn w:val="1"/>
    <w:link w:val="76"/>
    <w:semiHidden/>
    <w:qFormat/>
    <w:uiPriority w:val="0"/>
    <w:rPr>
      <w:kern w:val="0"/>
      <w:sz w:val="18"/>
      <w:szCs w:val="18"/>
    </w:rPr>
  </w:style>
  <w:style w:type="paragraph" w:styleId="31">
    <w:name w:val="footer"/>
    <w:basedOn w:val="1"/>
    <w:link w:val="77"/>
    <w:unhideWhenUsed/>
    <w:qFormat/>
    <w:uiPriority w:val="99"/>
    <w:pPr>
      <w:tabs>
        <w:tab w:val="center" w:pos="4153"/>
        <w:tab w:val="right" w:pos="8306"/>
      </w:tabs>
      <w:snapToGrid w:val="0"/>
      <w:jc w:val="left"/>
    </w:pPr>
    <w:rPr>
      <w:kern w:val="0"/>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link w:val="78"/>
    <w:unhideWhenUsed/>
    <w:qFormat/>
    <w:uiPriority w:val="0"/>
    <w:pPr>
      <w:pBdr>
        <w:bottom w:val="single" w:color="auto" w:sz="6" w:space="1"/>
      </w:pBdr>
      <w:tabs>
        <w:tab w:val="center" w:pos="0"/>
        <w:tab w:val="lef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footnote text"/>
    <w:basedOn w:val="1"/>
    <w:link w:val="79"/>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80"/>
    <w:qFormat/>
    <w:uiPriority w:val="0"/>
    <w:pPr>
      <w:spacing w:after="120"/>
      <w:ind w:left="420" w:leftChars="200"/>
    </w:pPr>
    <w:rPr>
      <w:kern w:val="0"/>
      <w:sz w:val="16"/>
      <w:szCs w:val="16"/>
    </w:r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81"/>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2"/>
    <w:qFormat/>
    <w:uiPriority w:val="10"/>
    <w:pPr>
      <w:spacing w:before="240" w:after="60"/>
      <w:jc w:val="center"/>
      <w:outlineLvl w:val="0"/>
    </w:pPr>
    <w:rPr>
      <w:rFonts w:ascii="Cambria" w:hAnsi="Cambria"/>
      <w:b/>
      <w:bCs/>
      <w:sz w:val="32"/>
      <w:szCs w:val="32"/>
    </w:rPr>
  </w:style>
  <w:style w:type="paragraph" w:styleId="45">
    <w:name w:val="annotation subject"/>
    <w:basedOn w:val="17"/>
    <w:next w:val="17"/>
    <w:link w:val="83"/>
    <w:unhideWhenUsed/>
    <w:qFormat/>
    <w:uiPriority w:val="99"/>
    <w:rPr>
      <w:b/>
      <w:bCs/>
    </w:rPr>
  </w:style>
  <w:style w:type="paragraph" w:styleId="46">
    <w:name w:val="Body Text First Indent 2"/>
    <w:basedOn w:val="20"/>
    <w:unhideWhenUsed/>
    <w:qFormat/>
    <w:uiPriority w:val="0"/>
    <w:pPr>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unhideWhenUsed/>
    <w:qFormat/>
    <w:uiPriority w:val="0"/>
    <w:rPr>
      <w:sz w:val="21"/>
      <w:szCs w:val="21"/>
    </w:rPr>
  </w:style>
  <w:style w:type="character" w:styleId="56">
    <w:name w:val="footnote reference"/>
    <w:unhideWhenUsed/>
    <w:qFormat/>
    <w:uiPriority w:val="99"/>
    <w:rPr>
      <w:vertAlign w:val="superscript"/>
    </w:rPr>
  </w:style>
  <w:style w:type="paragraph" w:customStyle="1" w:styleId="57">
    <w:name w:val="首行缩进"/>
    <w:basedOn w:val="1"/>
    <w:qFormat/>
    <w:uiPriority w:val="0"/>
    <w:pPr>
      <w:ind w:firstLine="480" w:firstLineChars="200"/>
    </w:pPr>
  </w:style>
  <w:style w:type="paragraph" w:customStyle="1" w:styleId="5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9">
    <w:name w:val="标题 1 Char1"/>
    <w:link w:val="3"/>
    <w:qFormat/>
    <w:uiPriority w:val="0"/>
    <w:rPr>
      <w:rFonts w:ascii="Times New Roman" w:hAnsi="Times New Roman" w:eastAsia="宋体" w:cs="Times New Roman"/>
      <w:b/>
      <w:bCs/>
      <w:kern w:val="44"/>
      <w:sz w:val="44"/>
      <w:szCs w:val="44"/>
    </w:rPr>
  </w:style>
  <w:style w:type="character" w:customStyle="1" w:styleId="60">
    <w:name w:val="标题 2 Char1"/>
    <w:link w:val="4"/>
    <w:qFormat/>
    <w:uiPriority w:val="0"/>
    <w:rPr>
      <w:rFonts w:ascii="Arial" w:hAnsi="Arial" w:eastAsia="黑体" w:cs="Times New Roman"/>
      <w:b/>
      <w:bCs/>
      <w:sz w:val="32"/>
      <w:szCs w:val="32"/>
    </w:rPr>
  </w:style>
  <w:style w:type="character" w:customStyle="1" w:styleId="61">
    <w:name w:val="标题 3 Char1"/>
    <w:link w:val="5"/>
    <w:qFormat/>
    <w:uiPriority w:val="0"/>
    <w:rPr>
      <w:rFonts w:ascii="Times New Roman" w:hAnsi="Times New Roman" w:eastAsia="宋体" w:cs="Times New Roman"/>
      <w:b/>
      <w:bCs/>
      <w:sz w:val="32"/>
      <w:szCs w:val="32"/>
    </w:rPr>
  </w:style>
  <w:style w:type="character" w:customStyle="1" w:styleId="62">
    <w:name w:val="标题 5 Char2"/>
    <w:link w:val="6"/>
    <w:qFormat/>
    <w:uiPriority w:val="0"/>
    <w:rPr>
      <w:b/>
      <w:kern w:val="2"/>
      <w:sz w:val="28"/>
      <w:szCs w:val="24"/>
    </w:rPr>
  </w:style>
  <w:style w:type="character" w:customStyle="1" w:styleId="63">
    <w:name w:val="标题 6 Char1"/>
    <w:link w:val="8"/>
    <w:qFormat/>
    <w:uiPriority w:val="0"/>
    <w:rPr>
      <w:rFonts w:ascii="Arial" w:hAnsi="Arial" w:eastAsia="黑体"/>
      <w:b/>
      <w:kern w:val="2"/>
      <w:sz w:val="24"/>
      <w:szCs w:val="24"/>
    </w:rPr>
  </w:style>
  <w:style w:type="character" w:customStyle="1" w:styleId="64">
    <w:name w:val="标题 7 Char1"/>
    <w:link w:val="9"/>
    <w:qFormat/>
    <w:uiPriority w:val="0"/>
    <w:rPr>
      <w:rFonts w:ascii="Times New Roman" w:hAnsi="Times New Roman"/>
      <w:b/>
      <w:kern w:val="2"/>
      <w:sz w:val="24"/>
      <w:szCs w:val="24"/>
    </w:rPr>
  </w:style>
  <w:style w:type="character" w:customStyle="1" w:styleId="65">
    <w:name w:val="标题 8 Char1"/>
    <w:link w:val="10"/>
    <w:qFormat/>
    <w:uiPriority w:val="0"/>
    <w:rPr>
      <w:rFonts w:ascii="Arial" w:hAnsi="Arial" w:eastAsia="黑体"/>
      <w:kern w:val="2"/>
      <w:sz w:val="24"/>
      <w:szCs w:val="24"/>
    </w:rPr>
  </w:style>
  <w:style w:type="character" w:customStyle="1" w:styleId="66">
    <w:name w:val="标题 9 Char1"/>
    <w:link w:val="11"/>
    <w:qFormat/>
    <w:uiPriority w:val="0"/>
    <w:rPr>
      <w:rFonts w:ascii="Arial" w:hAnsi="Arial" w:eastAsia="黑体"/>
      <w:kern w:val="2"/>
      <w:sz w:val="21"/>
      <w:szCs w:val="24"/>
    </w:rPr>
  </w:style>
  <w:style w:type="character" w:customStyle="1" w:styleId="67">
    <w:name w:val="文档结构图 Char1"/>
    <w:link w:val="16"/>
    <w:qFormat/>
    <w:uiPriority w:val="0"/>
    <w:rPr>
      <w:rFonts w:hint="eastAsia" w:ascii="宋体" w:hAnsi="宋体" w:eastAsia="宋体" w:cs="宋体"/>
    </w:rPr>
  </w:style>
  <w:style w:type="character" w:customStyle="1" w:styleId="68">
    <w:name w:val="批注文字 Char3"/>
    <w:link w:val="17"/>
    <w:qFormat/>
    <w:uiPriority w:val="0"/>
    <w:rPr>
      <w:rFonts w:ascii="Times New Roman" w:hAnsi="Times New Roman"/>
      <w:kern w:val="2"/>
      <w:sz w:val="21"/>
      <w:szCs w:val="24"/>
    </w:rPr>
  </w:style>
  <w:style w:type="character" w:customStyle="1" w:styleId="69">
    <w:name w:val="正文文本 3 Char1"/>
    <w:link w:val="18"/>
    <w:qFormat/>
    <w:uiPriority w:val="0"/>
    <w:rPr>
      <w:rFonts w:ascii="Times New Roman" w:hAnsi="Times New Roman" w:eastAsia="宋体" w:cs="Times New Roman"/>
      <w:b/>
      <w:bCs/>
      <w:sz w:val="24"/>
      <w:szCs w:val="24"/>
    </w:rPr>
  </w:style>
  <w:style w:type="character" w:customStyle="1" w:styleId="70">
    <w:name w:val="正文文本 Char2"/>
    <w:link w:val="19"/>
    <w:qFormat/>
    <w:uiPriority w:val="0"/>
    <w:rPr>
      <w:rFonts w:ascii="Times New Roman" w:hAnsi="Times New Roman" w:eastAsia="宋体" w:cs="Times New Roman"/>
      <w:sz w:val="24"/>
      <w:szCs w:val="24"/>
    </w:rPr>
  </w:style>
  <w:style w:type="character" w:customStyle="1" w:styleId="71">
    <w:name w:val="正文文本缩进 Char1"/>
    <w:link w:val="20"/>
    <w:qFormat/>
    <w:uiPriority w:val="0"/>
    <w:rPr>
      <w:rFonts w:ascii="仿宋_GB2312" w:hAnsi="Times New Roman" w:eastAsia="仿宋_GB2312" w:cs="Times New Roman"/>
      <w:sz w:val="32"/>
      <w:szCs w:val="20"/>
    </w:rPr>
  </w:style>
  <w:style w:type="character" w:customStyle="1" w:styleId="72">
    <w:name w:val="纯文本 Char3"/>
    <w:link w:val="25"/>
    <w:qFormat/>
    <w:uiPriority w:val="0"/>
    <w:rPr>
      <w:rFonts w:ascii="宋体" w:hAnsi="Courier New" w:eastAsia="宋体" w:cs="Courier New"/>
      <w:szCs w:val="21"/>
    </w:rPr>
  </w:style>
  <w:style w:type="character" w:customStyle="1" w:styleId="73">
    <w:name w:val="日期 Char1"/>
    <w:link w:val="27"/>
    <w:qFormat/>
    <w:uiPriority w:val="0"/>
    <w:rPr>
      <w:rFonts w:ascii="宋体" w:hAnsi="Courier New" w:eastAsia="宋体" w:cs="Courier New"/>
      <w:szCs w:val="21"/>
    </w:rPr>
  </w:style>
  <w:style w:type="character" w:customStyle="1" w:styleId="74">
    <w:name w:val="正文文本缩进 2 Char1"/>
    <w:link w:val="28"/>
    <w:qFormat/>
    <w:uiPriority w:val="0"/>
    <w:rPr>
      <w:rFonts w:ascii="Times New Roman" w:hAnsi="Times New Roman" w:eastAsia="宋体" w:cs="Times New Roman"/>
      <w:sz w:val="32"/>
      <w:szCs w:val="20"/>
    </w:rPr>
  </w:style>
  <w:style w:type="character" w:customStyle="1" w:styleId="75">
    <w:name w:val="尾注文本 Char1"/>
    <w:link w:val="29"/>
    <w:qFormat/>
    <w:uiPriority w:val="99"/>
    <w:rPr>
      <w:rFonts w:ascii="Times New Roman" w:hAnsi="Times New Roman"/>
      <w:kern w:val="2"/>
      <w:sz w:val="21"/>
      <w:szCs w:val="24"/>
    </w:rPr>
  </w:style>
  <w:style w:type="character" w:customStyle="1" w:styleId="76">
    <w:name w:val="批注框文本 Char1"/>
    <w:link w:val="30"/>
    <w:semiHidden/>
    <w:qFormat/>
    <w:uiPriority w:val="0"/>
    <w:rPr>
      <w:rFonts w:ascii="Times New Roman" w:hAnsi="Times New Roman" w:eastAsia="宋体" w:cs="Times New Roman"/>
      <w:sz w:val="18"/>
      <w:szCs w:val="18"/>
    </w:rPr>
  </w:style>
  <w:style w:type="character" w:customStyle="1" w:styleId="77">
    <w:name w:val="页脚 Char1"/>
    <w:link w:val="31"/>
    <w:qFormat/>
    <w:uiPriority w:val="99"/>
    <w:rPr>
      <w:sz w:val="18"/>
      <w:szCs w:val="18"/>
    </w:rPr>
  </w:style>
  <w:style w:type="character" w:customStyle="1" w:styleId="78">
    <w:name w:val="页眉 Char1"/>
    <w:link w:val="33"/>
    <w:qFormat/>
    <w:uiPriority w:val="99"/>
    <w:rPr>
      <w:rFonts w:ascii="Times New Roman" w:hAnsi="Times New Roman"/>
      <w:kern w:val="2"/>
      <w:sz w:val="18"/>
      <w:szCs w:val="18"/>
    </w:rPr>
  </w:style>
  <w:style w:type="character" w:customStyle="1" w:styleId="79">
    <w:name w:val="脚注文本 Char1"/>
    <w:link w:val="37"/>
    <w:qFormat/>
    <w:uiPriority w:val="99"/>
    <w:rPr>
      <w:rFonts w:ascii="Times New Roman" w:hAnsi="Times New Roman"/>
      <w:kern w:val="2"/>
      <w:sz w:val="18"/>
      <w:szCs w:val="18"/>
    </w:rPr>
  </w:style>
  <w:style w:type="character" w:customStyle="1" w:styleId="80">
    <w:name w:val="正文文本缩进 3 Char1"/>
    <w:link w:val="39"/>
    <w:qFormat/>
    <w:uiPriority w:val="0"/>
    <w:rPr>
      <w:rFonts w:ascii="Times New Roman" w:hAnsi="Times New Roman" w:eastAsia="宋体" w:cs="Times New Roman"/>
      <w:sz w:val="16"/>
      <w:szCs w:val="16"/>
    </w:rPr>
  </w:style>
  <w:style w:type="character" w:customStyle="1" w:styleId="81">
    <w:name w:val="正文文本 2 Char1"/>
    <w:link w:val="41"/>
    <w:qFormat/>
    <w:uiPriority w:val="0"/>
    <w:rPr>
      <w:rFonts w:ascii="Times New Roman" w:hAnsi="Times New Roman" w:eastAsia="宋体" w:cs="Times New Roman"/>
      <w:szCs w:val="24"/>
    </w:rPr>
  </w:style>
  <w:style w:type="character" w:customStyle="1" w:styleId="82">
    <w:name w:val="标题 Char1"/>
    <w:link w:val="44"/>
    <w:qFormat/>
    <w:uiPriority w:val="10"/>
    <w:rPr>
      <w:rFonts w:ascii="Cambria" w:hAnsi="Cambria" w:cs="Times New Roman"/>
      <w:b/>
      <w:bCs/>
      <w:kern w:val="2"/>
      <w:sz w:val="32"/>
      <w:szCs w:val="32"/>
    </w:rPr>
  </w:style>
  <w:style w:type="character" w:customStyle="1" w:styleId="83">
    <w:name w:val="批注主题 Char1"/>
    <w:link w:val="45"/>
    <w:qFormat/>
    <w:uiPriority w:val="99"/>
    <w:rPr>
      <w:rFonts w:ascii="Times New Roman" w:hAnsi="Times New Roman"/>
      <w:b/>
      <w:bCs/>
      <w:kern w:val="2"/>
      <w:sz w:val="21"/>
      <w:szCs w:val="24"/>
    </w:rPr>
  </w:style>
  <w:style w:type="character" w:customStyle="1" w:styleId="84">
    <w:name w:val="font11"/>
    <w:qFormat/>
    <w:uiPriority w:val="0"/>
    <w:rPr>
      <w:rFonts w:hint="eastAsia" w:ascii="宋体" w:hAnsi="宋体" w:eastAsia="宋体" w:cs="宋体"/>
      <w:color w:val="000000"/>
      <w:sz w:val="20"/>
      <w:szCs w:val="20"/>
      <w:u w:val="none"/>
    </w:rPr>
  </w:style>
  <w:style w:type="character" w:customStyle="1" w:styleId="85">
    <w:name w:val="批注文字 字符1"/>
    <w:qFormat/>
    <w:uiPriority w:val="0"/>
    <w:rPr>
      <w:rFonts w:ascii="Times New Roman" w:hAnsi="Times New Roman"/>
      <w:kern w:val="2"/>
      <w:sz w:val="21"/>
      <w:szCs w:val="24"/>
    </w:rPr>
  </w:style>
  <w:style w:type="character" w:customStyle="1" w:styleId="86">
    <w:name w:val="标题 2 字符"/>
    <w:qFormat/>
    <w:uiPriority w:val="0"/>
    <w:rPr>
      <w:rFonts w:ascii="Arial" w:hAnsi="Arial" w:eastAsia="黑体" w:cs="Times New Roman"/>
      <w:b/>
      <w:bCs/>
      <w:sz w:val="32"/>
      <w:szCs w:val="32"/>
    </w:rPr>
  </w:style>
  <w:style w:type="character" w:customStyle="1" w:styleId="8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8">
    <w:name w:val="批注文字 Char1"/>
    <w:semiHidden/>
    <w:qFormat/>
    <w:locked/>
    <w:uiPriority w:val="0"/>
    <w:rPr>
      <w:rFonts w:ascii="Times New Roman" w:hAnsi="Times New Roman"/>
      <w:kern w:val="2"/>
      <w:sz w:val="21"/>
      <w:szCs w:val="24"/>
    </w:rPr>
  </w:style>
  <w:style w:type="character" w:customStyle="1" w:styleId="89">
    <w:name w:val="页眉 字符"/>
    <w:qFormat/>
    <w:uiPriority w:val="0"/>
    <w:rPr>
      <w:rFonts w:ascii="Times New Roman" w:hAnsi="Times New Roman"/>
      <w:kern w:val="2"/>
      <w:sz w:val="18"/>
      <w:szCs w:val="18"/>
    </w:rPr>
  </w:style>
  <w:style w:type="character" w:customStyle="1" w:styleId="90">
    <w:name w:val="apple-style-span"/>
    <w:qFormat/>
    <w:uiPriority w:val="0"/>
  </w:style>
  <w:style w:type="character" w:customStyle="1" w:styleId="91">
    <w:name w:val="尾注文本 字符"/>
    <w:qFormat/>
    <w:uiPriority w:val="99"/>
    <w:rPr>
      <w:rFonts w:ascii="Times New Roman" w:hAnsi="Times New Roman"/>
      <w:kern w:val="2"/>
      <w:sz w:val="21"/>
      <w:szCs w:val="24"/>
    </w:rPr>
  </w:style>
  <w:style w:type="character" w:customStyle="1" w:styleId="92">
    <w:name w:val="正文文本缩进 字符"/>
    <w:qFormat/>
    <w:uiPriority w:val="0"/>
    <w:rPr>
      <w:rFonts w:ascii="仿宋_GB2312" w:hAnsi="Times New Roman" w:eastAsia="仿宋_GB2312" w:cs="Times New Roman"/>
      <w:sz w:val="32"/>
      <w:szCs w:val="20"/>
    </w:rPr>
  </w:style>
  <w:style w:type="character" w:customStyle="1" w:styleId="93">
    <w:name w:val="普通文字 Char Char2"/>
    <w:qFormat/>
    <w:uiPriority w:val="0"/>
    <w:rPr>
      <w:rFonts w:ascii="宋体" w:hAnsi="Courier New" w:eastAsia="宋体"/>
      <w:kern w:val="2"/>
      <w:sz w:val="21"/>
      <w:lang w:val="en-US" w:eastAsia="zh-CN" w:bidi="ar-SA"/>
    </w:rPr>
  </w:style>
  <w:style w:type="character" w:customStyle="1" w:styleId="94">
    <w:name w:val="正文文本缩进 3 字符"/>
    <w:qFormat/>
    <w:uiPriority w:val="0"/>
    <w:rPr>
      <w:rFonts w:ascii="Times New Roman" w:hAnsi="Times New Roman" w:eastAsia="宋体" w:cs="Times New Roman"/>
      <w:sz w:val="16"/>
      <w:szCs w:val="16"/>
    </w:rPr>
  </w:style>
  <w:style w:type="character" w:customStyle="1" w:styleId="95">
    <w:name w:val="font21"/>
    <w:basedOn w:val="49"/>
    <w:qFormat/>
    <w:uiPriority w:val="0"/>
    <w:rPr>
      <w:rFonts w:hint="eastAsia" w:ascii="宋体" w:hAnsi="宋体" w:eastAsia="宋体" w:cs="宋体"/>
      <w:color w:val="FF0000"/>
      <w:sz w:val="20"/>
      <w:szCs w:val="20"/>
      <w:u w:val="none"/>
    </w:rPr>
  </w:style>
  <w:style w:type="character" w:customStyle="1" w:styleId="96">
    <w:name w:val="页脚 字符"/>
    <w:qFormat/>
    <w:uiPriority w:val="99"/>
  </w:style>
  <w:style w:type="character" w:customStyle="1" w:styleId="97">
    <w:name w:val="标题 7 字符"/>
    <w:qFormat/>
    <w:uiPriority w:val="0"/>
    <w:rPr>
      <w:rFonts w:ascii="Times New Roman" w:hAnsi="Times New Roman"/>
      <w:b/>
      <w:kern w:val="2"/>
      <w:sz w:val="24"/>
      <w:szCs w:val="24"/>
    </w:rPr>
  </w:style>
  <w:style w:type="character" w:customStyle="1" w:styleId="98">
    <w:name w:val="标题 3 字符"/>
    <w:qFormat/>
    <w:uiPriority w:val="0"/>
    <w:rPr>
      <w:rFonts w:ascii="Times New Roman" w:hAnsi="Times New Roman" w:eastAsia="宋体" w:cs="Times New Roman"/>
      <w:b/>
      <w:bCs/>
      <w:sz w:val="32"/>
      <w:szCs w:val="32"/>
    </w:rPr>
  </w:style>
  <w:style w:type="character" w:customStyle="1" w:styleId="99">
    <w:name w:val="正文文本缩进 字符1"/>
    <w:qFormat/>
    <w:uiPriority w:val="0"/>
    <w:rPr>
      <w:rFonts w:ascii="仿宋_GB2312" w:hAnsi="Times New Roman" w:eastAsia="仿宋_GB2312" w:cs="Times New Roman"/>
      <w:sz w:val="32"/>
      <w:szCs w:val="20"/>
    </w:rPr>
  </w:style>
  <w:style w:type="character" w:customStyle="1" w:styleId="100">
    <w:name w:val="批注文字 字符"/>
    <w:qFormat/>
    <w:uiPriority w:val="0"/>
    <w:rPr>
      <w:rFonts w:ascii="Times New Roman" w:hAnsi="Times New Roman"/>
      <w:kern w:val="2"/>
      <w:sz w:val="21"/>
      <w:szCs w:val="24"/>
    </w:rPr>
  </w:style>
  <w:style w:type="character" w:customStyle="1" w:styleId="101">
    <w:name w:val="标题 8 字符"/>
    <w:qFormat/>
    <w:uiPriority w:val="0"/>
    <w:rPr>
      <w:rFonts w:ascii="Arial" w:hAnsi="Arial" w:eastAsia="黑体"/>
      <w:kern w:val="2"/>
      <w:sz w:val="24"/>
      <w:szCs w:val="24"/>
    </w:rPr>
  </w:style>
  <w:style w:type="character" w:customStyle="1" w:styleId="102">
    <w:name w:val="UserStyle_9"/>
    <w:link w:val="103"/>
    <w:qFormat/>
    <w:locked/>
    <w:uiPriority w:val="0"/>
    <w:rPr>
      <w:kern w:val="2"/>
      <w:sz w:val="21"/>
      <w:szCs w:val="24"/>
    </w:rPr>
  </w:style>
  <w:style w:type="paragraph" w:customStyle="1" w:styleId="103">
    <w:name w:val="AnnotationText"/>
    <w:basedOn w:val="1"/>
    <w:link w:val="102"/>
    <w:qFormat/>
    <w:uiPriority w:val="0"/>
    <w:pPr>
      <w:widowControl/>
      <w:jc w:val="left"/>
    </w:pPr>
  </w:style>
  <w:style w:type="character" w:customStyle="1" w:styleId="104">
    <w:name w:val="textcontents"/>
    <w:qFormat/>
    <w:uiPriority w:val="0"/>
  </w:style>
  <w:style w:type="character" w:customStyle="1" w:styleId="105">
    <w:name w:val="批注框文本 字符"/>
    <w:semiHidden/>
    <w:qFormat/>
    <w:uiPriority w:val="0"/>
    <w:rPr>
      <w:rFonts w:ascii="Times New Roman" w:hAnsi="Times New Roman" w:eastAsia="宋体" w:cs="Times New Roman"/>
      <w:sz w:val="18"/>
      <w:szCs w:val="18"/>
    </w:rPr>
  </w:style>
  <w:style w:type="character" w:customStyle="1" w:styleId="106">
    <w:name w:val="批注文字 Char"/>
    <w:qFormat/>
    <w:uiPriority w:val="99"/>
    <w:rPr>
      <w:rFonts w:ascii="Times New Roman" w:hAnsi="Times New Roman"/>
      <w:kern w:val="2"/>
      <w:sz w:val="21"/>
      <w:szCs w:val="24"/>
    </w:rPr>
  </w:style>
  <w:style w:type="character" w:customStyle="1" w:styleId="107">
    <w:name w:val="纯文本 字符"/>
    <w:qFormat/>
    <w:uiPriority w:val="99"/>
    <w:rPr>
      <w:rFonts w:ascii="宋体" w:hAnsi="Courier New" w:eastAsia="宋体" w:cs="Courier New"/>
      <w:szCs w:val="21"/>
    </w:rPr>
  </w:style>
  <w:style w:type="character" w:customStyle="1" w:styleId="108">
    <w:name w:val="正文文本 2 字符"/>
    <w:qFormat/>
    <w:uiPriority w:val="0"/>
    <w:rPr>
      <w:rFonts w:ascii="Times New Roman" w:hAnsi="Times New Roman" w:eastAsia="宋体" w:cs="Times New Roman"/>
      <w:szCs w:val="24"/>
    </w:rPr>
  </w:style>
  <w:style w:type="character" w:customStyle="1" w:styleId="109">
    <w:name w:val="标题 6 字符"/>
    <w:qFormat/>
    <w:uiPriority w:val="0"/>
    <w:rPr>
      <w:rFonts w:ascii="Arial" w:hAnsi="Arial" w:eastAsia="黑体"/>
      <w:b/>
      <w:kern w:val="2"/>
      <w:sz w:val="24"/>
      <w:szCs w:val="24"/>
    </w:rPr>
  </w:style>
  <w:style w:type="character" w:customStyle="1" w:styleId="110">
    <w:name w:val="批注主题 字符"/>
    <w:qFormat/>
    <w:uiPriority w:val="99"/>
    <w:rPr>
      <w:rFonts w:ascii="Times New Roman" w:hAnsi="Times New Roman"/>
      <w:b/>
      <w:bCs/>
      <w:kern w:val="2"/>
      <w:sz w:val="21"/>
      <w:szCs w:val="24"/>
    </w:rPr>
  </w:style>
  <w:style w:type="character" w:customStyle="1" w:styleId="111">
    <w:name w:val="正文2 Char Char"/>
    <w:link w:val="112"/>
    <w:qFormat/>
    <w:uiPriority w:val="0"/>
    <w:rPr>
      <w:kern w:val="2"/>
      <w:sz w:val="24"/>
    </w:rPr>
  </w:style>
  <w:style w:type="paragraph" w:customStyle="1" w:styleId="112">
    <w:name w:val="正文2"/>
    <w:basedOn w:val="1"/>
    <w:link w:val="111"/>
    <w:qFormat/>
    <w:uiPriority w:val="0"/>
    <w:pPr>
      <w:adjustRightInd w:val="0"/>
      <w:spacing w:before="156" w:line="360" w:lineRule="auto"/>
      <w:ind w:firstLine="510" w:firstLineChars="200"/>
    </w:pPr>
    <w:rPr>
      <w:sz w:val="24"/>
      <w:szCs w:val="20"/>
    </w:rPr>
  </w:style>
  <w:style w:type="character" w:customStyle="1" w:styleId="113">
    <w:name w:val="脚注文本 字符"/>
    <w:qFormat/>
    <w:uiPriority w:val="99"/>
    <w:rPr>
      <w:rFonts w:ascii="Times New Roman" w:hAnsi="Times New Roman"/>
      <w:kern w:val="2"/>
      <w:sz w:val="18"/>
      <w:szCs w:val="18"/>
    </w:rPr>
  </w:style>
  <w:style w:type="character" w:customStyle="1" w:styleId="114">
    <w:name w:val="纯文本 Char"/>
    <w:qFormat/>
    <w:uiPriority w:val="99"/>
    <w:rPr>
      <w:rFonts w:ascii="宋体" w:hAnsi="Courier New" w:eastAsia="宋体"/>
      <w:kern w:val="2"/>
      <w:sz w:val="21"/>
      <w:lang w:val="en-US" w:eastAsia="zh-CN" w:bidi="ar-SA"/>
    </w:rPr>
  </w:style>
  <w:style w:type="character" w:customStyle="1" w:styleId="115">
    <w:name w:val="页脚 字符1"/>
    <w:qFormat/>
    <w:uiPriority w:val="99"/>
    <w:rPr>
      <w:sz w:val="18"/>
      <w:szCs w:val="18"/>
    </w:rPr>
  </w:style>
  <w:style w:type="character" w:customStyle="1" w:styleId="116">
    <w:name w:val="font31"/>
    <w:qFormat/>
    <w:uiPriority w:val="0"/>
    <w:rPr>
      <w:rFonts w:hint="eastAsia" w:ascii="宋体" w:hAnsi="宋体" w:eastAsia="宋体" w:cs="宋体"/>
      <w:color w:val="FF0000"/>
      <w:sz w:val="20"/>
      <w:szCs w:val="20"/>
      <w:u w:val="none"/>
    </w:rPr>
  </w:style>
  <w:style w:type="character" w:customStyle="1" w:styleId="117">
    <w:name w:val="正文文本 Char1"/>
    <w:qFormat/>
    <w:locked/>
    <w:uiPriority w:val="0"/>
    <w:rPr>
      <w:sz w:val="24"/>
      <w:szCs w:val="24"/>
    </w:rPr>
  </w:style>
  <w:style w:type="character" w:customStyle="1" w:styleId="118">
    <w:name w:val="标题 5 Char"/>
    <w:qFormat/>
    <w:uiPriority w:val="0"/>
    <w:rPr>
      <w:b/>
      <w:kern w:val="2"/>
      <w:sz w:val="28"/>
      <w:szCs w:val="24"/>
    </w:rPr>
  </w:style>
  <w:style w:type="character" w:customStyle="1" w:styleId="119">
    <w:name w:val="标题 字符"/>
    <w:qFormat/>
    <w:uiPriority w:val="10"/>
    <w:rPr>
      <w:rFonts w:ascii="Cambria" w:hAnsi="Cambria" w:cs="Times New Roman"/>
      <w:b/>
      <w:bCs/>
      <w:kern w:val="2"/>
      <w:sz w:val="32"/>
      <w:szCs w:val="32"/>
    </w:rPr>
  </w:style>
  <w:style w:type="character" w:customStyle="1" w:styleId="120">
    <w:name w:val="标题 1 字符1"/>
    <w:qFormat/>
    <w:uiPriority w:val="0"/>
    <w:rPr>
      <w:rFonts w:ascii="Times New Roman" w:hAnsi="Times New Roman" w:eastAsia="宋体" w:cs="Times New Roman"/>
      <w:b/>
      <w:bCs/>
      <w:kern w:val="44"/>
      <w:sz w:val="44"/>
      <w:szCs w:val="44"/>
    </w:rPr>
  </w:style>
  <w:style w:type="character" w:customStyle="1" w:styleId="121">
    <w:name w:val="批注文字 字符2"/>
    <w:qFormat/>
    <w:uiPriority w:val="0"/>
    <w:rPr>
      <w:rFonts w:ascii="Times New Roman" w:hAnsi="Times New Roman"/>
      <w:kern w:val="2"/>
      <w:sz w:val="21"/>
      <w:szCs w:val="24"/>
    </w:rPr>
  </w:style>
  <w:style w:type="character" w:customStyle="1" w:styleId="122">
    <w:name w:val="正文文本 3 字符"/>
    <w:qFormat/>
    <w:uiPriority w:val="0"/>
    <w:rPr>
      <w:rFonts w:ascii="Times New Roman" w:hAnsi="Times New Roman" w:eastAsia="宋体" w:cs="Times New Roman"/>
      <w:b/>
      <w:bCs/>
      <w:sz w:val="24"/>
      <w:szCs w:val="24"/>
    </w:rPr>
  </w:style>
  <w:style w:type="character" w:customStyle="1" w:styleId="123">
    <w:name w:val="纯文本 字符1"/>
    <w:qFormat/>
    <w:uiPriority w:val="0"/>
    <w:rPr>
      <w:rFonts w:ascii="宋体" w:hAnsi="Courier New"/>
    </w:rPr>
  </w:style>
  <w:style w:type="character" w:customStyle="1" w:styleId="124">
    <w:name w:val="headline-content4"/>
    <w:qFormat/>
    <w:uiPriority w:val="0"/>
  </w:style>
  <w:style w:type="character" w:customStyle="1" w:styleId="125">
    <w:name w:val="正文文本缩进 2 字符"/>
    <w:qFormat/>
    <w:uiPriority w:val="0"/>
    <w:rPr>
      <w:rFonts w:ascii="Times New Roman" w:hAnsi="Times New Roman" w:eastAsia="宋体" w:cs="Times New Roman"/>
      <w:sz w:val="32"/>
      <w:szCs w:val="20"/>
    </w:rPr>
  </w:style>
  <w:style w:type="character" w:customStyle="1" w:styleId="126">
    <w:name w:val="标题 1 字符"/>
    <w:qFormat/>
    <w:uiPriority w:val="9"/>
    <w:rPr>
      <w:rFonts w:ascii="Times New Roman" w:hAnsi="Times New Roman" w:eastAsia="宋体" w:cs="Times New Roman"/>
      <w:b/>
      <w:bCs/>
      <w:kern w:val="44"/>
      <w:sz w:val="44"/>
      <w:szCs w:val="44"/>
    </w:rPr>
  </w:style>
  <w:style w:type="character" w:customStyle="1" w:styleId="127">
    <w:name w:val="文档结构图 字符"/>
    <w:qFormat/>
    <w:uiPriority w:val="0"/>
    <w:rPr>
      <w:rFonts w:hint="eastAsia" w:ascii="宋体" w:hAnsi="宋体" w:eastAsia="宋体" w:cs="宋体"/>
    </w:rPr>
  </w:style>
  <w:style w:type="character" w:customStyle="1" w:styleId="128">
    <w:name w:val="case31"/>
    <w:qFormat/>
    <w:uiPriority w:val="0"/>
    <w:rPr>
      <w:rFonts w:hint="default"/>
      <w:sz w:val="21"/>
      <w:szCs w:val="21"/>
    </w:rPr>
  </w:style>
  <w:style w:type="character" w:customStyle="1" w:styleId="129">
    <w:name w:val="纯文本 字符2"/>
    <w:qFormat/>
    <w:uiPriority w:val="0"/>
    <w:rPr>
      <w:rFonts w:ascii="宋体" w:hAnsi="Courier New" w:eastAsia="宋体" w:cs="Courier New"/>
      <w:szCs w:val="21"/>
    </w:rPr>
  </w:style>
  <w:style w:type="character" w:customStyle="1" w:styleId="130">
    <w:name w:val="NormalCharacter"/>
    <w:qFormat/>
    <w:uiPriority w:val="0"/>
  </w:style>
  <w:style w:type="character" w:customStyle="1" w:styleId="131">
    <w:name w:val="日期 字符"/>
    <w:qFormat/>
    <w:uiPriority w:val="0"/>
    <w:rPr>
      <w:rFonts w:ascii="宋体" w:hAnsi="Courier New" w:eastAsia="宋体" w:cs="Courier New"/>
      <w:szCs w:val="21"/>
    </w:rPr>
  </w:style>
  <w:style w:type="character" w:customStyle="1" w:styleId="132">
    <w:name w:val="正文文本 字符"/>
    <w:qFormat/>
    <w:uiPriority w:val="99"/>
    <w:rPr>
      <w:rFonts w:ascii="Times New Roman" w:hAnsi="Times New Roman" w:eastAsia="宋体" w:cs="Times New Roman"/>
      <w:sz w:val="24"/>
      <w:szCs w:val="24"/>
    </w:rPr>
  </w:style>
  <w:style w:type="character" w:customStyle="1" w:styleId="133">
    <w:name w:val="标题 5 字符"/>
    <w:qFormat/>
    <w:uiPriority w:val="0"/>
    <w:rPr>
      <w:b/>
      <w:kern w:val="2"/>
      <w:sz w:val="28"/>
      <w:szCs w:val="24"/>
    </w:rPr>
  </w:style>
  <w:style w:type="character" w:customStyle="1" w:styleId="134">
    <w:name w:val="标题 9 字符"/>
    <w:qFormat/>
    <w:uiPriority w:val="0"/>
    <w:rPr>
      <w:rFonts w:ascii="Arial" w:hAnsi="Arial" w:eastAsia="黑体"/>
      <w:kern w:val="2"/>
      <w:sz w:val="21"/>
      <w:szCs w:val="24"/>
    </w:rPr>
  </w:style>
  <w:style w:type="paragraph" w:customStyle="1" w:styleId="135">
    <w:name w:val="Table Paragraph"/>
    <w:basedOn w:val="1"/>
    <w:qFormat/>
    <w:uiPriority w:val="1"/>
    <w:pPr>
      <w:jc w:val="left"/>
    </w:pPr>
    <w:rPr>
      <w:rFonts w:ascii="Calibri" w:hAnsi="Calibri"/>
      <w:kern w:val="0"/>
      <w:sz w:val="22"/>
      <w:szCs w:val="22"/>
      <w:lang w:eastAsia="en-US"/>
    </w:rPr>
  </w:style>
  <w:style w:type="paragraph" w:customStyle="1" w:styleId="13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37">
    <w:name w:val="样式 首行缩进:  2 字符"/>
    <w:basedOn w:val="1"/>
    <w:qFormat/>
    <w:uiPriority w:val="0"/>
    <w:pPr>
      <w:spacing w:line="400" w:lineRule="exact"/>
      <w:ind w:firstLine="200" w:firstLineChars="200"/>
    </w:pPr>
    <w:rPr>
      <w:rFonts w:cs="宋体"/>
      <w:sz w:val="24"/>
    </w:rPr>
  </w:style>
  <w:style w:type="paragraph" w:styleId="138">
    <w:name w:val="List Paragraph"/>
    <w:basedOn w:val="1"/>
    <w:qFormat/>
    <w:uiPriority w:val="34"/>
    <w:pPr>
      <w:ind w:firstLine="420" w:firstLineChars="200"/>
    </w:pPr>
  </w:style>
  <w:style w:type="paragraph" w:customStyle="1" w:styleId="13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0">
    <w:name w:val="正文段"/>
    <w:basedOn w:val="1"/>
    <w:qFormat/>
    <w:uiPriority w:val="0"/>
    <w:pPr>
      <w:widowControl/>
      <w:snapToGrid w:val="0"/>
      <w:spacing w:afterLines="50"/>
      <w:ind w:firstLine="200" w:firstLineChars="200"/>
    </w:pPr>
    <w:rPr>
      <w:kern w:val="0"/>
      <w:sz w:val="24"/>
      <w:szCs w:val="20"/>
    </w:rPr>
  </w:style>
  <w:style w:type="paragraph" w:customStyle="1" w:styleId="141">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42">
    <w:name w:val="正文正"/>
    <w:basedOn w:val="1"/>
    <w:qFormat/>
    <w:uiPriority w:val="99"/>
    <w:pPr>
      <w:spacing w:line="560" w:lineRule="exact"/>
      <w:ind w:firstLine="561"/>
    </w:pPr>
    <w:rPr>
      <w:rFonts w:eastAsia="仿宋_GB2312"/>
      <w:sz w:val="28"/>
    </w:rPr>
  </w:style>
  <w:style w:type="paragraph" w:customStyle="1" w:styleId="14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4">
    <w:name w:val="默认段落字体 Para Char Char Char Char Char Char Char Char Char1 Char Char Char Char"/>
    <w:basedOn w:val="1"/>
    <w:qFormat/>
    <w:uiPriority w:val="0"/>
    <w:rPr>
      <w:rFonts w:ascii="Tahoma" w:hAnsi="Tahoma"/>
      <w:sz w:val="24"/>
      <w:szCs w:val="20"/>
    </w:rPr>
  </w:style>
  <w:style w:type="paragraph" w:customStyle="1" w:styleId="145">
    <w:name w:val="表格"/>
    <w:basedOn w:val="1"/>
    <w:qFormat/>
    <w:uiPriority w:val="0"/>
    <w:pPr>
      <w:spacing w:line="400" w:lineRule="exact"/>
    </w:pPr>
    <w:rPr>
      <w:sz w:val="24"/>
    </w:rPr>
  </w:style>
  <w:style w:type="paragraph" w:customStyle="1" w:styleId="146">
    <w:name w:val="纯文本1"/>
    <w:basedOn w:val="1"/>
    <w:qFormat/>
    <w:uiPriority w:val="0"/>
    <w:rPr>
      <w:rFonts w:ascii="宋体" w:hAnsi="Courier New" w:cs="Century"/>
      <w:szCs w:val="21"/>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Char1"/>
    <w:basedOn w:val="1"/>
    <w:qFormat/>
    <w:uiPriority w:val="0"/>
    <w:rPr>
      <w:szCs w:val="21"/>
    </w:rPr>
  </w:style>
  <w:style w:type="paragraph" w:customStyle="1" w:styleId="149">
    <w:name w:val="正文首行缩进两字符"/>
    <w:basedOn w:val="1"/>
    <w:qFormat/>
    <w:uiPriority w:val="0"/>
    <w:pPr>
      <w:spacing w:line="360" w:lineRule="auto"/>
      <w:ind w:firstLine="200" w:firstLineChars="200"/>
    </w:pPr>
  </w:style>
  <w:style w:type="paragraph" w:customStyle="1" w:styleId="15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51">
    <w:name w:val="_Style 60"/>
    <w:basedOn w:val="1"/>
    <w:next w:val="138"/>
    <w:qFormat/>
    <w:uiPriority w:val="99"/>
    <w:pPr>
      <w:ind w:firstLine="420" w:firstLineChars="200"/>
    </w:pPr>
  </w:style>
  <w:style w:type="table" w:customStyle="1" w:styleId="152">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153">
    <w:name w:val="_Style 129"/>
    <w:basedOn w:val="1"/>
    <w:next w:val="138"/>
    <w:qFormat/>
    <w:uiPriority w:val="99"/>
    <w:pPr>
      <w:ind w:firstLine="420" w:firstLineChars="200"/>
    </w:pPr>
  </w:style>
  <w:style w:type="character" w:customStyle="1" w:styleId="154">
    <w:name w:val="纯文本 Char1"/>
    <w:qFormat/>
    <w:locked/>
    <w:uiPriority w:val="0"/>
    <w:rPr>
      <w:rFonts w:ascii="宋体" w:hAnsi="Courier New" w:cs="Courier New"/>
      <w:szCs w:val="21"/>
    </w:rPr>
  </w:style>
  <w:style w:type="character" w:customStyle="1" w:styleId="155">
    <w:name w:val="正文文本 Char"/>
    <w:qFormat/>
    <w:uiPriority w:val="0"/>
    <w:rPr>
      <w:rFonts w:ascii="Times New Roman" w:hAnsi="Times New Roman" w:eastAsia="宋体" w:cs="Times New Roman"/>
      <w:sz w:val="24"/>
      <w:szCs w:val="24"/>
    </w:rPr>
  </w:style>
  <w:style w:type="character" w:customStyle="1" w:styleId="156">
    <w:name w:val="标题 1 Char"/>
    <w:qFormat/>
    <w:uiPriority w:val="9"/>
    <w:rPr>
      <w:rFonts w:ascii="Times New Roman" w:hAnsi="Times New Roman" w:eastAsia="宋体" w:cs="Times New Roman"/>
      <w:b/>
      <w:bCs/>
      <w:kern w:val="44"/>
      <w:sz w:val="44"/>
      <w:szCs w:val="44"/>
    </w:rPr>
  </w:style>
  <w:style w:type="character" w:customStyle="1" w:styleId="157">
    <w:name w:val="标题 2 Char"/>
    <w:qFormat/>
    <w:uiPriority w:val="0"/>
    <w:rPr>
      <w:rFonts w:ascii="Arial" w:hAnsi="Arial" w:eastAsia="黑体" w:cs="Times New Roman"/>
      <w:b/>
      <w:bCs/>
      <w:sz w:val="32"/>
      <w:szCs w:val="32"/>
    </w:rPr>
  </w:style>
  <w:style w:type="character" w:customStyle="1" w:styleId="158">
    <w:name w:val="标题 3 Char"/>
    <w:qFormat/>
    <w:uiPriority w:val="0"/>
    <w:rPr>
      <w:rFonts w:ascii="Times New Roman" w:hAnsi="Times New Roman" w:eastAsia="宋体" w:cs="Times New Roman"/>
      <w:b/>
      <w:bCs/>
      <w:sz w:val="32"/>
      <w:szCs w:val="32"/>
    </w:rPr>
  </w:style>
  <w:style w:type="character" w:customStyle="1" w:styleId="159">
    <w:name w:val="标题 5 Char1"/>
    <w:qFormat/>
    <w:uiPriority w:val="0"/>
    <w:rPr>
      <w:b/>
      <w:kern w:val="2"/>
      <w:sz w:val="28"/>
      <w:szCs w:val="24"/>
    </w:rPr>
  </w:style>
  <w:style w:type="character" w:customStyle="1" w:styleId="160">
    <w:name w:val="标题 6 Char"/>
    <w:qFormat/>
    <w:uiPriority w:val="0"/>
    <w:rPr>
      <w:rFonts w:ascii="Arial" w:hAnsi="Arial" w:eastAsia="黑体"/>
      <w:b/>
      <w:kern w:val="2"/>
      <w:sz w:val="24"/>
      <w:szCs w:val="24"/>
    </w:rPr>
  </w:style>
  <w:style w:type="character" w:customStyle="1" w:styleId="161">
    <w:name w:val="标题 7 Char"/>
    <w:qFormat/>
    <w:uiPriority w:val="0"/>
    <w:rPr>
      <w:rFonts w:ascii="Times New Roman" w:hAnsi="Times New Roman"/>
      <w:b/>
      <w:kern w:val="2"/>
      <w:sz w:val="24"/>
      <w:szCs w:val="24"/>
    </w:rPr>
  </w:style>
  <w:style w:type="character" w:customStyle="1" w:styleId="162">
    <w:name w:val="标题 8 Char"/>
    <w:qFormat/>
    <w:uiPriority w:val="0"/>
    <w:rPr>
      <w:rFonts w:ascii="Arial" w:hAnsi="Arial" w:eastAsia="黑体"/>
      <w:kern w:val="2"/>
      <w:sz w:val="24"/>
      <w:szCs w:val="24"/>
    </w:rPr>
  </w:style>
  <w:style w:type="character" w:customStyle="1" w:styleId="163">
    <w:name w:val="标题 9 Char"/>
    <w:qFormat/>
    <w:uiPriority w:val="0"/>
    <w:rPr>
      <w:rFonts w:ascii="Arial" w:hAnsi="Arial" w:eastAsia="黑体"/>
      <w:kern w:val="2"/>
      <w:sz w:val="21"/>
      <w:szCs w:val="24"/>
    </w:rPr>
  </w:style>
  <w:style w:type="paragraph" w:customStyle="1" w:styleId="164">
    <w:name w:val="_Style 161"/>
    <w:basedOn w:val="1"/>
    <w:next w:val="138"/>
    <w:qFormat/>
    <w:uiPriority w:val="99"/>
    <w:pPr>
      <w:ind w:firstLine="420" w:firstLineChars="200"/>
    </w:pPr>
  </w:style>
  <w:style w:type="character" w:customStyle="1" w:styleId="165">
    <w:name w:val="文档结构图 Char"/>
    <w:qFormat/>
    <w:uiPriority w:val="0"/>
    <w:rPr>
      <w:rFonts w:hint="eastAsia" w:ascii="宋体" w:hAnsi="宋体" w:eastAsia="宋体" w:cs="宋体"/>
    </w:rPr>
  </w:style>
  <w:style w:type="character" w:customStyle="1" w:styleId="166">
    <w:name w:val="批注文字 Char2"/>
    <w:qFormat/>
    <w:uiPriority w:val="0"/>
    <w:rPr>
      <w:rFonts w:ascii="Times New Roman" w:hAnsi="Times New Roman"/>
      <w:kern w:val="2"/>
      <w:sz w:val="21"/>
      <w:szCs w:val="24"/>
    </w:rPr>
  </w:style>
  <w:style w:type="character" w:customStyle="1" w:styleId="167">
    <w:name w:val="正文文本 3 Char"/>
    <w:qFormat/>
    <w:uiPriority w:val="0"/>
    <w:rPr>
      <w:rFonts w:ascii="Times New Roman" w:hAnsi="Times New Roman" w:eastAsia="宋体" w:cs="Times New Roman"/>
      <w:b/>
      <w:bCs/>
      <w:sz w:val="24"/>
      <w:szCs w:val="24"/>
    </w:rPr>
  </w:style>
  <w:style w:type="character" w:customStyle="1" w:styleId="168">
    <w:name w:val="正文文本缩进 Char"/>
    <w:qFormat/>
    <w:uiPriority w:val="0"/>
    <w:rPr>
      <w:rFonts w:ascii="仿宋_GB2312" w:hAnsi="Times New Roman" w:eastAsia="仿宋_GB2312" w:cs="Times New Roman"/>
      <w:sz w:val="32"/>
      <w:szCs w:val="20"/>
    </w:rPr>
  </w:style>
  <w:style w:type="character" w:customStyle="1" w:styleId="169">
    <w:name w:val="纯文本 Char2"/>
    <w:qFormat/>
    <w:uiPriority w:val="0"/>
    <w:rPr>
      <w:rFonts w:ascii="宋体" w:hAnsi="Courier New" w:eastAsia="宋体" w:cs="Courier New"/>
      <w:szCs w:val="21"/>
    </w:rPr>
  </w:style>
  <w:style w:type="character" w:customStyle="1" w:styleId="170">
    <w:name w:val="日期 Char"/>
    <w:qFormat/>
    <w:uiPriority w:val="0"/>
    <w:rPr>
      <w:rFonts w:ascii="宋体" w:hAnsi="Courier New" w:eastAsia="宋体" w:cs="Courier New"/>
      <w:szCs w:val="21"/>
    </w:rPr>
  </w:style>
  <w:style w:type="character" w:customStyle="1" w:styleId="171">
    <w:name w:val="正文文本缩进 2 Char"/>
    <w:qFormat/>
    <w:uiPriority w:val="0"/>
    <w:rPr>
      <w:rFonts w:ascii="Times New Roman" w:hAnsi="Times New Roman" w:eastAsia="宋体" w:cs="Times New Roman"/>
      <w:sz w:val="32"/>
      <w:szCs w:val="20"/>
    </w:rPr>
  </w:style>
  <w:style w:type="character" w:customStyle="1" w:styleId="172">
    <w:name w:val="尾注文本 Char"/>
    <w:qFormat/>
    <w:uiPriority w:val="99"/>
    <w:rPr>
      <w:rFonts w:ascii="Times New Roman" w:hAnsi="Times New Roman"/>
      <w:kern w:val="2"/>
      <w:sz w:val="21"/>
      <w:szCs w:val="24"/>
    </w:rPr>
  </w:style>
  <w:style w:type="character" w:customStyle="1" w:styleId="173">
    <w:name w:val="批注框文本 Char"/>
    <w:semiHidden/>
    <w:qFormat/>
    <w:uiPriority w:val="0"/>
    <w:rPr>
      <w:rFonts w:ascii="Times New Roman" w:hAnsi="Times New Roman" w:eastAsia="宋体" w:cs="Times New Roman"/>
      <w:sz w:val="18"/>
      <w:szCs w:val="18"/>
    </w:rPr>
  </w:style>
  <w:style w:type="character" w:customStyle="1" w:styleId="174">
    <w:name w:val="页脚 Char"/>
    <w:qFormat/>
    <w:uiPriority w:val="99"/>
    <w:rPr>
      <w:sz w:val="18"/>
      <w:szCs w:val="18"/>
    </w:rPr>
  </w:style>
  <w:style w:type="character" w:customStyle="1" w:styleId="175">
    <w:name w:val="页眉 Char"/>
    <w:qFormat/>
    <w:uiPriority w:val="99"/>
    <w:rPr>
      <w:rFonts w:ascii="Times New Roman" w:hAnsi="Times New Roman"/>
      <w:kern w:val="2"/>
      <w:sz w:val="18"/>
      <w:szCs w:val="18"/>
    </w:rPr>
  </w:style>
  <w:style w:type="character" w:customStyle="1" w:styleId="176">
    <w:name w:val="脚注文本 Char"/>
    <w:qFormat/>
    <w:uiPriority w:val="99"/>
    <w:rPr>
      <w:rFonts w:ascii="Times New Roman" w:hAnsi="Times New Roman"/>
      <w:kern w:val="2"/>
      <w:sz w:val="18"/>
      <w:szCs w:val="18"/>
    </w:rPr>
  </w:style>
  <w:style w:type="character" w:customStyle="1" w:styleId="177">
    <w:name w:val="正文文本缩进 3 Char"/>
    <w:qFormat/>
    <w:uiPriority w:val="0"/>
    <w:rPr>
      <w:rFonts w:ascii="Times New Roman" w:hAnsi="Times New Roman" w:eastAsia="宋体" w:cs="Times New Roman"/>
      <w:sz w:val="16"/>
      <w:szCs w:val="16"/>
    </w:rPr>
  </w:style>
  <w:style w:type="character" w:customStyle="1" w:styleId="178">
    <w:name w:val="正文文本 2 Char"/>
    <w:qFormat/>
    <w:uiPriority w:val="0"/>
    <w:rPr>
      <w:rFonts w:ascii="Times New Roman" w:hAnsi="Times New Roman" w:eastAsia="宋体" w:cs="Times New Roman"/>
      <w:szCs w:val="24"/>
    </w:rPr>
  </w:style>
  <w:style w:type="character" w:customStyle="1" w:styleId="179">
    <w:name w:val="标题 Char"/>
    <w:qFormat/>
    <w:uiPriority w:val="10"/>
    <w:rPr>
      <w:rFonts w:ascii="Cambria" w:hAnsi="Cambria" w:cs="Times New Roman"/>
      <w:b/>
      <w:bCs/>
      <w:kern w:val="2"/>
      <w:sz w:val="32"/>
      <w:szCs w:val="32"/>
    </w:rPr>
  </w:style>
  <w:style w:type="character" w:customStyle="1" w:styleId="180">
    <w:name w:val="批注主题 Char"/>
    <w:qFormat/>
    <w:uiPriority w:val="99"/>
    <w:rPr>
      <w:rFonts w:ascii="Times New Roman" w:hAnsi="Times New Roman"/>
      <w:b/>
      <w:bCs/>
      <w:kern w:val="2"/>
      <w:sz w:val="21"/>
      <w:szCs w:val="24"/>
    </w:rPr>
  </w:style>
  <w:style w:type="character" w:customStyle="1" w:styleId="181">
    <w:name w:val="vxe-cell--label"/>
    <w:basedOn w:val="49"/>
    <w:qFormat/>
    <w:uiPriority w:val="0"/>
  </w:style>
  <w:style w:type="character" w:customStyle="1" w:styleId="182">
    <w:name w:val="未处理的提及1"/>
    <w:basedOn w:val="49"/>
    <w:semiHidden/>
    <w:unhideWhenUsed/>
    <w:qFormat/>
    <w:uiPriority w:val="99"/>
    <w:rPr>
      <w:color w:val="605E5C"/>
      <w:shd w:val="clear" w:color="auto" w:fill="E1DFDD"/>
    </w:rPr>
  </w:style>
  <w:style w:type="character" w:customStyle="1" w:styleId="183">
    <w:name w:val="样式1 Char"/>
    <w:link w:val="184"/>
    <w:qFormat/>
    <w:uiPriority w:val="0"/>
    <w:rPr>
      <w:rFonts w:ascii="宋体" w:hAnsi="宋体"/>
      <w:b/>
      <w:kern w:val="2"/>
      <w:sz w:val="24"/>
    </w:rPr>
  </w:style>
  <w:style w:type="paragraph" w:customStyle="1" w:styleId="184">
    <w:name w:val="样式1"/>
    <w:basedOn w:val="1"/>
    <w:link w:val="183"/>
    <w:qFormat/>
    <w:uiPriority w:val="0"/>
    <w:pPr>
      <w:spacing w:before="120" w:after="120" w:line="300" w:lineRule="auto"/>
    </w:pPr>
    <w:rPr>
      <w:rFonts w:ascii="宋体" w:hAnsi="宋体"/>
      <w:b/>
      <w:sz w:val="24"/>
      <w:szCs w:val="20"/>
    </w:rPr>
  </w:style>
  <w:style w:type="paragraph" w:customStyle="1" w:styleId="185">
    <w:name w:val="msolistparagraph"/>
    <w:basedOn w:val="1"/>
    <w:qFormat/>
    <w:uiPriority w:val="0"/>
    <w:pPr>
      <w:ind w:firstLine="420" w:firstLineChars="200"/>
    </w:pPr>
  </w:style>
  <w:style w:type="paragraph" w:customStyle="1" w:styleId="186">
    <w:name w:val="Char"/>
    <w:basedOn w:val="1"/>
    <w:qFormat/>
    <w:uiPriority w:val="99"/>
  </w:style>
  <w:style w:type="paragraph" w:customStyle="1" w:styleId="18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88">
    <w:name w:val="Table Text"/>
    <w:basedOn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file:///C:\Users\Administrator\AppData\Roaming\Tencent\Users\84332323\QQ\WinTemp\RichOle\IBTSMDNQID2EUB%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7b1%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5d6~PD(5.png" TargetMode="Externa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134</Pages>
  <Words>1606</Words>
  <Characters>1979</Characters>
  <Lines>623</Lines>
  <Paragraphs>175</Paragraphs>
  <TotalTime>29</TotalTime>
  <ScaleCrop>false</ScaleCrop>
  <LinksUpToDate>false</LinksUpToDate>
  <CharactersWithSpaces>2004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2025-06-18T02:39:00Z</dcterms:created>
  <dc:creator>番茄花园</dc:creator>
  <cp:lastModifiedBy>wzl</cp:lastModifiedBy>
  <cp:lastPrinted>2024-12-11T08:58:00Z</cp:lastPrinted>
  <dcterms:modified xsi:type="dcterms:W3CDTF">2025-07-15T07:50:32Z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7DF7E144AA7C4EA498F7176743C5B87B_13</vt:lpwstr>
  </property>
  <property fmtid="{D5CDD505-2E9C-101B-9397-08002B2CF9AE}" pid="4" name="KSOTemplateDocerSaveRecord">
    <vt:lpwstr>eyJoZGlkIjoiNzI5OWM3OGY1NTAzMjZjNjUxMTAzMDE0ZGZiNTY1MWMiLCJ1c2VySWQiOiIyNzE3NTAyMzQifQ==</vt:lpwstr>
  </property>
</Properties>
</file>