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A4EC">
      <w:pPr>
        <w:spacing w:line="360" w:lineRule="auto"/>
        <w:jc w:val="center"/>
        <w:rPr>
          <w:rFonts w:hint="eastAsia" w:ascii="方正小标宋简体" w:hAnsi="宋体" w:eastAsia="方正小标宋简体"/>
          <w:color w:val="auto"/>
          <w:sz w:val="52"/>
          <w:szCs w:val="52"/>
          <w:highlight w:val="none"/>
        </w:rPr>
      </w:pPr>
    </w:p>
    <w:p w14:paraId="5759903E">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21FF7E08">
      <w:pPr>
        <w:spacing w:line="360" w:lineRule="auto"/>
        <w:jc w:val="center"/>
        <w:rPr>
          <w:rFonts w:ascii="宋体" w:hAnsi="宋体"/>
          <w:i/>
          <w:color w:val="auto"/>
          <w:sz w:val="52"/>
          <w:szCs w:val="52"/>
          <w:highlight w:val="none"/>
        </w:rPr>
      </w:pPr>
    </w:p>
    <w:p w14:paraId="6192B4C6">
      <w:pPr>
        <w:spacing w:line="360" w:lineRule="auto"/>
        <w:jc w:val="center"/>
        <w:rPr>
          <w:rFonts w:ascii="方正小标宋简体" w:hAnsi="方正小标宋简体" w:eastAsia="方正小标宋简体" w:cs="方正小标宋简体"/>
          <w:b/>
          <w:color w:val="auto"/>
          <w:sz w:val="44"/>
          <w:szCs w:val="44"/>
          <w:highlight w:val="none"/>
        </w:rPr>
      </w:pPr>
    </w:p>
    <w:p w14:paraId="542DEECA">
      <w:pPr>
        <w:spacing w:line="360" w:lineRule="auto"/>
        <w:jc w:val="center"/>
        <w:rPr>
          <w:rFonts w:ascii="方正小标宋简体" w:hAnsi="方正小标宋简体" w:eastAsia="方正小标宋简体" w:cs="方正小标宋简体"/>
          <w:b/>
          <w:color w:val="auto"/>
          <w:sz w:val="44"/>
          <w:szCs w:val="44"/>
          <w:highlight w:val="none"/>
        </w:rPr>
      </w:pPr>
    </w:p>
    <w:p w14:paraId="012E9394">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72E04039">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00CB209">
      <w:pPr>
        <w:snapToGrid w:val="0"/>
        <w:spacing w:line="360" w:lineRule="auto"/>
        <w:rPr>
          <w:rFonts w:ascii="仿宋_GB2312" w:hAnsi="宋体" w:eastAsia="仿宋_GB2312"/>
          <w:color w:val="auto"/>
          <w:sz w:val="30"/>
          <w:szCs w:val="72"/>
          <w:highlight w:val="none"/>
        </w:rPr>
      </w:pPr>
    </w:p>
    <w:p w14:paraId="2216D4DE">
      <w:pPr>
        <w:pStyle w:val="26"/>
        <w:snapToGrid w:val="0"/>
        <w:spacing w:line="360" w:lineRule="auto"/>
        <w:ind w:firstLine="1193" w:firstLineChars="396"/>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：桂林医科大学细胞基因治疗研发</w:t>
      </w:r>
    </w:p>
    <w:p w14:paraId="60F11B11">
      <w:pPr>
        <w:pStyle w:val="26"/>
        <w:snapToGrid w:val="0"/>
        <w:spacing w:line="360" w:lineRule="auto"/>
        <w:ind w:firstLine="2699" w:firstLineChars="896"/>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与临床转化联合实验室平台项目</w:t>
      </w:r>
    </w:p>
    <w:p w14:paraId="1CA853E3">
      <w:pPr>
        <w:snapToGrid w:val="0"/>
        <w:spacing w:line="360" w:lineRule="auto"/>
        <w:ind w:firstLine="1145" w:firstLineChars="400"/>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 GXZC2025-C2-003210-YZLZ</w:t>
      </w:r>
    </w:p>
    <w:p w14:paraId="00A6F6D9">
      <w:pPr>
        <w:pStyle w:val="2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采 购 人：桂林医科大学 </w:t>
      </w:r>
    </w:p>
    <w:p w14:paraId="20588BF8">
      <w:pPr>
        <w:pStyle w:val="26"/>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7FFE7837">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6056DA7D">
      <w:pPr>
        <w:pStyle w:val="26"/>
        <w:snapToGrid w:val="0"/>
        <w:spacing w:line="360" w:lineRule="auto"/>
        <w:ind w:left="420"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27</w:t>
      </w:r>
      <w:r>
        <w:rPr>
          <w:rFonts w:hint="eastAsia" w:ascii="仿宋_GB2312" w:hAnsi="宋体" w:eastAsia="仿宋_GB2312"/>
          <w:b/>
          <w:bCs/>
          <w:color w:val="auto"/>
          <w:w w:val="95"/>
          <w:sz w:val="30"/>
          <w:szCs w:val="30"/>
          <w:highlight w:val="none"/>
        </w:rPr>
        <w:t>日</w:t>
      </w:r>
    </w:p>
    <w:p w14:paraId="7F08E36B">
      <w:pPr>
        <w:spacing w:line="360" w:lineRule="auto"/>
        <w:jc w:val="center"/>
        <w:rPr>
          <w:rFonts w:ascii="宋体" w:hAnsi="宋体" w:cs="宋体"/>
          <w:b/>
          <w:bCs/>
          <w:color w:val="auto"/>
          <w:kern w:val="0"/>
          <w:sz w:val="32"/>
          <w:szCs w:val="32"/>
          <w:highlight w:val="none"/>
        </w:rPr>
      </w:pPr>
    </w:p>
    <w:p w14:paraId="1309834C">
      <w:pPr>
        <w:spacing w:line="360" w:lineRule="auto"/>
        <w:jc w:val="center"/>
        <w:rPr>
          <w:rFonts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6EFEC529">
      <w:pPr>
        <w:spacing w:line="400" w:lineRule="exact"/>
        <w:jc w:val="center"/>
        <w:rPr>
          <w:rFonts w:ascii="宋体" w:hAnsi="宋体"/>
          <w:b/>
          <w:color w:val="auto"/>
          <w:sz w:val="44"/>
          <w:szCs w:val="44"/>
          <w:highlight w:val="none"/>
        </w:rPr>
      </w:pPr>
    </w:p>
    <w:p w14:paraId="3EDEABD5">
      <w:pPr>
        <w:pStyle w:val="33"/>
        <w:tabs>
          <w:tab w:val="right" w:leader="dot" w:pos="8869"/>
        </w:tabs>
        <w:snapToGrid w:val="0"/>
        <w:spacing w:line="500" w:lineRule="atLeast"/>
        <w:rPr>
          <w:rStyle w:val="57"/>
          <w:color w:val="auto"/>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7"/>
          <w:rFonts w:hint="eastAsia" w:ascii="宋体" w:hAnsi="宋体"/>
          <w:b/>
          <w:color w:val="auto"/>
          <w:sz w:val="24"/>
          <w:highlight w:val="none"/>
        </w:rPr>
        <w:t>第一章</w:t>
      </w:r>
      <w:r>
        <w:rPr>
          <w:rStyle w:val="57"/>
          <w:rFonts w:ascii="宋体" w:hAnsi="宋体"/>
          <w:b/>
          <w:color w:val="auto"/>
          <w:sz w:val="24"/>
          <w:highlight w:val="none"/>
        </w:rPr>
        <w:t xml:space="preserve"> </w:t>
      </w:r>
      <w:r>
        <w:rPr>
          <w:rStyle w:val="57"/>
          <w:rFonts w:hint="eastAsia" w:ascii="宋体" w:hAnsi="宋体"/>
          <w:b/>
          <w:color w:val="auto"/>
          <w:sz w:val="24"/>
          <w:highlight w:val="none"/>
        </w:rPr>
        <w:t>竞争性磋商公告</w:t>
      </w:r>
      <w:r>
        <w:rPr>
          <w:rStyle w:val="57"/>
          <w:color w:val="auto"/>
          <w:highlight w:val="none"/>
        </w:rPr>
        <w:tab/>
      </w:r>
      <w:r>
        <w:rPr>
          <w:rStyle w:val="57"/>
          <w:color w:val="auto"/>
          <w:highlight w:val="none"/>
        </w:rPr>
        <w:fldChar w:fldCharType="begin"/>
      </w:r>
      <w:r>
        <w:rPr>
          <w:rStyle w:val="57"/>
          <w:color w:val="auto"/>
          <w:highlight w:val="none"/>
        </w:rPr>
        <w:instrText xml:space="preserve"> PAGEREF _Toc74323456 \h </w:instrText>
      </w:r>
      <w:r>
        <w:rPr>
          <w:rStyle w:val="57"/>
          <w:color w:val="auto"/>
          <w:highlight w:val="none"/>
        </w:rPr>
        <w:fldChar w:fldCharType="separate"/>
      </w:r>
      <w:r>
        <w:rPr>
          <w:rStyle w:val="57"/>
          <w:color w:val="auto"/>
          <w:highlight w:val="none"/>
        </w:rPr>
        <w:t>2</w:t>
      </w:r>
      <w:r>
        <w:rPr>
          <w:rStyle w:val="57"/>
          <w:color w:val="auto"/>
          <w:highlight w:val="none"/>
        </w:rPr>
        <w:fldChar w:fldCharType="end"/>
      </w:r>
      <w:r>
        <w:rPr>
          <w:rStyle w:val="57"/>
          <w:color w:val="auto"/>
          <w:highlight w:val="none"/>
        </w:rPr>
        <w:fldChar w:fldCharType="end"/>
      </w:r>
    </w:p>
    <w:p w14:paraId="7F72E09E">
      <w:pPr>
        <w:pStyle w:val="33"/>
        <w:tabs>
          <w:tab w:val="right" w:leader="dot" w:pos="8869"/>
        </w:tabs>
        <w:snapToGrid w:val="0"/>
        <w:spacing w:line="500" w:lineRule="atLeast"/>
        <w:rPr>
          <w:rStyle w:val="57"/>
          <w:color w:val="auto"/>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7"/>
          <w:rFonts w:hint="eastAsia" w:ascii="宋体" w:hAnsi="宋体"/>
          <w:b/>
          <w:color w:val="auto"/>
          <w:sz w:val="24"/>
          <w:highlight w:val="none"/>
        </w:rPr>
        <w:t>第二章</w:t>
      </w:r>
      <w:r>
        <w:rPr>
          <w:rStyle w:val="57"/>
          <w:rFonts w:ascii="宋体" w:hAnsi="宋体"/>
          <w:b/>
          <w:color w:val="auto"/>
          <w:sz w:val="24"/>
          <w:highlight w:val="none"/>
        </w:rPr>
        <w:t xml:space="preserve"> </w:t>
      </w:r>
      <w:r>
        <w:rPr>
          <w:rStyle w:val="57"/>
          <w:rFonts w:hint="eastAsia" w:ascii="宋体" w:hAnsi="宋体"/>
          <w:b/>
          <w:color w:val="auto"/>
          <w:sz w:val="24"/>
          <w:highlight w:val="none"/>
        </w:rPr>
        <w:t>供应</w:t>
      </w:r>
      <w:bookmarkStart w:id="0" w:name="_Hlt82161237"/>
      <w:r>
        <w:rPr>
          <w:rStyle w:val="57"/>
          <w:rFonts w:hint="eastAsia" w:ascii="宋体" w:hAnsi="宋体"/>
          <w:b/>
          <w:color w:val="auto"/>
          <w:sz w:val="24"/>
          <w:highlight w:val="none"/>
        </w:rPr>
        <w:t>商</w:t>
      </w:r>
      <w:bookmarkEnd w:id="0"/>
      <w:r>
        <w:rPr>
          <w:rStyle w:val="57"/>
          <w:rFonts w:hint="eastAsia" w:ascii="宋体" w:hAnsi="宋体"/>
          <w:b/>
          <w:color w:val="auto"/>
          <w:sz w:val="24"/>
          <w:highlight w:val="none"/>
        </w:rPr>
        <w:t>须知</w:t>
      </w:r>
      <w:r>
        <w:rPr>
          <w:rStyle w:val="57"/>
          <w:color w:val="auto"/>
          <w:highlight w:val="none"/>
        </w:rPr>
        <w:tab/>
      </w:r>
      <w:r>
        <w:rPr>
          <w:rStyle w:val="57"/>
          <w:color w:val="auto"/>
          <w:highlight w:val="none"/>
        </w:rPr>
        <w:fldChar w:fldCharType="begin"/>
      </w:r>
      <w:r>
        <w:rPr>
          <w:rStyle w:val="57"/>
          <w:color w:val="auto"/>
          <w:highlight w:val="none"/>
        </w:rPr>
        <w:instrText xml:space="preserve"> PAGEREF _Toc74323457 \h </w:instrText>
      </w:r>
      <w:r>
        <w:rPr>
          <w:rStyle w:val="57"/>
          <w:color w:val="auto"/>
          <w:highlight w:val="none"/>
        </w:rPr>
        <w:fldChar w:fldCharType="separate"/>
      </w:r>
      <w:r>
        <w:rPr>
          <w:rStyle w:val="57"/>
          <w:color w:val="auto"/>
          <w:highlight w:val="none"/>
        </w:rPr>
        <w:t>5</w:t>
      </w:r>
      <w:r>
        <w:rPr>
          <w:rStyle w:val="57"/>
          <w:color w:val="auto"/>
          <w:highlight w:val="none"/>
        </w:rPr>
        <w:fldChar w:fldCharType="end"/>
      </w:r>
      <w:r>
        <w:rPr>
          <w:rStyle w:val="57"/>
          <w:color w:val="auto"/>
          <w:highlight w:val="none"/>
        </w:rPr>
        <w:fldChar w:fldCharType="end"/>
      </w:r>
    </w:p>
    <w:p w14:paraId="75201038">
      <w:pPr>
        <w:pStyle w:val="33"/>
        <w:tabs>
          <w:tab w:val="right" w:leader="dot" w:pos="8869"/>
        </w:tabs>
        <w:snapToGrid w:val="0"/>
        <w:spacing w:line="500" w:lineRule="atLeast"/>
        <w:rPr>
          <w:rStyle w:val="57"/>
          <w:color w:val="auto"/>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7"/>
          <w:rFonts w:hint="eastAsia" w:ascii="宋体" w:hAnsi="宋体"/>
          <w:b/>
          <w:color w:val="auto"/>
          <w:sz w:val="24"/>
          <w:highlight w:val="none"/>
        </w:rPr>
        <w:t>第三章</w:t>
      </w:r>
      <w:r>
        <w:rPr>
          <w:rStyle w:val="57"/>
          <w:rFonts w:ascii="宋体" w:hAnsi="宋体"/>
          <w:b/>
          <w:color w:val="auto"/>
          <w:sz w:val="24"/>
          <w:highlight w:val="none"/>
        </w:rPr>
        <w:t xml:space="preserve"> </w:t>
      </w:r>
      <w:r>
        <w:rPr>
          <w:rStyle w:val="57"/>
          <w:rFonts w:hint="eastAsia" w:ascii="宋体" w:hAnsi="宋体"/>
          <w:b/>
          <w:color w:val="auto"/>
          <w:sz w:val="24"/>
          <w:highlight w:val="none"/>
        </w:rPr>
        <w:t>采购需</w:t>
      </w:r>
      <w:bookmarkStart w:id="1" w:name="_Hlt82166940"/>
      <w:r>
        <w:rPr>
          <w:rStyle w:val="57"/>
          <w:rFonts w:hint="eastAsia" w:ascii="宋体" w:hAnsi="宋体"/>
          <w:b/>
          <w:color w:val="auto"/>
          <w:sz w:val="24"/>
          <w:highlight w:val="none"/>
        </w:rPr>
        <w:t>求</w:t>
      </w:r>
      <w:bookmarkEnd w:id="1"/>
      <w:r>
        <w:rPr>
          <w:rStyle w:val="57"/>
          <w:color w:val="auto"/>
          <w:highlight w:val="none"/>
        </w:rPr>
        <w:tab/>
      </w:r>
      <w:r>
        <w:rPr>
          <w:rStyle w:val="57"/>
          <w:rFonts w:hint="eastAsia"/>
          <w:color w:val="auto"/>
          <w:highlight w:val="none"/>
        </w:rPr>
        <w:t>23</w:t>
      </w:r>
      <w:r>
        <w:rPr>
          <w:rStyle w:val="57"/>
          <w:rFonts w:hint="eastAsia"/>
          <w:color w:val="auto"/>
          <w:highlight w:val="none"/>
        </w:rPr>
        <w:fldChar w:fldCharType="end"/>
      </w:r>
    </w:p>
    <w:p w14:paraId="6A1B3A3D">
      <w:pPr>
        <w:pStyle w:val="33"/>
        <w:tabs>
          <w:tab w:val="right" w:leader="dot" w:pos="8869"/>
        </w:tabs>
        <w:snapToGrid w:val="0"/>
        <w:spacing w:line="500" w:lineRule="atLeast"/>
        <w:rPr>
          <w:rStyle w:val="57"/>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7"/>
          <w:rFonts w:hint="eastAsia" w:ascii="宋体" w:hAnsi="宋体"/>
          <w:b/>
          <w:color w:val="auto"/>
          <w:sz w:val="24"/>
          <w:highlight w:val="none"/>
        </w:rPr>
        <w:t>第四章</w:t>
      </w:r>
      <w:r>
        <w:rPr>
          <w:rStyle w:val="57"/>
          <w:rFonts w:ascii="宋体" w:hAnsi="宋体"/>
          <w:b/>
          <w:color w:val="auto"/>
          <w:sz w:val="24"/>
          <w:highlight w:val="none"/>
        </w:rPr>
        <w:t xml:space="preserve"> </w:t>
      </w:r>
      <w:r>
        <w:rPr>
          <w:rStyle w:val="57"/>
          <w:rFonts w:hint="eastAsia" w:ascii="宋体" w:hAnsi="宋体"/>
          <w:b/>
          <w:color w:val="auto"/>
          <w:sz w:val="24"/>
          <w:highlight w:val="none"/>
        </w:rPr>
        <w:t>评审程序、</w:t>
      </w:r>
      <w:bookmarkStart w:id="2" w:name="_Hlt82166000"/>
      <w:r>
        <w:rPr>
          <w:rStyle w:val="57"/>
          <w:rFonts w:hint="eastAsia" w:ascii="宋体" w:hAnsi="宋体"/>
          <w:b/>
          <w:color w:val="auto"/>
          <w:sz w:val="24"/>
          <w:highlight w:val="none"/>
        </w:rPr>
        <w:t>评</w:t>
      </w:r>
      <w:bookmarkEnd w:id="2"/>
      <w:r>
        <w:rPr>
          <w:rStyle w:val="57"/>
          <w:rFonts w:hint="eastAsia" w:ascii="宋体" w:hAnsi="宋体"/>
          <w:b/>
          <w:color w:val="auto"/>
          <w:sz w:val="24"/>
          <w:highlight w:val="none"/>
        </w:rPr>
        <w:t>审方法和评审标准</w:t>
      </w:r>
      <w:r>
        <w:rPr>
          <w:rStyle w:val="57"/>
          <w:color w:val="auto"/>
          <w:highlight w:val="none"/>
        </w:rPr>
        <w:tab/>
      </w:r>
      <w:r>
        <w:rPr>
          <w:rStyle w:val="57"/>
          <w:rFonts w:hint="eastAsia"/>
          <w:color w:val="auto"/>
          <w:highlight w:val="none"/>
          <w:lang w:val="en-US" w:eastAsia="zh-CN"/>
        </w:rPr>
        <w:t>3</w:t>
      </w:r>
      <w:r>
        <w:rPr>
          <w:rStyle w:val="57"/>
          <w:rFonts w:hint="eastAsia"/>
          <w:color w:val="auto"/>
          <w:highlight w:val="none"/>
        </w:rPr>
        <w:fldChar w:fldCharType="end"/>
      </w:r>
      <w:r>
        <w:rPr>
          <w:rStyle w:val="57"/>
          <w:rFonts w:hint="eastAsia"/>
          <w:color w:val="auto"/>
          <w:highlight w:val="none"/>
          <w:lang w:val="en-US" w:eastAsia="zh-CN"/>
        </w:rPr>
        <w:t>0</w:t>
      </w:r>
    </w:p>
    <w:p w14:paraId="319626C7">
      <w:pPr>
        <w:pStyle w:val="33"/>
        <w:tabs>
          <w:tab w:val="right" w:leader="dot" w:pos="8869"/>
        </w:tabs>
        <w:snapToGrid w:val="0"/>
        <w:spacing w:line="500" w:lineRule="atLeast"/>
        <w:rPr>
          <w:rStyle w:val="57"/>
          <w:rFonts w:hint="eastAsia" w:ascii="宋体" w:hAnsi="宋体" w:eastAsia="宋体"/>
          <w:b/>
          <w:color w:val="auto"/>
          <w:sz w:val="24"/>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7"/>
          <w:rFonts w:hint="eastAsia" w:ascii="宋体" w:hAnsi="宋体"/>
          <w:b/>
          <w:color w:val="auto"/>
          <w:sz w:val="24"/>
          <w:highlight w:val="none"/>
        </w:rPr>
        <w:t>第五章</w:t>
      </w:r>
      <w:r>
        <w:rPr>
          <w:rStyle w:val="57"/>
          <w:rFonts w:ascii="宋体" w:hAnsi="宋体"/>
          <w:b/>
          <w:color w:val="auto"/>
          <w:sz w:val="24"/>
          <w:highlight w:val="none"/>
        </w:rPr>
        <w:t xml:space="preserve"> </w:t>
      </w:r>
      <w:r>
        <w:rPr>
          <w:rStyle w:val="57"/>
          <w:rFonts w:hint="eastAsia" w:ascii="宋体" w:hAnsi="宋体"/>
          <w:b/>
          <w:color w:val="auto"/>
          <w:sz w:val="24"/>
          <w:highlight w:val="none"/>
        </w:rPr>
        <w:t>工程量清单及图纸</w:t>
      </w:r>
      <w:r>
        <w:rPr>
          <w:rStyle w:val="57"/>
          <w:color w:val="auto"/>
          <w:highlight w:val="none"/>
        </w:rPr>
        <w:tab/>
      </w:r>
      <w:r>
        <w:rPr>
          <w:rStyle w:val="57"/>
          <w:rFonts w:hint="eastAsia"/>
          <w:color w:val="auto"/>
          <w:highlight w:val="none"/>
          <w:lang w:val="en-US" w:eastAsia="zh-CN"/>
        </w:rPr>
        <w:t>4</w:t>
      </w:r>
      <w:r>
        <w:rPr>
          <w:rStyle w:val="57"/>
          <w:rFonts w:hint="eastAsia"/>
          <w:color w:val="auto"/>
          <w:highlight w:val="none"/>
        </w:rPr>
        <w:fldChar w:fldCharType="end"/>
      </w:r>
      <w:r>
        <w:rPr>
          <w:rStyle w:val="57"/>
          <w:rFonts w:hint="eastAsia"/>
          <w:color w:val="auto"/>
          <w:highlight w:val="none"/>
          <w:lang w:val="en-US" w:eastAsia="zh-CN"/>
        </w:rPr>
        <w:t>0</w:t>
      </w:r>
    </w:p>
    <w:p w14:paraId="685A7A5B">
      <w:pPr>
        <w:pStyle w:val="33"/>
        <w:tabs>
          <w:tab w:val="right" w:leader="dot" w:pos="8869"/>
        </w:tabs>
        <w:snapToGrid w:val="0"/>
        <w:spacing w:line="500" w:lineRule="atLeast"/>
        <w:rPr>
          <w:rStyle w:val="57"/>
          <w:rFonts w:hint="eastAsia" w:eastAsia="宋体"/>
          <w:color w:val="auto"/>
          <w:highlight w:val="none"/>
          <w:lang w:eastAsia="zh-CN"/>
        </w:rPr>
      </w:pPr>
      <w:r>
        <w:rPr>
          <w:rStyle w:val="57"/>
          <w:rFonts w:hint="eastAsia" w:ascii="宋体" w:hAnsi="宋体"/>
          <w:b/>
          <w:color w:val="auto"/>
          <w:sz w:val="24"/>
          <w:highlight w:val="none"/>
          <w:u w:val="none"/>
        </w:rPr>
        <w:t>第六章</w:t>
      </w:r>
      <w:r>
        <w:rPr>
          <w:rStyle w:val="57"/>
          <w:rFonts w:ascii="宋体" w:hAnsi="宋体"/>
          <w:b/>
          <w:color w:val="auto"/>
          <w:sz w:val="24"/>
          <w:highlight w:val="none"/>
          <w:u w:val="none"/>
        </w:rPr>
        <w:t xml:space="preserve"> </w:t>
      </w:r>
      <w:r>
        <w:rPr>
          <w:rStyle w:val="57"/>
          <w:rFonts w:hint="eastAsia" w:ascii="宋体" w:hAnsi="宋体"/>
          <w:b/>
          <w:color w:val="auto"/>
          <w:sz w:val="24"/>
          <w:highlight w:val="none"/>
          <w:u w:val="none"/>
        </w:rPr>
        <w:t>响应文件格式</w:t>
      </w:r>
      <w:r>
        <w:rPr>
          <w:rStyle w:val="57"/>
          <w:color w:val="auto"/>
          <w:highlight w:val="none"/>
          <w:u w:val="none"/>
        </w:rPr>
        <w:tab/>
      </w:r>
      <w:r>
        <w:rPr>
          <w:rStyle w:val="57"/>
          <w:rFonts w:hint="eastAsia"/>
          <w:color w:val="auto"/>
          <w:highlight w:val="none"/>
          <w:u w:val="none"/>
        </w:rPr>
        <w:t>4</w:t>
      </w:r>
      <w:r>
        <w:rPr>
          <w:rStyle w:val="57"/>
          <w:rFonts w:hint="eastAsia"/>
          <w:color w:val="auto"/>
          <w:highlight w:val="none"/>
          <w:u w:val="none"/>
          <w:lang w:val="en-US" w:eastAsia="zh-CN"/>
        </w:rPr>
        <w:t>2</w:t>
      </w:r>
    </w:p>
    <w:p w14:paraId="7214DBA2">
      <w:pPr>
        <w:pStyle w:val="33"/>
        <w:tabs>
          <w:tab w:val="right" w:leader="dot" w:pos="8869"/>
        </w:tabs>
        <w:snapToGrid w:val="0"/>
        <w:spacing w:line="500" w:lineRule="atLeast"/>
        <w:rPr>
          <w:rFonts w:hint="eastAsia" w:ascii="宋体" w:hAnsi="宋体" w:eastAsia="宋体"/>
          <w:color w:val="auto"/>
          <w:sz w:val="24"/>
          <w:highlight w:val="none"/>
          <w:lang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7"/>
          <w:rFonts w:hint="eastAsia" w:ascii="宋体" w:hAnsi="宋体"/>
          <w:b/>
          <w:color w:val="auto"/>
          <w:sz w:val="24"/>
          <w:highlight w:val="none"/>
        </w:rPr>
        <w:t>第七章</w:t>
      </w:r>
      <w:r>
        <w:rPr>
          <w:rStyle w:val="57"/>
          <w:rFonts w:ascii="宋体" w:hAnsi="宋体"/>
          <w:b/>
          <w:color w:val="auto"/>
          <w:sz w:val="24"/>
          <w:highlight w:val="none"/>
        </w:rPr>
        <w:t xml:space="preserve"> </w:t>
      </w:r>
      <w:r>
        <w:rPr>
          <w:rStyle w:val="57"/>
          <w:rFonts w:hint="eastAsia" w:ascii="宋体" w:hAnsi="宋体"/>
          <w:b/>
          <w:color w:val="auto"/>
          <w:sz w:val="24"/>
          <w:highlight w:val="none"/>
        </w:rPr>
        <w:t>合同条款及格式</w:t>
      </w:r>
      <w:r>
        <w:rPr>
          <w:rStyle w:val="57"/>
          <w:color w:val="auto"/>
          <w:highlight w:val="none"/>
        </w:rPr>
        <w:tab/>
      </w:r>
      <w:r>
        <w:rPr>
          <w:rStyle w:val="57"/>
          <w:color w:val="auto"/>
          <w:highlight w:val="none"/>
        </w:rPr>
        <w:fldChar w:fldCharType="end"/>
      </w:r>
      <w:r>
        <w:rPr>
          <w:rStyle w:val="57"/>
          <w:rFonts w:hint="eastAsia"/>
          <w:color w:val="auto"/>
          <w:highlight w:val="none"/>
        </w:rPr>
        <w:t>7</w:t>
      </w:r>
      <w:r>
        <w:rPr>
          <w:rStyle w:val="57"/>
          <w:rFonts w:hint="eastAsia"/>
          <w:color w:val="auto"/>
          <w:highlight w:val="none"/>
          <w:lang w:val="en-US" w:eastAsia="zh-CN"/>
        </w:rPr>
        <w:t>3</w:t>
      </w:r>
    </w:p>
    <w:p w14:paraId="253AC93E">
      <w:pPr>
        <w:pStyle w:val="39"/>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5B471EDF">
      <w:pPr>
        <w:spacing w:line="400" w:lineRule="exact"/>
        <w:jc w:val="left"/>
        <w:rPr>
          <w:rFonts w:ascii="宋体" w:hAnsi="宋体"/>
          <w:b/>
          <w:color w:val="auto"/>
          <w:sz w:val="32"/>
          <w:szCs w:val="32"/>
          <w:highlight w:val="none"/>
        </w:rPr>
      </w:pPr>
    </w:p>
    <w:p w14:paraId="52783890">
      <w:pPr>
        <w:spacing w:line="400" w:lineRule="exact"/>
        <w:jc w:val="center"/>
        <w:rPr>
          <w:rFonts w:ascii="宋体" w:hAnsi="宋体"/>
          <w:b/>
          <w:color w:val="auto"/>
          <w:sz w:val="32"/>
          <w:szCs w:val="32"/>
          <w:highlight w:val="none"/>
        </w:rPr>
      </w:pPr>
    </w:p>
    <w:p w14:paraId="691EC733">
      <w:pPr>
        <w:spacing w:line="400" w:lineRule="exact"/>
        <w:jc w:val="center"/>
        <w:rPr>
          <w:rFonts w:ascii="宋体" w:hAnsi="宋体"/>
          <w:b/>
          <w:color w:val="auto"/>
          <w:sz w:val="32"/>
          <w:szCs w:val="32"/>
          <w:highlight w:val="none"/>
        </w:rPr>
      </w:pPr>
    </w:p>
    <w:p w14:paraId="5CCCD607">
      <w:pPr>
        <w:spacing w:line="400" w:lineRule="exact"/>
        <w:jc w:val="center"/>
        <w:rPr>
          <w:rFonts w:ascii="宋体" w:hAnsi="宋体"/>
          <w:b/>
          <w:color w:val="auto"/>
          <w:sz w:val="32"/>
          <w:szCs w:val="32"/>
          <w:highlight w:val="none"/>
        </w:rPr>
      </w:pPr>
    </w:p>
    <w:p w14:paraId="393BB6F7">
      <w:pPr>
        <w:spacing w:line="400" w:lineRule="exact"/>
        <w:jc w:val="center"/>
        <w:rPr>
          <w:rFonts w:ascii="宋体" w:hAnsi="宋体"/>
          <w:b/>
          <w:color w:val="auto"/>
          <w:sz w:val="32"/>
          <w:szCs w:val="32"/>
          <w:highlight w:val="none"/>
        </w:rPr>
      </w:pPr>
    </w:p>
    <w:p w14:paraId="42E6F533">
      <w:pPr>
        <w:spacing w:line="400" w:lineRule="exact"/>
        <w:rPr>
          <w:rFonts w:ascii="宋体" w:hAnsi="宋体"/>
          <w:b/>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31598CB4">
      <w:pPr>
        <w:pStyle w:val="2"/>
        <w:spacing w:after="340" w:line="360" w:lineRule="auto"/>
        <w:jc w:val="center"/>
        <w:rPr>
          <w:color w:val="auto"/>
          <w:highlight w:val="none"/>
        </w:rPr>
      </w:pPr>
      <w:bookmarkStart w:id="3" w:name="_Toc74323456"/>
      <w:bookmarkStart w:id="419" w:name="_GoBack"/>
      <w:bookmarkEnd w:id="419"/>
      <w:r>
        <w:rPr>
          <w:rFonts w:hint="eastAsia"/>
          <w:color w:val="auto"/>
          <w:highlight w:val="none"/>
        </w:rPr>
        <w:t>第一章 竞争性磋商公告</w:t>
      </w:r>
      <w:bookmarkEnd w:id="3"/>
    </w:p>
    <w:p w14:paraId="5377B3CD">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32399438">
      <w:pPr>
        <w:spacing w:line="360" w:lineRule="auto"/>
        <w:rPr>
          <w:rFonts w:ascii="宋体" w:hAnsi="宋体"/>
          <w:color w:val="auto"/>
          <w:szCs w:val="21"/>
          <w:highlight w:val="none"/>
        </w:rPr>
      </w:pPr>
    </w:p>
    <w:p w14:paraId="65F7EC8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7339DC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u w:val="single"/>
        </w:rPr>
        <w:t>桂林</w:t>
      </w:r>
      <w:r>
        <w:rPr>
          <w:rFonts w:hint="eastAsia" w:ascii="宋体" w:hAnsi="宋体" w:cs="宋体"/>
          <w:color w:val="auto"/>
          <w:szCs w:val="21"/>
          <w:highlight w:val="none"/>
          <w:u w:val="single"/>
        </w:rPr>
        <w:t>医科大学细胞基因治疗研发与临床转化联合实验室平台项目</w:t>
      </w:r>
      <w:r>
        <w:rPr>
          <w:rFonts w:hint="eastAsia" w:ascii="宋体" w:hAnsi="宋体" w:cs="宋体"/>
          <w:color w:val="auto"/>
          <w:szCs w:val="21"/>
          <w:highlight w:val="none"/>
        </w:rPr>
        <w:t>采购项目的潜在供应商应在广西政府采购云平台（https://www.gcy.zfcg.gxzf.gov.cn）获取（下载）竞争性磋商文件，并于</w:t>
      </w:r>
      <w:r>
        <w:rPr>
          <w:rFonts w:hint="eastAsia" w:ascii="宋体" w:hAnsi="宋体" w:cs="宋体"/>
          <w:bCs/>
          <w:color w:val="auto"/>
          <w:szCs w:val="21"/>
          <w:highlight w:val="none"/>
          <w:u w:val="single"/>
        </w:rPr>
        <w:t>2025年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日9</w:t>
      </w:r>
      <w:r>
        <w:rPr>
          <w:rFonts w:hint="eastAsia" w:ascii="宋体" w:hAnsi="宋体" w:cs="宋体"/>
          <w:bCs/>
          <w:color w:val="auto"/>
          <w:szCs w:val="21"/>
          <w:highlight w:val="none"/>
        </w:rPr>
        <w:t>时</w:t>
      </w:r>
      <w:r>
        <w:rPr>
          <w:rFonts w:hint="eastAsia" w:ascii="宋体" w:hAnsi="宋体" w:cs="宋体"/>
          <w:bCs/>
          <w:color w:val="auto"/>
          <w:szCs w:val="21"/>
          <w:highlight w:val="none"/>
          <w:u w:val="single"/>
        </w:rPr>
        <w:t>00</w:t>
      </w:r>
      <w:r>
        <w:rPr>
          <w:rFonts w:hint="eastAsia" w:ascii="宋体" w:hAnsi="宋体" w:cs="宋体"/>
          <w:bCs/>
          <w:color w:val="auto"/>
          <w:szCs w:val="21"/>
          <w:highlight w:val="none"/>
        </w:rPr>
        <w:t>分（北京时间）前提交（上传）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0DBE6C61">
      <w:pPr>
        <w:spacing w:line="380" w:lineRule="exact"/>
        <w:ind w:firstLine="354" w:firstLineChars="147"/>
        <w:rPr>
          <w:rFonts w:ascii="宋体" w:hAnsi="宋体" w:cs="宋体"/>
          <w:b/>
          <w:color w:val="auto"/>
          <w:sz w:val="24"/>
          <w:highlight w:val="none"/>
        </w:rPr>
      </w:pPr>
      <w:bookmarkStart w:id="5" w:name="_Toc28359012"/>
      <w:bookmarkStart w:id="6" w:name="_Toc44229878"/>
      <w:bookmarkStart w:id="7" w:name="_Toc35393629"/>
      <w:bookmarkStart w:id="8" w:name="_Toc71365905"/>
      <w:bookmarkStart w:id="9" w:name="_Toc28359089"/>
      <w:bookmarkStart w:id="10" w:name="_Toc35393798"/>
      <w:r>
        <w:rPr>
          <w:rFonts w:hint="eastAsia" w:ascii="宋体" w:hAnsi="宋体" w:cs="宋体"/>
          <w:b/>
          <w:color w:val="auto"/>
          <w:sz w:val="24"/>
          <w:highlight w:val="none"/>
        </w:rPr>
        <w:t>一、项目基本情况</w:t>
      </w:r>
      <w:bookmarkEnd w:id="5"/>
      <w:bookmarkEnd w:id="6"/>
      <w:bookmarkEnd w:id="7"/>
      <w:bookmarkEnd w:id="8"/>
      <w:bookmarkEnd w:id="9"/>
      <w:bookmarkEnd w:id="10"/>
    </w:p>
    <w:p w14:paraId="5D5073EB">
      <w:pPr>
        <w:spacing w:line="380" w:lineRule="exact"/>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项目</w:t>
      </w:r>
      <w:r>
        <w:rPr>
          <w:rFonts w:hint="eastAsia" w:ascii="宋体" w:hAnsi="宋体" w:cs="宋体"/>
          <w:color w:val="auto"/>
          <w:szCs w:val="21"/>
          <w:highlight w:val="none"/>
        </w:rPr>
        <w:t>编号：GXZC2025-C2-003210-YZLZ</w:t>
      </w:r>
      <w:r>
        <w:rPr>
          <w:rFonts w:hint="eastAsia" w:ascii="宋体" w:hAnsi="宋体" w:cs="宋体"/>
          <w:color w:val="auto"/>
          <w:szCs w:val="21"/>
          <w:highlight w:val="none"/>
          <w:lang w:eastAsia="zh-CN"/>
        </w:rPr>
        <w:t>【</w:t>
      </w:r>
      <w:r>
        <w:rPr>
          <w:rFonts w:hint="eastAsia" w:ascii="宋体" w:hAnsi="宋体" w:cs="宋体"/>
          <w:color w:val="auto"/>
          <w:szCs w:val="21"/>
          <w:highlight w:val="none"/>
        </w:rPr>
        <w:t>代理编号：YZLGL2025-C2-102-GXZC；政府采购计划编号：广西政采[2025]20065号</w:t>
      </w:r>
      <w:r>
        <w:rPr>
          <w:rFonts w:hint="eastAsia" w:ascii="宋体" w:hAnsi="宋体" w:cs="宋体"/>
          <w:color w:val="auto"/>
          <w:szCs w:val="21"/>
          <w:highlight w:val="none"/>
          <w:lang w:eastAsia="zh-CN"/>
        </w:rPr>
        <w:t>】</w:t>
      </w:r>
    </w:p>
    <w:p w14:paraId="727BDE6D">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项目名称：桂林医科大学细胞基因治疗研发与临床转化联合实验室平台项目</w:t>
      </w:r>
    </w:p>
    <w:p w14:paraId="1510F6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46CF824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1216931.49</w:t>
      </w:r>
      <w:r>
        <w:rPr>
          <w:rFonts w:hint="eastAsia" w:ascii="宋体" w:hAnsi="宋体" w:cs="宋体"/>
          <w:color w:val="auto"/>
          <w:szCs w:val="21"/>
          <w:highlight w:val="none"/>
        </w:rPr>
        <w:t>元</w:t>
      </w:r>
    </w:p>
    <w:p w14:paraId="21C5855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最高限价（如有）：1216931.49元</w:t>
      </w:r>
    </w:p>
    <w:p w14:paraId="3199CA4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标的名称、数量：桂林医科大学细胞基因治疗研发与临床转化联合实验室平台项目1项；简要技术需求或者服务要求：本项目位于广西壮族自治区桂林医科大学基础学院一层，原实验室、准备室、库房、走廊、卫生间改造为细胞基因治疗研发与临床转化联合实验室，实验室改造装修建筑面积约共计320㎡；施工内容主要为：拆除室内局部墙体、吊顶，拆除卫生间隔墙、地砖及水电设施；在原地面新铺自流平、同质透芯PVC地胶（局部新铺防滑地砖）；墙面主要新建机制岩棉玻镁彩钢板隔断（局部新增多孔页岩砖墙体面贴瓷砖）；天棚主要新建彩钢板吊顶（局部铝扣板吊顶）；门窗为钢质洁净门、电子感应门、玻璃视窗；安装部分包括给排水、暖通、消防、电气照明、气路等工程。具体详见工程量清单及图纸。</w:t>
      </w:r>
    </w:p>
    <w:p w14:paraId="73F2C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合同履行期限：计划工期为自签订合同之日起40日历天内。计划开工日期：以开工令为准。</w:t>
      </w:r>
    </w:p>
    <w:p w14:paraId="440029B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本项目不接受联合体参与磋商。</w:t>
      </w:r>
    </w:p>
    <w:p w14:paraId="554CE76F">
      <w:pPr>
        <w:spacing w:line="380" w:lineRule="exact"/>
        <w:ind w:firstLine="354" w:firstLineChars="147"/>
        <w:rPr>
          <w:rFonts w:ascii="宋体" w:hAnsi="宋体" w:cs="宋体"/>
          <w:b/>
          <w:color w:val="auto"/>
          <w:sz w:val="24"/>
          <w:highlight w:val="none"/>
        </w:rPr>
      </w:pPr>
      <w:bookmarkStart w:id="11" w:name="_Toc28359013"/>
      <w:bookmarkStart w:id="12" w:name="_Toc35393799"/>
      <w:bookmarkStart w:id="13" w:name="_Toc35393630"/>
      <w:bookmarkStart w:id="14" w:name="_Toc28359090"/>
      <w:bookmarkStart w:id="15" w:name="_Toc71365906"/>
      <w:bookmarkStart w:id="16" w:name="_Toc44229879"/>
      <w:r>
        <w:rPr>
          <w:rFonts w:hint="eastAsia" w:ascii="宋体" w:hAnsi="宋体" w:cs="宋体"/>
          <w:b/>
          <w:color w:val="auto"/>
          <w:sz w:val="24"/>
          <w:highlight w:val="none"/>
        </w:rPr>
        <w:t>二、申请人的资格条件：</w:t>
      </w:r>
      <w:bookmarkEnd w:id="11"/>
      <w:bookmarkEnd w:id="12"/>
      <w:bookmarkEnd w:id="13"/>
      <w:bookmarkEnd w:id="14"/>
      <w:bookmarkEnd w:id="15"/>
      <w:bookmarkEnd w:id="16"/>
    </w:p>
    <w:p w14:paraId="02576FA2">
      <w:pPr>
        <w:spacing w:line="380" w:lineRule="exact"/>
        <w:ind w:firstLine="420" w:firstLineChars="200"/>
        <w:rPr>
          <w:rFonts w:ascii="宋体" w:hAnsi="宋体" w:cs="宋体"/>
          <w:color w:val="auto"/>
          <w:szCs w:val="21"/>
          <w:highlight w:val="none"/>
        </w:rPr>
      </w:pPr>
      <w:bookmarkStart w:id="17" w:name="_Toc44229880"/>
      <w:bookmarkStart w:id="18" w:name="_Toc28359014"/>
      <w:bookmarkStart w:id="19" w:name="_Toc35393631"/>
      <w:bookmarkStart w:id="20" w:name="_Toc35393800"/>
      <w:bookmarkStart w:id="21" w:name="_Toc28359091"/>
      <w:r>
        <w:rPr>
          <w:rFonts w:hint="eastAsia" w:ascii="宋体" w:hAnsi="宋体" w:cs="宋体"/>
          <w:color w:val="auto"/>
          <w:szCs w:val="21"/>
          <w:highlight w:val="none"/>
        </w:rPr>
        <w:t>1.满足《中华人民共和国政府采购法》第二十二条规定；</w:t>
      </w:r>
    </w:p>
    <w:p w14:paraId="6F62595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无</w:t>
      </w:r>
      <w:r>
        <w:rPr>
          <w:rFonts w:hint="eastAsia" w:ascii="宋体" w:hAnsi="宋体" w:cs="宋体"/>
          <w:color w:val="auto"/>
          <w:kern w:val="0"/>
          <w:szCs w:val="21"/>
          <w:highlight w:val="none"/>
        </w:rPr>
        <w:t>。</w:t>
      </w:r>
    </w:p>
    <w:p w14:paraId="2B094C8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3.本项目的特定资格要求：供应商须具备建筑工程施工总承包三级以上（含三级）资质；并具备有效的安全生产许可证，在人员、设备、资金等方面具有相应的履约能力。</w:t>
      </w:r>
    </w:p>
    <w:p w14:paraId="1EC88D6A">
      <w:pPr>
        <w:spacing w:line="380" w:lineRule="exact"/>
        <w:ind w:firstLine="354" w:firstLineChars="147"/>
        <w:rPr>
          <w:rFonts w:ascii="宋体" w:hAnsi="宋体" w:cs="宋体"/>
          <w:b/>
          <w:color w:val="auto"/>
          <w:sz w:val="24"/>
          <w:highlight w:val="none"/>
        </w:rPr>
      </w:pPr>
      <w:bookmarkStart w:id="22" w:name="_Toc71365907"/>
      <w:r>
        <w:rPr>
          <w:rFonts w:hint="eastAsia" w:ascii="宋体" w:hAnsi="宋体" w:cs="宋体"/>
          <w:b/>
          <w:color w:val="auto"/>
          <w:sz w:val="24"/>
          <w:highlight w:val="none"/>
        </w:rPr>
        <w:t>三、获取竞争性磋商文件</w:t>
      </w:r>
      <w:bookmarkEnd w:id="17"/>
      <w:bookmarkEnd w:id="18"/>
      <w:bookmarkEnd w:id="19"/>
      <w:bookmarkEnd w:id="20"/>
      <w:bookmarkEnd w:id="21"/>
      <w:bookmarkEnd w:id="22"/>
    </w:p>
    <w:p w14:paraId="0EE5D6DB">
      <w:pPr>
        <w:spacing w:line="380" w:lineRule="exact"/>
        <w:ind w:firstLine="424" w:firstLineChars="202"/>
        <w:rPr>
          <w:rFonts w:ascii="宋体" w:hAnsi="宋体" w:cs="宋体"/>
          <w:bCs/>
          <w:color w:val="auto"/>
          <w:kern w:val="0"/>
          <w:szCs w:val="21"/>
          <w:highlight w:val="none"/>
        </w:rPr>
      </w:pPr>
      <w:bookmarkStart w:id="23" w:name="_Toc28359092"/>
      <w:bookmarkStart w:id="24" w:name="_Toc35393632"/>
      <w:bookmarkStart w:id="25" w:name="_Toc35393801"/>
      <w:bookmarkStart w:id="26" w:name="_Toc44229881"/>
      <w:bookmarkStart w:id="27"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，每天上午00:00至11:59，下午12:00至23:59（北京时间，法定节假日除外）</w:t>
      </w:r>
    </w:p>
    <w:p w14:paraId="22703DA4">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46F98B41">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highlight w:val="none"/>
        </w:rPr>
        <w:t>电子</w:t>
      </w:r>
      <w:r>
        <w:rPr>
          <w:rFonts w:hint="eastAsia" w:ascii="宋体" w:hAnsi="宋体" w:cs="宋体"/>
          <w:color w:val="auto"/>
          <w:highlight w:val="none"/>
        </w:rPr>
        <w:t>响应文件</w:t>
      </w:r>
      <w:r>
        <w:rPr>
          <w:rFonts w:hint="eastAsia" w:ascii="宋体" w:hAnsi="宋体" w:cs="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6E600BCF">
      <w:pPr>
        <w:spacing w:line="380" w:lineRule="exact"/>
        <w:ind w:firstLine="424" w:firstLineChars="202"/>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75B2042C">
      <w:pPr>
        <w:spacing w:line="380" w:lineRule="exact"/>
        <w:ind w:firstLine="354" w:firstLineChars="147"/>
        <w:rPr>
          <w:rFonts w:ascii="宋体" w:hAnsi="宋体" w:cs="宋体"/>
          <w:b/>
          <w:color w:val="auto"/>
          <w:sz w:val="24"/>
          <w:highlight w:val="none"/>
        </w:rPr>
      </w:pPr>
      <w:bookmarkStart w:id="28" w:name="_Toc71365908"/>
      <w:r>
        <w:rPr>
          <w:rFonts w:hint="eastAsia" w:ascii="宋体" w:hAnsi="宋体" w:cs="宋体"/>
          <w:b/>
          <w:color w:val="auto"/>
          <w:sz w:val="24"/>
          <w:highlight w:val="none"/>
        </w:rPr>
        <w:t>四、响应文件提交</w:t>
      </w:r>
      <w:bookmarkEnd w:id="23"/>
      <w:bookmarkEnd w:id="24"/>
      <w:bookmarkEnd w:id="25"/>
      <w:bookmarkEnd w:id="26"/>
      <w:bookmarkEnd w:id="27"/>
      <w:bookmarkEnd w:id="28"/>
    </w:p>
    <w:p w14:paraId="4957157A">
      <w:pPr>
        <w:spacing w:line="380" w:lineRule="exact"/>
        <w:ind w:firstLine="420" w:firstLineChars="200"/>
        <w:rPr>
          <w:rFonts w:ascii="宋体" w:hAnsi="宋体" w:cs="宋体"/>
          <w:color w:val="auto"/>
          <w:szCs w:val="21"/>
          <w:highlight w:val="none"/>
        </w:rPr>
      </w:pPr>
      <w:bookmarkStart w:id="29" w:name="_Toc28359093"/>
      <w:bookmarkStart w:id="30" w:name="_Toc35393802"/>
      <w:bookmarkStart w:id="31" w:name="_Toc44229882"/>
      <w:bookmarkStart w:id="32" w:name="_Toc28359016"/>
      <w:bookmarkStart w:id="33" w:name="_Toc35393633"/>
      <w:r>
        <w:rPr>
          <w:rFonts w:hint="eastAsia" w:ascii="宋体" w:hAnsi="宋体" w:cs="宋体"/>
          <w:color w:val="auto"/>
          <w:szCs w:val="21"/>
          <w:highlight w:val="none"/>
        </w:rPr>
        <w:t>截止时间：</w:t>
      </w:r>
      <w:r>
        <w:rPr>
          <w:rFonts w:hint="eastAsia" w:ascii="宋体" w:hAnsi="宋体" w:cs="宋体"/>
          <w:bCs/>
          <w:color w:val="auto"/>
          <w:szCs w:val="21"/>
          <w:highlight w:val="none"/>
          <w:u w:val="single"/>
        </w:rPr>
        <w:t>2025年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日</w:t>
      </w:r>
      <w:r>
        <w:rPr>
          <w:rFonts w:hint="eastAsia" w:ascii="宋体" w:hAnsi="宋体" w:cs="宋体"/>
          <w:color w:val="auto"/>
          <w:szCs w:val="21"/>
          <w:highlight w:val="none"/>
        </w:rPr>
        <w:t>上午9点00分（北京时间）</w:t>
      </w:r>
    </w:p>
    <w:p w14:paraId="2CDFCF2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p>
    <w:p w14:paraId="211AB8E0">
      <w:pPr>
        <w:spacing w:line="380" w:lineRule="exact"/>
        <w:ind w:firstLine="354" w:firstLineChars="147"/>
        <w:rPr>
          <w:rFonts w:ascii="宋体" w:hAnsi="宋体" w:cs="宋体"/>
          <w:b/>
          <w:color w:val="auto"/>
          <w:sz w:val="24"/>
          <w:highlight w:val="none"/>
        </w:rPr>
      </w:pPr>
      <w:bookmarkStart w:id="34" w:name="_Toc71365909"/>
      <w:r>
        <w:rPr>
          <w:rFonts w:hint="eastAsia" w:ascii="宋体" w:hAnsi="宋体" w:cs="宋体"/>
          <w:b/>
          <w:color w:val="auto"/>
          <w:sz w:val="24"/>
          <w:highlight w:val="none"/>
        </w:rPr>
        <w:t>五、开启</w:t>
      </w:r>
      <w:bookmarkEnd w:id="29"/>
      <w:bookmarkEnd w:id="30"/>
      <w:bookmarkEnd w:id="31"/>
      <w:bookmarkEnd w:id="32"/>
      <w:bookmarkEnd w:id="33"/>
      <w:bookmarkEnd w:id="34"/>
    </w:p>
    <w:p w14:paraId="19333B93">
      <w:pPr>
        <w:spacing w:line="38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bCs/>
          <w:color w:val="auto"/>
          <w:szCs w:val="21"/>
          <w:highlight w:val="none"/>
          <w:u w:val="single"/>
        </w:rPr>
        <w:t>2025年11月7日</w:t>
      </w:r>
      <w:r>
        <w:rPr>
          <w:rFonts w:hint="eastAsia" w:ascii="宋体" w:hAnsi="宋体" w:cs="宋体"/>
          <w:bCs/>
          <w:color w:val="auto"/>
          <w:szCs w:val="21"/>
          <w:highlight w:val="none"/>
        </w:rPr>
        <w:t>上午9时00分（北京时间）</w:t>
      </w:r>
    </w:p>
    <w:p w14:paraId="5D8133D8">
      <w:pPr>
        <w:spacing w:line="38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p>
    <w:p w14:paraId="40AEBD36">
      <w:pPr>
        <w:spacing w:line="380" w:lineRule="exact"/>
        <w:ind w:firstLine="354" w:firstLineChars="147"/>
        <w:rPr>
          <w:rFonts w:ascii="宋体" w:hAnsi="宋体" w:cs="宋体"/>
          <w:b/>
          <w:color w:val="auto"/>
          <w:sz w:val="24"/>
          <w:highlight w:val="none"/>
        </w:rPr>
      </w:pPr>
      <w:bookmarkStart w:id="35" w:name="_Toc28359094"/>
      <w:bookmarkStart w:id="36" w:name="_Toc71365910"/>
      <w:bookmarkStart w:id="37" w:name="_Toc28359017"/>
      <w:bookmarkStart w:id="38" w:name="_Toc35393803"/>
      <w:bookmarkStart w:id="39" w:name="_Toc35393634"/>
      <w:bookmarkStart w:id="40" w:name="_Toc44229883"/>
      <w:r>
        <w:rPr>
          <w:rFonts w:hint="eastAsia" w:ascii="宋体" w:hAnsi="宋体" w:cs="宋体"/>
          <w:b/>
          <w:color w:val="auto"/>
          <w:sz w:val="24"/>
          <w:highlight w:val="none"/>
        </w:rPr>
        <w:t>六、公告期限</w:t>
      </w:r>
      <w:bookmarkEnd w:id="35"/>
      <w:bookmarkEnd w:id="36"/>
      <w:bookmarkEnd w:id="37"/>
      <w:bookmarkEnd w:id="38"/>
      <w:bookmarkEnd w:id="39"/>
      <w:bookmarkEnd w:id="40"/>
    </w:p>
    <w:p w14:paraId="0A9D8EFF">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9837FF6">
      <w:pPr>
        <w:spacing w:line="380" w:lineRule="exact"/>
        <w:ind w:firstLine="354" w:firstLineChars="147"/>
        <w:rPr>
          <w:rFonts w:ascii="宋体" w:hAnsi="宋体" w:cs="宋体"/>
          <w:b/>
          <w:color w:val="auto"/>
          <w:sz w:val="24"/>
          <w:highlight w:val="none"/>
        </w:rPr>
      </w:pPr>
      <w:bookmarkStart w:id="41" w:name="_Toc35393635"/>
      <w:bookmarkStart w:id="42" w:name="_Toc71365911"/>
      <w:bookmarkStart w:id="43" w:name="_Toc44229884"/>
      <w:bookmarkStart w:id="44" w:name="_Toc35393804"/>
      <w:r>
        <w:rPr>
          <w:rFonts w:hint="eastAsia" w:ascii="宋体" w:hAnsi="宋体" w:cs="宋体"/>
          <w:b/>
          <w:color w:val="auto"/>
          <w:sz w:val="24"/>
          <w:highlight w:val="none"/>
        </w:rPr>
        <w:t>七、其他补充事宜</w:t>
      </w:r>
      <w:bookmarkEnd w:id="41"/>
      <w:bookmarkEnd w:id="42"/>
      <w:bookmarkEnd w:id="43"/>
      <w:bookmarkEnd w:id="44"/>
    </w:p>
    <w:p w14:paraId="24D0EA78">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1.网上查询地址</w:t>
      </w:r>
    </w:p>
    <w:p w14:paraId="7DBFB8DC">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w:t>
      </w:r>
      <w:r>
        <w:rPr>
          <w:rFonts w:hint="eastAsia" w:ascii="宋体" w:hAnsi="宋体" w:cs="宋体"/>
          <w:i/>
          <w:color w:val="auto"/>
          <w:kern w:val="0"/>
          <w:szCs w:val="21"/>
          <w:highlight w:val="none"/>
        </w:rPr>
        <w:t>。</w:t>
      </w:r>
    </w:p>
    <w:p w14:paraId="3F23C3C3">
      <w:pPr>
        <w:spacing w:line="380" w:lineRule="exact"/>
        <w:ind w:firstLine="420" w:firstLineChars="200"/>
        <w:rPr>
          <w:rFonts w:ascii="宋体" w:hAnsi="宋体" w:cs="宋体"/>
          <w:color w:val="auto"/>
          <w:kern w:val="0"/>
          <w:szCs w:val="21"/>
          <w:highlight w:val="none"/>
        </w:rPr>
      </w:pPr>
      <w:bookmarkStart w:id="45" w:name="_Hlk37429674"/>
      <w:bookmarkStart w:id="46" w:name="_Toc35393636"/>
      <w:bookmarkStart w:id="47" w:name="_Toc35393805"/>
      <w:bookmarkStart w:id="48" w:name="_Toc28359018"/>
      <w:bookmarkStart w:id="49" w:name="_Toc28359095"/>
      <w:bookmarkStart w:id="50" w:name="_Toc44229885"/>
      <w:r>
        <w:rPr>
          <w:rFonts w:hint="eastAsia" w:ascii="宋体" w:hAnsi="宋体" w:cs="宋体"/>
          <w:color w:val="auto"/>
          <w:kern w:val="0"/>
          <w:szCs w:val="21"/>
          <w:highlight w:val="none"/>
        </w:rPr>
        <w:t>2.本项目需要落实的政府采购政策</w:t>
      </w:r>
    </w:p>
    <w:p w14:paraId="5A19E2C9">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E1E15C8">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3366E8D">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A3BE958">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773B1CF">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5"/>
    <w:p w14:paraId="4C7907B3">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5A292C07">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https://www.gcy.zfcg.gxzf.gov.cn）实行在线电子竞标，供应商应按照本项目竞争性磋商文件和广西政府采购云平台的要求编制、加密</w:t>
      </w:r>
      <w:r>
        <w:rPr>
          <w:rFonts w:hint="eastAsia" w:ascii="宋体" w:hAnsi="宋体" w:cs="宋体"/>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88AE5C0">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0771-3381253）。</w:t>
      </w:r>
    </w:p>
    <w:p w14:paraId="039CF575">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78142FA">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4F33082">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（4）供应商需要在具备摄像头及语音功能且互联网网络状况良好的电脑登录广西政府采购云平台远程开标大厅参与本次磋商，否则后果自负。</w:t>
      </w:r>
    </w:p>
    <w:p w14:paraId="3098D434">
      <w:pPr>
        <w:spacing w:line="38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6"/>
      <w:bookmarkEnd w:id="47"/>
      <w:bookmarkEnd w:id="48"/>
      <w:bookmarkEnd w:id="49"/>
      <w:bookmarkEnd w:id="50"/>
    </w:p>
    <w:p w14:paraId="721194CC">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1.采购人信息</w:t>
      </w:r>
    </w:p>
    <w:p w14:paraId="27864202">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名称：桂林医科大学</w:t>
      </w:r>
    </w:p>
    <w:p w14:paraId="649F0FC8">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地址：广西桂林市临桂区致远路1号</w:t>
      </w:r>
    </w:p>
    <w:p w14:paraId="452D4951">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联系方式：</w:t>
      </w:r>
      <w:bookmarkStart w:id="51" w:name="_Toc28359009"/>
      <w:bookmarkStart w:id="52" w:name="_Toc28359086"/>
      <w:r>
        <w:rPr>
          <w:rFonts w:hint="eastAsia" w:ascii="宋体" w:hAnsi="宋体" w:cs="宋体"/>
          <w:color w:val="auto"/>
          <w:szCs w:val="21"/>
          <w:highlight w:val="none"/>
        </w:rPr>
        <w:t xml:space="preserve">王随义0773-3662950 </w:t>
      </w:r>
    </w:p>
    <w:bookmarkEnd w:id="4"/>
    <w:bookmarkEnd w:id="51"/>
    <w:bookmarkEnd w:id="52"/>
    <w:p w14:paraId="725A49FB">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AC33C06">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名称：云之龙咨询集团有限公司</w:t>
      </w:r>
    </w:p>
    <w:p w14:paraId="35DA4E28">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地址：广西壮族自治区桂林市临桂区西城北路2号耀辉•美好家园2幢12层1号房</w:t>
      </w:r>
    </w:p>
    <w:p w14:paraId="483CE31D">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联系方式：0773-2887388、2887399</w:t>
      </w:r>
    </w:p>
    <w:p w14:paraId="284FCC3C">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7E26F2C0">
      <w:pPr>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项目联系人：吕雯</w:t>
      </w:r>
    </w:p>
    <w:p w14:paraId="0EFFE3F6">
      <w:pPr>
        <w:spacing w:line="400" w:lineRule="exact"/>
        <w:ind w:firstLine="420" w:firstLineChars="200"/>
        <w:jc w:val="left"/>
        <w:rPr>
          <w:rFonts w:ascii="宋体" w:hAnsi="宋体"/>
          <w:color w:val="auto"/>
          <w:sz w:val="32"/>
          <w:szCs w:val="32"/>
          <w:highlight w:val="none"/>
        </w:rPr>
      </w:pPr>
      <w:r>
        <w:rPr>
          <w:rFonts w:hint="eastAsia" w:ascii="宋体" w:hAnsi="宋体" w:cs="宋体"/>
          <w:color w:val="auto"/>
          <w:szCs w:val="21"/>
          <w:highlight w:val="none"/>
        </w:rPr>
        <w:t>电话：0773-2887388、2887399</w:t>
      </w:r>
    </w:p>
    <w:p w14:paraId="09D90958">
      <w:pPr>
        <w:spacing w:line="400" w:lineRule="exact"/>
        <w:jc w:val="center"/>
        <w:rPr>
          <w:rFonts w:ascii="宋体" w:hAnsi="宋体"/>
          <w:color w:val="auto"/>
          <w:sz w:val="32"/>
          <w:szCs w:val="32"/>
          <w:highlight w:val="none"/>
        </w:rPr>
      </w:pPr>
    </w:p>
    <w:p w14:paraId="6648388D">
      <w:pPr>
        <w:spacing w:line="400" w:lineRule="exact"/>
        <w:jc w:val="center"/>
        <w:rPr>
          <w:rFonts w:ascii="宋体" w:hAnsi="宋体"/>
          <w:color w:val="auto"/>
          <w:sz w:val="32"/>
          <w:szCs w:val="32"/>
          <w:highlight w:val="none"/>
        </w:rPr>
      </w:pPr>
    </w:p>
    <w:p w14:paraId="7BAE7347">
      <w:pPr>
        <w:spacing w:line="400" w:lineRule="exact"/>
        <w:jc w:val="center"/>
        <w:rPr>
          <w:rFonts w:ascii="宋体" w:hAnsi="宋体"/>
          <w:color w:val="auto"/>
          <w:sz w:val="32"/>
          <w:szCs w:val="32"/>
          <w:highlight w:val="none"/>
        </w:rPr>
      </w:pPr>
    </w:p>
    <w:p w14:paraId="6E8966DF">
      <w:pPr>
        <w:spacing w:line="400" w:lineRule="exact"/>
        <w:jc w:val="center"/>
        <w:rPr>
          <w:rFonts w:ascii="宋体" w:hAnsi="宋体"/>
          <w:color w:val="auto"/>
          <w:sz w:val="32"/>
          <w:szCs w:val="32"/>
          <w:highlight w:val="none"/>
        </w:rPr>
      </w:pPr>
    </w:p>
    <w:p w14:paraId="283C716C">
      <w:pPr>
        <w:spacing w:line="400" w:lineRule="exact"/>
        <w:jc w:val="center"/>
        <w:rPr>
          <w:rFonts w:ascii="宋体" w:hAnsi="宋体"/>
          <w:color w:val="auto"/>
          <w:sz w:val="32"/>
          <w:szCs w:val="32"/>
          <w:highlight w:val="none"/>
        </w:rPr>
      </w:pPr>
    </w:p>
    <w:p w14:paraId="31D8122E">
      <w:pPr>
        <w:spacing w:line="400" w:lineRule="exact"/>
        <w:jc w:val="center"/>
        <w:rPr>
          <w:rFonts w:ascii="宋体" w:hAnsi="宋体"/>
          <w:color w:val="auto"/>
          <w:sz w:val="32"/>
          <w:szCs w:val="32"/>
          <w:highlight w:val="none"/>
        </w:rPr>
      </w:pPr>
    </w:p>
    <w:p w14:paraId="493E2F4D">
      <w:pPr>
        <w:spacing w:line="400" w:lineRule="exact"/>
        <w:jc w:val="center"/>
        <w:rPr>
          <w:rFonts w:ascii="宋体" w:hAnsi="宋体"/>
          <w:color w:val="auto"/>
          <w:sz w:val="32"/>
          <w:szCs w:val="32"/>
          <w:highlight w:val="none"/>
        </w:rPr>
      </w:pPr>
    </w:p>
    <w:p w14:paraId="71A96679">
      <w:pPr>
        <w:spacing w:line="400" w:lineRule="exact"/>
        <w:jc w:val="center"/>
        <w:rPr>
          <w:rFonts w:ascii="宋体" w:hAnsi="宋体"/>
          <w:color w:val="auto"/>
          <w:sz w:val="32"/>
          <w:szCs w:val="32"/>
          <w:highlight w:val="none"/>
        </w:rPr>
      </w:pPr>
    </w:p>
    <w:p w14:paraId="0ACD376E">
      <w:pPr>
        <w:spacing w:line="400" w:lineRule="exact"/>
        <w:jc w:val="center"/>
        <w:rPr>
          <w:rFonts w:ascii="宋体" w:hAnsi="宋体"/>
          <w:color w:val="auto"/>
          <w:sz w:val="32"/>
          <w:szCs w:val="32"/>
          <w:highlight w:val="none"/>
        </w:rPr>
      </w:pPr>
    </w:p>
    <w:p w14:paraId="7DD43A05">
      <w:pPr>
        <w:spacing w:line="400" w:lineRule="exact"/>
        <w:jc w:val="center"/>
        <w:rPr>
          <w:rFonts w:ascii="宋体" w:hAnsi="宋体"/>
          <w:color w:val="auto"/>
          <w:sz w:val="32"/>
          <w:szCs w:val="32"/>
          <w:highlight w:val="none"/>
        </w:rPr>
      </w:pPr>
    </w:p>
    <w:p w14:paraId="51C2C175">
      <w:pPr>
        <w:spacing w:line="400" w:lineRule="exact"/>
        <w:jc w:val="center"/>
        <w:rPr>
          <w:rFonts w:ascii="宋体" w:hAnsi="宋体"/>
          <w:color w:val="auto"/>
          <w:sz w:val="32"/>
          <w:szCs w:val="32"/>
          <w:highlight w:val="none"/>
        </w:rPr>
      </w:pPr>
    </w:p>
    <w:p w14:paraId="37849838">
      <w:pPr>
        <w:spacing w:line="400" w:lineRule="exact"/>
        <w:jc w:val="center"/>
        <w:rPr>
          <w:rFonts w:ascii="宋体" w:hAnsi="宋体"/>
          <w:color w:val="auto"/>
          <w:sz w:val="32"/>
          <w:szCs w:val="32"/>
          <w:highlight w:val="none"/>
        </w:rPr>
      </w:pPr>
    </w:p>
    <w:p w14:paraId="74D079B4">
      <w:pPr>
        <w:spacing w:line="400" w:lineRule="exact"/>
        <w:jc w:val="center"/>
        <w:rPr>
          <w:rFonts w:ascii="宋体" w:hAnsi="宋体"/>
          <w:color w:val="auto"/>
          <w:sz w:val="32"/>
          <w:szCs w:val="32"/>
          <w:highlight w:val="none"/>
        </w:rPr>
      </w:pPr>
    </w:p>
    <w:p w14:paraId="7CD9D4AA">
      <w:pPr>
        <w:spacing w:line="400" w:lineRule="exact"/>
        <w:jc w:val="center"/>
        <w:rPr>
          <w:rFonts w:ascii="宋体" w:hAnsi="宋体"/>
          <w:color w:val="auto"/>
          <w:sz w:val="32"/>
          <w:szCs w:val="32"/>
          <w:highlight w:val="none"/>
        </w:rPr>
      </w:pPr>
    </w:p>
    <w:p w14:paraId="228C1A8F">
      <w:pPr>
        <w:spacing w:line="400" w:lineRule="exact"/>
        <w:jc w:val="center"/>
        <w:rPr>
          <w:rFonts w:ascii="宋体" w:hAnsi="宋体"/>
          <w:color w:val="auto"/>
          <w:sz w:val="32"/>
          <w:szCs w:val="32"/>
          <w:highlight w:val="none"/>
        </w:rPr>
      </w:pPr>
    </w:p>
    <w:p w14:paraId="27E41468">
      <w:pPr>
        <w:spacing w:line="400" w:lineRule="exact"/>
        <w:jc w:val="center"/>
        <w:rPr>
          <w:rFonts w:ascii="宋体" w:hAnsi="宋体"/>
          <w:color w:val="auto"/>
          <w:sz w:val="32"/>
          <w:szCs w:val="32"/>
          <w:highlight w:val="none"/>
        </w:rPr>
      </w:pPr>
    </w:p>
    <w:p w14:paraId="2B44903B">
      <w:pPr>
        <w:spacing w:line="400" w:lineRule="exact"/>
        <w:jc w:val="center"/>
        <w:rPr>
          <w:rFonts w:ascii="宋体" w:hAnsi="宋体"/>
          <w:color w:val="auto"/>
          <w:sz w:val="32"/>
          <w:szCs w:val="32"/>
          <w:highlight w:val="none"/>
        </w:rPr>
      </w:pPr>
    </w:p>
    <w:p w14:paraId="4BC07BB6">
      <w:pPr>
        <w:spacing w:line="400" w:lineRule="exact"/>
        <w:jc w:val="center"/>
        <w:rPr>
          <w:rFonts w:ascii="宋体" w:hAnsi="宋体"/>
          <w:color w:val="auto"/>
          <w:sz w:val="32"/>
          <w:szCs w:val="32"/>
          <w:highlight w:val="none"/>
        </w:rPr>
      </w:pPr>
    </w:p>
    <w:p w14:paraId="3256DBFF">
      <w:pPr>
        <w:spacing w:line="400" w:lineRule="exact"/>
        <w:jc w:val="center"/>
        <w:rPr>
          <w:rFonts w:ascii="宋体" w:hAnsi="宋体"/>
          <w:color w:val="auto"/>
          <w:sz w:val="32"/>
          <w:szCs w:val="32"/>
          <w:highlight w:val="none"/>
        </w:rPr>
      </w:pPr>
    </w:p>
    <w:p w14:paraId="4942882C">
      <w:pPr>
        <w:spacing w:line="400" w:lineRule="exact"/>
        <w:jc w:val="center"/>
        <w:rPr>
          <w:rFonts w:ascii="宋体" w:hAnsi="宋体"/>
          <w:color w:val="auto"/>
          <w:sz w:val="32"/>
          <w:szCs w:val="32"/>
          <w:highlight w:val="none"/>
        </w:rPr>
      </w:pPr>
    </w:p>
    <w:p w14:paraId="24399B17">
      <w:pPr>
        <w:spacing w:line="400" w:lineRule="exact"/>
        <w:jc w:val="center"/>
        <w:rPr>
          <w:rFonts w:ascii="宋体" w:hAnsi="宋体"/>
          <w:color w:val="auto"/>
          <w:sz w:val="32"/>
          <w:szCs w:val="32"/>
          <w:highlight w:val="none"/>
        </w:rPr>
      </w:pPr>
    </w:p>
    <w:p w14:paraId="78EA39EB">
      <w:pPr>
        <w:pStyle w:val="2"/>
        <w:spacing w:before="300" w:after="300" w:line="360" w:lineRule="auto"/>
        <w:jc w:val="center"/>
        <w:rPr>
          <w:color w:val="auto"/>
          <w:highlight w:val="none"/>
        </w:rPr>
      </w:pPr>
      <w:bookmarkStart w:id="53" w:name="_Toc74323457"/>
      <w:r>
        <w:rPr>
          <w:rFonts w:hint="eastAsia"/>
          <w:color w:val="auto"/>
          <w:highlight w:val="none"/>
        </w:rPr>
        <w:t>第二章 供应商须知</w:t>
      </w:r>
      <w:bookmarkEnd w:id="53"/>
    </w:p>
    <w:p w14:paraId="4CBCF39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07DAC8FF">
      <w:pPr>
        <w:spacing w:line="400" w:lineRule="exact"/>
        <w:jc w:val="center"/>
        <w:rPr>
          <w:rFonts w:ascii="宋体" w:hAnsi="宋体"/>
          <w:b/>
          <w:color w:val="auto"/>
          <w:sz w:val="32"/>
          <w:szCs w:val="32"/>
          <w:highlight w:val="none"/>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FFB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F5D94E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74258F6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329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1935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1F2AADCA">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4359EB7C">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BABCA5D">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w:t>
            </w:r>
            <w:r>
              <w:rPr>
                <w:color w:val="auto"/>
                <w:highlight w:val="none"/>
              </w:rPr>
              <w:t>为本项目提供过整体设计、规范编制或者项目管理、监理、检测等服务的供应商，不得再参加该采购项目的其他采购活动。</w:t>
            </w:r>
          </w:p>
          <w:p w14:paraId="387F3537">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ascii="宋体" w:hAnsi="宋体" w:cs="宋体"/>
                <w:color w:val="auto"/>
                <w:szCs w:val="21"/>
                <w:highlight w:val="none"/>
              </w:rPr>
              <w:t>https://www.creditchina.gov.cn</w:t>
            </w:r>
            <w:r>
              <w:rPr>
                <w:rFonts w:hint="eastAsia" w:ascii="宋体" w:hAnsi="宋体" w:cs="宋体"/>
                <w:color w:val="auto"/>
                <w:szCs w:val="21"/>
                <w:highlight w:val="none"/>
              </w:rPr>
              <w:t>） 、中国政府采购网（</w:t>
            </w:r>
            <w:r>
              <w:rPr>
                <w:rFonts w:ascii="宋体" w:hAnsi="宋体" w:cs="宋体"/>
                <w:color w:val="auto"/>
                <w:szCs w:val="21"/>
                <w:highlight w:val="none"/>
              </w:rPr>
              <w:t>http://www.ccgp.gov.cn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026C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7ABF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540C9992">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2244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159B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3F079DFC">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本项目不接受联合体参与磋商</w:t>
            </w:r>
          </w:p>
        </w:tc>
      </w:tr>
      <w:tr w14:paraId="09D29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4B85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1553FD2A">
            <w:pPr>
              <w:pStyle w:val="17"/>
              <w:spacing w:line="360" w:lineRule="auto"/>
              <w:rPr>
                <w:rFonts w:ascii="宋体" w:hAnsi="宋体"/>
                <w:color w:val="auto"/>
                <w:highlight w:val="none"/>
              </w:rPr>
            </w:pPr>
            <w:r>
              <w:rPr>
                <w:color w:val="auto"/>
                <w:highlight w:val="none"/>
              </w:rPr>
              <w:sym w:font="Wingdings" w:char="00FE"/>
            </w:r>
            <w:r>
              <w:rPr>
                <w:rFonts w:hint="eastAsia" w:ascii="宋体" w:hAnsi="宋体"/>
                <w:color w:val="auto"/>
                <w:highlight w:val="none"/>
              </w:rPr>
              <w:t>不允许分包</w:t>
            </w:r>
          </w:p>
          <w:p w14:paraId="5223FA64">
            <w:pPr>
              <w:pStyle w:val="17"/>
              <w:spacing w:line="360" w:lineRule="auto"/>
              <w:rPr>
                <w:rFonts w:ascii="宋体" w:hAnsi="宋体"/>
                <w:color w:val="auto"/>
                <w:highlight w:val="none"/>
              </w:rPr>
            </w:pPr>
            <w:r>
              <w:rPr>
                <w:rFonts w:hint="eastAsia" w:ascii="宋体" w:hAnsi="宋体"/>
                <w:color w:val="auto"/>
                <w:highlight w:val="none"/>
              </w:rPr>
              <w:t>□允许分包</w:t>
            </w:r>
          </w:p>
          <w:p w14:paraId="4949A8C4">
            <w:pPr>
              <w:pStyle w:val="17"/>
              <w:spacing w:line="360" w:lineRule="auto"/>
              <w:rPr>
                <w:rFonts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r>
              <w:rPr>
                <w:rFonts w:hint="eastAsia" w:ascii="宋体" w:hAnsi="宋体"/>
                <w:color w:val="auto"/>
                <w:highlight w:val="none"/>
              </w:rPr>
              <w:t>。</w:t>
            </w:r>
          </w:p>
          <w:p w14:paraId="29DC4A43">
            <w:pPr>
              <w:pStyle w:val="17"/>
              <w:spacing w:line="360" w:lineRule="auto"/>
              <w:rPr>
                <w:rFonts w:ascii="宋体" w:hAnsi="宋体"/>
                <w:color w:val="auto"/>
                <w:highlight w:val="none"/>
                <w:u w:val="single"/>
              </w:rPr>
            </w:pPr>
            <w:r>
              <w:rPr>
                <w:rFonts w:hint="eastAsia" w:ascii="宋体" w:hAnsi="宋体"/>
                <w:color w:val="auto"/>
                <w:highlight w:val="none"/>
              </w:rPr>
              <w:t>分包金额或者比例：</w:t>
            </w:r>
            <w:r>
              <w:rPr>
                <w:rFonts w:hint="eastAsia" w:ascii="宋体" w:hAnsi="宋体"/>
                <w:color w:val="auto"/>
                <w:highlight w:val="none"/>
                <w:u w:val="single"/>
              </w:rPr>
              <w:t xml:space="preserve">                                     </w:t>
            </w:r>
            <w:r>
              <w:rPr>
                <w:rFonts w:hint="eastAsia" w:ascii="宋体" w:hAnsi="宋体"/>
                <w:color w:val="auto"/>
                <w:highlight w:val="none"/>
              </w:rPr>
              <w:t>。</w:t>
            </w:r>
          </w:p>
          <w:p w14:paraId="0319A4C4">
            <w:pPr>
              <w:pStyle w:val="17"/>
              <w:spacing w:line="360" w:lineRule="auto"/>
              <w:rPr>
                <w:rFonts w:ascii="宋体" w:hAnsi="宋体"/>
                <w:color w:val="auto"/>
                <w:highlight w:val="none"/>
              </w:rPr>
            </w:pPr>
            <w:r>
              <w:rPr>
                <w:rFonts w:hint="eastAsia" w:ascii="宋体" w:hAnsi="宋体"/>
                <w:color w:val="auto"/>
                <w:highlight w:val="none"/>
              </w:rPr>
              <w:t>分包供应商必须具备的资质：</w:t>
            </w:r>
            <w:r>
              <w:rPr>
                <w:rFonts w:hint="eastAsia" w:ascii="宋体" w:hAnsi="宋体"/>
                <w:color w:val="auto"/>
                <w:highlight w:val="none"/>
                <w:u w:val="single"/>
              </w:rPr>
              <w:t xml:space="preserve">                                </w:t>
            </w:r>
            <w:r>
              <w:rPr>
                <w:rFonts w:hint="eastAsia" w:ascii="宋体" w:hAnsi="宋体"/>
                <w:color w:val="auto"/>
                <w:highlight w:val="none"/>
              </w:rPr>
              <w:t>。</w:t>
            </w:r>
          </w:p>
        </w:tc>
      </w:tr>
      <w:tr w14:paraId="6407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06A1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978670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B16820B">
            <w:pPr>
              <w:pStyle w:val="17"/>
              <w:spacing w:line="360" w:lineRule="auto"/>
              <w:rPr>
                <w:rFonts w:ascii="宋体" w:hAnsi="宋体"/>
                <w:color w:val="auto"/>
                <w:highlight w:val="none"/>
              </w:rPr>
            </w:pPr>
            <w:r>
              <w:rPr>
                <w:rFonts w:hint="eastAsia" w:ascii="宋体" w:hAnsi="宋体"/>
                <w:color w:val="auto"/>
                <w:highlight w:val="none"/>
              </w:rPr>
              <w:t>1.供应商为法人或者其他组织的提供其营业执照等证明文件复印件（如营业执照或者事业单位法人证书或者执业许可证或者登记证书等）；（</w:t>
            </w:r>
            <w:r>
              <w:rPr>
                <w:rFonts w:hint="eastAsia" w:ascii="宋体" w:hAnsi="宋体"/>
                <w:b/>
                <w:color w:val="auto"/>
                <w:highlight w:val="none"/>
              </w:rPr>
              <w:t>必须提供，否则响应文件按无效处理</w:t>
            </w:r>
            <w:r>
              <w:rPr>
                <w:rFonts w:hint="eastAsia" w:ascii="宋体" w:hAnsi="宋体"/>
                <w:color w:val="auto"/>
                <w:highlight w:val="none"/>
              </w:rPr>
              <w:t>）</w:t>
            </w:r>
          </w:p>
          <w:p w14:paraId="1987A07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依法免税的供应商，必须提供符合免税条件的证明材料。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322A442">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月以来任意1个月的依法缴纳社会保障资金的缴费证明材料（专用收据、社会保险缴纳清单或社保部门的证明）复印件；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3043AF6">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【2024年度经会计师事务所或审计机构审计的财务状况报告复印件（包括资产负债表、现金流量表、利润表），</w:t>
            </w:r>
            <w:r>
              <w:rPr>
                <w:rFonts w:hint="eastAsia" w:asciiTheme="minorEastAsia" w:hAnsiTheme="minorEastAsia" w:eastAsiaTheme="minorEastAsia"/>
                <w:color w:val="auto"/>
                <w:szCs w:val="21"/>
                <w:highlight w:val="none"/>
              </w:rPr>
              <w:t>或者20</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5年以来银行出具的资信证明，或者2</w:t>
            </w:r>
            <w:r>
              <w:rPr>
                <w:rFonts w:asciiTheme="minorEastAsia" w:hAnsiTheme="minorEastAsia" w:eastAsiaTheme="minorEastAsia"/>
                <w:color w:val="auto"/>
                <w:szCs w:val="21"/>
                <w:highlight w:val="none"/>
              </w:rPr>
              <w:t>02</w:t>
            </w:r>
            <w:r>
              <w:rPr>
                <w:rFonts w:hint="eastAsia" w:asciiTheme="minorEastAsia" w:hAnsiTheme="minorEastAsia" w:eastAsiaTheme="minorEastAsia"/>
                <w:color w:val="auto"/>
                <w:szCs w:val="21"/>
                <w:highlight w:val="none"/>
              </w:rPr>
              <w:t>5年</w:t>
            </w:r>
            <w:r>
              <w:rPr>
                <w:rFonts w:hint="eastAsia"/>
                <w:color w:val="auto"/>
                <w:szCs w:val="21"/>
                <w:highlight w:val="none"/>
              </w:rPr>
              <w:t>以来中国人民银行征信中心出具的信用报告；供应商属于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3456D80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2AB055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F8072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rPr>
              <w:t>供应商有效的建筑工程施工总承包三级以上（含三级）资质证书复印件；</w:t>
            </w:r>
            <w:r>
              <w:rPr>
                <w:rFonts w:hint="eastAsia" w:ascii="宋体" w:hAnsi="宋体" w:cs="宋体"/>
                <w:b/>
                <w:color w:val="auto"/>
                <w:szCs w:val="21"/>
                <w:highlight w:val="none"/>
              </w:rPr>
              <w:t>（必须提供，否则响应文件按无效处理）</w:t>
            </w:r>
          </w:p>
          <w:p w14:paraId="47369638">
            <w:pPr>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w:t>8.供应商的有效的安全生产许可证复印件；</w:t>
            </w:r>
            <w:r>
              <w:rPr>
                <w:rFonts w:hint="eastAsia" w:ascii="宋体" w:hAnsi="宋体" w:cs="宋体"/>
                <w:b/>
                <w:color w:val="auto"/>
                <w:szCs w:val="21"/>
                <w:highlight w:val="none"/>
              </w:rPr>
              <w:t>（必须提供，否则响应文件按无效处理）</w:t>
            </w:r>
          </w:p>
          <w:p w14:paraId="142DBE4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9.在人员、设备、资金等方面具有相应履约能力的承诺函；（格式后附）</w:t>
            </w:r>
            <w:r>
              <w:rPr>
                <w:rFonts w:hint="eastAsia" w:ascii="宋体" w:hAnsi="宋体" w:cs="宋体"/>
                <w:b/>
                <w:color w:val="auto"/>
                <w:szCs w:val="21"/>
                <w:highlight w:val="none"/>
              </w:rPr>
              <w:t>（必须提供，否则响应文件按无效处理）</w:t>
            </w:r>
          </w:p>
          <w:p w14:paraId="212C663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.除磋商文件规定必须提供以外，供应商认为需要提供的其他证明材料；</w:t>
            </w:r>
          </w:p>
          <w:p w14:paraId="3F596867">
            <w:pPr>
              <w:snapToGrid w:val="0"/>
              <w:spacing w:line="360" w:lineRule="auto"/>
              <w:jc w:val="left"/>
              <w:rPr>
                <w:rFonts w:ascii="宋体" w:hAnsi="宋体"/>
                <w:b/>
                <w:color w:val="auto"/>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必须提供的材料在第五章“响应文件格式”中有要求法定代表人或委托代理人签字（或者电子签名）的，必须由法定代表人或委托代理人签字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否则响应文件按无效处理。其中，竞标声明必须由法定代表人在规定签章处签字（或电子签名），并加盖供应商电子签章，否则响应文件按无效处理。</w:t>
            </w:r>
          </w:p>
        </w:tc>
      </w:tr>
      <w:tr w14:paraId="5287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E09D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2FA081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7D15E852">
            <w:pPr>
              <w:spacing w:line="360" w:lineRule="auto"/>
              <w:rPr>
                <w:rFonts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C7E7D03">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B8EB33C">
            <w:pPr>
              <w:spacing w:line="360" w:lineRule="auto"/>
              <w:rPr>
                <w:rFonts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C7EC1CA">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45DD36AD">
            <w:pPr>
              <w:snapToGrid w:val="0"/>
              <w:spacing w:line="360" w:lineRule="auto"/>
              <w:ind w:firstLine="8" w:firstLineChars="4"/>
              <w:jc w:val="left"/>
              <w:rPr>
                <w:b/>
                <w:color w:val="auto"/>
                <w:highlight w:val="none"/>
              </w:rPr>
            </w:pPr>
            <w:r>
              <w:rPr>
                <w:rFonts w:hint="eastAsia" w:ascii="宋体" w:hAnsi="宋体" w:cs="宋体"/>
                <w:b/>
                <w:color w:val="auto"/>
                <w:szCs w:val="21"/>
                <w:highlight w:val="none"/>
              </w:rPr>
              <w:t>注：</w:t>
            </w:r>
            <w:r>
              <w:rPr>
                <w:rFonts w:hint="eastAsia" w:ascii="宋体" w:hAnsi="宋体" w:cs="Courier New"/>
                <w:b/>
                <w:color w:val="auto"/>
                <w:szCs w:val="21"/>
                <w:highlight w:val="none"/>
              </w:rPr>
              <w:t>以上标明“必须提供”的材料，必须加盖供应商电子签章，必须提供的材料在第五章“响应文件格式”中有要求法定代表人或委托代理人签字（或者电子签名）的，必须由法定代表人或委托代理人签字（或者电子签名），否则响应文件按无效处理。</w:t>
            </w:r>
          </w:p>
        </w:tc>
      </w:tr>
      <w:tr w14:paraId="3C95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B4E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6577C1B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E4F26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bCs/>
                <w:color w:val="auto"/>
                <w:szCs w:val="21"/>
                <w:highlight w:val="none"/>
              </w:rPr>
              <w:t>（必须提供，否则响应文件按无效处理）</w:t>
            </w:r>
          </w:p>
          <w:p w14:paraId="7D953A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（必须提供，否则响应文件按无效处理）</w:t>
            </w:r>
          </w:p>
          <w:p w14:paraId="60F9AE61">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65A3B8D8">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如要求提交磋商保证金的则必须提供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54F72F1A">
            <w:pPr>
              <w:spacing w:line="360" w:lineRule="auto"/>
              <w:rPr>
                <w:rFonts w:ascii="宋体" w:hAnsi="宋体" w:cs="宋体"/>
                <w:color w:val="auto"/>
                <w:szCs w:val="21"/>
                <w:highlight w:val="none"/>
              </w:rPr>
            </w:pPr>
            <w:r>
              <w:rPr>
                <w:rFonts w:hint="eastAsia" w:ascii="宋体" w:hAnsi="宋体" w:cs="宋体"/>
                <w:color w:val="auto"/>
                <w:szCs w:val="21"/>
                <w:highlight w:val="none"/>
              </w:rPr>
              <w:t>5.技术及其他要求、商务要求响应承诺表（格式后附）；（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9D6E338">
            <w:pPr>
              <w:spacing w:line="360" w:lineRule="auto"/>
              <w:rPr>
                <w:rFonts w:ascii="宋体" w:hAnsi="宋体" w:cs="宋体"/>
                <w:color w:val="auto"/>
                <w:szCs w:val="21"/>
                <w:highlight w:val="none"/>
              </w:rPr>
            </w:pPr>
            <w:r>
              <w:rPr>
                <w:rFonts w:hint="eastAsia" w:ascii="宋体" w:hAnsi="宋体" w:cs="宋体"/>
                <w:bCs/>
                <w:color w:val="auto"/>
                <w:szCs w:val="21"/>
                <w:highlight w:val="none"/>
              </w:rPr>
              <w:t>6.项目管理机构配备情况表【含项目经理、技术负责人、专职安全生产管理人员、施工员、质量员、材料员的基本情况，并附以下证明材料：①项目经理提供建筑工程专业二级以上（含二级）注册建造师执业资格证书复印件及有效的安全生产考核合格证书复印件（B类）；②技术负责人</w:t>
            </w:r>
            <w:bookmarkStart w:id="54" w:name="_Hlk171157038"/>
            <w:r>
              <w:rPr>
                <w:rFonts w:hint="eastAsia" w:ascii="宋体" w:hAnsi="宋体" w:cs="宋体"/>
                <w:bCs/>
                <w:color w:val="auto"/>
                <w:szCs w:val="21"/>
                <w:highlight w:val="none"/>
              </w:rPr>
              <w:t>提供与本项目相关专业的</w:t>
            </w:r>
            <w:bookmarkEnd w:id="54"/>
            <w:r>
              <w:rPr>
                <w:rFonts w:hint="eastAsia" w:ascii="宋体" w:hAnsi="宋体" w:cs="宋体"/>
                <w:bCs/>
                <w:color w:val="auto"/>
                <w:szCs w:val="21"/>
                <w:highlight w:val="none"/>
              </w:rPr>
              <w:t>工程师及以上职称证书复印件；③专职安全生产管理人员提供安全生产考核合格证书复印件（C类）；④施工员、质量员、材料员提供施工现场专业人员职业培训合格证书复印件；⑤提供以上项目管理机构人员的身份证复印件及2025年1月至响应文件递交截止时间止任意一个月供应商为以上项目管理机构人员交纳的社保证明材料</w:t>
            </w:r>
            <w:r>
              <w:rPr>
                <w:rFonts w:hint="eastAsia" w:ascii="宋体" w:hAnsi="宋体" w:cs="宋体"/>
                <w:bCs/>
                <w:color w:val="auto"/>
                <w:szCs w:val="21"/>
                <w:highlight w:val="none"/>
              </w:rPr>
              <w:t>复印件</w:t>
            </w:r>
            <w:r>
              <w:rPr>
                <w:rFonts w:hint="eastAsia"/>
                <w:color w:val="auto"/>
                <w:highlight w:val="none"/>
              </w:rPr>
              <w:t>或者劳动合同</w:t>
            </w:r>
            <w:r>
              <w:rPr>
                <w:rFonts w:hint="eastAsia" w:ascii="宋体" w:hAnsi="宋体" w:cs="宋体"/>
                <w:bCs/>
                <w:color w:val="auto"/>
                <w:szCs w:val="21"/>
                <w:highlight w:val="none"/>
              </w:rPr>
              <w:t>复印件</w:t>
            </w:r>
            <w:r>
              <w:rPr>
                <w:rFonts w:hint="eastAsia" w:ascii="宋体" w:hAnsi="宋体" w:cs="宋体"/>
                <w:bCs/>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w:t>
            </w:r>
          </w:p>
          <w:p w14:paraId="33D7AEF7">
            <w:pPr>
              <w:spacing w:line="360" w:lineRule="auto"/>
              <w:rPr>
                <w:rFonts w:ascii="宋体" w:hAnsi="宋体" w:cs="宋体"/>
                <w:b/>
                <w:color w:val="auto"/>
                <w:szCs w:val="21"/>
                <w:highlight w:val="none"/>
              </w:rPr>
            </w:pPr>
            <w:r>
              <w:rPr>
                <w:rFonts w:hint="eastAsia" w:ascii="宋体" w:hAnsi="宋体"/>
                <w:color w:val="auto"/>
                <w:szCs w:val="21"/>
                <w:highlight w:val="none"/>
              </w:rPr>
              <w:t>7</w:t>
            </w:r>
            <w:r>
              <w:rPr>
                <w:rFonts w:hint="eastAsia" w:ascii="宋体" w:hAnsi="宋体"/>
                <w:b/>
                <w:color w:val="auto"/>
                <w:szCs w:val="21"/>
                <w:highlight w:val="none"/>
              </w:rPr>
              <w:t>.</w:t>
            </w:r>
            <w:r>
              <w:rPr>
                <w:rFonts w:hint="eastAsia" w:ascii="宋体" w:hAnsi="宋体" w:cs="宋体"/>
                <w:bCs/>
                <w:color w:val="auto"/>
                <w:szCs w:val="21"/>
                <w:highlight w:val="none"/>
              </w:rPr>
              <w:t>供应商关于拟派项目经理的承诺函（格式后附）；</w:t>
            </w:r>
            <w:r>
              <w:rPr>
                <w:rFonts w:hint="eastAsia" w:ascii="宋体" w:hAnsi="宋体" w:cs="宋体"/>
                <w:b/>
                <w:color w:val="auto"/>
                <w:szCs w:val="21"/>
                <w:highlight w:val="none"/>
              </w:rPr>
              <w:t>（必须提供，否则响应文件按无效处理） ；</w:t>
            </w:r>
          </w:p>
          <w:p w14:paraId="7460087A">
            <w:pPr>
              <w:spacing w:line="360" w:lineRule="auto"/>
              <w:rPr>
                <w:rFonts w:ascii="宋体" w:hAnsi="宋体" w:cs="宋体"/>
                <w:bCs/>
                <w:color w:val="auto"/>
                <w:szCs w:val="21"/>
                <w:highlight w:val="none"/>
              </w:rPr>
            </w:pPr>
            <w:r>
              <w:rPr>
                <w:rFonts w:hint="eastAsia" w:ascii="宋体" w:hAnsi="宋体" w:cs="宋体"/>
                <w:bCs/>
                <w:color w:val="auto"/>
                <w:szCs w:val="21"/>
                <w:highlight w:val="none"/>
              </w:rPr>
              <w:t>8.施工组织设计</w:t>
            </w:r>
            <w:r>
              <w:rPr>
                <w:rFonts w:hint="eastAsia" w:cs="宋体" w:asciiTheme="majorEastAsia" w:hAnsiTheme="majorEastAsia" w:eastAsiaTheme="majorEastAsia"/>
                <w:color w:val="auto"/>
                <w:szCs w:val="21"/>
                <w:highlight w:val="none"/>
              </w:rPr>
              <w:t>（包括但不限于：①总体概述；②主要施工方法；③施工进度、施工进度计划和各阶段进度的保证措施；④关键施工技术、工艺及工程实施的重点、难点和解决方案；⑤安全文明施工措施；⑥质量保证与承诺；⑦新技术应用与承诺）</w:t>
            </w:r>
            <w:r>
              <w:rPr>
                <w:rFonts w:hint="eastAsia" w:ascii="宋体" w:hAnsi="宋体" w:cs="宋体"/>
                <w:bCs/>
                <w:color w:val="auto"/>
                <w:szCs w:val="21"/>
                <w:highlight w:val="none"/>
              </w:rPr>
              <w:t>（格式后附）</w:t>
            </w:r>
            <w:r>
              <w:rPr>
                <w:rFonts w:hint="eastAsia"/>
                <w:b/>
                <w:bCs/>
                <w:color w:val="auto"/>
                <w:highlight w:val="none"/>
              </w:rPr>
              <w:t>（如有，请提供）</w:t>
            </w:r>
            <w:r>
              <w:rPr>
                <w:rFonts w:hint="eastAsia" w:ascii="宋体" w:hAnsi="宋体" w:cs="宋体"/>
                <w:bCs/>
                <w:color w:val="auto"/>
                <w:szCs w:val="21"/>
                <w:highlight w:val="none"/>
              </w:rPr>
              <w:t>；</w:t>
            </w:r>
          </w:p>
          <w:p w14:paraId="23322CDA">
            <w:pPr>
              <w:spacing w:line="360" w:lineRule="auto"/>
              <w:rPr>
                <w:rFonts w:ascii="宋体" w:hAnsi="宋体" w:cs="宋体"/>
                <w:bCs/>
                <w:color w:val="auto"/>
                <w:szCs w:val="21"/>
                <w:highlight w:val="none"/>
              </w:rPr>
            </w:pPr>
            <w:r>
              <w:rPr>
                <w:rFonts w:hint="eastAsia" w:ascii="宋体" w:hAnsi="宋体" w:cs="宋体"/>
                <w:bCs/>
                <w:color w:val="auto"/>
                <w:szCs w:val="21"/>
                <w:highlight w:val="none"/>
              </w:rPr>
              <w:t>9.供应商认为需要提供的其他有关资料。</w:t>
            </w:r>
          </w:p>
          <w:p w14:paraId="56EF7CD6">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必须提供的材料在第五章“响应文件格式”中有要求法定代表人或委托代理人签字（或者电子签名）的，必须由法定代表人或委托代理人签字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0138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745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3633D6C">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lang w:eastAsia="zh-CN"/>
              </w:rPr>
              <w:t>磋商报价</w:t>
            </w:r>
            <w:r>
              <w:rPr>
                <w:rFonts w:hint="eastAsia" w:ascii="宋体" w:hAnsi="宋体"/>
                <w:color w:val="auto"/>
                <w:szCs w:val="21"/>
                <w:highlight w:val="none"/>
              </w:rPr>
              <w:t>是履行合同的最终价格，包括</w:t>
            </w:r>
            <w:r>
              <w:rPr>
                <w:rFonts w:hint="eastAsia" w:ascii="宋体" w:hAnsi="宋体" w:cs="宋体"/>
                <w:color w:val="auto"/>
                <w:szCs w:val="21"/>
                <w:highlight w:val="none"/>
              </w:rPr>
              <w:t>为实施和完成合同工程所需的劳务、材料、机械、质检（自检）、安装、缺陷修复、管理、验收、通电、保险、税费、利润等费用，以及合同明示或暗示的所有责任、义务和一般风险。</w:t>
            </w:r>
            <w:r>
              <w:rPr>
                <w:rFonts w:hint="eastAsia" w:ascii="宋体" w:hAnsi="宋体"/>
                <w:b/>
                <w:color w:val="auto"/>
                <w:szCs w:val="21"/>
                <w:highlight w:val="none"/>
              </w:rPr>
              <w:t>（采购需求另有约定的，从其约定）</w:t>
            </w:r>
          </w:p>
        </w:tc>
      </w:tr>
      <w:tr w14:paraId="6E79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9863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0B30E97B">
            <w:pPr>
              <w:spacing w:line="360" w:lineRule="auto"/>
              <w:contextualSpacing/>
              <w:jc w:val="left"/>
              <w:rPr>
                <w:rFonts w:ascii="宋体" w:hAnsi="宋体"/>
                <w:color w:val="auto"/>
                <w:szCs w:val="21"/>
                <w:highlight w:val="none"/>
              </w:rPr>
            </w:pPr>
            <w:r>
              <w:rPr>
                <w:rFonts w:hint="eastAsia" w:cs="宋体"/>
                <w:color w:val="auto"/>
                <w:highlight w:val="none"/>
              </w:rPr>
              <w:t>本工程增值税计税方法：</w:t>
            </w:r>
            <w:bookmarkStart w:id="55" w:name="_Hlk170811557"/>
            <w:r>
              <w:rPr>
                <w:rFonts w:hint="eastAsia" w:cs="宋体"/>
                <w:color w:val="auto"/>
                <w:highlight w:val="none"/>
              </w:rPr>
              <w:t>一般计税法。</w:t>
            </w:r>
            <w:bookmarkEnd w:id="55"/>
          </w:p>
        </w:tc>
      </w:tr>
      <w:tr w14:paraId="4E13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110A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38D13CB8">
            <w:pPr>
              <w:pStyle w:val="14"/>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3E35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8682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0D43268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14:paraId="64294070">
            <w:pPr>
              <w:snapToGrid w:val="0"/>
              <w:spacing w:line="360" w:lineRule="auto"/>
              <w:rPr>
                <w:rFonts w:ascii="宋体" w:hAnsi="宋体"/>
                <w:color w:val="auto"/>
                <w:szCs w:val="21"/>
                <w:highlight w:val="none"/>
              </w:rPr>
            </w:pPr>
            <w:r>
              <w:rPr>
                <w:color w:val="auto"/>
                <w:highlight w:val="none"/>
              </w:rPr>
              <w:sym w:font="Wingdings" w:char="00FE"/>
            </w:r>
            <w:r>
              <w:rPr>
                <w:rFonts w:hint="eastAsia" w:ascii="宋体" w:hAnsi="宋体"/>
                <w:color w:val="auto"/>
                <w:szCs w:val="21"/>
                <w:highlight w:val="none"/>
              </w:rPr>
              <w:t>本项目收取磋商保证金，具体规定如下：</w:t>
            </w:r>
          </w:p>
          <w:p w14:paraId="1D99E22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磋商保证金人民币壹万肆仟元整（</w:t>
            </w:r>
            <w:r>
              <w:rPr>
                <w:rFonts w:hint="eastAsia" w:ascii="华文细黑" w:hAnsi="华文细黑" w:eastAsia="华文细黑" w:cs="华文细黑"/>
                <w:color w:val="auto"/>
                <w:kern w:val="0"/>
                <w:szCs w:val="21"/>
                <w:highlight w:val="none"/>
              </w:rPr>
              <w:t>￥</w:t>
            </w:r>
            <w:r>
              <w:rPr>
                <w:rFonts w:hint="eastAsia" w:ascii="宋体" w:hAnsi="宋体" w:eastAsia="华文细黑" w:cs="宋体"/>
                <w:color w:val="auto"/>
                <w:kern w:val="0"/>
                <w:szCs w:val="21"/>
                <w:highlight w:val="none"/>
              </w:rPr>
              <w:t>14000</w:t>
            </w:r>
            <w:r>
              <w:rPr>
                <w:rFonts w:hint="eastAsia" w:ascii="宋体" w:hAnsi="宋体" w:cs="宋体"/>
                <w:color w:val="auto"/>
                <w:kern w:val="0"/>
                <w:szCs w:val="21"/>
                <w:highlight w:val="none"/>
              </w:rPr>
              <w:t>.00）。</w:t>
            </w:r>
          </w:p>
          <w:p w14:paraId="3385C75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磋商保证金的交纳方式：银行转账、支票、汇票、本票或者金融、担保机构出具的保函（包含电子保函），禁止采用现钞方式。采用银行转账方式的，在响应文件提交截止时间前交至指定账户并且到账</w:t>
            </w:r>
            <w:r>
              <w:rPr>
                <w:rFonts w:hint="eastAsia" w:ascii="宋体" w:hAnsi="宋体" w:cs="宋体"/>
                <w:b/>
                <w:bCs/>
                <w:color w:val="auto"/>
                <w:kern w:val="0"/>
                <w:szCs w:val="21"/>
                <w:highlight w:val="none"/>
                <w:lang w:val="en-US" w:eastAsia="zh-CN"/>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；采用支票、汇票、本票或者保函（包含电子保函）等方式的，在响应文件提交截止时间前，供应商必须提交单独密封的支票、汇票、本票或者保函原件。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2E3E026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相关要求：</w:t>
            </w:r>
          </w:p>
          <w:p w14:paraId="1BEF8F3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50565B11">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交纳方式的，供应商应将支票、汇票、本票或者金融、担保机构出具的保函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广西壮族自治区桂林市临桂区西城北路2号耀辉•美好家园2幢12层1号房；邮寄地址：广西壮族自治区桂林市临桂区西城北路2号耀辉•美好家园2幢12层1号房，收件人：吕雯，联系方式： 0773-2887388、2887399 ）</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支票、汇票、本票或者金融、担保机构出具的保函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原件提交给采购人或者采购代理机构，由采购人或者采购代理机构向供应商出具回执（邮寄方式的除外），并妥善保管。</w:t>
            </w:r>
          </w:p>
          <w:p w14:paraId="1BF0817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4A316A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①磋商保证金在响应文件提交截止时间后提交的，或者不按规定交纳方式交纳的，或者未足额交纳的【包含保函（包含电子保函）额度不足的】，视为无效磋商保证金。</w:t>
            </w:r>
          </w:p>
          <w:p w14:paraId="2FA90AD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②供应商采用现钞方式或者从个人账户转出的磋商保证金，视为无效磋商保证金。</w:t>
            </w:r>
          </w:p>
          <w:p w14:paraId="0312A66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③支票、汇票或者本票出现无效或者背书情形的，视为无效磋商保证金。</w:t>
            </w:r>
          </w:p>
          <w:p w14:paraId="7D86FA15">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④保函（包含电子保函）有效期低于竞标有效期的，视为无效磋商保证金。</w:t>
            </w:r>
          </w:p>
        </w:tc>
      </w:tr>
      <w:tr w14:paraId="6077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36B67C">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350373A3">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23CA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4D5C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0F3BFB4">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720E25BE">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CF4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88B0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4BE435E3">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2C93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289E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359D0C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37AABFF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0A40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84678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292D8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568012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技术及其他要求评审中允许负偏离的条款数为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6D1E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1DEA2">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7086CCE8">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履约保证金金额：</w:t>
            </w:r>
            <w:r>
              <w:rPr>
                <w:rFonts w:hint="eastAsia" w:ascii="宋体" w:hAnsi="宋体" w:cs="宋体"/>
                <w:color w:val="auto"/>
                <w:szCs w:val="21"/>
                <w:highlight w:val="none"/>
              </w:rPr>
              <w:t>自成交通知书发出之日起25日内（但必须在签订合同前）</w:t>
            </w:r>
            <w:r>
              <w:rPr>
                <w:rFonts w:hint="eastAsia" w:hAnsi="宋体" w:cs="宋体"/>
                <w:color w:val="auto"/>
                <w:szCs w:val="21"/>
                <w:highlight w:val="none"/>
              </w:rPr>
              <w:t>，成交人按成交金额的5%（如成交人为中小微企业的，按成交金额的2%）向采购人交纳履约保证金</w:t>
            </w:r>
            <w:r>
              <w:rPr>
                <w:rFonts w:hAnsi="宋体" w:cs="宋体"/>
                <w:color w:val="auto"/>
                <w:szCs w:val="21"/>
                <w:highlight w:val="none"/>
              </w:rPr>
              <w:t>。</w:t>
            </w:r>
            <w:r>
              <w:rPr>
                <w:rFonts w:hint="eastAsia" w:hAnsi="宋体" w:cs="宋体"/>
                <w:color w:val="auto"/>
                <w:szCs w:val="21"/>
                <w:highlight w:val="none"/>
              </w:rPr>
              <w:t>履约担保的有效期应当自本合同生效之日起至采购人签认并由监理人向成交人出具建设</w:t>
            </w:r>
            <w:r>
              <w:rPr>
                <w:rFonts w:hint="eastAsia" w:ascii="宋体" w:hAnsi="宋体" w:cs="宋体"/>
                <w:color w:val="auto"/>
                <w:highlight w:val="none"/>
              </w:rPr>
              <w:t>工程竣工验收意见书</w:t>
            </w:r>
            <w:r>
              <w:rPr>
                <w:rFonts w:hint="eastAsia" w:hAnsi="宋体" w:cs="宋体"/>
                <w:color w:val="auto"/>
                <w:szCs w:val="21"/>
                <w:highlight w:val="none"/>
              </w:rPr>
              <w:t>之日止。如果成交人无法获得一份不带具体截止日期的担保，履约担保中应当有</w:t>
            </w:r>
            <w:r>
              <w:rPr>
                <w:color w:val="auto"/>
                <w:szCs w:val="21"/>
                <w:highlight w:val="none"/>
              </w:rPr>
              <w:t>“</w:t>
            </w:r>
            <w:r>
              <w:rPr>
                <w:rFonts w:hint="eastAsia" w:hAnsi="宋体" w:cs="宋体"/>
                <w:color w:val="auto"/>
                <w:szCs w:val="21"/>
                <w:highlight w:val="none"/>
              </w:rPr>
              <w:t>变更工程竣工日期的，保证期间按照变更后的竣工日期做相应调整</w:t>
            </w:r>
            <w:r>
              <w:rPr>
                <w:color w:val="auto"/>
                <w:szCs w:val="21"/>
                <w:highlight w:val="none"/>
              </w:rPr>
              <w:t>”</w:t>
            </w:r>
            <w:r>
              <w:rPr>
                <w:rFonts w:hint="eastAsia" w:hAnsi="宋体" w:cs="宋体"/>
                <w:color w:val="auto"/>
                <w:szCs w:val="21"/>
                <w:highlight w:val="none"/>
              </w:rPr>
              <w:t>或类似约定的条款。</w:t>
            </w:r>
            <w:r>
              <w:rPr>
                <w:rFonts w:hint="eastAsia" w:ascii="宋体" w:hAnsi="宋体" w:cs="宋体"/>
                <w:color w:val="auto"/>
                <w:highlight w:val="none"/>
              </w:rPr>
              <w:t>若成交人未及时提供履约担保，采购人暂停支付工程款。</w:t>
            </w:r>
          </w:p>
          <w:p w14:paraId="7E6FDB3C">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履约保证金递交方式：</w:t>
            </w:r>
            <w:r>
              <w:rPr>
                <w:rFonts w:hint="eastAsia"/>
                <w:color w:val="auto"/>
                <w:highlight w:val="none"/>
              </w:rPr>
              <w:t>可以是</w:t>
            </w:r>
            <w:r>
              <w:rPr>
                <w:rFonts w:hint="eastAsia" w:hAnsi="宋体" w:cs="宋体"/>
                <w:color w:val="auto"/>
                <w:highlight w:val="none"/>
              </w:rPr>
              <w:t>银行转账、电汇或网上支付、保函【银行保函</w:t>
            </w:r>
            <w:r>
              <w:rPr>
                <w:rFonts w:hint="eastAsia" w:ascii="宋体" w:hAnsi="宋体" w:cs="宋体"/>
                <w:color w:val="auto"/>
                <w:highlight w:val="none"/>
              </w:rPr>
              <w:t>（详见《建设工程施工合同》附件10）、</w:t>
            </w:r>
            <w:r>
              <w:rPr>
                <w:rFonts w:hint="eastAsia" w:hAnsi="宋体" w:cs="宋体"/>
                <w:color w:val="auto"/>
                <w:highlight w:val="none"/>
              </w:rPr>
              <w:t>电子</w:t>
            </w:r>
            <w:r>
              <w:rPr>
                <w:rFonts w:hAnsi="宋体" w:cs="宋体"/>
                <w:color w:val="auto"/>
                <w:highlight w:val="none"/>
              </w:rPr>
              <w:t>保函</w:t>
            </w:r>
            <w:r>
              <w:rPr>
                <w:rFonts w:hint="eastAsia" w:hAnsi="宋体" w:cs="宋体"/>
                <w:color w:val="auto"/>
                <w:highlight w:val="none"/>
              </w:rPr>
              <w:t>、保证保险保函、工程担保保函</w:t>
            </w:r>
            <w:r>
              <w:rPr>
                <w:rFonts w:hint="eastAsia" w:ascii="宋体" w:hAnsi="宋体" w:cs="宋体"/>
                <w:color w:val="auto"/>
                <w:highlight w:val="none"/>
              </w:rPr>
              <w:t>（详见《建设工程施工合同》附件9）</w:t>
            </w:r>
            <w:r>
              <w:rPr>
                <w:rFonts w:hint="eastAsia" w:hAnsi="宋体" w:cs="宋体"/>
                <w:color w:val="auto"/>
                <w:highlight w:val="none"/>
              </w:rPr>
              <w:t>】</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p>
          <w:p w14:paraId="243A8FD9">
            <w:pPr>
              <w:autoSpaceDE w:val="0"/>
              <w:autoSpaceDN w:val="0"/>
              <w:snapToGrid w:val="0"/>
              <w:spacing w:line="380" w:lineRule="exact"/>
              <w:textAlignment w:val="bottom"/>
              <w:rPr>
                <w:rFonts w:hAnsi="宋体"/>
                <w:color w:val="auto"/>
                <w:szCs w:val="21"/>
                <w:highlight w:val="none"/>
              </w:rPr>
            </w:pPr>
            <w:r>
              <w:rPr>
                <w:rFonts w:hint="eastAsia" w:hAnsi="宋体"/>
                <w:color w:val="auto"/>
                <w:szCs w:val="21"/>
                <w:highlight w:val="none"/>
              </w:rPr>
              <w:t>履约保证金退付方式、时间及条件：</w:t>
            </w:r>
          </w:p>
          <w:p w14:paraId="75AD45D4">
            <w:pPr>
              <w:autoSpaceDE w:val="0"/>
              <w:autoSpaceDN w:val="0"/>
              <w:snapToGrid w:val="0"/>
              <w:spacing w:line="380" w:lineRule="exact"/>
              <w:textAlignment w:val="bottom"/>
              <w:rPr>
                <w:rFonts w:hAnsi="宋体"/>
                <w:color w:val="auto"/>
                <w:szCs w:val="21"/>
                <w:highlight w:val="none"/>
              </w:rPr>
            </w:pPr>
            <w:r>
              <w:rPr>
                <w:rFonts w:hint="eastAsia" w:hAnsi="宋体" w:cs="宋体"/>
                <w:color w:val="auto"/>
                <w:highlight w:val="none"/>
              </w:rPr>
              <w:t>（1）履约保证金不计利息，工程竣工验收合格并对验收发现的问题完成整改合格后，成交人可向采购人申请退还履约保证金，采购人应在收到申请之日起</w:t>
            </w:r>
            <w:r>
              <w:rPr>
                <w:rFonts w:hint="eastAsia"/>
                <w:color w:val="auto"/>
                <w:highlight w:val="none"/>
              </w:rPr>
              <w:t>5个工作日</w:t>
            </w:r>
            <w:r>
              <w:rPr>
                <w:rFonts w:hint="eastAsia" w:hAnsi="宋体" w:cs="宋体"/>
                <w:color w:val="auto"/>
                <w:highlight w:val="none"/>
              </w:rPr>
              <w:t>内扣减成交人赔偿金和其他应从成交人扣回的款项后，将履约保证金的余额退还给成交人。</w:t>
            </w:r>
            <w:r>
              <w:rPr>
                <w:rFonts w:hint="eastAsia" w:ascii="宋体" w:hAnsi="宋体" w:cs="宋体"/>
                <w:color w:val="auto"/>
                <w:highlight w:val="none"/>
              </w:rPr>
              <w:t>（成交人若有违约，按《建设工程施工合同》专用条</w:t>
            </w:r>
            <w:r>
              <w:rPr>
                <w:rFonts w:hint="eastAsia" w:ascii="宋体" w:hAnsi="宋体" w:cs="宋体"/>
                <w:color w:val="auto"/>
                <w:highlight w:val="none"/>
                <w:lang w:eastAsia="zh-CN"/>
              </w:rPr>
              <w:t>款第</w:t>
            </w:r>
            <w:r>
              <w:rPr>
                <w:rFonts w:hint="eastAsia" w:ascii="宋体" w:hAnsi="宋体" w:cs="宋体"/>
                <w:color w:val="auto"/>
                <w:highlight w:val="none"/>
              </w:rPr>
              <w:t>7.5.2条执行，采购人可从应向成交人支付的任何金额中扣除违约款或以其他方式收回此款）</w:t>
            </w:r>
          </w:p>
          <w:p w14:paraId="135CD998">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）在履约保证金退还日期前，若成交人的开户名称、开户银行、账号有变动的，请以书面形式通知履约保证金收取单位，否则由此产生的后果由成交人自负。</w:t>
            </w:r>
          </w:p>
          <w:p w14:paraId="6C144E32">
            <w:pPr>
              <w:autoSpaceDE w:val="0"/>
              <w:autoSpaceDN w:val="0"/>
              <w:snapToGrid w:val="0"/>
              <w:spacing w:line="380" w:lineRule="exact"/>
              <w:textAlignment w:val="bottom"/>
              <w:rPr>
                <w:color w:val="auto"/>
                <w:szCs w:val="21"/>
                <w:highlight w:val="none"/>
              </w:rPr>
            </w:pPr>
            <w:r>
              <w:rPr>
                <w:rFonts w:hint="eastAsia" w:hAnsi="宋体"/>
                <w:color w:val="auto"/>
                <w:szCs w:val="21"/>
                <w:highlight w:val="none"/>
              </w:rPr>
              <w:t>履约保证金指定账户：</w:t>
            </w:r>
          </w:p>
          <w:p w14:paraId="6208B3EC">
            <w:pPr>
              <w:autoSpaceDE w:val="0"/>
              <w:autoSpaceDN w:val="0"/>
              <w:snapToGrid w:val="0"/>
              <w:spacing w:line="360" w:lineRule="auto"/>
              <w:textAlignment w:val="bottom"/>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开户名称：桂林医科大学</w:t>
            </w:r>
          </w:p>
          <w:p w14:paraId="02EB43F9">
            <w:pPr>
              <w:autoSpaceDE w:val="0"/>
              <w:autoSpaceDN w:val="0"/>
              <w:snapToGrid w:val="0"/>
              <w:spacing w:line="360" w:lineRule="auto"/>
              <w:textAlignment w:val="bottom"/>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开户银行：中国建设银行股份有限公司桂林致和路支行</w:t>
            </w:r>
          </w:p>
          <w:p w14:paraId="169B55C4">
            <w:pPr>
              <w:autoSpaceDE w:val="0"/>
              <w:autoSpaceDN w:val="0"/>
              <w:snapToGrid w:val="0"/>
              <w:spacing w:line="360" w:lineRule="auto"/>
              <w:textAlignment w:val="bottom"/>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账号：4500 1635 4130 5050 0589</w:t>
            </w:r>
          </w:p>
          <w:p w14:paraId="6035FD6C">
            <w:pPr>
              <w:adjustRightInd w:val="0"/>
              <w:spacing w:line="380" w:lineRule="exact"/>
              <w:jc w:val="left"/>
              <w:rPr>
                <w:rFonts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1247F214">
            <w:pPr>
              <w:autoSpaceDE w:val="0"/>
              <w:autoSpaceDN w:val="0"/>
              <w:spacing w:line="360" w:lineRule="exact"/>
              <w:textAlignment w:val="bottom"/>
              <w:rPr>
                <w:rFonts w:ascii="宋体" w:hAnsi="宋体" w:cs="宋体"/>
                <w:color w:val="auto"/>
                <w:szCs w:val="21"/>
                <w:highlight w:val="none"/>
              </w:rPr>
            </w:pPr>
            <w:r>
              <w:rPr>
                <w:rFonts w:hint="eastAsia"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tc>
      </w:tr>
      <w:tr w14:paraId="54B4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36A4CB">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505CCE0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359751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9ED6E7C">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749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ABBD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5F8B4D4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接收质疑函方式：书面形式</w:t>
            </w:r>
          </w:p>
          <w:p w14:paraId="7E20901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42454A8E">
            <w:pPr>
              <w:snapToGrid w:val="0"/>
              <w:spacing w:line="360" w:lineRule="auto"/>
              <w:rPr>
                <w:rFonts w:ascii="宋体" w:hAnsi="宋体"/>
                <w:color w:val="auto"/>
                <w:szCs w:val="21"/>
                <w:highlight w:val="none"/>
              </w:rPr>
            </w:pPr>
            <w:r>
              <w:rPr>
                <w:rFonts w:hint="eastAsia" w:ascii="宋体" w:hAnsi="宋体" w:cs="宋体"/>
                <w:color w:val="auto"/>
                <w:szCs w:val="21"/>
                <w:highlight w:val="none"/>
              </w:rPr>
              <w:t>业务时间：工作日每天上午</w:t>
            </w:r>
            <w:r>
              <w:rPr>
                <w:rFonts w:ascii="宋体" w:hAnsi="宋体" w:cs="宋体"/>
                <w:color w:val="auto"/>
                <w:szCs w:val="21"/>
                <w:highlight w:val="none"/>
              </w:rPr>
              <w:t>8</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w:t>
            </w:r>
            <w:r>
              <w:rPr>
                <w:rFonts w:ascii="宋体" w:hAnsi="宋体" w:cs="宋体"/>
                <w:color w:val="auto"/>
                <w:szCs w:val="21"/>
                <w:highlight w:val="none"/>
              </w:rPr>
              <w:t>3</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6</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3B10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646172">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27FB3459">
            <w:pPr>
              <w:pStyle w:val="26"/>
              <w:snapToGrid w:val="0"/>
              <w:spacing w:line="360" w:lineRule="exact"/>
              <w:rPr>
                <w:rFonts w:hAnsi="宋体"/>
                <w:color w:val="auto"/>
                <w:sz w:val="21"/>
                <w:highlight w:val="none"/>
              </w:rPr>
            </w:pPr>
            <w:r>
              <w:rPr>
                <w:rFonts w:hint="eastAsia" w:hAnsi="宋体"/>
                <w:color w:val="auto"/>
                <w:sz w:val="21"/>
                <w:highlight w:val="none"/>
              </w:rPr>
              <w:t>1.采购代理服务费支付方式：</w:t>
            </w:r>
          </w:p>
          <w:p w14:paraId="6B13FD51">
            <w:pPr>
              <w:pStyle w:val="26"/>
              <w:snapToGrid w:val="0"/>
              <w:spacing w:line="360" w:lineRule="exact"/>
              <w:rPr>
                <w:rFonts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本项目采购代理服务费由成交人在获取成交通知书前，向采购代理机构一次性支付。</w:t>
            </w:r>
          </w:p>
          <w:p w14:paraId="78E9F519">
            <w:pPr>
              <w:pStyle w:val="26"/>
              <w:snapToGrid w:val="0"/>
              <w:spacing w:line="360" w:lineRule="exact"/>
              <w:rPr>
                <w:rFonts w:hAnsi="宋体"/>
                <w:color w:val="auto"/>
                <w:sz w:val="21"/>
                <w:highlight w:val="none"/>
              </w:rPr>
            </w:pPr>
            <w:r>
              <w:rPr>
                <w:rFonts w:hint="eastAsia" w:hAnsi="宋体"/>
                <w:color w:val="auto"/>
                <w:sz w:val="21"/>
                <w:highlight w:val="none"/>
              </w:rPr>
              <w:t>□采购人支付。</w:t>
            </w:r>
          </w:p>
          <w:p w14:paraId="426CB6D8">
            <w:pPr>
              <w:pStyle w:val="26"/>
              <w:snapToGrid w:val="0"/>
              <w:spacing w:line="360" w:lineRule="exact"/>
              <w:rPr>
                <w:rFonts w:hAnsi="宋体"/>
                <w:color w:val="auto"/>
                <w:sz w:val="21"/>
                <w:highlight w:val="none"/>
              </w:rPr>
            </w:pPr>
            <w:r>
              <w:rPr>
                <w:rFonts w:hint="eastAsia" w:hAnsi="宋体"/>
                <w:color w:val="auto"/>
                <w:sz w:val="21"/>
                <w:highlight w:val="none"/>
              </w:rPr>
              <w:t>2.采购代理服务费收取标准：</w:t>
            </w:r>
          </w:p>
          <w:p w14:paraId="5FAF528F">
            <w:pPr>
              <w:pStyle w:val="26"/>
              <w:adjustRightInd/>
              <w:spacing w:line="360" w:lineRule="exact"/>
              <w:rPr>
                <w:rFonts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本项目采购代理服务费以成交金额为计费额，按照供应商须知正文第32.2条规定的工程类标准采用差额定率累进法计算出收费基准价格，采购代理收费以收费基准价格下浮40%收取</w:t>
            </w:r>
            <w:r>
              <w:rPr>
                <w:rFonts w:hint="eastAsia" w:asciiTheme="majorEastAsia" w:hAnsiTheme="majorEastAsia" w:eastAsiaTheme="majorEastAsia"/>
                <w:color w:val="auto"/>
                <w:sz w:val="21"/>
                <w:highlight w:val="none"/>
              </w:rPr>
              <w:t>(不足5000元的，按5000元计)</w:t>
            </w:r>
            <w:r>
              <w:rPr>
                <w:rFonts w:hint="eastAsia" w:hAnsi="宋体"/>
                <w:color w:val="auto"/>
                <w:sz w:val="21"/>
                <w:highlight w:val="none"/>
              </w:rPr>
              <w:t>。</w:t>
            </w:r>
          </w:p>
          <w:p w14:paraId="63FF2CD6">
            <w:pPr>
              <w:pStyle w:val="26"/>
              <w:snapToGrid w:val="0"/>
              <w:spacing w:line="360" w:lineRule="exact"/>
              <w:rPr>
                <w:rFonts w:hAnsi="宋体"/>
                <w:color w:val="auto"/>
                <w:sz w:val="21"/>
                <w:highlight w:val="none"/>
              </w:rPr>
            </w:pPr>
            <w:r>
              <w:rPr>
                <w:rFonts w:hint="eastAsia" w:hAnsi="宋体"/>
                <w:color w:val="auto"/>
                <w:sz w:val="21"/>
                <w:highlight w:val="none"/>
              </w:rPr>
              <w:t>□固定采购代理收费</w:t>
            </w:r>
            <w:r>
              <w:rPr>
                <w:rFonts w:hint="eastAsia" w:hAnsi="宋体"/>
                <w:color w:val="auto"/>
                <w:sz w:val="21"/>
                <w:highlight w:val="none"/>
                <w:u w:val="single"/>
              </w:rPr>
              <w:t xml:space="preserve">              </w:t>
            </w:r>
            <w:r>
              <w:rPr>
                <w:rFonts w:hint="eastAsia" w:hAnsi="宋体"/>
                <w:color w:val="auto"/>
                <w:sz w:val="21"/>
                <w:highlight w:val="none"/>
              </w:rPr>
              <w:t>。</w:t>
            </w:r>
          </w:p>
          <w:p w14:paraId="4F67F55E">
            <w:pPr>
              <w:pStyle w:val="26"/>
              <w:snapToGrid w:val="0"/>
              <w:spacing w:line="360" w:lineRule="exact"/>
              <w:rPr>
                <w:rFonts w:hAnsi="宋体"/>
                <w:color w:val="auto"/>
                <w:sz w:val="21"/>
                <w:highlight w:val="none"/>
              </w:rPr>
            </w:pPr>
            <w:r>
              <w:rPr>
                <w:rFonts w:hint="eastAsia" w:hAnsi="宋体"/>
                <w:color w:val="auto"/>
                <w:sz w:val="21"/>
                <w:highlight w:val="none"/>
              </w:rPr>
              <w:t>3.采购代理服务费收取银行账户</w:t>
            </w:r>
          </w:p>
          <w:p w14:paraId="3E9B159C">
            <w:pPr>
              <w:pStyle w:val="26"/>
              <w:snapToGrid w:val="0"/>
              <w:spacing w:line="360" w:lineRule="exact"/>
              <w:rPr>
                <w:rFonts w:hint="eastAsia" w:hAnsi="宋体"/>
                <w:color w:val="auto"/>
                <w:sz w:val="21"/>
                <w:highlight w:val="none"/>
              </w:rPr>
            </w:pPr>
            <w:r>
              <w:rPr>
                <w:rFonts w:hint="eastAsia" w:hAnsi="宋体"/>
                <w:color w:val="auto"/>
                <w:sz w:val="21"/>
                <w:highlight w:val="none"/>
              </w:rPr>
              <w:t>开户名称：云之龙咨询集团有限公司桂林分公司；</w:t>
            </w:r>
          </w:p>
          <w:p w14:paraId="46E1D70C">
            <w:pPr>
              <w:pStyle w:val="26"/>
              <w:snapToGrid w:val="0"/>
              <w:spacing w:line="360" w:lineRule="exact"/>
              <w:rPr>
                <w:rFonts w:hint="eastAsia" w:hAnsi="宋体"/>
                <w:color w:val="auto"/>
                <w:sz w:val="21"/>
                <w:highlight w:val="none"/>
              </w:rPr>
            </w:pPr>
            <w:r>
              <w:rPr>
                <w:rFonts w:hint="eastAsia" w:hAnsi="宋体"/>
                <w:color w:val="auto"/>
                <w:sz w:val="21"/>
                <w:highlight w:val="none"/>
              </w:rPr>
              <w:t>银行账号：8113001014300158041；</w:t>
            </w:r>
          </w:p>
          <w:p w14:paraId="4AC9CED2">
            <w:pPr>
              <w:pStyle w:val="26"/>
              <w:snapToGrid w:val="0"/>
              <w:spacing w:line="360" w:lineRule="exact"/>
              <w:rPr>
                <w:rFonts w:hAnsi="宋体"/>
                <w:color w:val="auto"/>
                <w:sz w:val="21"/>
                <w:highlight w:val="none"/>
              </w:rPr>
            </w:pPr>
            <w:r>
              <w:rPr>
                <w:rFonts w:hint="eastAsia" w:hAnsi="宋体"/>
                <w:color w:val="auto"/>
                <w:sz w:val="21"/>
                <w:highlight w:val="none"/>
              </w:rPr>
              <w:t>开户银行：中信银行股份有限公司南宁东葛支行。</w:t>
            </w:r>
          </w:p>
        </w:tc>
      </w:tr>
      <w:tr w14:paraId="08B1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64DC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C74D237">
            <w:pPr>
              <w:pStyle w:val="26"/>
              <w:snapToGrid w:val="0"/>
              <w:spacing w:line="360" w:lineRule="exact"/>
              <w:rPr>
                <w:rFonts w:hAnsi="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、合同条款及格式</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42BFF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5E2B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29C341CC">
            <w:pPr>
              <w:pStyle w:val="26"/>
              <w:snapToGrid w:val="0"/>
              <w:spacing w:line="360" w:lineRule="exact"/>
              <w:rPr>
                <w:rFonts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人。</w:t>
            </w:r>
          </w:p>
        </w:tc>
      </w:tr>
      <w:tr w14:paraId="2810A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B154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60089EC5">
            <w:pPr>
              <w:pStyle w:val="26"/>
              <w:snapToGrid w:val="0"/>
              <w:spacing w:line="360" w:lineRule="exact"/>
              <w:rPr>
                <w:rFonts w:hAnsi="宋体"/>
                <w:color w:val="auto"/>
                <w:sz w:val="21"/>
                <w:highlight w:val="none"/>
              </w:rPr>
            </w:pPr>
            <w:r>
              <w:rPr>
                <w:rFonts w:hint="eastAsia" w:hAnsi="宋体"/>
                <w:color w:val="auto"/>
                <w:sz w:val="21"/>
                <w:highlight w:val="none"/>
              </w:rPr>
              <w:t>1.本磋商文件中描述供应商的“公章”是指根据我国对公章的管理规定</w:t>
            </w:r>
            <w:r>
              <w:rPr>
                <w:rFonts w:hint="eastAsia" w:hAnsi="宋体"/>
                <w:color w:val="auto"/>
                <w:sz w:val="21"/>
                <w:highlight w:val="none"/>
                <w:lang w:eastAsia="zh-CN"/>
              </w:rPr>
              <w:t>，使</w:t>
            </w:r>
            <w:r>
              <w:rPr>
                <w:rFonts w:hint="eastAsia" w:hAnsi="宋体"/>
                <w:color w:val="auto"/>
                <w:sz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5BFD630">
            <w:pPr>
              <w:pStyle w:val="26"/>
              <w:snapToGrid w:val="0"/>
              <w:spacing w:line="360" w:lineRule="exact"/>
              <w:rPr>
                <w:rFonts w:hAnsi="宋体"/>
                <w:color w:val="auto"/>
                <w:sz w:val="21"/>
                <w:highlight w:val="none"/>
              </w:rPr>
            </w:pPr>
            <w:r>
              <w:rPr>
                <w:rFonts w:hint="eastAsia" w:hAnsi="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B88DB7B">
            <w:pPr>
              <w:pStyle w:val="26"/>
              <w:snapToGrid w:val="0"/>
              <w:spacing w:line="360" w:lineRule="exact"/>
              <w:rPr>
                <w:rFonts w:hAnsi="宋体"/>
                <w:color w:val="auto"/>
                <w:sz w:val="21"/>
                <w:highlight w:val="none"/>
              </w:rPr>
            </w:pPr>
            <w:r>
              <w:rPr>
                <w:rFonts w:hAnsi="宋体"/>
                <w:color w:val="auto"/>
                <w:sz w:val="21"/>
                <w:highlight w:val="none"/>
              </w:rPr>
              <w:t>3</w:t>
            </w:r>
            <w:r>
              <w:rPr>
                <w:rFonts w:hint="eastAsia" w:hAnsi="宋体"/>
                <w:color w:val="auto"/>
                <w:sz w:val="21"/>
                <w:highlight w:val="none"/>
              </w:rPr>
              <w:t>.供应商为其他组织时，本磋商文件规定的法定代表人指负责人。本磋商文件所称负责人是指参加竞标的其他组织营业执照或者执业许可证等证照上的负责人。</w:t>
            </w:r>
          </w:p>
          <w:p w14:paraId="7C58FB09">
            <w:pPr>
              <w:pStyle w:val="26"/>
              <w:snapToGrid w:val="0"/>
              <w:spacing w:line="360" w:lineRule="exact"/>
              <w:rPr>
                <w:rFonts w:hAnsi="宋体"/>
                <w:color w:val="auto"/>
                <w:sz w:val="21"/>
                <w:highlight w:val="none"/>
              </w:rPr>
            </w:pPr>
            <w:r>
              <w:rPr>
                <w:rFonts w:hAnsi="宋体"/>
                <w:color w:val="auto"/>
                <w:sz w:val="21"/>
                <w:highlight w:val="none"/>
              </w:rPr>
              <w:t>4.</w:t>
            </w:r>
            <w:r>
              <w:rPr>
                <w:rFonts w:hint="eastAsia" w:hAnsi="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7CA3841F">
            <w:pPr>
              <w:pStyle w:val="26"/>
              <w:snapToGrid w:val="0"/>
              <w:spacing w:line="360" w:lineRule="exact"/>
              <w:rPr>
                <w:rFonts w:hAnsi="宋体"/>
                <w:color w:val="auto"/>
                <w:sz w:val="21"/>
                <w:highlight w:val="none"/>
              </w:rPr>
            </w:pPr>
            <w:r>
              <w:rPr>
                <w:rFonts w:hint="eastAsia" w:hAnsi="宋体"/>
                <w:color w:val="auto"/>
                <w:sz w:val="21"/>
                <w:highlight w:val="none"/>
              </w:rPr>
              <w:t>5</w:t>
            </w:r>
            <w:r>
              <w:rPr>
                <w:rFonts w:hAnsi="宋体"/>
                <w:color w:val="auto"/>
                <w:sz w:val="21"/>
                <w:highlight w:val="none"/>
              </w:rPr>
              <w:t>.</w:t>
            </w:r>
            <w:r>
              <w:rPr>
                <w:rFonts w:hint="eastAsia" w:hAnsi="宋体"/>
                <w:color w:val="auto"/>
                <w:sz w:val="21"/>
                <w:highlight w:val="none"/>
              </w:rPr>
              <w:t>本磋商文件所称的“以上”“以下”“以内”“届满”，包括本数；所称的“不满”“超过”“以外”，不包括本数。</w:t>
            </w:r>
          </w:p>
        </w:tc>
      </w:tr>
    </w:tbl>
    <w:p w14:paraId="2151EB2B">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5EB78BF6">
      <w:pPr>
        <w:spacing w:line="400" w:lineRule="exact"/>
        <w:jc w:val="center"/>
        <w:rPr>
          <w:rFonts w:ascii="宋体" w:hAnsi="宋体"/>
          <w:b/>
          <w:color w:val="auto"/>
          <w:sz w:val="32"/>
          <w:szCs w:val="32"/>
          <w:highlight w:val="none"/>
        </w:rPr>
      </w:pPr>
    </w:p>
    <w:p w14:paraId="4281572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76FA2805">
      <w:pPr>
        <w:spacing w:line="400" w:lineRule="exact"/>
        <w:rPr>
          <w:rFonts w:ascii="宋体" w:hAnsi="宋体"/>
          <w:color w:val="auto"/>
          <w:szCs w:val="21"/>
          <w:highlight w:val="none"/>
        </w:rPr>
      </w:pPr>
    </w:p>
    <w:p w14:paraId="75DE3D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69E58B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635ED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7DDC58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94261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2A2589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92C8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BF522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06408D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758375B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F472A3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782A95C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14C1F14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F520AE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97A3A0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11027C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3D301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50E65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06C710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4B3861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CFE44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18B3B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5824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1189C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6" w:name="_Hlk66782192"/>
      <w:r>
        <w:rPr>
          <w:rFonts w:hint="eastAsia" w:ascii="宋体" w:hAnsi="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6"/>
    </w:p>
    <w:p w14:paraId="384820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2263FEF">
      <w:pPr>
        <w:pStyle w:val="6"/>
        <w:keepNext w:val="0"/>
        <w:keepLines w:val="0"/>
        <w:spacing w:before="0" w:after="0" w:line="360" w:lineRule="auto"/>
        <w:ind w:left="420" w:leftChars="200"/>
        <w:rPr>
          <w:rFonts w:ascii="宋体" w:hAnsi="宋体" w:cs="宋体"/>
          <w:b w:val="0"/>
          <w:color w:val="auto"/>
          <w:sz w:val="21"/>
          <w:szCs w:val="21"/>
          <w:highlight w:val="none"/>
        </w:rPr>
      </w:pPr>
      <w:bookmarkStart w:id="57" w:name="_Toc254970673"/>
      <w:bookmarkStart w:id="58" w:name="_Toc254970532"/>
      <w:r>
        <w:rPr>
          <w:rFonts w:hint="eastAsia" w:ascii="宋体" w:hAnsi="宋体" w:cs="宋体"/>
          <w:b w:val="0"/>
          <w:color w:val="auto"/>
          <w:sz w:val="21"/>
          <w:szCs w:val="21"/>
          <w:highlight w:val="none"/>
        </w:rPr>
        <w:t>6.1本项目不允许转包。</w:t>
      </w:r>
    </w:p>
    <w:p w14:paraId="506F8C3D">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6263E6E3">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D9D6D6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57"/>
      <w:bookmarkEnd w:id="58"/>
    </w:p>
    <w:p w14:paraId="0B7BDC12">
      <w:pPr>
        <w:spacing w:line="360" w:lineRule="auto"/>
        <w:ind w:firstLine="420" w:firstLineChars="200"/>
        <w:rPr>
          <w:rFonts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7.1</w:t>
      </w:r>
      <w:bookmarkStart w:id="60"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0"/>
    <w:p w14:paraId="29B660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49FFC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虚假材料谋取成交的，将报财政部门查处；签订合同后发现的，成交人须依照《中华人民共和国消费者权益保护法》的规定赔偿采购人，且民事赔偿并不免除违法供应商的行政与刑事责任。</w:t>
      </w:r>
    </w:p>
    <w:p w14:paraId="1899BA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A46C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AEF3E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7314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7FD28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60581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C54F7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2BAC8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12A13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4EE998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2870C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1EE56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F76A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749C085">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36B78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D08D2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6839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1CE3B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FBDCF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FDF7B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B7F1B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65C34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A45462A">
      <w:pPr>
        <w:spacing w:line="360" w:lineRule="auto"/>
        <w:ind w:firstLine="420" w:firstLineChars="200"/>
        <w:rPr>
          <w:rFonts w:ascii="宋体" w:hAnsi="宋体" w:cs="宋体"/>
          <w:color w:val="auto"/>
          <w:szCs w:val="21"/>
          <w:highlight w:val="none"/>
        </w:rPr>
      </w:pPr>
    </w:p>
    <w:p w14:paraId="0EA18DA1">
      <w:pPr>
        <w:spacing w:line="360" w:lineRule="auto"/>
        <w:ind w:left="1" w:firstLine="417" w:firstLineChars="199"/>
        <w:jc w:val="center"/>
        <w:rPr>
          <w:rFonts w:ascii="宋体" w:hAnsi="宋体" w:cs="宋体"/>
          <w:color w:val="auto"/>
          <w:highlight w:val="none"/>
        </w:rPr>
      </w:pPr>
      <w:bookmarkStart w:id="61" w:name="_Toc254970534"/>
      <w:bookmarkStart w:id="62" w:name="_Toc254970675"/>
    </w:p>
    <w:p w14:paraId="66C3213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61"/>
      <w:bookmarkEnd w:id="62"/>
    </w:p>
    <w:p w14:paraId="66DD4E7B">
      <w:pPr>
        <w:spacing w:line="360" w:lineRule="auto"/>
        <w:rPr>
          <w:rFonts w:ascii="宋体" w:hAnsi="宋体" w:cs="宋体"/>
          <w:color w:val="auto"/>
          <w:szCs w:val="21"/>
          <w:highlight w:val="none"/>
        </w:rPr>
      </w:pPr>
    </w:p>
    <w:p w14:paraId="5318C4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782F0B2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FCC6AF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供应商须知；</w:t>
      </w:r>
    </w:p>
    <w:p w14:paraId="2030EA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采购需求；</w:t>
      </w:r>
    </w:p>
    <w:p w14:paraId="0FA085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C3F41C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工程量清单及图纸；</w:t>
      </w:r>
    </w:p>
    <w:p w14:paraId="41CC016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响应文件格式；</w:t>
      </w:r>
    </w:p>
    <w:p w14:paraId="4A5DD10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合同条款及格式。</w:t>
      </w:r>
    </w:p>
    <w:p w14:paraId="0C2833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D549B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1EC69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5A44C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1B1A481F">
      <w:pPr>
        <w:spacing w:line="360" w:lineRule="auto"/>
        <w:rPr>
          <w:rFonts w:ascii="宋体" w:hAnsi="宋体" w:cs="宋体"/>
          <w:color w:val="auto"/>
          <w:szCs w:val="21"/>
          <w:highlight w:val="none"/>
        </w:rPr>
      </w:pPr>
    </w:p>
    <w:p w14:paraId="5A4D80E3">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6A566412">
      <w:pPr>
        <w:spacing w:line="360" w:lineRule="auto"/>
        <w:rPr>
          <w:rFonts w:ascii="宋体" w:hAnsi="宋体" w:cs="宋体"/>
          <w:color w:val="auto"/>
          <w:szCs w:val="21"/>
          <w:highlight w:val="none"/>
        </w:rPr>
      </w:pPr>
    </w:p>
    <w:p w14:paraId="0F49FE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4A40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3C82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6FE97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A58AB0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6A569D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2D9DEC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B436B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48B81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6F97F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C9EC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1593E5D">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15.</w:t>
      </w:r>
      <w:r>
        <w:rPr>
          <w:rFonts w:hint="eastAsia" w:ascii="宋体" w:hAnsi="宋体" w:cs="宋体"/>
          <w:b/>
          <w:bCs/>
          <w:color w:val="auto"/>
          <w:sz w:val="24"/>
          <w:highlight w:val="none"/>
          <w:lang w:eastAsia="zh-CN"/>
        </w:rPr>
        <w:t>磋商报价</w:t>
      </w:r>
    </w:p>
    <w:p w14:paraId="37BA677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应按磋商文件第五章“工程量清单及图纸”的要求及第六章“响应文件格式”填写相应表格。</w:t>
      </w:r>
    </w:p>
    <w:p w14:paraId="051F95A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的内容见“供应商须知前附表”。</w:t>
      </w:r>
    </w:p>
    <w:p w14:paraId="27BDBAB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4B16A35">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要求</w:t>
      </w:r>
    </w:p>
    <w:p w14:paraId="15443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15.4.1供应商的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应符合以下要求，否则响应文件按无效处理：</w:t>
      </w:r>
    </w:p>
    <w:p w14:paraId="7518486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3F9D7F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（2）供应商必须就本项目的单项内容作唯一报价。</w:t>
      </w:r>
    </w:p>
    <w:p w14:paraId="1843E3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15.4.2</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（包含首次报价、最后报价）超过本项目规定的采购预算金额或者最高限价的，其响应文件将按无效处理。</w:t>
      </w:r>
    </w:p>
    <w:p w14:paraId="7F6E2B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15.4.3</w:t>
      </w:r>
      <w:bookmarkStart w:id="63" w:name="_Hlk42592874"/>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（包含首次报价、最后报价）超过分项采购预算金额或者最高限价的（如有要求），其响应文件将按无效处理。</w:t>
      </w:r>
    </w:p>
    <w:p w14:paraId="408C9E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3"/>
    <w:p w14:paraId="6DB7B3B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3B756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16.1竞标有效期是指为保证采购人有足够的时间在提交响应文件后完成评审、确定成交人、合同签订等工作而要求供应商提交的响应文件在一定时间内保持有效的期限。</w:t>
      </w:r>
    </w:p>
    <w:p w14:paraId="23477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718D9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F67C63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2B2C0FC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46669C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77F42C36">
      <w:pPr>
        <w:spacing w:line="360" w:lineRule="auto"/>
        <w:ind w:firstLine="420" w:firstLineChars="200"/>
        <w:rPr>
          <w:rFonts w:ascii="宋体" w:hAnsi="宋体" w:cs="宋体"/>
          <w:color w:val="auto"/>
          <w:szCs w:val="21"/>
          <w:highlight w:val="none"/>
        </w:rPr>
      </w:pPr>
      <w:bookmarkStart w:id="64" w:name="_Hlk66782243"/>
      <w:r>
        <w:rPr>
          <w:rFonts w:hint="eastAsia" w:ascii="宋体" w:hAnsi="宋体" w:cs="宋体"/>
          <w:color w:val="auto"/>
          <w:szCs w:val="21"/>
          <w:highlight w:val="none"/>
        </w:rPr>
        <w:t>未成交人的磋商保证金自成交通知书发出之日起5个工作日内退还；成交人的磋商保证金自签订合同之日起5个工作日内退还或者转为成交人的履约保证金。</w:t>
      </w:r>
      <w:bookmarkEnd w:id="64"/>
      <w:r>
        <w:rPr>
          <w:rFonts w:hint="eastAsia" w:ascii="宋体" w:hAnsi="宋体" w:cs="宋体"/>
          <w:color w:val="auto"/>
          <w:szCs w:val="21"/>
          <w:highlight w:val="none"/>
        </w:rPr>
        <w:t xml:space="preserve"> </w:t>
      </w:r>
    </w:p>
    <w:p w14:paraId="6D5113A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5A6C714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D4332E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605580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610067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FD628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（4）除因不可抗力或者磋商文件认可的情形以外，成交人不与采购人签订合同的；</w:t>
      </w:r>
    </w:p>
    <w:p w14:paraId="35D031D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F16049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ABAE0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E4D4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竞争性磋商文件规定的格式和顺序和广西政府采购云平台的要求编制并加密。响应文件内容不完整、编排混乱导致响应文件被误读、漏读或者查找不到相关内容的，由此引发的后果由供应商承担。</w:t>
      </w:r>
    </w:p>
    <w:p w14:paraId="067870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592AF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75E51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8650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76B5AE6">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4C8B0C62">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电子备份响应文件是指通过在线编制生成且后缀名为“bfbs”的文件，是否接受电子备份响应文件详见</w:t>
      </w:r>
      <w:r>
        <w:rPr>
          <w:rFonts w:hint="eastAsia" w:ascii="宋体" w:hAnsi="宋体" w:cs="宋体"/>
          <w:bCs/>
          <w:color w:val="auto"/>
          <w:szCs w:val="21"/>
          <w:highlight w:val="none"/>
        </w:rPr>
        <w:t>“供应商须知前附表”。</w:t>
      </w:r>
    </w:p>
    <w:p w14:paraId="0D66FBD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2D86B0E">
      <w:pPr>
        <w:spacing w:line="360" w:lineRule="auto"/>
        <w:ind w:firstLine="420" w:firstLineChars="200"/>
        <w:rPr>
          <w:rFonts w:ascii="宋体" w:hAnsi="宋体" w:cs="宋体"/>
          <w:b/>
          <w:color w:val="auto"/>
          <w:highlight w:val="none"/>
        </w:rPr>
      </w:pPr>
      <w:r>
        <w:rPr>
          <w:rFonts w:hint="eastAsia" w:ascii="宋体" w:hAnsi="宋体" w:cs="宋体"/>
          <w:color w:val="auto"/>
          <w:szCs w:val="21"/>
          <w:highlight w:val="none"/>
        </w:rPr>
        <w:t>20.1供应商</w:t>
      </w:r>
      <w:r>
        <w:rPr>
          <w:rFonts w:hint="eastAsia" w:ascii="宋体" w:hAnsi="宋体" w:cs="宋体"/>
          <w:bCs/>
          <w:color w:val="auto"/>
          <w:szCs w:val="21"/>
          <w:highlight w:val="none"/>
        </w:rPr>
        <w:t>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038FC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3EB4AB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421A248">
      <w:pPr>
        <w:spacing w:line="360" w:lineRule="auto"/>
        <w:ind w:firstLine="420" w:firstLineChars="200"/>
        <w:rPr>
          <w:rFonts w:ascii="宋体" w:hAnsi="宋体" w:cs="宋体"/>
          <w:bCs/>
          <w:color w:val="auto"/>
          <w:szCs w:val="21"/>
          <w:highlight w:val="none"/>
        </w:rPr>
      </w:pPr>
      <w:bookmarkStart w:id="65" w:name="_Toc254970543"/>
      <w:bookmarkStart w:id="66" w:name="_Toc254970684"/>
      <w:r>
        <w:rPr>
          <w:rFonts w:hint="eastAsia" w:ascii="宋体" w:hAnsi="宋体" w:cs="宋体"/>
          <w:color w:val="auto"/>
          <w:szCs w:val="21"/>
          <w:highlight w:val="none"/>
        </w:rPr>
        <w:t>21.1供应商应</w:t>
      </w:r>
      <w:r>
        <w:rPr>
          <w:rFonts w:hint="eastAsia" w:ascii="宋体" w:hAnsi="宋体" w:cs="宋体"/>
          <w:bCs/>
          <w:color w:val="auto"/>
          <w:szCs w:val="21"/>
          <w:highlight w:val="none"/>
        </w:rPr>
        <w:t>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，进入“服务中心”中查看 “电子投标文件制作与投送教程”）</w:t>
      </w:r>
    </w:p>
    <w:bookmarkEnd w:id="65"/>
    <w:bookmarkEnd w:id="66"/>
    <w:p w14:paraId="095B7FA6">
      <w:pPr>
        <w:pStyle w:val="155"/>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163CAE77">
      <w:pPr>
        <w:spacing w:line="360" w:lineRule="auto"/>
        <w:ind w:firstLine="482" w:firstLineChars="200"/>
        <w:rPr>
          <w:rFonts w:ascii="宋体" w:hAnsi="宋体" w:cs="宋体"/>
          <w:b/>
          <w:bCs/>
          <w:color w:val="auto"/>
          <w:sz w:val="24"/>
          <w:highlight w:val="none"/>
        </w:rPr>
      </w:pPr>
      <w:bookmarkStart w:id="67" w:name="_Hlk45702405"/>
      <w:r>
        <w:rPr>
          <w:rFonts w:hint="eastAsia" w:ascii="宋体" w:hAnsi="宋体" w:cs="宋体"/>
          <w:b/>
          <w:bCs/>
          <w:color w:val="auto"/>
          <w:sz w:val="24"/>
          <w:highlight w:val="none"/>
        </w:rPr>
        <w:t>22.响应文件的退回</w:t>
      </w:r>
    </w:p>
    <w:p w14:paraId="30FDD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521CE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4CEA4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67"/>
    <w:p w14:paraId="52B29E05">
      <w:pPr>
        <w:spacing w:line="360" w:lineRule="auto"/>
        <w:rPr>
          <w:rFonts w:ascii="宋体" w:hAnsi="宋体" w:cs="宋体"/>
          <w:color w:val="auto"/>
          <w:szCs w:val="21"/>
          <w:highlight w:val="none"/>
        </w:rPr>
      </w:pPr>
    </w:p>
    <w:p w14:paraId="2965098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242C10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986E9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7B2D4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94AB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抽取</w:t>
      </w:r>
      <w:r>
        <w:rPr>
          <w:rFonts w:hint="eastAsia" w:ascii="宋体" w:hAnsi="宋体" w:cs="宋体"/>
          <w:bCs/>
          <w:color w:val="auto"/>
          <w:szCs w:val="21"/>
          <w:highlight w:val="none"/>
        </w:rPr>
        <w:t>评审专家。</w:t>
      </w:r>
    </w:p>
    <w:p w14:paraId="1C86833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6F63940A">
      <w:pPr>
        <w:spacing w:line="360" w:lineRule="auto"/>
        <w:ind w:firstLine="420" w:firstLineChars="200"/>
        <w:rPr>
          <w:rFonts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的响应文件按无效处理</w:t>
      </w:r>
      <w:r>
        <w:rPr>
          <w:rFonts w:hint="eastAsia" w:ascii="宋体" w:hAnsi="宋体" w:cs="宋体"/>
          <w:b/>
          <w:color w:val="auto"/>
          <w:highlight w:val="none"/>
        </w:rPr>
        <w:t>。</w:t>
      </w:r>
    </w:p>
    <w:p w14:paraId="5A333F0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B0642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3A3C34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评审程序、评审方法和评审标准”规定的方法、评审因素、标准和程序对响应文件进行评审并推荐成交候选供应商。</w:t>
      </w:r>
    </w:p>
    <w:p w14:paraId="32C11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商务/技术及其他要求允许负偏离的条款数详见“供应商须知前附表”。</w:t>
      </w:r>
    </w:p>
    <w:p w14:paraId="355602B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FB3DB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71EF61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77EFB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D8DBD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1B5AB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1898F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355043C8">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3451A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27.确定成交人及结果公告</w:t>
      </w:r>
    </w:p>
    <w:p w14:paraId="6D225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人，也可以书面授权磋商小组直接确定成交人。采购人逾期未确定成交人且不提出异议的，视为确定评审报告提出的排序第一的供应商为成交人。</w:t>
      </w:r>
    </w:p>
    <w:p w14:paraId="599CD2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成交人</w:t>
      </w:r>
      <w:r>
        <w:rPr>
          <w:rFonts w:hint="eastAsia" w:ascii="宋体" w:hAnsi="宋体" w:cs="宋体"/>
          <w:color w:val="auto"/>
          <w:szCs w:val="21"/>
          <w:highlight w:val="none"/>
        </w:rPr>
        <w:t>确定后2个工作日内，在省级以上财政部门指定的媒体上公告成交结果，同时向成交人发出成交通知书。采购人或者采购代理机构发出成交通知书前，应当对成交人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人。排名第二的成交候选人因上述规定的同样原因被取消成交资格的，采购人可以确定排名第三的成交候选人为成交人，以此类推。以上信息查询记录及相关证据与磋商文件一并保存。</w:t>
      </w:r>
      <w:bookmarkStart w:id="68" w:name="_Hlk66782294"/>
      <w:r>
        <w:rPr>
          <w:rFonts w:hint="eastAsia" w:ascii="宋体" w:hAnsi="宋体" w:cs="宋体"/>
          <w:color w:val="auto"/>
          <w:szCs w:val="21"/>
          <w:highlight w:val="none"/>
        </w:rPr>
        <w:t>成交人享受《政府采购促进中小企业发展管理办法》（财库〔2020〕46号）规定的中小企业扶持政策的，采购人、采购代理机构应当随成交结果公开成交人的《中小企业声明函》。</w:t>
      </w:r>
      <w:bookmarkEnd w:id="68"/>
    </w:p>
    <w:p w14:paraId="7031DB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43BB43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229D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9AF7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7B8B3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26FA6ED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07AAB0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“供应商须知前附表”。成交人未按规定提交履约保证金的，视为拒绝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2D0040F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28.2在履约保证金退还日期前，若成交人的开户名称、开户银行、账号有变动的，请以书面形式通知履约保证金收取单位，否则由此产生的后果由成交人自行承担。</w:t>
      </w:r>
    </w:p>
    <w:p w14:paraId="7DC88B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1A0B7A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29.1签订电子采购合同：成交人领取电子成交通知书后，在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5DB1CBA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8DE543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45131D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人拒绝签订政府采购合同（包括但不限于放弃成交、因不可抗力不能履行合同而放弃签订合同），采购人可以按照评审报告推荐的成交候选人名单排序，确定下一候选人为成交人，也可以重新开展政府采购活动。如采购人无正当理由拒签合同的，给成交人造成损失的，成交人</w:t>
      </w:r>
      <w:r>
        <w:rPr>
          <w:rFonts w:hint="eastAsia" w:ascii="宋体" w:hAnsi="宋体" w:cs="宋体"/>
          <w:color w:val="auto"/>
          <w:szCs w:val="21"/>
          <w:highlight w:val="none"/>
          <w:lang w:eastAsia="zh-CN"/>
        </w:rPr>
        <w:t>可以</w:t>
      </w:r>
      <w:r>
        <w:rPr>
          <w:rFonts w:hint="eastAsia" w:ascii="宋体" w:hAnsi="宋体" w:cs="宋体"/>
          <w:color w:val="auto"/>
          <w:szCs w:val="21"/>
          <w:highlight w:val="none"/>
        </w:rPr>
        <w:t>追究采购人承担相应的法律责任。</w:t>
      </w:r>
    </w:p>
    <w:p w14:paraId="49F30FD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CB30D5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29.5采购人或成交人不得单方面向合同另一方提出任何磋商文件没有约定的条件或不合理的要求，作为签订合同的条件；也不得协商另行订立背离磋商文件和合同实质性内容的协议。</w:t>
      </w:r>
    </w:p>
    <w:p w14:paraId="4C1457F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3806F6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13DE0B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DE28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622A2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9BBAD5D">
      <w:pPr>
        <w:pStyle w:val="7"/>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0FF6B1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616EB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（1）对可以质疑的磋商文件提出质疑的，为获取磋商文件之日或者竞争性磋商公告期限届满之日；</w:t>
      </w:r>
    </w:p>
    <w:p w14:paraId="384D28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307A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6E9E9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6C196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BC8E0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45AD6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BD30C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A81A8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B2A6B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3557CE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4A51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D2B9A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CD89B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CC736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（二）对采购过程或者成交结果提出的质疑，合格供应商符合法定数量时，可以从合格的成交候选人中另行确定成交人的，应当依法另行确定成交人；否则应当重新开展采购活动。</w:t>
      </w:r>
    </w:p>
    <w:p w14:paraId="417C8B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205B27F">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F9D9A8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2C3D6E68">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4BC14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w:t>
      </w:r>
      <w:r>
        <w:rPr>
          <w:rFonts w:hint="eastAsia" w:ascii="宋体" w:hAnsi="宋体" w:cs="宋体"/>
          <w:color w:val="auto"/>
          <w:szCs w:val="21"/>
          <w:highlight w:val="none"/>
          <w:lang w:bidi="ar"/>
        </w:rPr>
        <w:t>采购代理服务费收取标准如下：</w:t>
      </w:r>
    </w:p>
    <w:tbl>
      <w:tblPr>
        <w:tblStyle w:val="46"/>
        <w:tblW w:w="8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3"/>
        <w:gridCol w:w="1774"/>
        <w:gridCol w:w="1638"/>
        <w:gridCol w:w="1653"/>
      </w:tblGrid>
      <w:tr w14:paraId="148A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tcPr>
          <w:p w14:paraId="507F0ED2">
            <w:pPr>
              <w:rPr>
                <w:rFonts w:ascii="宋体" w:hAnsi="宋体" w:cs="宋体"/>
                <w:color w:val="auto"/>
                <w:szCs w:val="21"/>
                <w:highlight w:val="none"/>
              </w:rPr>
            </w:pPr>
            <w:r>
              <w:rPr>
                <w:rFonts w:hint="eastAsia" w:ascii="宋体" w:hAnsi="宋体" w:cs="宋体"/>
                <w:color w:val="auto"/>
                <w:szCs w:val="21"/>
                <w:highlight w:val="none"/>
                <w:lang w:bidi="ar"/>
              </w:rPr>
              <w:t xml:space="preserve">                         费率</w:t>
            </w:r>
          </w:p>
          <w:p w14:paraId="35686163">
            <w:pPr>
              <w:rPr>
                <w:rFonts w:ascii="宋体" w:hAnsi="宋体" w:cs="宋体"/>
                <w:color w:val="auto"/>
                <w:szCs w:val="21"/>
                <w:highlight w:val="none"/>
              </w:rPr>
            </w:pPr>
            <w:r>
              <w:rPr>
                <w:rFonts w:hint="eastAsia" w:ascii="宋体" w:hAnsi="宋体" w:cs="宋体"/>
                <w:color w:val="auto"/>
                <w:szCs w:val="21"/>
                <w:highlight w:val="none"/>
                <w:lang w:bidi="ar"/>
              </w:rPr>
              <w:t>成交金额</w:t>
            </w:r>
          </w:p>
        </w:tc>
        <w:tc>
          <w:tcPr>
            <w:tcW w:w="1774" w:type="dxa"/>
            <w:tcBorders>
              <w:top w:val="single" w:color="auto" w:sz="4" w:space="0"/>
              <w:left w:val="nil"/>
              <w:bottom w:val="single" w:color="auto" w:sz="4" w:space="0"/>
              <w:right w:val="single" w:color="auto" w:sz="4" w:space="0"/>
            </w:tcBorders>
            <w:shd w:val="clear" w:color="auto" w:fill="auto"/>
            <w:vAlign w:val="center"/>
          </w:tcPr>
          <w:p w14:paraId="006CD74E">
            <w:pPr>
              <w:jc w:val="center"/>
              <w:rPr>
                <w:rFonts w:ascii="宋体" w:hAnsi="宋体" w:cs="宋体"/>
                <w:color w:val="auto"/>
                <w:szCs w:val="21"/>
                <w:highlight w:val="none"/>
              </w:rPr>
            </w:pPr>
            <w:r>
              <w:rPr>
                <w:rFonts w:hint="eastAsia" w:ascii="宋体" w:hAnsi="宋体" w:cs="宋体"/>
                <w:color w:val="auto"/>
                <w:szCs w:val="21"/>
                <w:highlight w:val="none"/>
                <w:lang w:bidi="ar"/>
              </w:rPr>
              <w:t>货物类</w:t>
            </w:r>
          </w:p>
        </w:tc>
        <w:tc>
          <w:tcPr>
            <w:tcW w:w="1638" w:type="dxa"/>
            <w:tcBorders>
              <w:top w:val="single" w:color="auto" w:sz="4" w:space="0"/>
              <w:left w:val="nil"/>
              <w:bottom w:val="single" w:color="auto" w:sz="4" w:space="0"/>
              <w:right w:val="single" w:color="auto" w:sz="4" w:space="0"/>
            </w:tcBorders>
            <w:shd w:val="clear" w:color="auto" w:fill="auto"/>
            <w:vAlign w:val="center"/>
          </w:tcPr>
          <w:p w14:paraId="6A8C719F">
            <w:pPr>
              <w:jc w:val="center"/>
              <w:rPr>
                <w:rFonts w:ascii="宋体" w:hAnsi="宋体" w:cs="宋体"/>
                <w:color w:val="auto"/>
                <w:szCs w:val="21"/>
                <w:highlight w:val="none"/>
              </w:rPr>
            </w:pPr>
            <w:r>
              <w:rPr>
                <w:rFonts w:hint="eastAsia" w:ascii="宋体" w:hAnsi="宋体" w:cs="宋体"/>
                <w:color w:val="auto"/>
                <w:szCs w:val="21"/>
                <w:highlight w:val="none"/>
                <w:lang w:bidi="ar"/>
              </w:rPr>
              <w:t>服务类</w:t>
            </w:r>
          </w:p>
        </w:tc>
        <w:tc>
          <w:tcPr>
            <w:tcW w:w="1653" w:type="dxa"/>
            <w:tcBorders>
              <w:top w:val="single" w:color="auto" w:sz="4" w:space="0"/>
              <w:left w:val="nil"/>
              <w:bottom w:val="single" w:color="auto" w:sz="4" w:space="0"/>
              <w:right w:val="single" w:color="auto" w:sz="4" w:space="0"/>
            </w:tcBorders>
            <w:shd w:val="clear" w:color="auto" w:fill="auto"/>
            <w:vAlign w:val="center"/>
          </w:tcPr>
          <w:p w14:paraId="28EFDA00">
            <w:pPr>
              <w:jc w:val="center"/>
              <w:rPr>
                <w:rFonts w:ascii="宋体" w:hAnsi="宋体" w:cs="宋体"/>
                <w:color w:val="auto"/>
                <w:szCs w:val="21"/>
                <w:highlight w:val="none"/>
              </w:rPr>
            </w:pPr>
            <w:r>
              <w:rPr>
                <w:rFonts w:hint="eastAsia" w:ascii="宋体" w:hAnsi="宋体" w:cs="宋体"/>
                <w:color w:val="auto"/>
                <w:szCs w:val="21"/>
                <w:highlight w:val="none"/>
                <w:lang w:bidi="ar"/>
              </w:rPr>
              <w:t>工程类</w:t>
            </w:r>
          </w:p>
        </w:tc>
      </w:tr>
      <w:tr w14:paraId="54EF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30AEDE31">
            <w:pPr>
              <w:jc w:val="center"/>
              <w:rPr>
                <w:rFonts w:ascii="宋体" w:hAnsi="宋体" w:cs="宋体"/>
                <w:color w:val="auto"/>
                <w:szCs w:val="21"/>
                <w:highlight w:val="none"/>
              </w:rPr>
            </w:pPr>
            <w:r>
              <w:rPr>
                <w:rFonts w:hint="eastAsia" w:ascii="宋体" w:hAnsi="宋体" w:cs="宋体"/>
                <w:color w:val="auto"/>
                <w:szCs w:val="21"/>
                <w:highlight w:val="none"/>
                <w:lang w:bidi="ar"/>
              </w:rPr>
              <w:t>100万元以下</w:t>
            </w:r>
          </w:p>
        </w:tc>
        <w:tc>
          <w:tcPr>
            <w:tcW w:w="1774" w:type="dxa"/>
            <w:tcBorders>
              <w:top w:val="single" w:color="auto" w:sz="4" w:space="0"/>
              <w:left w:val="nil"/>
              <w:bottom w:val="single" w:color="auto" w:sz="4" w:space="0"/>
              <w:right w:val="single" w:color="auto" w:sz="4" w:space="0"/>
            </w:tcBorders>
            <w:shd w:val="clear" w:color="auto" w:fill="auto"/>
            <w:vAlign w:val="center"/>
          </w:tcPr>
          <w:p w14:paraId="3F8EBED7">
            <w:pPr>
              <w:jc w:val="center"/>
              <w:rPr>
                <w:rFonts w:ascii="宋体" w:hAnsi="宋体" w:cs="宋体"/>
                <w:color w:val="auto"/>
                <w:szCs w:val="21"/>
                <w:highlight w:val="none"/>
              </w:rPr>
            </w:pPr>
            <w:r>
              <w:rPr>
                <w:rFonts w:hint="eastAsia" w:ascii="宋体" w:hAnsi="宋体" w:cs="宋体"/>
                <w:color w:val="auto"/>
                <w:szCs w:val="21"/>
                <w:highlight w:val="none"/>
                <w:lang w:bidi="ar"/>
              </w:rPr>
              <w:t>1.5%</w:t>
            </w:r>
          </w:p>
        </w:tc>
        <w:tc>
          <w:tcPr>
            <w:tcW w:w="1638" w:type="dxa"/>
            <w:tcBorders>
              <w:top w:val="single" w:color="auto" w:sz="4" w:space="0"/>
              <w:left w:val="nil"/>
              <w:bottom w:val="single" w:color="auto" w:sz="4" w:space="0"/>
              <w:right w:val="single" w:color="auto" w:sz="4" w:space="0"/>
            </w:tcBorders>
            <w:shd w:val="clear" w:color="auto" w:fill="auto"/>
            <w:vAlign w:val="center"/>
          </w:tcPr>
          <w:p w14:paraId="623C0B0E">
            <w:pPr>
              <w:jc w:val="center"/>
              <w:rPr>
                <w:rFonts w:ascii="宋体" w:hAnsi="宋体" w:cs="宋体"/>
                <w:color w:val="auto"/>
                <w:szCs w:val="21"/>
                <w:highlight w:val="none"/>
              </w:rPr>
            </w:pPr>
            <w:r>
              <w:rPr>
                <w:rFonts w:hint="eastAsia" w:ascii="宋体" w:hAnsi="宋体" w:cs="宋体"/>
                <w:color w:val="auto"/>
                <w:szCs w:val="21"/>
                <w:highlight w:val="none"/>
                <w:lang w:bidi="ar"/>
              </w:rPr>
              <w:t>1.5%</w:t>
            </w:r>
          </w:p>
        </w:tc>
        <w:tc>
          <w:tcPr>
            <w:tcW w:w="1653" w:type="dxa"/>
            <w:tcBorders>
              <w:top w:val="single" w:color="auto" w:sz="4" w:space="0"/>
              <w:left w:val="nil"/>
              <w:bottom w:val="single" w:color="auto" w:sz="4" w:space="0"/>
              <w:right w:val="single" w:color="auto" w:sz="4" w:space="0"/>
            </w:tcBorders>
            <w:shd w:val="clear" w:color="auto" w:fill="auto"/>
            <w:vAlign w:val="center"/>
          </w:tcPr>
          <w:p w14:paraId="348106D5">
            <w:pPr>
              <w:jc w:val="center"/>
              <w:rPr>
                <w:rFonts w:ascii="宋体" w:hAnsi="宋体" w:cs="宋体"/>
                <w:color w:val="auto"/>
                <w:szCs w:val="21"/>
                <w:highlight w:val="none"/>
              </w:rPr>
            </w:pPr>
            <w:r>
              <w:rPr>
                <w:rFonts w:hint="eastAsia" w:ascii="宋体" w:hAnsi="宋体" w:cs="宋体"/>
                <w:color w:val="auto"/>
                <w:szCs w:val="21"/>
                <w:highlight w:val="none"/>
                <w:lang w:bidi="ar"/>
              </w:rPr>
              <w:t>1.0%</w:t>
            </w:r>
          </w:p>
        </w:tc>
      </w:tr>
      <w:tr w14:paraId="40B9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113EE074">
            <w:pPr>
              <w:jc w:val="center"/>
              <w:rPr>
                <w:rFonts w:ascii="宋体" w:hAnsi="宋体" w:cs="宋体"/>
                <w:color w:val="auto"/>
                <w:szCs w:val="21"/>
                <w:highlight w:val="none"/>
              </w:rPr>
            </w:pPr>
            <w:r>
              <w:rPr>
                <w:rFonts w:hint="eastAsia" w:ascii="宋体" w:hAnsi="宋体" w:cs="宋体"/>
                <w:color w:val="auto"/>
                <w:szCs w:val="21"/>
                <w:highlight w:val="none"/>
                <w:lang w:bidi="ar"/>
              </w:rPr>
              <w:t>100万元～500万元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343585CD">
            <w:pPr>
              <w:jc w:val="center"/>
              <w:rPr>
                <w:rFonts w:ascii="宋体" w:hAnsi="宋体" w:cs="宋体"/>
                <w:color w:val="auto"/>
                <w:szCs w:val="21"/>
                <w:highlight w:val="none"/>
              </w:rPr>
            </w:pPr>
            <w:r>
              <w:rPr>
                <w:rFonts w:hint="eastAsia" w:ascii="宋体" w:hAnsi="宋体" w:cs="宋体"/>
                <w:color w:val="auto"/>
                <w:szCs w:val="21"/>
                <w:highlight w:val="none"/>
                <w:lang w:bidi="ar"/>
              </w:rPr>
              <w:t>1.1%</w:t>
            </w:r>
          </w:p>
        </w:tc>
        <w:tc>
          <w:tcPr>
            <w:tcW w:w="1638" w:type="dxa"/>
            <w:tcBorders>
              <w:top w:val="single" w:color="auto" w:sz="4" w:space="0"/>
              <w:left w:val="nil"/>
              <w:bottom w:val="single" w:color="auto" w:sz="4" w:space="0"/>
              <w:right w:val="single" w:color="auto" w:sz="4" w:space="0"/>
            </w:tcBorders>
            <w:shd w:val="clear" w:color="auto" w:fill="auto"/>
            <w:vAlign w:val="center"/>
          </w:tcPr>
          <w:p w14:paraId="045AE424">
            <w:pPr>
              <w:jc w:val="center"/>
              <w:rPr>
                <w:rFonts w:ascii="宋体" w:hAnsi="宋体" w:cs="宋体"/>
                <w:color w:val="auto"/>
                <w:szCs w:val="21"/>
                <w:highlight w:val="none"/>
              </w:rPr>
            </w:pPr>
            <w:r>
              <w:rPr>
                <w:rFonts w:hint="eastAsia" w:ascii="宋体" w:hAnsi="宋体" w:cs="宋体"/>
                <w:color w:val="auto"/>
                <w:szCs w:val="21"/>
                <w:highlight w:val="none"/>
                <w:lang w:bidi="ar"/>
              </w:rPr>
              <w:t>0.8%</w:t>
            </w:r>
          </w:p>
        </w:tc>
        <w:tc>
          <w:tcPr>
            <w:tcW w:w="1653" w:type="dxa"/>
            <w:tcBorders>
              <w:top w:val="single" w:color="auto" w:sz="4" w:space="0"/>
              <w:left w:val="nil"/>
              <w:bottom w:val="single" w:color="auto" w:sz="4" w:space="0"/>
              <w:right w:val="single" w:color="auto" w:sz="4" w:space="0"/>
            </w:tcBorders>
            <w:shd w:val="clear" w:color="auto" w:fill="auto"/>
            <w:vAlign w:val="center"/>
          </w:tcPr>
          <w:p w14:paraId="2DEEE450">
            <w:pPr>
              <w:jc w:val="center"/>
              <w:rPr>
                <w:rFonts w:ascii="宋体" w:hAnsi="宋体" w:cs="宋体"/>
                <w:color w:val="auto"/>
                <w:szCs w:val="21"/>
                <w:highlight w:val="none"/>
              </w:rPr>
            </w:pPr>
            <w:r>
              <w:rPr>
                <w:rFonts w:hint="eastAsia" w:ascii="宋体" w:hAnsi="宋体" w:cs="宋体"/>
                <w:color w:val="auto"/>
                <w:szCs w:val="21"/>
                <w:highlight w:val="none"/>
                <w:lang w:bidi="ar"/>
              </w:rPr>
              <w:t>0.7%</w:t>
            </w:r>
          </w:p>
        </w:tc>
      </w:tr>
      <w:tr w14:paraId="7336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2CC19E65">
            <w:pPr>
              <w:jc w:val="center"/>
              <w:rPr>
                <w:rFonts w:ascii="宋体" w:hAnsi="宋体" w:cs="宋体"/>
                <w:color w:val="auto"/>
                <w:szCs w:val="21"/>
                <w:highlight w:val="none"/>
              </w:rPr>
            </w:pPr>
            <w:r>
              <w:rPr>
                <w:rFonts w:hint="eastAsia" w:ascii="宋体" w:hAnsi="宋体" w:cs="宋体"/>
                <w:color w:val="auto"/>
                <w:szCs w:val="21"/>
                <w:highlight w:val="none"/>
                <w:lang w:bidi="ar"/>
              </w:rPr>
              <w:t>500万元～1000万元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1AE65412">
            <w:pPr>
              <w:jc w:val="center"/>
              <w:rPr>
                <w:rFonts w:ascii="宋体" w:hAnsi="宋体" w:cs="宋体"/>
                <w:color w:val="auto"/>
                <w:szCs w:val="21"/>
                <w:highlight w:val="none"/>
              </w:rPr>
            </w:pPr>
            <w:r>
              <w:rPr>
                <w:rFonts w:hint="eastAsia" w:ascii="宋体" w:hAnsi="宋体" w:cs="宋体"/>
                <w:color w:val="auto"/>
                <w:szCs w:val="21"/>
                <w:highlight w:val="none"/>
                <w:lang w:bidi="ar"/>
              </w:rPr>
              <w:t>0.8%</w:t>
            </w:r>
          </w:p>
        </w:tc>
        <w:tc>
          <w:tcPr>
            <w:tcW w:w="1638" w:type="dxa"/>
            <w:tcBorders>
              <w:top w:val="single" w:color="auto" w:sz="4" w:space="0"/>
              <w:left w:val="nil"/>
              <w:bottom w:val="single" w:color="auto" w:sz="4" w:space="0"/>
              <w:right w:val="single" w:color="auto" w:sz="4" w:space="0"/>
            </w:tcBorders>
            <w:shd w:val="clear" w:color="auto" w:fill="auto"/>
            <w:vAlign w:val="center"/>
          </w:tcPr>
          <w:p w14:paraId="1134060B">
            <w:pPr>
              <w:jc w:val="center"/>
              <w:rPr>
                <w:rFonts w:ascii="宋体" w:hAnsi="宋体" w:cs="宋体"/>
                <w:color w:val="auto"/>
                <w:szCs w:val="21"/>
                <w:highlight w:val="none"/>
              </w:rPr>
            </w:pPr>
            <w:r>
              <w:rPr>
                <w:rFonts w:hint="eastAsia" w:ascii="宋体" w:hAnsi="宋体" w:cs="宋体"/>
                <w:color w:val="auto"/>
                <w:szCs w:val="21"/>
                <w:highlight w:val="none"/>
                <w:lang w:bidi="ar"/>
              </w:rPr>
              <w:t>0.45%</w:t>
            </w:r>
          </w:p>
        </w:tc>
        <w:tc>
          <w:tcPr>
            <w:tcW w:w="1653" w:type="dxa"/>
            <w:tcBorders>
              <w:top w:val="single" w:color="auto" w:sz="4" w:space="0"/>
              <w:left w:val="nil"/>
              <w:bottom w:val="single" w:color="auto" w:sz="4" w:space="0"/>
              <w:right w:val="single" w:color="auto" w:sz="4" w:space="0"/>
            </w:tcBorders>
            <w:shd w:val="clear" w:color="auto" w:fill="auto"/>
            <w:vAlign w:val="center"/>
          </w:tcPr>
          <w:p w14:paraId="13D87CC3">
            <w:pPr>
              <w:jc w:val="center"/>
              <w:rPr>
                <w:rFonts w:ascii="宋体" w:hAnsi="宋体" w:cs="宋体"/>
                <w:color w:val="auto"/>
                <w:szCs w:val="21"/>
                <w:highlight w:val="none"/>
              </w:rPr>
            </w:pPr>
            <w:r>
              <w:rPr>
                <w:rFonts w:hint="eastAsia" w:ascii="宋体" w:hAnsi="宋体" w:cs="宋体"/>
                <w:color w:val="auto"/>
                <w:szCs w:val="21"/>
                <w:highlight w:val="none"/>
                <w:lang w:bidi="ar"/>
              </w:rPr>
              <w:t>0.55%</w:t>
            </w:r>
          </w:p>
        </w:tc>
      </w:tr>
      <w:tr w14:paraId="1DE8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1DCD1984">
            <w:pPr>
              <w:jc w:val="center"/>
              <w:rPr>
                <w:rFonts w:ascii="宋体" w:hAnsi="宋体" w:cs="宋体"/>
                <w:color w:val="auto"/>
                <w:szCs w:val="21"/>
                <w:highlight w:val="none"/>
              </w:rPr>
            </w:pPr>
            <w:r>
              <w:rPr>
                <w:rFonts w:hint="eastAsia" w:ascii="宋体" w:hAnsi="宋体" w:cs="宋体"/>
                <w:color w:val="auto"/>
                <w:szCs w:val="21"/>
                <w:highlight w:val="none"/>
                <w:lang w:bidi="ar"/>
              </w:rPr>
              <w:t>1000万元～5000万元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60589C1E">
            <w:pPr>
              <w:jc w:val="center"/>
              <w:rPr>
                <w:rFonts w:ascii="宋体" w:hAnsi="宋体" w:cs="宋体"/>
                <w:color w:val="auto"/>
                <w:szCs w:val="21"/>
                <w:highlight w:val="none"/>
              </w:rPr>
            </w:pPr>
            <w:r>
              <w:rPr>
                <w:rFonts w:hint="eastAsia" w:ascii="宋体" w:hAnsi="宋体" w:cs="宋体"/>
                <w:color w:val="auto"/>
                <w:szCs w:val="21"/>
                <w:highlight w:val="none"/>
                <w:lang w:bidi="ar"/>
              </w:rPr>
              <w:t>0.5%</w:t>
            </w:r>
          </w:p>
        </w:tc>
        <w:tc>
          <w:tcPr>
            <w:tcW w:w="1638" w:type="dxa"/>
            <w:tcBorders>
              <w:top w:val="single" w:color="auto" w:sz="4" w:space="0"/>
              <w:left w:val="nil"/>
              <w:bottom w:val="single" w:color="auto" w:sz="4" w:space="0"/>
              <w:right w:val="single" w:color="auto" w:sz="4" w:space="0"/>
            </w:tcBorders>
            <w:shd w:val="clear" w:color="auto" w:fill="auto"/>
            <w:vAlign w:val="center"/>
          </w:tcPr>
          <w:p w14:paraId="426A0975">
            <w:pPr>
              <w:jc w:val="center"/>
              <w:rPr>
                <w:rFonts w:ascii="宋体" w:hAnsi="宋体" w:cs="宋体"/>
                <w:color w:val="auto"/>
                <w:szCs w:val="21"/>
                <w:highlight w:val="none"/>
              </w:rPr>
            </w:pPr>
            <w:r>
              <w:rPr>
                <w:rFonts w:hint="eastAsia" w:ascii="宋体" w:hAnsi="宋体" w:cs="宋体"/>
                <w:color w:val="auto"/>
                <w:szCs w:val="21"/>
                <w:highlight w:val="none"/>
                <w:lang w:bidi="ar"/>
              </w:rPr>
              <w:t>0.25%</w:t>
            </w:r>
          </w:p>
        </w:tc>
        <w:tc>
          <w:tcPr>
            <w:tcW w:w="1653" w:type="dxa"/>
            <w:tcBorders>
              <w:top w:val="single" w:color="auto" w:sz="4" w:space="0"/>
              <w:left w:val="nil"/>
              <w:bottom w:val="single" w:color="auto" w:sz="4" w:space="0"/>
              <w:right w:val="single" w:color="auto" w:sz="4" w:space="0"/>
            </w:tcBorders>
            <w:shd w:val="clear" w:color="auto" w:fill="auto"/>
            <w:vAlign w:val="center"/>
          </w:tcPr>
          <w:p w14:paraId="78F9B02E">
            <w:pPr>
              <w:jc w:val="center"/>
              <w:rPr>
                <w:rFonts w:ascii="宋体" w:hAnsi="宋体" w:cs="宋体"/>
                <w:color w:val="auto"/>
                <w:szCs w:val="21"/>
                <w:highlight w:val="none"/>
              </w:rPr>
            </w:pPr>
            <w:r>
              <w:rPr>
                <w:rFonts w:hint="eastAsia" w:ascii="宋体" w:hAnsi="宋体" w:cs="宋体"/>
                <w:color w:val="auto"/>
                <w:szCs w:val="21"/>
                <w:highlight w:val="none"/>
                <w:lang w:bidi="ar"/>
              </w:rPr>
              <w:t>0.35%</w:t>
            </w:r>
          </w:p>
        </w:tc>
      </w:tr>
      <w:tr w14:paraId="2074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0981B812">
            <w:pPr>
              <w:jc w:val="center"/>
              <w:rPr>
                <w:rFonts w:ascii="宋体" w:hAnsi="宋体" w:cs="宋体"/>
                <w:color w:val="auto"/>
                <w:szCs w:val="21"/>
                <w:highlight w:val="none"/>
              </w:rPr>
            </w:pPr>
            <w:r>
              <w:rPr>
                <w:rFonts w:hint="eastAsia" w:ascii="宋体" w:hAnsi="宋体" w:cs="宋体"/>
                <w:color w:val="auto"/>
                <w:szCs w:val="21"/>
                <w:highlight w:val="none"/>
                <w:lang w:bidi="ar"/>
              </w:rPr>
              <w:t>5000万元～1亿元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507F383F">
            <w:pPr>
              <w:jc w:val="center"/>
              <w:rPr>
                <w:rFonts w:ascii="宋体" w:hAnsi="宋体" w:cs="宋体"/>
                <w:color w:val="auto"/>
                <w:szCs w:val="21"/>
                <w:highlight w:val="none"/>
              </w:rPr>
            </w:pPr>
            <w:r>
              <w:rPr>
                <w:rFonts w:hint="eastAsia" w:ascii="宋体" w:hAnsi="宋体" w:cs="宋体"/>
                <w:color w:val="auto"/>
                <w:szCs w:val="21"/>
                <w:highlight w:val="none"/>
                <w:lang w:bidi="ar"/>
              </w:rPr>
              <w:t>0.25%</w:t>
            </w:r>
          </w:p>
        </w:tc>
        <w:tc>
          <w:tcPr>
            <w:tcW w:w="1638" w:type="dxa"/>
            <w:tcBorders>
              <w:top w:val="single" w:color="auto" w:sz="4" w:space="0"/>
              <w:left w:val="nil"/>
              <w:bottom w:val="single" w:color="auto" w:sz="4" w:space="0"/>
              <w:right w:val="single" w:color="auto" w:sz="4" w:space="0"/>
            </w:tcBorders>
            <w:shd w:val="clear" w:color="auto" w:fill="auto"/>
            <w:vAlign w:val="center"/>
          </w:tcPr>
          <w:p w14:paraId="3B9D9B15">
            <w:pPr>
              <w:jc w:val="center"/>
              <w:rPr>
                <w:rFonts w:ascii="宋体" w:hAnsi="宋体" w:cs="宋体"/>
                <w:color w:val="auto"/>
                <w:szCs w:val="21"/>
                <w:highlight w:val="none"/>
              </w:rPr>
            </w:pPr>
            <w:r>
              <w:rPr>
                <w:rFonts w:hint="eastAsia" w:ascii="宋体" w:hAnsi="宋体" w:cs="宋体"/>
                <w:color w:val="auto"/>
                <w:szCs w:val="21"/>
                <w:highlight w:val="none"/>
                <w:lang w:bidi="ar"/>
              </w:rPr>
              <w:t>0.1%</w:t>
            </w:r>
          </w:p>
        </w:tc>
        <w:tc>
          <w:tcPr>
            <w:tcW w:w="1653" w:type="dxa"/>
            <w:tcBorders>
              <w:top w:val="single" w:color="auto" w:sz="4" w:space="0"/>
              <w:left w:val="nil"/>
              <w:bottom w:val="single" w:color="auto" w:sz="4" w:space="0"/>
              <w:right w:val="single" w:color="auto" w:sz="4" w:space="0"/>
            </w:tcBorders>
            <w:shd w:val="clear" w:color="auto" w:fill="auto"/>
            <w:vAlign w:val="center"/>
          </w:tcPr>
          <w:p w14:paraId="2853586F">
            <w:pPr>
              <w:jc w:val="center"/>
              <w:rPr>
                <w:rFonts w:ascii="宋体" w:hAnsi="宋体" w:cs="宋体"/>
                <w:color w:val="auto"/>
                <w:szCs w:val="21"/>
                <w:highlight w:val="none"/>
              </w:rPr>
            </w:pPr>
            <w:r>
              <w:rPr>
                <w:rFonts w:hint="eastAsia" w:ascii="宋体" w:hAnsi="宋体" w:cs="宋体"/>
                <w:color w:val="auto"/>
                <w:szCs w:val="21"/>
                <w:highlight w:val="none"/>
                <w:lang w:bidi="ar"/>
              </w:rPr>
              <w:t>0.2%</w:t>
            </w:r>
          </w:p>
        </w:tc>
      </w:tr>
      <w:tr w14:paraId="21D7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2E48C48D">
            <w:pPr>
              <w:jc w:val="center"/>
              <w:rPr>
                <w:rFonts w:ascii="宋体" w:hAnsi="宋体" w:cs="宋体"/>
                <w:color w:val="auto"/>
                <w:szCs w:val="21"/>
                <w:highlight w:val="none"/>
              </w:rPr>
            </w:pPr>
            <w:r>
              <w:rPr>
                <w:rFonts w:hint="eastAsia" w:ascii="宋体" w:hAnsi="宋体" w:cs="宋体"/>
                <w:color w:val="auto"/>
                <w:szCs w:val="21"/>
                <w:highlight w:val="none"/>
                <w:lang w:bidi="ar"/>
              </w:rPr>
              <w:t>1亿元～5亿元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38A92EEA">
            <w:pPr>
              <w:jc w:val="center"/>
              <w:rPr>
                <w:rFonts w:ascii="宋体" w:hAnsi="宋体" w:cs="宋体"/>
                <w:color w:val="auto"/>
                <w:szCs w:val="21"/>
                <w:highlight w:val="none"/>
              </w:rPr>
            </w:pPr>
            <w:r>
              <w:rPr>
                <w:rFonts w:hint="eastAsia" w:ascii="宋体" w:hAnsi="宋体" w:cs="宋体"/>
                <w:color w:val="auto"/>
                <w:szCs w:val="21"/>
                <w:highlight w:val="none"/>
                <w:lang w:bidi="ar"/>
              </w:rPr>
              <w:t>0.05%</w:t>
            </w:r>
          </w:p>
        </w:tc>
        <w:tc>
          <w:tcPr>
            <w:tcW w:w="1638" w:type="dxa"/>
            <w:tcBorders>
              <w:top w:val="single" w:color="auto" w:sz="4" w:space="0"/>
              <w:left w:val="nil"/>
              <w:bottom w:val="single" w:color="auto" w:sz="4" w:space="0"/>
              <w:right w:val="single" w:color="auto" w:sz="4" w:space="0"/>
            </w:tcBorders>
            <w:shd w:val="clear" w:color="auto" w:fill="auto"/>
            <w:vAlign w:val="center"/>
          </w:tcPr>
          <w:p w14:paraId="4D798ABE">
            <w:pPr>
              <w:jc w:val="center"/>
              <w:rPr>
                <w:rFonts w:ascii="宋体" w:hAnsi="宋体" w:cs="宋体"/>
                <w:color w:val="auto"/>
                <w:szCs w:val="21"/>
                <w:highlight w:val="none"/>
              </w:rPr>
            </w:pPr>
            <w:r>
              <w:rPr>
                <w:rFonts w:hint="eastAsia" w:ascii="宋体" w:hAnsi="宋体" w:cs="宋体"/>
                <w:color w:val="auto"/>
                <w:szCs w:val="21"/>
                <w:highlight w:val="none"/>
                <w:lang w:bidi="ar"/>
              </w:rPr>
              <w:t>0.05%</w:t>
            </w:r>
          </w:p>
        </w:tc>
        <w:tc>
          <w:tcPr>
            <w:tcW w:w="1653" w:type="dxa"/>
            <w:tcBorders>
              <w:top w:val="single" w:color="auto" w:sz="4" w:space="0"/>
              <w:left w:val="nil"/>
              <w:bottom w:val="single" w:color="auto" w:sz="4" w:space="0"/>
              <w:right w:val="single" w:color="auto" w:sz="4" w:space="0"/>
            </w:tcBorders>
            <w:shd w:val="clear" w:color="auto" w:fill="auto"/>
            <w:vAlign w:val="center"/>
          </w:tcPr>
          <w:p w14:paraId="4ACC7CA8">
            <w:pPr>
              <w:jc w:val="center"/>
              <w:rPr>
                <w:rFonts w:ascii="宋体" w:hAnsi="宋体" w:cs="宋体"/>
                <w:color w:val="auto"/>
                <w:szCs w:val="21"/>
                <w:highlight w:val="none"/>
              </w:rPr>
            </w:pPr>
            <w:r>
              <w:rPr>
                <w:rFonts w:hint="eastAsia" w:ascii="宋体" w:hAnsi="宋体" w:cs="宋体"/>
                <w:color w:val="auto"/>
                <w:szCs w:val="21"/>
                <w:highlight w:val="none"/>
                <w:lang w:bidi="ar"/>
              </w:rPr>
              <w:t>0.05%</w:t>
            </w:r>
          </w:p>
        </w:tc>
      </w:tr>
      <w:tr w14:paraId="6BFD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51217C06">
            <w:pPr>
              <w:jc w:val="center"/>
              <w:rPr>
                <w:rFonts w:ascii="宋体" w:hAnsi="宋体" w:cs="宋体"/>
                <w:color w:val="auto"/>
                <w:szCs w:val="21"/>
                <w:highlight w:val="none"/>
              </w:rPr>
            </w:pPr>
            <w:r>
              <w:rPr>
                <w:rFonts w:hint="eastAsia" w:ascii="宋体" w:hAnsi="宋体" w:cs="宋体"/>
                <w:color w:val="auto"/>
                <w:szCs w:val="21"/>
                <w:highlight w:val="none"/>
                <w:lang w:bidi="ar"/>
              </w:rPr>
              <w:t>5亿元～10亿元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0C9FC102">
            <w:pPr>
              <w:jc w:val="center"/>
              <w:rPr>
                <w:rFonts w:ascii="宋体" w:hAnsi="宋体" w:cs="宋体"/>
                <w:color w:val="auto"/>
                <w:szCs w:val="21"/>
                <w:highlight w:val="none"/>
              </w:rPr>
            </w:pPr>
            <w:r>
              <w:rPr>
                <w:rFonts w:hint="eastAsia" w:ascii="宋体" w:hAnsi="宋体" w:cs="宋体"/>
                <w:color w:val="auto"/>
                <w:szCs w:val="21"/>
                <w:highlight w:val="none"/>
                <w:lang w:bidi="ar"/>
              </w:rPr>
              <w:t>0.035%</w:t>
            </w:r>
          </w:p>
        </w:tc>
        <w:tc>
          <w:tcPr>
            <w:tcW w:w="1638" w:type="dxa"/>
            <w:tcBorders>
              <w:top w:val="single" w:color="auto" w:sz="4" w:space="0"/>
              <w:left w:val="nil"/>
              <w:bottom w:val="single" w:color="auto" w:sz="4" w:space="0"/>
              <w:right w:val="single" w:color="auto" w:sz="4" w:space="0"/>
            </w:tcBorders>
            <w:shd w:val="clear" w:color="auto" w:fill="auto"/>
            <w:vAlign w:val="center"/>
          </w:tcPr>
          <w:p w14:paraId="67BC207F">
            <w:pPr>
              <w:jc w:val="center"/>
              <w:rPr>
                <w:rFonts w:ascii="宋体" w:hAnsi="宋体" w:cs="宋体"/>
                <w:color w:val="auto"/>
                <w:szCs w:val="21"/>
                <w:highlight w:val="none"/>
              </w:rPr>
            </w:pPr>
            <w:r>
              <w:rPr>
                <w:rFonts w:hint="eastAsia" w:ascii="宋体" w:hAnsi="宋体" w:cs="宋体"/>
                <w:color w:val="auto"/>
                <w:szCs w:val="21"/>
                <w:highlight w:val="none"/>
                <w:lang w:bidi="ar"/>
              </w:rPr>
              <w:t>0.035%</w:t>
            </w:r>
          </w:p>
        </w:tc>
        <w:tc>
          <w:tcPr>
            <w:tcW w:w="1653" w:type="dxa"/>
            <w:tcBorders>
              <w:top w:val="single" w:color="auto" w:sz="4" w:space="0"/>
              <w:left w:val="nil"/>
              <w:bottom w:val="single" w:color="auto" w:sz="4" w:space="0"/>
              <w:right w:val="single" w:color="auto" w:sz="4" w:space="0"/>
            </w:tcBorders>
            <w:shd w:val="clear" w:color="auto" w:fill="auto"/>
            <w:vAlign w:val="center"/>
          </w:tcPr>
          <w:p w14:paraId="37379FDF">
            <w:pPr>
              <w:jc w:val="center"/>
              <w:rPr>
                <w:rFonts w:ascii="宋体" w:hAnsi="宋体" w:cs="宋体"/>
                <w:color w:val="auto"/>
                <w:szCs w:val="21"/>
                <w:highlight w:val="none"/>
              </w:rPr>
            </w:pPr>
            <w:r>
              <w:rPr>
                <w:rFonts w:hint="eastAsia" w:ascii="宋体" w:hAnsi="宋体" w:cs="宋体"/>
                <w:color w:val="auto"/>
                <w:szCs w:val="21"/>
                <w:highlight w:val="none"/>
                <w:lang w:bidi="ar"/>
              </w:rPr>
              <w:t>0.035%</w:t>
            </w:r>
          </w:p>
        </w:tc>
      </w:tr>
      <w:tr w14:paraId="3E1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66A43689">
            <w:pPr>
              <w:jc w:val="center"/>
              <w:rPr>
                <w:rFonts w:ascii="宋体" w:hAnsi="宋体" w:cs="宋体"/>
                <w:color w:val="auto"/>
                <w:szCs w:val="21"/>
                <w:highlight w:val="none"/>
              </w:rPr>
            </w:pPr>
            <w:r>
              <w:rPr>
                <w:rFonts w:hint="eastAsia" w:ascii="宋体" w:hAnsi="宋体" w:cs="宋体"/>
                <w:color w:val="auto"/>
                <w:szCs w:val="21"/>
                <w:highlight w:val="none"/>
                <w:lang w:bidi="ar"/>
              </w:rPr>
              <w:t>10亿元～50亿元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44CD1663">
            <w:pPr>
              <w:jc w:val="center"/>
              <w:rPr>
                <w:rFonts w:ascii="宋体" w:hAnsi="宋体" w:cs="宋体"/>
                <w:color w:val="auto"/>
                <w:szCs w:val="21"/>
                <w:highlight w:val="none"/>
              </w:rPr>
            </w:pPr>
            <w:r>
              <w:rPr>
                <w:rFonts w:hint="eastAsia" w:ascii="宋体" w:hAnsi="宋体" w:cs="宋体"/>
                <w:color w:val="auto"/>
                <w:szCs w:val="21"/>
                <w:highlight w:val="none"/>
                <w:lang w:bidi="ar"/>
              </w:rPr>
              <w:t>0.008%</w:t>
            </w:r>
          </w:p>
        </w:tc>
        <w:tc>
          <w:tcPr>
            <w:tcW w:w="1638" w:type="dxa"/>
            <w:tcBorders>
              <w:top w:val="single" w:color="auto" w:sz="4" w:space="0"/>
              <w:left w:val="nil"/>
              <w:bottom w:val="single" w:color="auto" w:sz="4" w:space="0"/>
              <w:right w:val="single" w:color="auto" w:sz="4" w:space="0"/>
            </w:tcBorders>
            <w:shd w:val="clear" w:color="auto" w:fill="auto"/>
            <w:vAlign w:val="center"/>
          </w:tcPr>
          <w:p w14:paraId="0AE0AE08">
            <w:pPr>
              <w:jc w:val="center"/>
              <w:rPr>
                <w:rFonts w:ascii="宋体" w:hAnsi="宋体" w:cs="宋体"/>
                <w:color w:val="auto"/>
                <w:szCs w:val="21"/>
                <w:highlight w:val="none"/>
              </w:rPr>
            </w:pPr>
            <w:r>
              <w:rPr>
                <w:rFonts w:hint="eastAsia" w:ascii="宋体" w:hAnsi="宋体" w:cs="宋体"/>
                <w:color w:val="auto"/>
                <w:szCs w:val="21"/>
                <w:highlight w:val="none"/>
                <w:lang w:bidi="ar"/>
              </w:rPr>
              <w:t>0.008%</w:t>
            </w:r>
          </w:p>
        </w:tc>
        <w:tc>
          <w:tcPr>
            <w:tcW w:w="1653" w:type="dxa"/>
            <w:tcBorders>
              <w:top w:val="single" w:color="auto" w:sz="4" w:space="0"/>
              <w:left w:val="nil"/>
              <w:bottom w:val="single" w:color="auto" w:sz="4" w:space="0"/>
              <w:right w:val="single" w:color="auto" w:sz="4" w:space="0"/>
            </w:tcBorders>
            <w:shd w:val="clear" w:color="auto" w:fill="auto"/>
            <w:vAlign w:val="center"/>
          </w:tcPr>
          <w:p w14:paraId="6881291E">
            <w:pPr>
              <w:jc w:val="center"/>
              <w:rPr>
                <w:rFonts w:ascii="宋体" w:hAnsi="宋体" w:cs="宋体"/>
                <w:color w:val="auto"/>
                <w:szCs w:val="21"/>
                <w:highlight w:val="none"/>
              </w:rPr>
            </w:pPr>
            <w:r>
              <w:rPr>
                <w:rFonts w:hint="eastAsia" w:ascii="宋体" w:hAnsi="宋体" w:cs="宋体"/>
                <w:color w:val="auto"/>
                <w:szCs w:val="21"/>
                <w:highlight w:val="none"/>
                <w:lang w:bidi="ar"/>
              </w:rPr>
              <w:t>0.008%</w:t>
            </w:r>
          </w:p>
        </w:tc>
      </w:tr>
      <w:tr w14:paraId="5A32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0708813C">
            <w:pPr>
              <w:jc w:val="center"/>
              <w:rPr>
                <w:rFonts w:ascii="宋体" w:hAnsi="宋体" w:cs="宋体"/>
                <w:color w:val="auto"/>
                <w:szCs w:val="21"/>
                <w:highlight w:val="none"/>
              </w:rPr>
            </w:pPr>
            <w:r>
              <w:rPr>
                <w:rFonts w:hint="eastAsia" w:ascii="宋体" w:hAnsi="宋体" w:cs="宋体"/>
                <w:color w:val="auto"/>
                <w:szCs w:val="21"/>
                <w:highlight w:val="none"/>
                <w:lang w:bidi="ar"/>
              </w:rPr>
              <w:t>50亿元～100亿元</w:t>
            </w:r>
          </w:p>
        </w:tc>
        <w:tc>
          <w:tcPr>
            <w:tcW w:w="1774" w:type="dxa"/>
            <w:tcBorders>
              <w:top w:val="single" w:color="auto" w:sz="4" w:space="0"/>
              <w:left w:val="nil"/>
              <w:bottom w:val="single" w:color="auto" w:sz="4" w:space="0"/>
              <w:right w:val="single" w:color="auto" w:sz="4" w:space="0"/>
            </w:tcBorders>
            <w:shd w:val="clear" w:color="auto" w:fill="auto"/>
            <w:vAlign w:val="center"/>
          </w:tcPr>
          <w:p w14:paraId="6C529BFB">
            <w:pPr>
              <w:jc w:val="center"/>
              <w:rPr>
                <w:rFonts w:ascii="宋体" w:hAnsi="宋体" w:cs="宋体"/>
                <w:color w:val="auto"/>
                <w:szCs w:val="21"/>
                <w:highlight w:val="none"/>
              </w:rPr>
            </w:pPr>
            <w:r>
              <w:rPr>
                <w:rFonts w:hint="eastAsia" w:ascii="宋体" w:hAnsi="宋体" w:cs="宋体"/>
                <w:color w:val="auto"/>
                <w:szCs w:val="21"/>
                <w:highlight w:val="none"/>
                <w:lang w:bidi="ar"/>
              </w:rPr>
              <w:t>0.006%</w:t>
            </w:r>
          </w:p>
        </w:tc>
        <w:tc>
          <w:tcPr>
            <w:tcW w:w="1638" w:type="dxa"/>
            <w:tcBorders>
              <w:top w:val="single" w:color="auto" w:sz="4" w:space="0"/>
              <w:left w:val="nil"/>
              <w:bottom w:val="single" w:color="auto" w:sz="4" w:space="0"/>
              <w:right w:val="single" w:color="auto" w:sz="4" w:space="0"/>
            </w:tcBorders>
            <w:shd w:val="clear" w:color="auto" w:fill="auto"/>
            <w:vAlign w:val="center"/>
          </w:tcPr>
          <w:p w14:paraId="3836ED70">
            <w:pPr>
              <w:jc w:val="center"/>
              <w:rPr>
                <w:rFonts w:ascii="宋体" w:hAnsi="宋体" w:cs="宋体"/>
                <w:color w:val="auto"/>
                <w:szCs w:val="21"/>
                <w:highlight w:val="none"/>
              </w:rPr>
            </w:pPr>
            <w:r>
              <w:rPr>
                <w:rFonts w:hint="eastAsia" w:ascii="宋体" w:hAnsi="宋体" w:cs="宋体"/>
                <w:color w:val="auto"/>
                <w:szCs w:val="21"/>
                <w:highlight w:val="none"/>
                <w:lang w:bidi="ar"/>
              </w:rPr>
              <w:t>0.006%</w:t>
            </w:r>
          </w:p>
        </w:tc>
        <w:tc>
          <w:tcPr>
            <w:tcW w:w="1653" w:type="dxa"/>
            <w:tcBorders>
              <w:top w:val="single" w:color="auto" w:sz="4" w:space="0"/>
              <w:left w:val="nil"/>
              <w:bottom w:val="single" w:color="auto" w:sz="4" w:space="0"/>
              <w:right w:val="single" w:color="auto" w:sz="4" w:space="0"/>
            </w:tcBorders>
            <w:shd w:val="clear" w:color="auto" w:fill="auto"/>
            <w:vAlign w:val="center"/>
          </w:tcPr>
          <w:p w14:paraId="2E3FA1E7">
            <w:pPr>
              <w:jc w:val="center"/>
              <w:rPr>
                <w:rFonts w:ascii="宋体" w:hAnsi="宋体" w:cs="宋体"/>
                <w:color w:val="auto"/>
                <w:szCs w:val="21"/>
                <w:highlight w:val="none"/>
              </w:rPr>
            </w:pPr>
            <w:r>
              <w:rPr>
                <w:rFonts w:hint="eastAsia" w:ascii="宋体" w:hAnsi="宋体" w:cs="宋体"/>
                <w:color w:val="auto"/>
                <w:szCs w:val="21"/>
                <w:highlight w:val="none"/>
                <w:lang w:bidi="ar"/>
              </w:rPr>
              <w:t>0.006%</w:t>
            </w:r>
          </w:p>
        </w:tc>
      </w:tr>
      <w:tr w14:paraId="686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14:paraId="6DF8FE43">
            <w:pPr>
              <w:jc w:val="center"/>
              <w:rPr>
                <w:rFonts w:ascii="宋体" w:hAnsi="宋体" w:cs="宋体"/>
                <w:color w:val="auto"/>
                <w:szCs w:val="21"/>
                <w:highlight w:val="none"/>
              </w:rPr>
            </w:pPr>
            <w:r>
              <w:rPr>
                <w:rFonts w:hint="eastAsia" w:ascii="宋体" w:hAnsi="宋体" w:cs="宋体"/>
                <w:color w:val="auto"/>
                <w:szCs w:val="21"/>
                <w:highlight w:val="none"/>
                <w:lang w:bidi="ar"/>
              </w:rPr>
              <w:t>100亿以上</w:t>
            </w:r>
          </w:p>
        </w:tc>
        <w:tc>
          <w:tcPr>
            <w:tcW w:w="1774" w:type="dxa"/>
            <w:tcBorders>
              <w:top w:val="single" w:color="auto" w:sz="4" w:space="0"/>
              <w:left w:val="nil"/>
              <w:bottom w:val="single" w:color="auto" w:sz="4" w:space="0"/>
              <w:right w:val="single" w:color="auto" w:sz="4" w:space="0"/>
            </w:tcBorders>
            <w:shd w:val="clear" w:color="auto" w:fill="auto"/>
            <w:vAlign w:val="center"/>
          </w:tcPr>
          <w:p w14:paraId="043F37E5">
            <w:pPr>
              <w:jc w:val="center"/>
              <w:rPr>
                <w:rFonts w:ascii="宋体" w:hAnsi="宋体" w:cs="宋体"/>
                <w:color w:val="auto"/>
                <w:szCs w:val="21"/>
                <w:highlight w:val="none"/>
              </w:rPr>
            </w:pPr>
            <w:r>
              <w:rPr>
                <w:rFonts w:hint="eastAsia" w:ascii="宋体" w:hAnsi="宋体" w:cs="宋体"/>
                <w:color w:val="auto"/>
                <w:szCs w:val="21"/>
                <w:highlight w:val="none"/>
                <w:lang w:bidi="ar"/>
              </w:rPr>
              <w:t>0.004%</w:t>
            </w:r>
          </w:p>
        </w:tc>
        <w:tc>
          <w:tcPr>
            <w:tcW w:w="1638" w:type="dxa"/>
            <w:tcBorders>
              <w:top w:val="single" w:color="auto" w:sz="4" w:space="0"/>
              <w:left w:val="nil"/>
              <w:bottom w:val="single" w:color="auto" w:sz="4" w:space="0"/>
              <w:right w:val="single" w:color="auto" w:sz="4" w:space="0"/>
            </w:tcBorders>
            <w:shd w:val="clear" w:color="auto" w:fill="auto"/>
            <w:vAlign w:val="center"/>
          </w:tcPr>
          <w:p w14:paraId="085000DF">
            <w:pPr>
              <w:jc w:val="center"/>
              <w:rPr>
                <w:rFonts w:ascii="宋体" w:hAnsi="宋体" w:cs="宋体"/>
                <w:color w:val="auto"/>
                <w:szCs w:val="21"/>
                <w:highlight w:val="none"/>
              </w:rPr>
            </w:pPr>
            <w:r>
              <w:rPr>
                <w:rFonts w:hint="eastAsia" w:ascii="宋体" w:hAnsi="宋体" w:cs="宋体"/>
                <w:color w:val="auto"/>
                <w:szCs w:val="21"/>
                <w:highlight w:val="none"/>
                <w:lang w:bidi="ar"/>
              </w:rPr>
              <w:t>0.004%</w:t>
            </w:r>
          </w:p>
        </w:tc>
        <w:tc>
          <w:tcPr>
            <w:tcW w:w="1653" w:type="dxa"/>
            <w:tcBorders>
              <w:top w:val="single" w:color="auto" w:sz="4" w:space="0"/>
              <w:left w:val="nil"/>
              <w:bottom w:val="single" w:color="auto" w:sz="4" w:space="0"/>
              <w:right w:val="single" w:color="auto" w:sz="4" w:space="0"/>
            </w:tcBorders>
            <w:shd w:val="clear" w:color="auto" w:fill="auto"/>
            <w:vAlign w:val="center"/>
          </w:tcPr>
          <w:p w14:paraId="003E12BA">
            <w:pPr>
              <w:jc w:val="center"/>
              <w:rPr>
                <w:rFonts w:ascii="宋体" w:hAnsi="宋体" w:cs="宋体"/>
                <w:color w:val="auto"/>
                <w:szCs w:val="21"/>
                <w:highlight w:val="none"/>
              </w:rPr>
            </w:pPr>
            <w:r>
              <w:rPr>
                <w:rFonts w:hint="eastAsia" w:ascii="宋体" w:hAnsi="宋体" w:cs="宋体"/>
                <w:color w:val="auto"/>
                <w:szCs w:val="21"/>
                <w:highlight w:val="none"/>
                <w:lang w:bidi="ar"/>
              </w:rPr>
              <w:t>0.004%</w:t>
            </w:r>
          </w:p>
        </w:tc>
      </w:tr>
    </w:tbl>
    <w:p w14:paraId="7230D5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注： </w:t>
      </w:r>
    </w:p>
    <w:p w14:paraId="566F5A9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（1）按本表费率计算的收费为采购代理的收费基准价格；</w:t>
      </w:r>
    </w:p>
    <w:p w14:paraId="08F3501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（2）采购代理收费按差额定率累进法计算。</w:t>
      </w:r>
    </w:p>
    <w:p w14:paraId="79533D4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例如：某货物采购代理业务成交金额或者暂定价为150万元，计算采购代理收费额如下：</w:t>
      </w:r>
    </w:p>
    <w:p w14:paraId="09634B07">
      <w:pPr>
        <w:tabs>
          <w:tab w:val="left" w:pos="28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100 万元 ×l.5 %＝ 1.5 （万元）</w:t>
      </w:r>
    </w:p>
    <w:p w14:paraId="41420ADC">
      <w:pPr>
        <w:tabs>
          <w:tab w:val="left" w:pos="28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（150 －100）万元 ×1.1%＝ 0.55 （万元）</w:t>
      </w:r>
    </w:p>
    <w:p w14:paraId="1DA7600F">
      <w:pPr>
        <w:tabs>
          <w:tab w:val="left" w:pos="28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合计收费基准价格＝ 1.5 ＋ 0.55＝ 2.05 （万元）</w:t>
      </w:r>
    </w:p>
    <w:p w14:paraId="391CD386">
      <w:pPr>
        <w:tabs>
          <w:tab w:val="left" w:pos="28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以收费基准价格下浮40%=2.05×（1-40%）=1.23（万元）</w:t>
      </w:r>
    </w:p>
    <w:p w14:paraId="21EB9E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67357114">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084003DB">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1AE09824">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 其他事项详见“供应商须知前附表”。</w:t>
      </w:r>
    </w:p>
    <w:p w14:paraId="35395DAB">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CB329F">
      <w:pPr>
        <w:pStyle w:val="26"/>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262053C">
      <w:pPr>
        <w:pStyle w:val="26"/>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56F91DB">
      <w:pPr>
        <w:pStyle w:val="26"/>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43B6E33">
      <w:pPr>
        <w:pStyle w:val="26"/>
        <w:spacing w:line="360" w:lineRule="auto"/>
        <w:ind w:firstLine="420" w:firstLineChars="200"/>
        <w:contextualSpacing/>
        <w:rPr>
          <w:rFonts w:hAnsi="宋体" w:cs="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06FF8D3F">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14DA60E3">
      <w:pPr>
        <w:pStyle w:val="26"/>
        <w:spacing w:line="360" w:lineRule="auto"/>
        <w:ind w:firstLine="420" w:firstLineChars="200"/>
        <w:contextualSpacing/>
        <w:rPr>
          <w:rFonts w:hAnsi="宋体"/>
          <w:color w:val="auto"/>
          <w:sz w:val="21"/>
          <w:highlight w:val="none"/>
        </w:rPr>
      </w:pPr>
    </w:p>
    <w:p w14:paraId="18C3A462">
      <w:pPr>
        <w:pStyle w:val="26"/>
        <w:spacing w:before="340" w:after="340" w:line="360" w:lineRule="auto"/>
        <w:ind w:firstLine="883" w:firstLineChars="200"/>
        <w:jc w:val="center"/>
        <w:textAlignment w:val="center"/>
        <w:rPr>
          <w:b/>
          <w:color w:val="auto"/>
          <w:sz w:val="44"/>
          <w:szCs w:val="44"/>
          <w:highlight w:val="none"/>
        </w:rPr>
      </w:pPr>
      <w:bookmarkStart w:id="69" w:name="_Toc74323458"/>
    </w:p>
    <w:p w14:paraId="2485F4C2">
      <w:pPr>
        <w:pStyle w:val="26"/>
        <w:spacing w:before="340" w:after="340" w:line="360" w:lineRule="auto"/>
        <w:ind w:firstLine="883" w:firstLineChars="200"/>
        <w:jc w:val="center"/>
        <w:textAlignment w:val="center"/>
        <w:rPr>
          <w:b/>
          <w:color w:val="auto"/>
          <w:sz w:val="44"/>
          <w:szCs w:val="44"/>
          <w:highlight w:val="none"/>
        </w:rPr>
      </w:pPr>
    </w:p>
    <w:p w14:paraId="420B6FF2">
      <w:pPr>
        <w:pStyle w:val="13"/>
        <w:rPr>
          <w:b/>
          <w:color w:val="auto"/>
          <w:sz w:val="44"/>
          <w:szCs w:val="44"/>
          <w:highlight w:val="none"/>
        </w:rPr>
      </w:pPr>
    </w:p>
    <w:p w14:paraId="4BD27CF7">
      <w:pPr>
        <w:rPr>
          <w:b/>
          <w:color w:val="auto"/>
          <w:sz w:val="44"/>
          <w:szCs w:val="44"/>
          <w:highlight w:val="none"/>
        </w:rPr>
      </w:pPr>
    </w:p>
    <w:p w14:paraId="21E32BDE">
      <w:pPr>
        <w:pStyle w:val="26"/>
        <w:spacing w:before="340" w:after="340" w:line="360" w:lineRule="auto"/>
        <w:ind w:firstLine="883" w:firstLineChars="200"/>
        <w:jc w:val="center"/>
        <w:textAlignment w:val="center"/>
        <w:rPr>
          <w:color w:val="auto"/>
          <w:highlight w:val="none"/>
        </w:rPr>
      </w:pPr>
      <w:r>
        <w:rPr>
          <w:rFonts w:hint="eastAsia"/>
          <w:b/>
          <w:color w:val="auto"/>
          <w:sz w:val="44"/>
          <w:szCs w:val="44"/>
          <w:highlight w:val="none"/>
        </w:rPr>
        <w:t>第三章 采购需求</w:t>
      </w:r>
      <w:bookmarkEnd w:id="69"/>
    </w:p>
    <w:p w14:paraId="2316B5B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9454388">
      <w:pPr>
        <w:spacing w:line="400" w:lineRule="exact"/>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313C9864">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7CAF01F3">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0EACE5F">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AFBFF89">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2086E943">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72AF758B">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“实质性要求”是指磋商文件中已经指明不满足则响应文件按无效处理的条款，或者不能负偏离的条款，或者采购需求中带“▲”的条款。</w:t>
      </w:r>
    </w:p>
    <w:p w14:paraId="503D5D44">
      <w:pPr>
        <w:spacing w:line="400" w:lineRule="exact"/>
        <w:ind w:firstLine="424" w:firstLineChars="202"/>
        <w:jc w:val="left"/>
        <w:rPr>
          <w:rFonts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供应商必须自行为其竞标标的侵犯他人的知识产权或者专利成果的行为承担相应法律责任。</w:t>
      </w:r>
    </w:p>
    <w:p w14:paraId="1FE818A6">
      <w:pPr>
        <w:pStyle w:val="17"/>
        <w:rPr>
          <w:rFonts w:hint="eastAsia" w:ascii="宋体" w:hAnsi="宋体" w:eastAsia="宋体" w:cs="宋体"/>
          <w:b/>
          <w:color w:val="auto"/>
          <w:szCs w:val="21"/>
          <w:highlight w:val="none"/>
          <w:lang w:eastAsia="zh-CN"/>
        </w:rPr>
      </w:pPr>
      <w:r>
        <w:rPr>
          <w:rFonts w:hint="eastAsia" w:ascii="宋体" w:hAnsi="宋体" w:cs="宋体"/>
          <w:b/>
          <w:bCs/>
          <w:color w:val="auto"/>
          <w:szCs w:val="21"/>
          <w:highlight w:val="none"/>
        </w:rPr>
        <w:t>▲4.采购预算</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壹佰贰拾壹万陆仟玖佰叁拾壹元肆角玖分</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 xml:space="preserve"> 1216931.49</w:t>
      </w:r>
      <w:r>
        <w:rPr>
          <w:rFonts w:hint="eastAsia" w:ascii="宋体" w:hAnsi="宋体" w:cs="宋体"/>
          <w:b/>
          <w:bCs/>
          <w:color w:val="auto"/>
          <w:szCs w:val="21"/>
          <w:highlight w:val="none"/>
        </w:rPr>
        <w:t>）</w:t>
      </w:r>
    </w:p>
    <w:p w14:paraId="0F96C461">
      <w:pPr>
        <w:spacing w:line="400" w:lineRule="exact"/>
        <w:ind w:firstLine="310" w:firstLineChars="147"/>
        <w:jc w:val="left"/>
        <w:rPr>
          <w:rFonts w:ascii="宋体" w:hAnsi="宋体"/>
          <w:b/>
          <w:color w:val="auto"/>
          <w:szCs w:val="21"/>
          <w:highlight w:val="none"/>
        </w:rPr>
      </w:pPr>
      <w:r>
        <w:rPr>
          <w:rFonts w:hint="eastAsia" w:ascii="宋体" w:hAnsi="宋体"/>
          <w:b/>
          <w:color w:val="auto"/>
          <w:szCs w:val="21"/>
          <w:highlight w:val="none"/>
        </w:rPr>
        <w:t>本项目采购标的所属行业：建筑业</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965"/>
        <w:gridCol w:w="1414"/>
        <w:gridCol w:w="4326"/>
      </w:tblGrid>
      <w:tr w14:paraId="10A0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065" w:type="dxa"/>
            <w:gridSpan w:val="2"/>
            <w:vAlign w:val="center"/>
          </w:tcPr>
          <w:p w14:paraId="25F86494">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14" w:type="dxa"/>
            <w:vAlign w:val="center"/>
          </w:tcPr>
          <w:p w14:paraId="4537431A">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4326" w:type="dxa"/>
            <w:vAlign w:val="center"/>
          </w:tcPr>
          <w:p w14:paraId="74162544">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具体要求</w:t>
            </w:r>
          </w:p>
        </w:tc>
      </w:tr>
      <w:tr w14:paraId="39D4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7E19AB78">
            <w:pPr>
              <w:tabs>
                <w:tab w:val="left" w:pos="180"/>
                <w:tab w:val="left" w:pos="1620"/>
              </w:tabs>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▲一、</w:t>
            </w:r>
            <w:r>
              <w:rPr>
                <w:rFonts w:hint="eastAsia"/>
                <w:b/>
                <w:color w:val="auto"/>
                <w:highlight w:val="none"/>
              </w:rPr>
              <w:t>技术及其他要求</w:t>
            </w:r>
          </w:p>
        </w:tc>
      </w:tr>
      <w:tr w14:paraId="0189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3065" w:type="dxa"/>
            <w:gridSpan w:val="2"/>
            <w:vAlign w:val="center"/>
          </w:tcPr>
          <w:p w14:paraId="1928F507">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桂林医科大学细胞基因治疗研发与临床转化联合实验室平台项目</w:t>
            </w:r>
          </w:p>
        </w:tc>
        <w:tc>
          <w:tcPr>
            <w:tcW w:w="1414" w:type="dxa"/>
            <w:vAlign w:val="center"/>
          </w:tcPr>
          <w:p w14:paraId="534CD805">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326" w:type="dxa"/>
            <w:vAlign w:val="center"/>
          </w:tcPr>
          <w:p w14:paraId="460826C9">
            <w:pPr>
              <w:pStyle w:val="115"/>
              <w:spacing w:line="400" w:lineRule="exact"/>
              <w:ind w:firstLine="0" w:firstLineChars="0"/>
              <w:rPr>
                <w:rFonts w:ascii="宋体" w:hAnsi="宋体"/>
                <w:b/>
                <w:bCs/>
                <w:color w:val="auto"/>
                <w:highlight w:val="none"/>
              </w:rPr>
            </w:pPr>
            <w:r>
              <w:rPr>
                <w:rFonts w:hint="eastAsia" w:ascii="宋体" w:hAnsi="宋体"/>
                <w:b/>
                <w:bCs/>
                <w:color w:val="auto"/>
                <w:szCs w:val="21"/>
                <w:highlight w:val="none"/>
              </w:rPr>
              <w:t>（一）项目概况：桂林医科大学细胞基因治疗研发与临床转化联合实验室平台项目1项；简要技术需求或者服务要求：本项目为桂林医科大学细胞基因治疗研发与临床转化联合实验室平台项目，范围为1层，包括本工程设计施工图纸范围内的装饰装修、给排水、暖通、电气、弱电等，具体详见工程量清单及图纸。</w:t>
            </w:r>
          </w:p>
          <w:p w14:paraId="41C4C73C">
            <w:pPr>
              <w:pStyle w:val="115"/>
              <w:spacing w:line="400" w:lineRule="exact"/>
              <w:ind w:firstLine="0" w:firstLineChars="0"/>
              <w:rPr>
                <w:rFonts w:ascii="宋体" w:hAnsi="宋体"/>
                <w:b/>
                <w:color w:val="auto"/>
                <w:highlight w:val="none"/>
              </w:rPr>
            </w:pPr>
            <w:r>
              <w:rPr>
                <w:rFonts w:hint="eastAsia" w:ascii="宋体" w:hAnsi="宋体"/>
                <w:b/>
                <w:color w:val="auto"/>
                <w:highlight w:val="none"/>
              </w:rPr>
              <w:t>（二）质量等级要求：达到现行国家施工验收规范合格标准。</w:t>
            </w:r>
          </w:p>
          <w:p w14:paraId="65CC3FDC">
            <w:pPr>
              <w:pStyle w:val="42"/>
              <w:jc w:val="both"/>
              <w:rPr>
                <w:rFonts w:hint="eastAsia" w:ascii="宋体" w:hAnsi="宋体"/>
                <w:b/>
                <w:color w:val="auto"/>
                <w:kern w:val="2"/>
                <w:sz w:val="21"/>
                <w:highlight w:val="none"/>
              </w:rPr>
            </w:pPr>
            <w:r>
              <w:rPr>
                <w:rFonts w:hint="eastAsia" w:ascii="宋体" w:hAnsi="宋体"/>
                <w:b/>
                <w:color w:val="auto"/>
                <w:kern w:val="2"/>
                <w:sz w:val="21"/>
                <w:highlight w:val="none"/>
              </w:rPr>
              <w:t>（三）安全要求：符合</w:t>
            </w:r>
            <w:r>
              <w:rPr>
                <w:rFonts w:hint="eastAsia" w:ascii="宋体" w:hAnsi="宋体"/>
                <w:b/>
                <w:color w:val="auto"/>
                <w:kern w:val="2"/>
                <w:sz w:val="21"/>
                <w:highlight w:val="none"/>
                <w:lang w:eastAsia="zh-CN"/>
              </w:rPr>
              <w:t>《</w:t>
            </w:r>
            <w:r>
              <w:rPr>
                <w:rFonts w:hint="eastAsia" w:ascii="宋体" w:hAnsi="宋体" w:eastAsia="宋体" w:cs="Times New Roman"/>
                <w:b/>
                <w:bCs w:val="0"/>
                <w:i w:val="0"/>
                <w:iCs w:val="0"/>
                <w:caps w:val="0"/>
                <w:color w:val="auto"/>
                <w:spacing w:val="0"/>
                <w:kern w:val="2"/>
                <w:sz w:val="21"/>
                <w:szCs w:val="24"/>
                <w:highlight w:val="none"/>
                <w:vertAlign w:val="baseline"/>
              </w:rPr>
              <w:t>建筑设计防火规范</w:t>
            </w:r>
            <w:r>
              <w:rPr>
                <w:rFonts w:hint="eastAsia" w:ascii="宋体" w:hAnsi="宋体" w:cs="Times New Roman"/>
                <w:b/>
                <w:bCs w:val="0"/>
                <w:i w:val="0"/>
                <w:iCs w:val="0"/>
                <w:caps w:val="0"/>
                <w:color w:val="auto"/>
                <w:spacing w:val="0"/>
                <w:kern w:val="2"/>
                <w:sz w:val="21"/>
                <w:szCs w:val="24"/>
                <w:highlight w:val="none"/>
                <w:vertAlign w:val="baseline"/>
                <w:lang w:eastAsia="zh-CN"/>
              </w:rPr>
              <w:t>》</w:t>
            </w:r>
            <w:r>
              <w:rPr>
                <w:rFonts w:hint="eastAsia" w:ascii="宋体" w:hAnsi="宋体" w:eastAsia="宋体" w:cs="Times New Roman"/>
                <w:b/>
                <w:bCs w:val="0"/>
                <w:i w:val="0"/>
                <w:iCs w:val="0"/>
                <w:caps w:val="0"/>
                <w:color w:val="auto"/>
                <w:spacing w:val="0"/>
                <w:kern w:val="2"/>
                <w:sz w:val="21"/>
                <w:szCs w:val="24"/>
                <w:highlight w:val="none"/>
                <w:vertAlign w:val="baseline"/>
              </w:rPr>
              <w:t xml:space="preserve"> GB50016</w:t>
            </w:r>
            <w:r>
              <w:rPr>
                <w:rFonts w:hint="eastAsia" w:ascii="宋体" w:hAnsi="宋体" w:cs="Times New Roman"/>
                <w:b/>
                <w:bCs w:val="0"/>
                <w:i w:val="0"/>
                <w:iCs w:val="0"/>
                <w:caps w:val="0"/>
                <w:color w:val="auto"/>
                <w:spacing w:val="0"/>
                <w:kern w:val="2"/>
                <w:sz w:val="21"/>
                <w:szCs w:val="24"/>
                <w:highlight w:val="none"/>
                <w:vertAlign w:val="baseline"/>
                <w:lang w:val="en-US" w:eastAsia="zh-CN"/>
              </w:rPr>
              <w:t>-2014</w:t>
            </w:r>
            <w:r>
              <w:rPr>
                <w:rFonts w:hint="eastAsia" w:ascii="宋体" w:hAnsi="宋体" w:cs="Times New Roman"/>
                <w:b/>
                <w:bCs w:val="0"/>
                <w:i w:val="0"/>
                <w:iCs w:val="0"/>
                <w:caps w:val="0"/>
                <w:color w:val="auto"/>
                <w:spacing w:val="0"/>
                <w:kern w:val="2"/>
                <w:sz w:val="21"/>
                <w:szCs w:val="24"/>
                <w:highlight w:val="none"/>
                <w:vertAlign w:val="baseline"/>
                <w:lang w:eastAsia="zh-CN"/>
              </w:rPr>
              <w:t>、</w:t>
            </w:r>
            <w:r>
              <w:rPr>
                <w:rFonts w:hint="eastAsia" w:ascii="宋体" w:hAnsi="宋体"/>
                <w:b/>
                <w:color w:val="auto"/>
                <w:kern w:val="2"/>
                <w:sz w:val="21"/>
                <w:highlight w:val="none"/>
                <w:lang w:eastAsia="zh-CN"/>
              </w:rPr>
              <w:t>《</w:t>
            </w:r>
            <w:r>
              <w:rPr>
                <w:rFonts w:hint="eastAsia" w:ascii="宋体" w:hAnsi="宋体" w:eastAsia="宋体" w:cs="Times New Roman"/>
                <w:b/>
                <w:color w:val="auto"/>
                <w:kern w:val="2"/>
                <w:sz w:val="21"/>
                <w:szCs w:val="24"/>
                <w:highlight w:val="none"/>
                <w:lang w:val="en-US" w:eastAsia="zh-CN" w:bidi="ar-SA"/>
              </w:rPr>
              <w:t>高等学校实验室消防安全管理规范</w:t>
            </w:r>
            <w:r>
              <w:rPr>
                <w:rFonts w:hint="eastAsia" w:ascii="宋体" w:hAnsi="宋体"/>
                <w:b/>
                <w:color w:val="auto"/>
                <w:kern w:val="2"/>
                <w:sz w:val="21"/>
                <w:highlight w:val="none"/>
                <w:lang w:eastAsia="zh-CN"/>
              </w:rPr>
              <w:t>》</w:t>
            </w:r>
            <w:r>
              <w:rPr>
                <w:rFonts w:hint="eastAsia" w:ascii="宋体" w:hAnsi="宋体" w:eastAsia="宋体" w:cs="Times New Roman"/>
                <w:b/>
                <w:color w:val="auto"/>
                <w:kern w:val="2"/>
                <w:sz w:val="21"/>
                <w:szCs w:val="24"/>
                <w:highlight w:val="none"/>
                <w:lang w:val="en-US" w:eastAsia="zh-CN" w:bidi="ar-SA"/>
              </w:rPr>
              <w:t>JY/T 0616—2023</w:t>
            </w:r>
          </w:p>
          <w:p w14:paraId="6A499D22">
            <w:pPr>
              <w:keepNext w:val="0"/>
              <w:keepLines w:val="0"/>
              <w:widowControl/>
              <w:suppressLineNumbers w:val="0"/>
              <w:jc w:val="left"/>
              <w:rPr>
                <w:rFonts w:hint="eastAsia" w:ascii="宋体" w:hAnsi="宋体"/>
                <w:b/>
                <w:color w:val="auto"/>
                <w:highlight w:val="none"/>
              </w:rPr>
            </w:pPr>
            <w:r>
              <w:rPr>
                <w:rFonts w:hint="eastAsia" w:ascii="宋体" w:hAnsi="宋体"/>
                <w:b/>
                <w:color w:val="auto"/>
                <w:highlight w:val="none"/>
                <w:lang w:eastAsia="zh-CN"/>
              </w:rPr>
              <w:t>、《</w:t>
            </w:r>
            <w:r>
              <w:rPr>
                <w:rFonts w:hint="eastAsia" w:ascii="宋体" w:hAnsi="宋体" w:eastAsia="宋体" w:cs="Times New Roman"/>
                <w:b/>
                <w:color w:val="auto"/>
                <w:kern w:val="2"/>
                <w:sz w:val="21"/>
                <w:szCs w:val="24"/>
                <w:highlight w:val="none"/>
                <w:lang w:val="en-US" w:eastAsia="zh-CN" w:bidi="ar-SA"/>
              </w:rPr>
              <w:t>气瓶安全技术规程</w:t>
            </w:r>
            <w:r>
              <w:rPr>
                <w:rFonts w:hint="default" w:ascii="宋体" w:hAnsi="宋体" w:eastAsia="宋体" w:cs="Times New Roman"/>
                <w:b/>
                <w:color w:val="auto"/>
                <w:kern w:val="2"/>
                <w:sz w:val="21"/>
                <w:szCs w:val="24"/>
                <w:highlight w:val="none"/>
                <w:lang w:val="en-US" w:eastAsia="zh-CN" w:bidi="ar-SA"/>
              </w:rPr>
              <w:t>》</w:t>
            </w:r>
            <w:r>
              <w:rPr>
                <w:rFonts w:hint="eastAsia" w:ascii="宋体" w:hAnsi="宋体" w:eastAsia="宋体" w:cs="Times New Roman"/>
                <w:b/>
                <w:color w:val="auto"/>
                <w:kern w:val="2"/>
                <w:sz w:val="21"/>
                <w:szCs w:val="24"/>
                <w:highlight w:val="none"/>
                <w:lang w:val="en-US" w:eastAsia="zh-CN" w:bidi="ar-SA"/>
              </w:rPr>
              <w:t>TSG 23—2021</w:t>
            </w:r>
          </w:p>
          <w:p w14:paraId="7A30B6E3">
            <w:pPr>
              <w:widowControl/>
              <w:jc w:val="left"/>
              <w:rPr>
                <w:rFonts w:hint="eastAsia" w:ascii="宋体" w:hAnsi="宋体"/>
                <w:b/>
                <w:color w:val="auto"/>
                <w:highlight w:val="none"/>
              </w:rPr>
            </w:pPr>
            <w:r>
              <w:rPr>
                <w:rFonts w:hint="eastAsia" w:ascii="宋体" w:hAnsi="宋体"/>
                <w:b/>
                <w:color w:val="auto"/>
                <w:highlight w:val="none"/>
                <w:lang w:val="en-US" w:eastAsia="zh-CN"/>
              </w:rPr>
              <w:t>等</w:t>
            </w:r>
            <w:r>
              <w:rPr>
                <w:rFonts w:hint="eastAsia" w:ascii="宋体" w:hAnsi="宋体"/>
                <w:b/>
                <w:color w:val="auto"/>
                <w:highlight w:val="none"/>
              </w:rPr>
              <w:t>国家及行业规定。</w:t>
            </w:r>
          </w:p>
          <w:p w14:paraId="11A92D11">
            <w:pPr>
              <w:pStyle w:val="115"/>
              <w:spacing w:line="400" w:lineRule="exact"/>
              <w:ind w:firstLine="0" w:firstLineChars="0"/>
              <w:rPr>
                <w:rFonts w:ascii="宋体" w:hAnsi="宋体"/>
                <w:b/>
                <w:color w:val="auto"/>
                <w:highlight w:val="none"/>
              </w:rPr>
            </w:pPr>
            <w:r>
              <w:rPr>
                <w:rFonts w:hint="eastAsia" w:ascii="宋体" w:hAnsi="宋体"/>
                <w:b/>
                <w:color w:val="auto"/>
                <w:highlight w:val="none"/>
              </w:rPr>
              <w:t>（四）技术要求：达到现行国家施工验收规范合格</w:t>
            </w:r>
            <w:r>
              <w:rPr>
                <w:rFonts w:hint="eastAsia" w:ascii="宋体" w:hAnsi="宋体"/>
                <w:b/>
                <w:color w:val="auto"/>
                <w:highlight w:val="none"/>
              </w:rPr>
              <w:t>标准。</w:t>
            </w:r>
          </w:p>
          <w:p w14:paraId="22328EEA">
            <w:pPr>
              <w:pStyle w:val="115"/>
              <w:spacing w:line="400" w:lineRule="exact"/>
              <w:ind w:firstLine="0" w:firstLineChars="0"/>
              <w:rPr>
                <w:rFonts w:ascii="宋体" w:hAnsi="宋体"/>
                <w:b/>
                <w:color w:val="auto"/>
                <w:highlight w:val="none"/>
              </w:rPr>
            </w:pPr>
            <w:r>
              <w:rPr>
                <w:rFonts w:hint="eastAsia" w:ascii="宋体" w:hAnsi="宋体"/>
                <w:b/>
                <w:color w:val="auto"/>
                <w:highlight w:val="none"/>
              </w:rPr>
              <w:t>（五）需实现的功能或者目标：达到现行国家施工验收规范合格标准。</w:t>
            </w:r>
          </w:p>
          <w:p w14:paraId="08A16128">
            <w:pPr>
              <w:tabs>
                <w:tab w:val="left" w:pos="180"/>
                <w:tab w:val="left" w:pos="1620"/>
              </w:tabs>
              <w:spacing w:line="400" w:lineRule="exact"/>
              <w:rPr>
                <w:rFonts w:ascii="宋体" w:hAnsi="宋体" w:cs="宋体"/>
                <w:b/>
                <w:color w:val="auto"/>
                <w:szCs w:val="21"/>
                <w:highlight w:val="none"/>
              </w:rPr>
            </w:pPr>
            <w:bookmarkStart w:id="70" w:name="OLE_LINK13"/>
            <w:r>
              <w:rPr>
                <w:rFonts w:hint="eastAsia" w:ascii="宋体" w:hAnsi="宋体" w:cs="宋体"/>
                <w:b/>
                <w:color w:val="auto"/>
                <w:szCs w:val="21"/>
                <w:highlight w:val="none"/>
              </w:rPr>
              <w:t>（六）项目管理机构</w:t>
            </w:r>
            <w:bookmarkEnd w:id="70"/>
            <w:r>
              <w:rPr>
                <w:rFonts w:hint="eastAsia" w:ascii="宋体" w:hAnsi="宋体" w:cs="宋体"/>
                <w:b/>
                <w:color w:val="auto"/>
                <w:szCs w:val="21"/>
                <w:highlight w:val="none"/>
              </w:rPr>
              <w:t>人员</w:t>
            </w:r>
          </w:p>
          <w:p w14:paraId="3218ED36">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1.配备要求：</w:t>
            </w:r>
          </w:p>
          <w:p w14:paraId="0150F482">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 1 \* GB3 \* MERGEFORMAT </w:instrText>
            </w:r>
            <w:r>
              <w:rPr>
                <w:rFonts w:hint="eastAsia" w:ascii="宋体" w:hAnsi="宋体" w:cs="宋体"/>
                <w:b/>
                <w:color w:val="auto"/>
                <w:szCs w:val="21"/>
                <w:highlight w:val="none"/>
              </w:rPr>
              <w:fldChar w:fldCharType="separate"/>
            </w:r>
            <w:r>
              <w:rPr>
                <w:rFonts w:hint="eastAsia" w:ascii="宋体" w:hAnsi="宋体" w:cs="宋体"/>
                <w:b/>
                <w:color w:val="auto"/>
                <w:szCs w:val="21"/>
                <w:highlight w:val="none"/>
              </w:rPr>
              <w:t>①</w:t>
            </w:r>
            <w:r>
              <w:rPr>
                <w:rFonts w:hint="eastAsia" w:ascii="宋体" w:hAnsi="宋体" w:cs="宋体"/>
                <w:b/>
                <w:color w:val="auto"/>
                <w:szCs w:val="21"/>
                <w:highlight w:val="none"/>
              </w:rPr>
              <w:fldChar w:fldCharType="end"/>
            </w:r>
            <w:r>
              <w:rPr>
                <w:rFonts w:hint="eastAsia" w:ascii="宋体" w:hAnsi="宋体" w:cs="宋体"/>
                <w:b/>
                <w:color w:val="auto"/>
                <w:szCs w:val="21"/>
                <w:highlight w:val="none"/>
              </w:rPr>
              <w:t>项目经理（1人）：供应商拟派本工程的项目经理必须具有建筑工程专业二级以上（含二级）注册建造师执业资格并具有有效的安全生产考核合格证（B类），且未在其他在建、已中标（或成交）未开工或已列为其他项目中标（或成交）候选人第一名的建造师作为项目经理（符合桂建管【2013】17号文及桂建管【2016】70号除外）。</w:t>
            </w:r>
          </w:p>
          <w:p w14:paraId="19C0C212">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②技术负责人（1人）：技术负责人须具有</w:t>
            </w:r>
            <w:r>
              <w:rPr>
                <w:rFonts w:hint="eastAsia" w:ascii="宋体" w:hAnsi="宋体" w:cs="宋体"/>
                <w:b/>
                <w:bCs/>
                <w:color w:val="auto"/>
                <w:szCs w:val="21"/>
                <w:highlight w:val="none"/>
              </w:rPr>
              <w:t>与本项目相关专业的</w:t>
            </w:r>
            <w:r>
              <w:rPr>
                <w:rFonts w:hint="eastAsia" w:ascii="宋体" w:hAnsi="宋体" w:cs="宋体"/>
                <w:b/>
                <w:color w:val="auto"/>
                <w:szCs w:val="21"/>
                <w:highlight w:val="none"/>
              </w:rPr>
              <w:t>工程师及以上职称。</w:t>
            </w:r>
          </w:p>
          <w:p w14:paraId="12E1F1C7">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③专职安全生产管理人员（1人）：专职安全生产管理人员须具有安全生产考核合格证书（C类）；</w:t>
            </w:r>
          </w:p>
          <w:p w14:paraId="010517FB">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④施工员、质量员、材料员（各配备1人）：施工员、质量员、材料员须具有施工现场专业人员职业培训合格证书。</w:t>
            </w:r>
          </w:p>
          <w:p w14:paraId="3B75A840">
            <w:pPr>
              <w:tabs>
                <w:tab w:val="left" w:pos="180"/>
                <w:tab w:val="left" w:pos="1620"/>
              </w:tabs>
              <w:spacing w:line="400" w:lineRule="exact"/>
              <w:rPr>
                <w:rFonts w:ascii="宋体" w:hAnsi="宋体" w:cs="宋体"/>
                <w:b/>
                <w:color w:val="auto"/>
                <w:szCs w:val="21"/>
                <w:highlight w:val="none"/>
              </w:rPr>
            </w:pPr>
            <w:r>
              <w:rPr>
                <w:rFonts w:hint="eastAsia" w:ascii="宋体" w:hAnsi="宋体" w:cs="宋体"/>
                <w:b/>
                <w:color w:val="auto"/>
                <w:szCs w:val="21"/>
                <w:highlight w:val="none"/>
              </w:rPr>
              <w:t>2.供应商须按“第五章 响应文件格式”要求，于响应文件中必须提供“项目管理机构配备情况表”【含项目经理、技术负责人、专职安全生产管理人员、施工员、质量员、材料员的基本情况，并附以下证明材料：①项目经理提供建筑工程专业二级以上（含二级）注册建造师执业资格证书复印件及有效的安全生产考核合格证书复印件（B类），加盖供应商电子签章；②技术负责人提供</w:t>
            </w:r>
            <w:r>
              <w:rPr>
                <w:rFonts w:hint="eastAsia" w:ascii="宋体" w:hAnsi="宋体" w:cs="宋体"/>
                <w:b/>
                <w:bCs/>
                <w:color w:val="auto"/>
                <w:szCs w:val="21"/>
                <w:highlight w:val="none"/>
              </w:rPr>
              <w:t>与本项目相关专业的</w:t>
            </w:r>
            <w:r>
              <w:rPr>
                <w:rFonts w:hint="eastAsia" w:ascii="宋体" w:hAnsi="宋体" w:cs="宋体"/>
                <w:b/>
                <w:color w:val="auto"/>
                <w:szCs w:val="21"/>
                <w:highlight w:val="none"/>
              </w:rPr>
              <w:t>工程师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w:t>
            </w:r>
            <w:r>
              <w:rPr>
                <w:rFonts w:hint="eastAsia" w:ascii="宋体" w:hAnsi="宋体" w:cs="宋体"/>
                <w:b/>
                <w:color w:val="auto"/>
                <w:szCs w:val="21"/>
                <w:highlight w:val="none"/>
                <w:lang w:eastAsia="zh-CN"/>
              </w:rPr>
              <w:t>缴纳</w:t>
            </w:r>
            <w:r>
              <w:rPr>
                <w:rFonts w:hint="eastAsia" w:ascii="宋体" w:hAnsi="宋体" w:cs="宋体"/>
                <w:b/>
                <w:color w:val="auto"/>
                <w:szCs w:val="21"/>
                <w:highlight w:val="none"/>
              </w:rPr>
              <w:t>的社保证明材料</w:t>
            </w:r>
            <w:r>
              <w:rPr>
                <w:rFonts w:hint="eastAsia" w:ascii="宋体" w:hAnsi="宋体" w:cs="宋体"/>
                <w:b/>
                <w:color w:val="auto"/>
                <w:szCs w:val="21"/>
                <w:highlight w:val="none"/>
              </w:rPr>
              <w:t>复印件</w:t>
            </w:r>
            <w:r>
              <w:rPr>
                <w:rFonts w:hint="eastAsia"/>
                <w:b/>
                <w:color w:val="auto"/>
                <w:highlight w:val="none"/>
              </w:rPr>
              <w:t>或者劳动合同</w:t>
            </w:r>
            <w:r>
              <w:rPr>
                <w:rFonts w:hint="eastAsia" w:ascii="宋体" w:hAnsi="宋体" w:cs="宋体"/>
                <w:b/>
                <w:color w:val="auto"/>
                <w:szCs w:val="21"/>
                <w:highlight w:val="none"/>
              </w:rPr>
              <w:t>复印件</w:t>
            </w:r>
            <w:r>
              <w:rPr>
                <w:rFonts w:hint="eastAsia" w:ascii="宋体" w:hAnsi="宋体" w:cs="宋体"/>
                <w:b/>
                <w:color w:val="auto"/>
                <w:szCs w:val="21"/>
                <w:highlight w:val="none"/>
              </w:rPr>
              <w:t>，加盖供应商电子签章】。</w:t>
            </w:r>
          </w:p>
          <w:p w14:paraId="2BC479F4">
            <w:pPr>
              <w:pStyle w:val="65"/>
              <w:spacing w:line="400" w:lineRule="exact"/>
              <w:rPr>
                <w:rFonts w:ascii="宋体" w:hAnsi="宋体" w:cs="宋体"/>
                <w:b/>
                <w:color w:val="auto"/>
                <w:szCs w:val="21"/>
                <w:highlight w:val="none"/>
              </w:rPr>
            </w:pPr>
            <w:r>
              <w:rPr>
                <w:rFonts w:hint="eastAsia" w:ascii="宋体" w:hAnsi="宋体" w:cs="宋体"/>
                <w:b/>
                <w:color w:val="auto"/>
                <w:szCs w:val="21"/>
                <w:highlight w:val="none"/>
              </w:rPr>
              <w:t>3.供应商须按“第五章 响应文件格式”要求，于响应文件中提供“供应商关于拟派项目经理的承诺函”。</w:t>
            </w:r>
          </w:p>
          <w:p w14:paraId="2B87530B">
            <w:pPr>
              <w:pStyle w:val="65"/>
              <w:spacing w:line="400" w:lineRule="exact"/>
              <w:rPr>
                <w:rFonts w:ascii="宋体" w:hAnsi="宋体"/>
                <w:color w:val="auto"/>
                <w:highlight w:val="none"/>
              </w:rPr>
            </w:pPr>
            <w:r>
              <w:rPr>
                <w:rFonts w:hint="eastAsia" w:ascii="宋体" w:hAnsi="宋体" w:cs="宋体"/>
                <w:b/>
                <w:color w:val="auto"/>
                <w:szCs w:val="21"/>
                <w:highlight w:val="none"/>
              </w:rPr>
              <w:t>（七）</w:t>
            </w:r>
            <w:r>
              <w:rPr>
                <w:rFonts w:hint="eastAsia" w:ascii="宋体" w:hAnsi="宋体" w:cs="宋体"/>
                <w:b/>
                <w:color w:val="auto"/>
                <w:szCs w:val="21"/>
                <w:highlight w:val="none"/>
              </w:rPr>
              <w:t>本项目通风空调工程部分设计与实施要求详见附件1；</w:t>
            </w:r>
            <w:r>
              <w:rPr>
                <w:rFonts w:hint="eastAsia" w:ascii="宋体" w:hAnsi="宋体" w:cs="宋体"/>
                <w:b/>
                <w:color w:val="auto"/>
                <w:szCs w:val="21"/>
                <w:highlight w:val="none"/>
                <w:lang w:val="en-US" w:eastAsia="zh-CN"/>
              </w:rPr>
              <w:t>气路系统</w:t>
            </w:r>
            <w:r>
              <w:rPr>
                <w:rFonts w:hint="eastAsia" w:ascii="宋体" w:hAnsi="宋体" w:cs="宋体"/>
                <w:b/>
                <w:color w:val="auto"/>
                <w:szCs w:val="21"/>
                <w:highlight w:val="none"/>
              </w:rPr>
              <w:t>部分设计与实施要求及技术要求详见附件2；纯水系统设计与实施要求及技术要求详见附件3；装修部分设计与实施要求详见附件4。</w:t>
            </w:r>
          </w:p>
        </w:tc>
      </w:tr>
      <w:tr w14:paraId="454F2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16B8A99A">
            <w:pPr>
              <w:spacing w:line="40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14:paraId="683D2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9D8235E">
            <w:pPr>
              <w:spacing w:line="400" w:lineRule="exact"/>
              <w:jc w:val="center"/>
              <w:rPr>
                <w:rFonts w:ascii="宋体" w:hAnsi="宋体"/>
                <w:b/>
                <w:color w:val="auto"/>
                <w:szCs w:val="21"/>
                <w:highlight w:val="none"/>
              </w:rPr>
            </w:pPr>
            <w:r>
              <w:rPr>
                <w:rFonts w:hint="eastAsia" w:ascii="宋体" w:hAnsi="宋体" w:cs="宋体"/>
                <w:b/>
                <w:color w:val="auto"/>
                <w:szCs w:val="21"/>
                <w:highlight w:val="none"/>
              </w:rPr>
              <w:t>1.计划工期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3D18798">
            <w:pPr>
              <w:spacing w:line="400" w:lineRule="exact"/>
              <w:rPr>
                <w:rFonts w:ascii="宋体" w:hAnsi="宋体"/>
                <w:b/>
                <w:color w:val="auto"/>
                <w:szCs w:val="21"/>
                <w:highlight w:val="none"/>
              </w:rPr>
            </w:pPr>
            <w:r>
              <w:rPr>
                <w:rFonts w:hint="eastAsia" w:ascii="宋体" w:hAnsi="宋体"/>
                <w:b/>
                <w:color w:val="auto"/>
                <w:szCs w:val="21"/>
                <w:highlight w:val="none"/>
              </w:rPr>
              <w:t>计划工期：自签订合同之日起</w:t>
            </w:r>
            <w:r>
              <w:rPr>
                <w:rFonts w:hint="eastAsia" w:ascii="宋体" w:hAnsi="宋体"/>
                <w:b/>
                <w:color w:val="auto"/>
                <w:szCs w:val="21"/>
                <w:highlight w:val="none"/>
                <w:u w:val="single"/>
              </w:rPr>
              <w:t>40</w:t>
            </w:r>
            <w:r>
              <w:rPr>
                <w:rFonts w:hint="eastAsia" w:ascii="宋体" w:hAnsi="宋体"/>
                <w:b/>
                <w:color w:val="auto"/>
                <w:szCs w:val="21"/>
                <w:highlight w:val="none"/>
              </w:rPr>
              <w:t>日历天内。</w:t>
            </w:r>
          </w:p>
          <w:p w14:paraId="584B9FC5">
            <w:pPr>
              <w:spacing w:line="400" w:lineRule="exact"/>
              <w:rPr>
                <w:rFonts w:ascii="宋体" w:hAnsi="宋体"/>
                <w:b/>
                <w:color w:val="auto"/>
                <w:szCs w:val="21"/>
                <w:highlight w:val="none"/>
              </w:rPr>
            </w:pPr>
            <w:r>
              <w:rPr>
                <w:rFonts w:ascii="宋体" w:hAnsi="宋体"/>
                <w:b/>
                <w:color w:val="auto"/>
                <w:szCs w:val="21"/>
                <w:highlight w:val="none"/>
              </w:rPr>
              <w:t>计划开工日期：</w:t>
            </w:r>
            <w:r>
              <w:rPr>
                <w:rFonts w:hint="eastAsia" w:ascii="宋体" w:hAnsi="宋体"/>
                <w:b/>
                <w:color w:val="auto"/>
                <w:szCs w:val="21"/>
                <w:highlight w:val="none"/>
              </w:rPr>
              <w:t>以开工令为准。</w:t>
            </w:r>
          </w:p>
        </w:tc>
      </w:tr>
      <w:tr w14:paraId="5AABD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C5AE196">
            <w:pPr>
              <w:spacing w:line="400" w:lineRule="exact"/>
              <w:jc w:val="center"/>
              <w:rPr>
                <w:rFonts w:ascii="宋体" w:hAnsi="宋体"/>
                <w:b/>
                <w:color w:val="auto"/>
                <w:szCs w:val="21"/>
                <w:highlight w:val="none"/>
              </w:rPr>
            </w:pPr>
            <w:r>
              <w:rPr>
                <w:rFonts w:hint="eastAsia" w:ascii="宋体" w:hAnsi="宋体"/>
                <w:b/>
                <w:color w:val="auto"/>
                <w:szCs w:val="21"/>
                <w:highlight w:val="none"/>
              </w:rPr>
              <w:t>2.建设地点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58CEEA4">
            <w:pPr>
              <w:spacing w:line="400" w:lineRule="exact"/>
              <w:rPr>
                <w:rFonts w:ascii="宋体" w:hAnsi="宋体"/>
                <w:b/>
                <w:color w:val="auto"/>
                <w:szCs w:val="21"/>
                <w:highlight w:val="none"/>
              </w:rPr>
            </w:pPr>
            <w:r>
              <w:rPr>
                <w:rFonts w:hint="eastAsia" w:ascii="宋体" w:hAnsi="宋体"/>
                <w:b/>
                <w:color w:val="auto"/>
                <w:szCs w:val="21"/>
                <w:highlight w:val="none"/>
              </w:rPr>
              <w:t>桂林医科大学临桂校区</w:t>
            </w:r>
          </w:p>
        </w:tc>
      </w:tr>
      <w:tr w14:paraId="4AB32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D74663D">
            <w:pPr>
              <w:spacing w:line="400" w:lineRule="exact"/>
              <w:jc w:val="center"/>
              <w:rPr>
                <w:rFonts w:ascii="宋体" w:hAnsi="宋体"/>
                <w:b/>
                <w:color w:val="auto"/>
                <w:szCs w:val="21"/>
                <w:highlight w:val="none"/>
              </w:rPr>
            </w:pPr>
            <w:r>
              <w:rPr>
                <w:rFonts w:hint="eastAsia" w:ascii="宋体" w:hAnsi="宋体"/>
                <w:b/>
                <w:color w:val="auto"/>
                <w:szCs w:val="21"/>
                <w:highlight w:val="none"/>
              </w:rPr>
              <w:t>3.合同签订时间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582EC61">
            <w:pPr>
              <w:spacing w:line="400" w:lineRule="exact"/>
              <w:rPr>
                <w:rFonts w:ascii="宋体" w:hAnsi="宋体"/>
                <w:b/>
                <w:color w:val="auto"/>
                <w:szCs w:val="21"/>
                <w:highlight w:val="none"/>
              </w:rPr>
            </w:pPr>
            <w:r>
              <w:rPr>
                <w:rFonts w:hint="eastAsia" w:ascii="宋体" w:hAnsi="宋体"/>
                <w:b/>
                <w:color w:val="auto"/>
                <w:szCs w:val="21"/>
                <w:highlight w:val="none"/>
              </w:rPr>
              <w:t xml:space="preserve">自成交通知书发出之日起 </w:t>
            </w:r>
            <w:r>
              <w:rPr>
                <w:rFonts w:hint="eastAsia" w:ascii="宋体" w:hAnsi="宋体"/>
                <w:b/>
                <w:color w:val="auto"/>
                <w:szCs w:val="21"/>
                <w:highlight w:val="none"/>
                <w:u w:val="single"/>
              </w:rPr>
              <w:t>25</w:t>
            </w:r>
            <w:r>
              <w:rPr>
                <w:rFonts w:hint="eastAsia" w:ascii="宋体" w:hAnsi="宋体"/>
                <w:b/>
                <w:color w:val="auto"/>
                <w:szCs w:val="21"/>
                <w:highlight w:val="none"/>
              </w:rPr>
              <w:t>日内</w:t>
            </w:r>
          </w:p>
        </w:tc>
      </w:tr>
      <w:tr w14:paraId="2D02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5826B03">
            <w:pPr>
              <w:spacing w:line="400" w:lineRule="exact"/>
              <w:jc w:val="center"/>
              <w:rPr>
                <w:rFonts w:ascii="宋体" w:hAnsi="宋体"/>
                <w:b/>
                <w:color w:val="auto"/>
                <w:szCs w:val="21"/>
                <w:highlight w:val="none"/>
              </w:rPr>
            </w:pPr>
            <w:r>
              <w:rPr>
                <w:rFonts w:hint="eastAsia" w:ascii="宋体" w:hAnsi="宋体"/>
                <w:b/>
                <w:color w:val="auto"/>
                <w:szCs w:val="21"/>
                <w:highlight w:val="none"/>
              </w:rPr>
              <w:t>4.付款条件（进度和方式）</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504209">
            <w:pPr>
              <w:spacing w:line="400" w:lineRule="exact"/>
              <w:jc w:val="left"/>
              <w:rPr>
                <w:rFonts w:ascii="宋体" w:hAnsi="宋体"/>
                <w:b/>
                <w:color w:val="auto"/>
                <w:szCs w:val="21"/>
                <w:highlight w:val="none"/>
              </w:rPr>
            </w:pPr>
            <w:r>
              <w:rPr>
                <w:rFonts w:hint="eastAsia" w:ascii="宋体" w:hAnsi="宋体" w:cs="宋体"/>
                <w:b/>
                <w:bCs/>
                <w:color w:val="auto"/>
                <w:highlight w:val="none"/>
              </w:rPr>
              <w:t>签订合同且采购人收到发票后的10个工作日内支付扣除合同金额暂列金后合同款项</w:t>
            </w:r>
            <w:r>
              <w:rPr>
                <w:rFonts w:hint="eastAsia" w:ascii="宋体" w:hAnsi="宋体" w:cs="宋体"/>
                <w:b/>
                <w:bCs/>
                <w:color w:val="auto"/>
                <w:highlight w:val="none"/>
              </w:rPr>
              <w:t>的30%作</w:t>
            </w:r>
            <w:r>
              <w:rPr>
                <w:rFonts w:hint="eastAsia" w:ascii="宋体" w:hAnsi="宋体" w:cs="宋体"/>
                <w:b/>
                <w:bCs/>
                <w:color w:val="auto"/>
                <w:highlight w:val="none"/>
              </w:rPr>
              <w:t>为预付款，净化空调设备到位，并经双方确认后，10个工作日内支付扣除合同金额暂列金后合同款项的50%（含已支付的预付款），工程竣工验收合格且采购人收到成交人开具的增值税发票后10个工作日内，工程款支付至扣除合同金额暂列金后合同款项的80%（含已支付的预付款）；结算经采购人审定且采购人收到成交人开具的增值税发票后10个工作</w:t>
            </w:r>
            <w:r>
              <w:rPr>
                <w:rFonts w:hint="eastAsia" w:ascii="宋体" w:hAnsi="宋体" w:cs="宋体"/>
                <w:b/>
                <w:bCs/>
                <w:color w:val="auto"/>
                <w:highlight w:val="none"/>
                <w:lang w:eastAsia="zh-CN"/>
              </w:rPr>
              <w:t>日内</w:t>
            </w:r>
            <w:r>
              <w:rPr>
                <w:rFonts w:hint="eastAsia" w:ascii="宋体" w:hAnsi="宋体" w:cs="宋体"/>
                <w:b/>
                <w:bCs/>
                <w:color w:val="auto"/>
                <w:highlight w:val="none"/>
              </w:rPr>
              <w:t>将工程款支付至结算总价的100%（在支付此笔工程款前，成交人向采购人对公账户转入结算总价的</w:t>
            </w:r>
            <w:r>
              <w:rPr>
                <w:rFonts w:hint="eastAsia" w:ascii="宋体" w:hAnsi="宋体" w:cs="宋体"/>
                <w:b/>
                <w:bCs/>
                <w:color w:val="auto"/>
                <w:highlight w:val="none"/>
                <w:lang w:val="en-US" w:eastAsia="zh-CN"/>
              </w:rPr>
              <w:t>3</w:t>
            </w:r>
            <w:r>
              <w:rPr>
                <w:rFonts w:hint="eastAsia" w:ascii="宋体" w:hAnsi="宋体" w:cs="宋体"/>
                <w:b/>
                <w:bCs/>
                <w:color w:val="auto"/>
                <w:highlight w:val="none"/>
              </w:rPr>
              <w:t>%作为工程质量保证金）；工程质量保证金待缺陷责任期满，双方确认无质量返修问题后14天内由采购人无息向成交人一次性返还。</w:t>
            </w:r>
          </w:p>
        </w:tc>
      </w:tr>
      <w:tr w14:paraId="428D1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43EBC67D">
            <w:pPr>
              <w:spacing w:line="400" w:lineRule="exact"/>
              <w:jc w:val="center"/>
              <w:rPr>
                <w:rFonts w:ascii="宋体" w:hAnsi="宋体"/>
                <w:b/>
                <w:color w:val="auto"/>
                <w:szCs w:val="21"/>
                <w:highlight w:val="none"/>
              </w:rPr>
            </w:pPr>
            <w:r>
              <w:rPr>
                <w:rFonts w:hint="eastAsia" w:ascii="宋体" w:hAnsi="宋体"/>
                <w:b/>
                <w:color w:val="auto"/>
                <w:szCs w:val="21"/>
                <w:highlight w:val="none"/>
              </w:rPr>
              <w:t>5.工程保修期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72A7311">
            <w:pPr>
              <w:spacing w:line="400" w:lineRule="exact"/>
              <w:jc w:val="left"/>
              <w:rPr>
                <w:rFonts w:asciiTheme="majorEastAsia" w:hAnsiTheme="majorEastAsia" w:eastAsiaTheme="majorEastAsia"/>
                <w:b/>
                <w:color w:val="auto"/>
                <w:szCs w:val="22"/>
                <w:highlight w:val="none"/>
              </w:rPr>
            </w:pPr>
            <w:r>
              <w:rPr>
                <w:rFonts w:hint="eastAsia" w:ascii="宋体" w:hAnsi="宋体"/>
                <w:b/>
                <w:color w:val="auto"/>
                <w:szCs w:val="21"/>
                <w:highlight w:val="none"/>
              </w:rPr>
              <w:t>根据《建设工程质量管理条例》及有关规定执行。</w:t>
            </w:r>
          </w:p>
        </w:tc>
      </w:tr>
      <w:tr w14:paraId="45227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3A7281BE">
            <w:pPr>
              <w:spacing w:line="400" w:lineRule="exact"/>
              <w:jc w:val="center"/>
              <w:rPr>
                <w:rFonts w:ascii="宋体" w:hAnsi="宋体"/>
                <w:b/>
                <w:color w:val="auto"/>
                <w:szCs w:val="21"/>
                <w:highlight w:val="none"/>
              </w:rPr>
            </w:pPr>
            <w:r>
              <w:rPr>
                <w:rFonts w:hint="eastAsia" w:ascii="宋体" w:hAnsi="宋体"/>
                <w:b/>
                <w:color w:val="auto"/>
                <w:szCs w:val="21"/>
                <w:highlight w:val="none"/>
              </w:rPr>
              <w:t>6.工程隐蔽部位覆盖前的检查</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55E8200D">
            <w:pPr>
              <w:spacing w:line="400" w:lineRule="exact"/>
              <w:jc w:val="left"/>
              <w:rPr>
                <w:rFonts w:ascii="宋体" w:hAnsi="宋体"/>
                <w:b/>
                <w:color w:val="auto"/>
                <w:szCs w:val="21"/>
                <w:highlight w:val="none"/>
              </w:rPr>
            </w:pPr>
            <w:r>
              <w:rPr>
                <w:rFonts w:hint="eastAsia" w:ascii="宋体" w:hAnsi="宋体"/>
                <w:b/>
                <w:color w:val="auto"/>
                <w:szCs w:val="21"/>
                <w:highlight w:val="none"/>
              </w:rPr>
              <w:t>工程隐蔽或中间验收前12小时以书面形式通知采购人和监理工程师验收的内容、时间、地点，成交人准备验收记录单，</w:t>
            </w:r>
            <w:r>
              <w:rPr>
                <w:rFonts w:hint="eastAsia" w:ascii="宋体" w:hAnsi="宋体"/>
                <w:b/>
                <w:color w:val="auto"/>
                <w:szCs w:val="21"/>
                <w:highlight w:val="none"/>
                <w:lang w:val="en-US" w:eastAsia="zh-CN"/>
              </w:rPr>
              <w:t>拍摄照片或视频资料，</w:t>
            </w:r>
            <w:r>
              <w:rPr>
                <w:rFonts w:hint="eastAsia" w:ascii="宋体" w:hAnsi="宋体"/>
                <w:b/>
                <w:color w:val="auto"/>
                <w:szCs w:val="21"/>
                <w:highlight w:val="none"/>
              </w:rPr>
              <w:t xml:space="preserve">未经采购人批准，均不得隐蔽或验收工作。 </w:t>
            </w:r>
          </w:p>
        </w:tc>
      </w:tr>
      <w:tr w14:paraId="51456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7520376">
            <w:pPr>
              <w:spacing w:line="400" w:lineRule="exact"/>
              <w:jc w:val="center"/>
              <w:rPr>
                <w:rFonts w:ascii="宋体" w:hAnsi="宋体"/>
                <w:b/>
                <w:color w:val="auto"/>
                <w:szCs w:val="21"/>
                <w:highlight w:val="none"/>
              </w:rPr>
            </w:pPr>
            <w:r>
              <w:rPr>
                <w:rFonts w:hint="eastAsia" w:ascii="宋体" w:hAnsi="宋体"/>
                <w:b/>
                <w:color w:val="auto"/>
                <w:szCs w:val="21"/>
                <w:highlight w:val="none"/>
              </w:rPr>
              <w:t>7.验收标准</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05BB823">
            <w:pPr>
              <w:spacing w:line="400" w:lineRule="exact"/>
              <w:rPr>
                <w:rFonts w:cs="宋体;SimSun"/>
                <w:b/>
                <w:color w:val="auto"/>
                <w:highlight w:val="none"/>
              </w:rPr>
            </w:pPr>
            <w:r>
              <w:rPr>
                <w:rFonts w:hint="eastAsia" w:cs="宋体;SimSun"/>
                <w:b/>
                <w:color w:val="auto"/>
                <w:highlight w:val="none"/>
              </w:rPr>
              <w:t>1.按照竞争性磋商文件要求及响应文件承诺进行验收，施工达到现行国家施工验收规范合格标准。</w:t>
            </w:r>
          </w:p>
          <w:p w14:paraId="59B3CA44">
            <w:pPr>
              <w:spacing w:line="400" w:lineRule="exact"/>
              <w:rPr>
                <w:rFonts w:ascii="宋体" w:hAnsi="宋体"/>
                <w:b/>
                <w:color w:val="auto"/>
                <w:szCs w:val="21"/>
                <w:highlight w:val="none"/>
              </w:rPr>
            </w:pPr>
            <w:r>
              <w:rPr>
                <w:rFonts w:hint="eastAsia" w:ascii="宋体" w:hAnsi="宋体"/>
                <w:b/>
                <w:color w:val="auto"/>
                <w:szCs w:val="21"/>
                <w:highlight w:val="none"/>
              </w:rPr>
              <w:t>2.符合以下强制验收规范：</w:t>
            </w:r>
          </w:p>
          <w:p w14:paraId="61636B58">
            <w:pPr>
              <w:spacing w:line="400" w:lineRule="exact"/>
              <w:rPr>
                <w:rFonts w:ascii="宋体" w:hAnsi="宋体"/>
                <w:b/>
                <w:color w:val="auto"/>
                <w:szCs w:val="21"/>
                <w:highlight w:val="none"/>
              </w:rPr>
            </w:pPr>
            <w:r>
              <w:rPr>
                <w:rFonts w:hint="eastAsia" w:ascii="宋体" w:hAnsi="宋体"/>
                <w:b/>
                <w:color w:val="auto"/>
                <w:szCs w:val="21"/>
                <w:highlight w:val="none"/>
              </w:rPr>
              <w:t>《洁净室施工及验收规范》（GB 50591-2010）</w:t>
            </w:r>
          </w:p>
          <w:p w14:paraId="3E19F2A0">
            <w:pPr>
              <w:spacing w:line="400" w:lineRule="exact"/>
              <w:rPr>
                <w:rFonts w:ascii="宋体" w:hAnsi="宋体"/>
                <w:b/>
                <w:color w:val="auto"/>
                <w:szCs w:val="21"/>
                <w:highlight w:val="none"/>
              </w:rPr>
            </w:pPr>
            <w:r>
              <w:rPr>
                <w:rFonts w:hint="eastAsia" w:ascii="宋体" w:hAnsi="宋体"/>
                <w:b/>
                <w:color w:val="auto"/>
                <w:szCs w:val="21"/>
                <w:highlight w:val="none"/>
              </w:rPr>
              <w:t>《建筑装饰装修工程质量验收标准》（GB 50210-2018）</w:t>
            </w:r>
          </w:p>
          <w:p w14:paraId="047DADEF">
            <w:pPr>
              <w:spacing w:line="400" w:lineRule="exact"/>
              <w:rPr>
                <w:rFonts w:ascii="宋体" w:hAnsi="宋体"/>
                <w:b/>
                <w:color w:val="auto"/>
                <w:szCs w:val="21"/>
                <w:highlight w:val="none"/>
              </w:rPr>
            </w:pPr>
            <w:r>
              <w:rPr>
                <w:rFonts w:hint="eastAsia" w:ascii="宋体" w:hAnsi="宋体"/>
                <w:b/>
                <w:color w:val="auto"/>
                <w:szCs w:val="21"/>
                <w:highlight w:val="none"/>
              </w:rPr>
              <w:t>《建筑电气工程施工质量验收规范》（GB 50303-2015）</w:t>
            </w:r>
          </w:p>
          <w:p w14:paraId="64865A13">
            <w:pPr>
              <w:spacing w:line="400" w:lineRule="exact"/>
              <w:rPr>
                <w:rFonts w:ascii="宋体" w:hAnsi="宋体"/>
                <w:b/>
                <w:color w:val="auto"/>
                <w:szCs w:val="21"/>
                <w:highlight w:val="none"/>
              </w:rPr>
            </w:pPr>
            <w:r>
              <w:rPr>
                <w:rFonts w:hint="eastAsia" w:ascii="宋体" w:hAnsi="宋体"/>
                <w:b/>
                <w:color w:val="auto"/>
                <w:szCs w:val="21"/>
                <w:highlight w:val="none"/>
              </w:rPr>
              <w:t>《通风与空调工程施工质量验收规范》（GB 50243-2016）</w:t>
            </w:r>
          </w:p>
          <w:p w14:paraId="113A8A35">
            <w:pPr>
              <w:spacing w:line="400" w:lineRule="exact"/>
              <w:jc w:val="left"/>
              <w:rPr>
                <w:rFonts w:ascii="宋体" w:hAnsi="宋体"/>
                <w:b/>
                <w:color w:val="auto"/>
                <w:szCs w:val="21"/>
                <w:highlight w:val="none"/>
              </w:rPr>
            </w:pPr>
            <w:r>
              <w:rPr>
                <w:rFonts w:hint="eastAsia" w:ascii="宋体" w:hAnsi="宋体"/>
                <w:b/>
                <w:color w:val="auto"/>
                <w:szCs w:val="21"/>
                <w:highlight w:val="none"/>
              </w:rPr>
              <w:t>3.验收资料及文档清单：包括隐蔽工程记录、设备调试记录、竣工图（含电子版）、设备操作与维护手册、培训记录、质量保修承诺书、检测报告（包含但不限于材料检测报告、洁净度检测报告）等。                                                           4.关键验收指标：</w:t>
            </w:r>
          </w:p>
          <w:p w14:paraId="0DD4DE09">
            <w:pPr>
              <w:spacing w:line="400" w:lineRule="exact"/>
              <w:jc w:val="left"/>
              <w:rPr>
                <w:rFonts w:ascii="宋体" w:hAnsi="宋体"/>
                <w:b/>
                <w:color w:val="auto"/>
                <w:szCs w:val="21"/>
                <w:highlight w:val="none"/>
              </w:rPr>
            </w:pPr>
            <w:r>
              <w:rPr>
                <w:rFonts w:hint="eastAsia" w:ascii="宋体" w:hAnsi="宋体"/>
                <w:b/>
                <w:color w:val="auto"/>
                <w:szCs w:val="21"/>
                <w:highlight w:val="none"/>
              </w:rPr>
              <w:t>洁净度：达到ISO 7级或更高（根据设计）。</w:t>
            </w:r>
          </w:p>
          <w:p w14:paraId="3A56BD63">
            <w:pPr>
              <w:spacing w:line="400" w:lineRule="exact"/>
              <w:jc w:val="left"/>
              <w:rPr>
                <w:rFonts w:ascii="宋体" w:hAnsi="宋体"/>
                <w:b/>
                <w:color w:val="auto"/>
                <w:szCs w:val="21"/>
                <w:highlight w:val="none"/>
              </w:rPr>
            </w:pPr>
            <w:r>
              <w:rPr>
                <w:rFonts w:hint="eastAsia" w:ascii="宋体" w:hAnsi="宋体"/>
                <w:b/>
                <w:color w:val="auto"/>
                <w:szCs w:val="21"/>
                <w:highlight w:val="none"/>
              </w:rPr>
              <w:t>温湿度控制：±1°C，±5%RH。</w:t>
            </w:r>
          </w:p>
          <w:p w14:paraId="2CAC48B2">
            <w:pPr>
              <w:spacing w:line="400" w:lineRule="exact"/>
              <w:jc w:val="left"/>
              <w:rPr>
                <w:rFonts w:ascii="宋体" w:hAnsi="宋体"/>
                <w:b/>
                <w:color w:val="auto"/>
                <w:szCs w:val="21"/>
                <w:highlight w:val="none"/>
              </w:rPr>
            </w:pPr>
            <w:r>
              <w:rPr>
                <w:rFonts w:hint="eastAsia" w:ascii="宋体" w:hAnsi="宋体"/>
                <w:b/>
                <w:color w:val="auto"/>
                <w:szCs w:val="21"/>
                <w:highlight w:val="none"/>
              </w:rPr>
              <w:t>压差控制：相邻房间压差≥5Pa。</w:t>
            </w:r>
          </w:p>
          <w:p w14:paraId="686DA450">
            <w:pPr>
              <w:spacing w:line="400" w:lineRule="exact"/>
              <w:rPr>
                <w:rFonts w:ascii="Calibri" w:hAnsi="Calibri"/>
                <w:b/>
                <w:color w:val="auto"/>
                <w:szCs w:val="22"/>
                <w:highlight w:val="none"/>
              </w:rPr>
            </w:pPr>
            <w:r>
              <w:rPr>
                <w:rStyle w:val="59"/>
                <w:rFonts w:hint="eastAsia"/>
                <w:b/>
                <w:color w:val="auto"/>
                <w:highlight w:val="none"/>
              </w:rPr>
              <w:t>本项目所涉及的检测费用由供应商承担。</w:t>
            </w:r>
          </w:p>
        </w:tc>
      </w:tr>
      <w:tr w14:paraId="306ED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6F9E8C07">
            <w:pPr>
              <w:spacing w:line="360" w:lineRule="auto"/>
              <w:rPr>
                <w:rFonts w:ascii="宋体" w:hAnsi="宋体"/>
                <w:color w:val="auto"/>
                <w:szCs w:val="21"/>
                <w:highlight w:val="none"/>
              </w:rPr>
            </w:pPr>
            <w:r>
              <w:rPr>
                <w:rFonts w:hint="eastAsia" w:ascii="宋体" w:hAnsi="宋体"/>
                <w:b/>
                <w:bCs/>
                <w:color w:val="auto"/>
                <w:szCs w:val="21"/>
                <w:highlight w:val="none"/>
              </w:rPr>
              <w:t>三、与实现项目目标相关的其他要求</w:t>
            </w:r>
          </w:p>
        </w:tc>
      </w:tr>
      <w:tr w14:paraId="7EC42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64342D5">
            <w:pPr>
              <w:tabs>
                <w:tab w:val="left" w:pos="180"/>
                <w:tab w:val="left" w:pos="1620"/>
              </w:tabs>
              <w:spacing w:line="32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（一）施工组织设计要求</w:t>
            </w:r>
          </w:p>
          <w:p w14:paraId="7D67B327">
            <w:pPr>
              <w:tabs>
                <w:tab w:val="left" w:pos="180"/>
                <w:tab w:val="left" w:pos="1620"/>
              </w:tabs>
              <w:spacing w:line="32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供应商根据图纸、工程量清单，于响应文件中提供施工组织设计（包括但不限于：①总体概述；②主要施工方法；③施工进度、施工进度计划和各阶段进度的保证措施；④关键施工技术、工艺及工程实施的重点、难点和解决方案；⑤安全文明施工措施；⑥质量保证与承诺；⑦新技术应用与承诺）。</w:t>
            </w:r>
          </w:p>
          <w:p w14:paraId="0E50CDD7">
            <w:pPr>
              <w:tabs>
                <w:tab w:val="left" w:pos="180"/>
                <w:tab w:val="left" w:pos="1620"/>
              </w:tabs>
              <w:spacing w:line="320" w:lineRule="exac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（二）其他要求</w:t>
            </w:r>
          </w:p>
          <w:p w14:paraId="4CF56F85">
            <w:pPr>
              <w:tabs>
                <w:tab w:val="left" w:pos="180"/>
                <w:tab w:val="left" w:pos="1620"/>
              </w:tabs>
              <w:spacing w:line="320" w:lineRule="exact"/>
              <w:ind w:firstLine="404" w:firstLineChars="200"/>
              <w:rPr>
                <w:rFonts w:eastAsiaTheme="majorEastAsia"/>
                <w:color w:val="auto"/>
                <w:highlight w:val="none"/>
              </w:rPr>
            </w:pPr>
            <w:r>
              <w:rPr>
                <w:rFonts w:hint="eastAsia" w:asciiTheme="majorEastAsia" w:hAnsiTheme="majorEastAsia" w:eastAsiaTheme="majorEastAsia"/>
                <w:color w:val="auto"/>
                <w:spacing w:val="-4"/>
                <w:highlight w:val="none"/>
              </w:rPr>
              <w:t>供应商根据自身情况，于响应文件中提供</w:t>
            </w:r>
            <w:r>
              <w:rPr>
                <w:rFonts w:hint="eastAsia" w:asciiTheme="majorEastAsia" w:hAnsiTheme="majorEastAsia" w:eastAsiaTheme="majorEastAsia"/>
                <w:color w:val="auto"/>
                <w:highlight w:val="none"/>
              </w:rPr>
              <w:t>质量管理体系认证证书、环境管理体系认证证书、职业健康安全管理体系认证证书、项目管理人员（技术负责人除外）的与本项目相关专业的职称证书</w:t>
            </w:r>
            <w:r>
              <w:rPr>
                <w:rFonts w:hint="eastAsia" w:cs="宋体" w:asciiTheme="majorEastAsia" w:hAnsiTheme="majorEastAsia" w:eastAsiaTheme="majorEastAsia"/>
                <w:color w:val="auto"/>
                <w:highlight w:val="none"/>
              </w:rPr>
              <w:t>及自2022年1月1日以来（以签订合同时间为准</w:t>
            </w:r>
            <w:r>
              <w:rPr>
                <w:rFonts w:hint="eastAsia" w:cs="宋体" w:asciiTheme="majorEastAsia" w:hAnsiTheme="majorEastAsia" w:eastAsiaTheme="majorEastAsia"/>
                <w:color w:val="auto"/>
                <w:highlight w:val="none"/>
              </w:rPr>
              <w:t>）具有承接过同类工程项目业绩。</w:t>
            </w:r>
          </w:p>
        </w:tc>
      </w:tr>
    </w:tbl>
    <w:p w14:paraId="4615EAE6">
      <w:pPr>
        <w:rPr>
          <w:color w:val="auto"/>
          <w:highlight w:val="none"/>
        </w:rPr>
      </w:pPr>
      <w:bookmarkStart w:id="71" w:name="_Toc74323459"/>
    </w:p>
    <w:p w14:paraId="3F08FF7D">
      <w:pPr>
        <w:pStyle w:val="2"/>
        <w:spacing w:before="0" w:after="0" w:line="360" w:lineRule="auto"/>
        <w:ind w:firstLine="482" w:firstLineChars="200"/>
        <w:rPr>
          <w:rFonts w:hint="eastAsia" w:ascii="宋体" w:hAnsi="宋体" w:eastAsia="宋体" w:cs="宋体"/>
          <w:color w:val="auto"/>
          <w:sz w:val="24"/>
          <w:szCs w:val="24"/>
          <w:highlight w:val="none"/>
        </w:rPr>
      </w:pPr>
    </w:p>
    <w:p w14:paraId="5F47182E">
      <w:pPr>
        <w:pStyle w:val="2"/>
        <w:spacing w:before="0" w:after="0" w:line="360" w:lineRule="auto"/>
        <w:ind w:firstLine="482" w:firstLineChars="200"/>
        <w:rPr>
          <w:rFonts w:hint="eastAsia" w:ascii="宋体" w:hAnsi="宋体" w:eastAsia="宋体" w:cs="宋体"/>
          <w:color w:val="auto"/>
          <w:sz w:val="24"/>
          <w:szCs w:val="24"/>
          <w:highlight w:val="none"/>
        </w:rPr>
      </w:pPr>
    </w:p>
    <w:p w14:paraId="51E15830">
      <w:pPr>
        <w:pStyle w:val="2"/>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                 通风空调工程部分设计与实施要求</w:t>
      </w:r>
    </w:p>
    <w:p w14:paraId="4D011316">
      <w:pPr>
        <w:rPr>
          <w:rFonts w:hint="eastAsia" w:ascii="宋体" w:hAnsi="宋体" w:eastAsia="宋体" w:cs="宋体"/>
          <w:color w:val="auto"/>
          <w:szCs w:val="21"/>
          <w:highlight w:val="none"/>
        </w:rPr>
      </w:pPr>
    </w:p>
    <w:p w14:paraId="3D46112D">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1.C级细胞间独立机组</w:t>
      </w:r>
    </w:p>
    <w:p w14:paraId="440DD18D">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（1）采用两台独立空调机组，分别服务于两间C级细胞间。</w:t>
      </w:r>
    </w:p>
    <w:p w14:paraId="612CDEC5">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（2）每台机组应具备全新风运行能力，确保室内压差、温湿度、洁净度均符合C级区要求。</w:t>
      </w:r>
    </w:p>
    <w:p w14:paraId="116B0F86">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（3）机组应具备臭氧消毒功能，并可通过自控系统定时启停，消毒结束后自动切换至值班模式或停机。</w:t>
      </w:r>
    </w:p>
    <w:p w14:paraId="533F46FE">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2.全新风运行</w:t>
      </w:r>
    </w:p>
    <w:p w14:paraId="3D936AC5">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机组应配置新风阀、回风阀、排风阀，并能实现全新风运行模式；确保新风比可调，且在全新风模式下仍能维持C级区压差与温湿度要求。</w:t>
      </w:r>
    </w:p>
    <w:p w14:paraId="5B73E201">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3.臭氧消毒与值班模式</w:t>
      </w:r>
    </w:p>
    <w:p w14:paraId="07B2236C">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（1）自控系统应支持定时臭氧消毒程序，消毒期间机组内循环风阀关闭，排风阀开启。</w:t>
      </w:r>
    </w:p>
    <w:p w14:paraId="58059EA7">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（2）消毒结束后自动切换至值班模式（低风量运行，维持正压）或停机，避免能源浪费。</w:t>
      </w:r>
    </w:p>
    <w:p w14:paraId="6AA46440">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4.其他C级辅助区与洁净走廊</w:t>
      </w:r>
    </w:p>
    <w:p w14:paraId="3FA6E78E">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（1）可根据实际情况采用集中或分区机组，但需确保各区域送风量、换气次数、压差等符合C级区要求。</w:t>
      </w:r>
    </w:p>
    <w:p w14:paraId="010E198B">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（2）若采用集中系统，需注意系统冗余与节能平衡，避免因过度设计导致成本增加。</w:t>
      </w:r>
    </w:p>
    <w:p w14:paraId="14F68CA4">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5.暖通部分要求</w:t>
      </w:r>
    </w:p>
    <w:p w14:paraId="517E2A53">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（1）符合GB/T14294-2008、GMP等</w:t>
      </w:r>
      <w:r>
        <w:rPr>
          <w:rFonts w:hint="eastAsia" w:ascii="宋体" w:hAnsi="宋体" w:eastAsia="宋体" w:cs="宋体"/>
          <w:b/>
          <w:bCs/>
          <w:color w:val="auto"/>
          <w:highlight w:val="none"/>
        </w:rPr>
        <w:t>（验收时需提供设备合格证明及检验报告）。</w:t>
      </w:r>
    </w:p>
    <w:p w14:paraId="702A80B6">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（2）防冷桥、防凝露：箱体结构需做防冷桥处理，运行中无凝露。</w:t>
      </w:r>
    </w:p>
    <w:p w14:paraId="2998C473">
      <w:pPr>
        <w:tabs>
          <w:tab w:val="left" w:pos="180"/>
          <w:tab w:val="left" w:pos="1620"/>
        </w:tabs>
        <w:spacing w:line="34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（3）漏风率≤0.05%</w:t>
      </w:r>
      <w:r>
        <w:rPr>
          <w:rFonts w:hint="eastAsia" w:ascii="宋体" w:hAnsi="宋体" w:eastAsia="宋体" w:cs="宋体"/>
          <w:b/>
          <w:bCs/>
          <w:color w:val="auto"/>
          <w:highlight w:val="none"/>
        </w:rPr>
        <w:t>（验收时提供由国家认可的第三方检测机构出具的检测报告）。</w:t>
      </w:r>
    </w:p>
    <w:p w14:paraId="64B52CD8">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（4）检修门设计：需按正负压段分别设计开门方向，并配备安全灯。</w:t>
      </w:r>
    </w:p>
    <w:p w14:paraId="158635BC">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（5）风阀配置：需采用对开多叶密闭调节阀，电动或手动。</w:t>
      </w:r>
    </w:p>
    <w:p w14:paraId="58C829EA">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（6）自控功能：须具备温湿度控制、连锁控制、定时开关、臭氧消毒、值班模式等功能。</w:t>
      </w:r>
    </w:p>
    <w:p w14:paraId="11FCCDD4">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（7）冷热水机组与泵：设置备用泵。</w:t>
      </w:r>
    </w:p>
    <w:p w14:paraId="2A70ECFF">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6.其他要求</w:t>
      </w:r>
    </w:p>
    <w:p w14:paraId="554D5D5D">
      <w:pPr>
        <w:tabs>
          <w:tab w:val="left" w:pos="180"/>
          <w:tab w:val="left" w:pos="1620"/>
        </w:tabs>
        <w:spacing w:line="3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机组的冷量、热量、风量、压头、噪音、振动等指标均应当满足本URS文件规定要求</w:t>
      </w:r>
      <w:r>
        <w:rPr>
          <w:rFonts w:hint="eastAsia" w:ascii="宋体" w:hAnsi="宋体" w:eastAsia="宋体" w:cs="宋体"/>
          <w:color w:val="auto"/>
          <w:highlight w:val="none"/>
          <w:lang w:eastAsia="zh-CN"/>
        </w:rPr>
        <w:t>。</w:t>
      </w:r>
    </w:p>
    <w:p w14:paraId="5BB623C5">
      <w:pPr>
        <w:tabs>
          <w:tab w:val="left" w:pos="180"/>
          <w:tab w:val="left" w:pos="1620"/>
        </w:tabs>
        <w:spacing w:line="340" w:lineRule="exact"/>
        <w:ind w:firstLine="420" w:firstLineChars="200"/>
        <w:rPr>
          <w:rFonts w:hint="eastAsia" w:ascii="宋体" w:hAnsi="宋体" w:eastAsia="宋体" w:cs="宋体"/>
          <w:b/>
          <w:bCs/>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szCs w:val="22"/>
          <w:highlight w:val="none"/>
        </w:rPr>
        <w:t>设备电源系统、控制系统所选用器件</w:t>
      </w:r>
      <w:r>
        <w:rPr>
          <w:rFonts w:hint="eastAsia" w:ascii="宋体" w:hAnsi="宋体" w:eastAsia="宋体" w:cs="宋体"/>
          <w:color w:val="auto"/>
          <w:szCs w:val="22"/>
          <w:highlight w:val="none"/>
          <w:lang w:eastAsia="zh-CN"/>
        </w:rPr>
        <w:t>参考或相当于</w:t>
      </w:r>
      <w:r>
        <w:rPr>
          <w:rFonts w:hint="eastAsia" w:ascii="宋体" w:hAnsi="宋体" w:eastAsia="宋体" w:cs="宋体"/>
          <w:color w:val="auto"/>
          <w:szCs w:val="22"/>
          <w:highlight w:val="none"/>
        </w:rPr>
        <w:t>西门子、施耐德、三菱等</w:t>
      </w:r>
      <w:r>
        <w:rPr>
          <w:rFonts w:hint="eastAsia" w:ascii="宋体" w:hAnsi="宋体" w:eastAsia="宋体" w:cs="宋体"/>
          <w:b/>
          <w:bCs/>
          <w:color w:val="auto"/>
          <w:highlight w:val="none"/>
        </w:rPr>
        <w:t>（供应商于供货时提供电源系统、控制系统所选用的器件、电线合格证明)</w:t>
      </w:r>
      <w:r>
        <w:rPr>
          <w:rFonts w:hint="eastAsia" w:ascii="宋体" w:hAnsi="宋体" w:eastAsia="宋体" w:cs="宋体"/>
          <w:color w:val="auto"/>
          <w:highlight w:val="none"/>
          <w:lang w:eastAsia="zh-CN"/>
        </w:rPr>
        <w:t>。</w:t>
      </w:r>
    </w:p>
    <w:p w14:paraId="27D059DF">
      <w:pPr>
        <w:tabs>
          <w:tab w:val="left" w:pos="180"/>
          <w:tab w:val="left" w:pos="1620"/>
        </w:tabs>
        <w:spacing w:line="3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szCs w:val="22"/>
          <w:highlight w:val="none"/>
        </w:rPr>
        <w:t>设备电源系统、控制系统、冷水系统布局合理、不相互影响</w:t>
      </w:r>
      <w:r>
        <w:rPr>
          <w:rFonts w:hint="eastAsia" w:ascii="宋体" w:hAnsi="宋体" w:eastAsia="宋体" w:cs="宋体"/>
          <w:color w:val="auto"/>
          <w:highlight w:val="none"/>
          <w:lang w:eastAsia="zh-CN"/>
        </w:rPr>
        <w:t>。</w:t>
      </w:r>
    </w:p>
    <w:p w14:paraId="68C0AE6C">
      <w:pPr>
        <w:tabs>
          <w:tab w:val="left" w:pos="180"/>
          <w:tab w:val="left" w:pos="1620"/>
        </w:tabs>
        <w:spacing w:line="3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szCs w:val="22"/>
          <w:highlight w:val="none"/>
        </w:rPr>
        <w:t>设备的内部各零部件光洁、不得有任何油污、灰尘及其他物质存在</w:t>
      </w:r>
      <w:r>
        <w:rPr>
          <w:rFonts w:hint="eastAsia" w:ascii="宋体" w:hAnsi="宋体" w:eastAsia="宋体" w:cs="宋体"/>
          <w:color w:val="auto"/>
          <w:szCs w:val="22"/>
          <w:highlight w:val="none"/>
          <w:lang w:eastAsia="zh-CN"/>
        </w:rPr>
        <w:t>。</w:t>
      </w:r>
    </w:p>
    <w:p w14:paraId="42F06044">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2"/>
          <w:highlight w:val="none"/>
        </w:rPr>
        <w:t>设备各处保护、装饰涂层应均匀，不得存在起皮、剥落或</w:t>
      </w:r>
      <w:r>
        <w:rPr>
          <w:rFonts w:hint="eastAsia" w:ascii="宋体" w:hAnsi="宋体" w:cs="宋体"/>
          <w:color w:val="auto"/>
          <w:szCs w:val="22"/>
          <w:highlight w:val="none"/>
          <w:lang w:eastAsia="zh-CN"/>
        </w:rPr>
        <w:t>其他缺陷</w:t>
      </w:r>
      <w:r>
        <w:rPr>
          <w:rFonts w:hint="eastAsia" w:ascii="宋体" w:hAnsi="宋体" w:eastAsia="宋体" w:cs="宋体"/>
          <w:color w:val="auto"/>
          <w:szCs w:val="22"/>
          <w:highlight w:val="none"/>
          <w:lang w:eastAsia="zh-CN"/>
        </w:rPr>
        <w:t>。</w:t>
      </w:r>
    </w:p>
    <w:p w14:paraId="04BACE19">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6</w:t>
      </w:r>
      <w:r>
        <w:rPr>
          <w:rFonts w:hint="eastAsia" w:ascii="宋体" w:hAnsi="宋体" w:eastAsia="宋体" w:cs="宋体"/>
          <w:color w:val="auto"/>
          <w:szCs w:val="22"/>
          <w:highlight w:val="none"/>
        </w:rPr>
        <w:t>）各附属物的安装位置要求准确，各部分均不</w:t>
      </w:r>
      <w:r>
        <w:rPr>
          <w:rFonts w:hint="eastAsia" w:ascii="宋体" w:hAnsi="宋体" w:cs="宋体"/>
          <w:color w:val="auto"/>
          <w:szCs w:val="22"/>
          <w:highlight w:val="none"/>
          <w:lang w:eastAsia="zh-CN"/>
        </w:rPr>
        <w:t>应</w:t>
      </w:r>
      <w:r>
        <w:rPr>
          <w:rFonts w:hint="eastAsia" w:ascii="宋体" w:hAnsi="宋体" w:eastAsia="宋体" w:cs="宋体"/>
          <w:color w:val="auto"/>
          <w:szCs w:val="22"/>
          <w:highlight w:val="none"/>
        </w:rPr>
        <w:t>存在妨碍安装、检修或清洁的缺陷</w:t>
      </w:r>
      <w:r>
        <w:rPr>
          <w:rFonts w:hint="eastAsia" w:ascii="宋体" w:hAnsi="宋体" w:eastAsia="宋体" w:cs="宋体"/>
          <w:color w:val="auto"/>
          <w:szCs w:val="22"/>
          <w:highlight w:val="none"/>
          <w:lang w:eastAsia="zh-CN"/>
        </w:rPr>
        <w:t>。</w:t>
      </w:r>
    </w:p>
    <w:p w14:paraId="642160A1">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7</w:t>
      </w:r>
      <w:r>
        <w:rPr>
          <w:rFonts w:hint="eastAsia" w:ascii="宋体" w:hAnsi="宋体" w:eastAsia="宋体" w:cs="宋体"/>
          <w:color w:val="auto"/>
          <w:szCs w:val="22"/>
          <w:highlight w:val="none"/>
        </w:rPr>
        <w:t>）设备不用时，表冷、加热及冷凝水可完全排净</w:t>
      </w:r>
      <w:r>
        <w:rPr>
          <w:rFonts w:hint="eastAsia" w:ascii="宋体" w:hAnsi="宋体" w:eastAsia="宋体" w:cs="宋体"/>
          <w:color w:val="auto"/>
          <w:szCs w:val="22"/>
          <w:highlight w:val="none"/>
          <w:lang w:eastAsia="zh-CN"/>
        </w:rPr>
        <w:t>。</w:t>
      </w:r>
    </w:p>
    <w:p w14:paraId="5A35F906">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8</w:t>
      </w:r>
      <w:r>
        <w:rPr>
          <w:rFonts w:hint="eastAsia" w:ascii="宋体" w:hAnsi="宋体" w:eastAsia="宋体" w:cs="宋体"/>
          <w:color w:val="auto"/>
          <w:szCs w:val="22"/>
          <w:highlight w:val="none"/>
        </w:rPr>
        <w:t>）人能接触到的设备部位不能有锋利的边缘与尖角</w:t>
      </w:r>
      <w:r>
        <w:rPr>
          <w:rFonts w:hint="eastAsia" w:ascii="宋体" w:hAnsi="宋体" w:eastAsia="宋体" w:cs="宋体"/>
          <w:color w:val="auto"/>
          <w:szCs w:val="22"/>
          <w:highlight w:val="none"/>
          <w:lang w:eastAsia="zh-CN"/>
        </w:rPr>
        <w:t>。</w:t>
      </w:r>
    </w:p>
    <w:p w14:paraId="37E43A89">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9</w:t>
      </w:r>
      <w:r>
        <w:rPr>
          <w:rFonts w:hint="eastAsia" w:ascii="宋体" w:hAnsi="宋体" w:eastAsia="宋体" w:cs="宋体"/>
          <w:color w:val="auto"/>
          <w:szCs w:val="22"/>
          <w:highlight w:val="none"/>
        </w:rPr>
        <w:t>）设备安装必须具有接地</w:t>
      </w:r>
      <w:r>
        <w:rPr>
          <w:rFonts w:hint="eastAsia" w:ascii="宋体" w:hAnsi="宋体" w:eastAsia="宋体" w:cs="宋体"/>
          <w:color w:val="auto"/>
          <w:szCs w:val="22"/>
          <w:highlight w:val="none"/>
          <w:lang w:eastAsia="zh-CN"/>
        </w:rPr>
        <w:t>。</w:t>
      </w:r>
    </w:p>
    <w:p w14:paraId="05EB4EAB">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）空调箱体采用模块化箱体结构，具有密封结构</w:t>
      </w:r>
      <w:r>
        <w:rPr>
          <w:rFonts w:hint="eastAsia" w:ascii="宋体" w:hAnsi="宋体" w:eastAsia="宋体" w:cs="宋体"/>
          <w:color w:val="auto"/>
          <w:szCs w:val="22"/>
          <w:highlight w:val="none"/>
          <w:lang w:eastAsia="zh-CN"/>
        </w:rPr>
        <w:t>。</w:t>
      </w:r>
    </w:p>
    <w:p w14:paraId="146C7711">
      <w:pPr>
        <w:tabs>
          <w:tab w:val="left" w:pos="180"/>
          <w:tab w:val="left" w:pos="1620"/>
        </w:tabs>
        <w:spacing w:line="340" w:lineRule="exact"/>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11</w:t>
      </w:r>
      <w:r>
        <w:rPr>
          <w:rFonts w:hint="eastAsia" w:ascii="宋体" w:hAnsi="宋体" w:eastAsia="宋体" w:cs="宋体"/>
          <w:color w:val="auto"/>
          <w:szCs w:val="22"/>
          <w:highlight w:val="none"/>
        </w:rPr>
        <w:t>）箱体面板采用内、外钢板中间充注聚氨酯发泡材料，面板具有隔热、承压变形量小、防腐等性能</w:t>
      </w:r>
      <w:r>
        <w:rPr>
          <w:rFonts w:hint="eastAsia" w:ascii="宋体" w:hAnsi="宋体" w:eastAsia="宋体" w:cs="宋体"/>
          <w:color w:val="auto"/>
          <w:szCs w:val="22"/>
          <w:highlight w:val="none"/>
          <w:lang w:eastAsia="zh-CN"/>
        </w:rPr>
        <w:t>。</w:t>
      </w:r>
    </w:p>
    <w:p w14:paraId="2CE99073">
      <w:pPr>
        <w:tabs>
          <w:tab w:val="left" w:pos="180"/>
          <w:tab w:val="left" w:pos="1620"/>
        </w:tabs>
        <w:spacing w:line="3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12</w:t>
      </w:r>
      <w:r>
        <w:rPr>
          <w:rFonts w:hint="eastAsia" w:ascii="宋体" w:hAnsi="宋体" w:eastAsia="宋体" w:cs="宋体"/>
          <w:color w:val="auto"/>
          <w:szCs w:val="22"/>
          <w:highlight w:val="none"/>
        </w:rPr>
        <w:t>）箱体面板外板采用覆膜彩钢板，板厚不得低于0.5mm，内板采用镀锌钢板或不锈钢板，板厚不得低于0.5mm，内外板之间应当具有防冷桥措施，不得直接接触</w:t>
      </w:r>
      <w:r>
        <w:rPr>
          <w:rFonts w:hint="eastAsia" w:ascii="宋体" w:hAnsi="宋体" w:eastAsia="宋体" w:cs="宋体"/>
          <w:b/>
          <w:bCs/>
          <w:color w:val="auto"/>
          <w:szCs w:val="22"/>
          <w:highlight w:val="none"/>
        </w:rPr>
        <w:t>（供应商于供货时提供箱体的材质合格证明)</w:t>
      </w:r>
      <w:r>
        <w:rPr>
          <w:rFonts w:hint="eastAsia" w:ascii="宋体" w:hAnsi="宋体" w:eastAsia="宋体" w:cs="宋体"/>
          <w:b/>
          <w:bCs/>
          <w:color w:val="auto"/>
          <w:szCs w:val="22"/>
          <w:highlight w:val="none"/>
          <w:lang w:eastAsia="zh-CN"/>
        </w:rPr>
        <w:t>。</w:t>
      </w:r>
    </w:p>
    <w:p w14:paraId="3A774DFD">
      <w:pPr>
        <w:numPr>
          <w:ilvl w:val="0"/>
          <w:numId w:val="0"/>
        </w:numPr>
        <w:tabs>
          <w:tab w:val="left" w:pos="180"/>
          <w:tab w:val="left" w:pos="1620"/>
        </w:tabs>
        <w:spacing w:line="3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kern w:val="2"/>
          <w:sz w:val="21"/>
          <w:szCs w:val="24"/>
          <w:highlight w:val="none"/>
          <w:lang w:val="en-US" w:eastAsia="zh-CN" w:bidi="ar-SA"/>
        </w:rPr>
        <w:t>（13）</w:t>
      </w:r>
      <w:r>
        <w:rPr>
          <w:rFonts w:hint="eastAsia" w:ascii="宋体" w:hAnsi="宋体" w:eastAsia="宋体" w:cs="宋体"/>
          <w:color w:val="auto"/>
          <w:szCs w:val="22"/>
          <w:highlight w:val="none"/>
        </w:rPr>
        <w:t>机组必须有防冷桥措施，机组在运行时，不得出现冷桥和凝露现象</w:t>
      </w:r>
      <w:r>
        <w:rPr>
          <w:rFonts w:hint="eastAsia" w:ascii="宋体" w:hAnsi="宋体" w:eastAsia="宋体" w:cs="宋体"/>
          <w:color w:val="auto"/>
          <w:szCs w:val="22"/>
          <w:highlight w:val="none"/>
          <w:lang w:eastAsia="zh-CN"/>
        </w:rPr>
        <w:t>。</w:t>
      </w:r>
    </w:p>
    <w:p w14:paraId="6175EFCA">
      <w:pPr>
        <w:numPr>
          <w:ilvl w:val="0"/>
          <w:numId w:val="0"/>
        </w:numPr>
        <w:tabs>
          <w:tab w:val="left" w:pos="180"/>
          <w:tab w:val="left" w:pos="1620"/>
        </w:tabs>
        <w:spacing w:line="340" w:lineRule="exact"/>
        <w:ind w:firstLine="420" w:firstLineChars="200"/>
        <w:rPr>
          <w:rFonts w:hint="eastAsia" w:ascii="宋体" w:hAnsi="宋体" w:eastAsia="宋体" w:cs="宋体"/>
          <w:b/>
          <w:bCs/>
          <w:color w:val="auto"/>
          <w:highlight w:val="none"/>
          <w:lang w:eastAsia="zh-CN"/>
        </w:rPr>
      </w:pPr>
      <w:r>
        <w:rPr>
          <w:rFonts w:hint="eastAsia" w:ascii="宋体" w:hAnsi="宋体" w:eastAsia="宋体" w:cs="宋体"/>
          <w:b w:val="0"/>
          <w:bCs w:val="0"/>
          <w:color w:val="auto"/>
          <w:kern w:val="2"/>
          <w:sz w:val="21"/>
          <w:szCs w:val="24"/>
          <w:highlight w:val="none"/>
          <w:lang w:val="en-US" w:eastAsia="zh-CN" w:bidi="ar-SA"/>
        </w:rPr>
        <w:t>（14）</w:t>
      </w:r>
      <w:r>
        <w:rPr>
          <w:rFonts w:hint="eastAsia" w:ascii="宋体" w:hAnsi="宋体" w:eastAsia="宋体" w:cs="宋体"/>
          <w:color w:val="auto"/>
          <w:szCs w:val="22"/>
          <w:highlight w:val="none"/>
        </w:rPr>
        <w:t>机组箱体应当具有足够的强度，保证在运输、安装、启动、运行、停止后不出现凹凸变形。按照GB/T14294-2008《组合式空调机组》标准检测，当机组内静压保持正压1000Pa 时，箱体变形率不得大于0.75mm/m</w:t>
      </w:r>
      <w:r>
        <w:rPr>
          <w:rFonts w:hint="eastAsia" w:ascii="宋体" w:hAnsi="宋体" w:eastAsia="宋体" w:cs="宋体"/>
          <w:b/>
          <w:bCs/>
          <w:color w:val="auto"/>
          <w:szCs w:val="22"/>
          <w:highlight w:val="none"/>
        </w:rPr>
        <w:t>(供货时提供由国家认可的第三方检测机构出具的检验报告)</w:t>
      </w:r>
      <w:r>
        <w:rPr>
          <w:rFonts w:hint="eastAsia" w:ascii="宋体" w:hAnsi="宋体" w:eastAsia="宋体" w:cs="宋体"/>
          <w:color w:val="auto"/>
          <w:szCs w:val="22"/>
          <w:highlight w:val="none"/>
          <w:lang w:eastAsia="zh-CN"/>
        </w:rPr>
        <w:t>。</w:t>
      </w:r>
    </w:p>
    <w:p w14:paraId="28C63346">
      <w:pPr>
        <w:numPr>
          <w:ilvl w:val="0"/>
          <w:numId w:val="0"/>
        </w:numPr>
        <w:tabs>
          <w:tab w:val="left" w:pos="180"/>
          <w:tab w:val="left" w:pos="1620"/>
        </w:tabs>
        <w:spacing w:line="340" w:lineRule="exact"/>
        <w:ind w:firstLine="420" w:firstLineChars="200"/>
        <w:rPr>
          <w:rFonts w:hint="eastAsia" w:ascii="宋体" w:hAnsi="宋体" w:eastAsia="宋体" w:cs="宋体"/>
          <w:b/>
          <w:bCs/>
          <w:color w:val="auto"/>
          <w:highlight w:val="none"/>
          <w:lang w:eastAsia="zh-CN"/>
        </w:rPr>
      </w:pPr>
      <w:r>
        <w:rPr>
          <w:rFonts w:hint="eastAsia" w:ascii="宋体" w:hAnsi="宋体" w:eastAsia="宋体" w:cs="宋体"/>
          <w:b w:val="0"/>
          <w:bCs w:val="0"/>
          <w:color w:val="auto"/>
          <w:kern w:val="2"/>
          <w:sz w:val="21"/>
          <w:szCs w:val="24"/>
          <w:highlight w:val="none"/>
          <w:lang w:val="en-US" w:eastAsia="zh-CN" w:bidi="ar-SA"/>
        </w:rPr>
        <w:t>（15）</w:t>
      </w:r>
      <w:r>
        <w:rPr>
          <w:rFonts w:hint="eastAsia" w:ascii="宋体" w:hAnsi="宋体" w:eastAsia="宋体" w:cs="宋体"/>
          <w:b w:val="0"/>
          <w:bCs w:val="0"/>
          <w:color w:val="auto"/>
          <w:szCs w:val="22"/>
          <w:highlight w:val="none"/>
        </w:rPr>
        <w:t>箱体应</w:t>
      </w:r>
      <w:r>
        <w:rPr>
          <w:rFonts w:hint="eastAsia" w:ascii="宋体" w:hAnsi="宋体" w:eastAsia="宋体" w:cs="宋体"/>
          <w:color w:val="auto"/>
          <w:szCs w:val="22"/>
          <w:highlight w:val="none"/>
        </w:rPr>
        <w:t>当具有良好的气密性，按照GB/T14294-2008《组合式空调机组》标准检测，当机组内静压保持正压1000Pa时，机组的漏风率不得大于0.05%</w:t>
      </w:r>
      <w:r>
        <w:rPr>
          <w:rFonts w:hint="eastAsia" w:ascii="宋体" w:hAnsi="宋体" w:eastAsia="宋体" w:cs="宋体"/>
          <w:b/>
          <w:bCs/>
          <w:color w:val="auto"/>
          <w:szCs w:val="22"/>
          <w:highlight w:val="none"/>
          <w:lang w:eastAsia="zh-CN"/>
        </w:rPr>
        <w:t>。</w:t>
      </w:r>
    </w:p>
    <w:p w14:paraId="43720F19">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Cs w:val="22"/>
          <w:highlight w:val="none"/>
        </w:rPr>
        <w:t>机组检修门边框要求采用防凝露性能好的塑钢材料，双层密封，多点锁扣，所有检修门内均配有低压安全检修灯，控制开关设置在箱体外侧</w:t>
      </w:r>
      <w:r>
        <w:rPr>
          <w:rFonts w:hint="eastAsia" w:ascii="宋体" w:hAnsi="宋体" w:eastAsia="宋体" w:cs="宋体"/>
          <w:color w:val="auto"/>
          <w:szCs w:val="22"/>
          <w:highlight w:val="none"/>
          <w:lang w:eastAsia="zh-CN"/>
        </w:rPr>
        <w:t>。</w:t>
      </w:r>
    </w:p>
    <w:p w14:paraId="114D7C1F">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Cs w:val="22"/>
          <w:highlight w:val="none"/>
        </w:rPr>
        <w:t>负压段检修门为外开式，正压段检修门为内开式</w:t>
      </w:r>
      <w:r>
        <w:rPr>
          <w:rFonts w:hint="eastAsia" w:ascii="宋体" w:hAnsi="宋体" w:cs="宋体"/>
          <w:color w:val="auto"/>
          <w:szCs w:val="22"/>
          <w:highlight w:val="none"/>
          <w:lang w:eastAsia="zh-CN"/>
        </w:rPr>
        <w:t>。</w:t>
      </w:r>
    </w:p>
    <w:p w14:paraId="07C4D077">
      <w:pPr>
        <w:numPr>
          <w:ilvl w:val="0"/>
          <w:numId w:val="0"/>
        </w:numPr>
        <w:tabs>
          <w:tab w:val="left" w:pos="180"/>
          <w:tab w:val="left" w:pos="1620"/>
        </w:tabs>
        <w:ind w:firstLine="480"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color w:val="auto"/>
          <w:kern w:val="2"/>
          <w:sz w:val="24"/>
          <w:szCs w:val="24"/>
          <w:highlight w:val="none"/>
          <w:lang w:val="en-US" w:eastAsia="zh-CN" w:bidi="ar-SA"/>
        </w:rPr>
        <w:t>（18）</w:t>
      </w:r>
      <w:r>
        <w:rPr>
          <w:rFonts w:hint="eastAsia" w:ascii="宋体" w:hAnsi="宋体" w:eastAsia="宋体" w:cs="宋体"/>
          <w:color w:val="auto"/>
          <w:szCs w:val="22"/>
          <w:highlight w:val="none"/>
        </w:rPr>
        <w:t>机组配置送风、回风和新风风阀，为对开多叶密闭调节阀(手动或电动，铝合金材质)，要求密封良好，并有开度指示，配置手动或电动执行器（</w:t>
      </w:r>
      <w:r>
        <w:rPr>
          <w:rFonts w:hint="eastAsia" w:ascii="宋体" w:hAnsi="宋体" w:eastAsia="宋体" w:cs="宋体"/>
          <w:b/>
          <w:bCs/>
          <w:color w:val="auto"/>
          <w:szCs w:val="22"/>
          <w:highlight w:val="none"/>
        </w:rPr>
        <w:t>供应商于供货时提供风阀的合格证）</w:t>
      </w:r>
      <w:r>
        <w:rPr>
          <w:rFonts w:hint="eastAsia" w:ascii="宋体" w:hAnsi="宋体" w:cs="宋体"/>
          <w:color w:val="auto"/>
          <w:szCs w:val="22"/>
          <w:highlight w:val="none"/>
          <w:lang w:eastAsia="zh-CN"/>
        </w:rPr>
        <w:t>。</w:t>
      </w:r>
    </w:p>
    <w:p w14:paraId="2D4DA4A0">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（19）</w:t>
      </w:r>
      <w:r>
        <w:rPr>
          <w:rFonts w:hint="eastAsia" w:ascii="宋体" w:hAnsi="宋体" w:eastAsia="宋体" w:cs="宋体"/>
          <w:color w:val="auto"/>
          <w:szCs w:val="22"/>
          <w:highlight w:val="none"/>
        </w:rPr>
        <w:t>机组底架应当采用“C”型钢或槽钢，并</w:t>
      </w:r>
      <w:r>
        <w:rPr>
          <w:rFonts w:hint="eastAsia" w:ascii="宋体" w:hAnsi="宋体" w:cs="宋体"/>
          <w:color w:val="auto"/>
          <w:szCs w:val="22"/>
          <w:highlight w:val="none"/>
          <w:lang w:eastAsia="zh-CN"/>
        </w:rPr>
        <w:t>做</w:t>
      </w:r>
      <w:r>
        <w:rPr>
          <w:rFonts w:hint="eastAsia" w:ascii="宋体" w:hAnsi="宋体" w:eastAsia="宋体" w:cs="宋体"/>
          <w:color w:val="auto"/>
          <w:szCs w:val="22"/>
          <w:highlight w:val="none"/>
        </w:rPr>
        <w:t>防腐处理</w:t>
      </w:r>
      <w:r>
        <w:rPr>
          <w:rFonts w:hint="eastAsia" w:ascii="宋体" w:hAnsi="宋体" w:eastAsia="宋体" w:cs="宋体"/>
          <w:color w:val="auto"/>
          <w:szCs w:val="22"/>
          <w:highlight w:val="none"/>
          <w:lang w:eastAsia="zh-CN"/>
        </w:rPr>
        <w:t>。</w:t>
      </w:r>
    </w:p>
    <w:p w14:paraId="2C649900">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（20）</w:t>
      </w:r>
      <w:r>
        <w:rPr>
          <w:rFonts w:hint="eastAsia" w:ascii="宋体" w:hAnsi="宋体" w:eastAsia="宋体" w:cs="宋体"/>
          <w:color w:val="auto"/>
          <w:szCs w:val="22"/>
          <w:highlight w:val="none"/>
        </w:rPr>
        <w:t>风机段、加湿段以及其他需要的地方安装直径不小于180mm的钢化玻璃观察窗</w:t>
      </w:r>
      <w:r>
        <w:rPr>
          <w:rFonts w:hint="eastAsia" w:ascii="宋体" w:hAnsi="宋体" w:eastAsia="宋体" w:cs="宋体"/>
          <w:color w:val="auto"/>
          <w:szCs w:val="22"/>
          <w:highlight w:val="none"/>
          <w:lang w:eastAsia="zh-CN"/>
        </w:rPr>
        <w:t>。</w:t>
      </w:r>
    </w:p>
    <w:p w14:paraId="6622752E">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szCs w:val="22"/>
          <w:highlight w:val="none"/>
        </w:rPr>
        <w:t>采用符合国标的初、中效过滤器</w:t>
      </w:r>
      <w:r>
        <w:rPr>
          <w:rFonts w:hint="eastAsia" w:ascii="宋体" w:hAnsi="宋体" w:eastAsia="宋体" w:cs="宋体"/>
          <w:b/>
          <w:bCs/>
          <w:color w:val="auto"/>
          <w:szCs w:val="22"/>
          <w:highlight w:val="none"/>
        </w:rPr>
        <w:t>（供应商于供货时提供过滤器初中效的合格证）</w:t>
      </w:r>
      <w:r>
        <w:rPr>
          <w:rFonts w:hint="eastAsia" w:ascii="宋体" w:hAnsi="宋体" w:eastAsia="宋体" w:cs="宋体"/>
          <w:b/>
          <w:bCs/>
          <w:color w:val="auto"/>
          <w:szCs w:val="22"/>
          <w:highlight w:val="none"/>
          <w:lang w:eastAsia="zh-CN"/>
        </w:rPr>
        <w:t>。</w:t>
      </w:r>
    </w:p>
    <w:p w14:paraId="221834CA">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szCs w:val="22"/>
          <w:highlight w:val="none"/>
        </w:rPr>
        <w:t>初、中效过滤器分别安装压差计，方便读取压差</w:t>
      </w:r>
      <w:r>
        <w:rPr>
          <w:rFonts w:hint="eastAsia" w:ascii="宋体" w:hAnsi="宋体" w:eastAsia="宋体" w:cs="宋体"/>
          <w:color w:val="auto"/>
          <w:szCs w:val="22"/>
          <w:highlight w:val="none"/>
          <w:lang w:eastAsia="zh-CN"/>
        </w:rPr>
        <w:t>。</w:t>
      </w:r>
    </w:p>
    <w:p w14:paraId="7A4B8E48">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szCs w:val="22"/>
          <w:highlight w:val="none"/>
        </w:rPr>
        <w:t>过滤器与框架采用卡扣设计，方便拆卸</w:t>
      </w:r>
      <w:r>
        <w:rPr>
          <w:rFonts w:hint="eastAsia" w:ascii="宋体" w:hAnsi="宋体" w:eastAsia="宋体" w:cs="宋体"/>
          <w:color w:val="auto"/>
          <w:szCs w:val="22"/>
          <w:highlight w:val="none"/>
          <w:lang w:eastAsia="zh-CN"/>
        </w:rPr>
        <w:t>。</w:t>
      </w:r>
    </w:p>
    <w:p w14:paraId="5493101C">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（24）</w:t>
      </w:r>
      <w:r>
        <w:rPr>
          <w:rFonts w:hint="eastAsia" w:ascii="宋体" w:hAnsi="宋体" w:eastAsia="宋体" w:cs="宋体"/>
          <w:color w:val="auto"/>
          <w:szCs w:val="22"/>
          <w:highlight w:val="none"/>
        </w:rPr>
        <w:t>盘管水管接口采用无缝钢管，盘管出水口接管上安装排气阀，表冷器需设置排污阀</w:t>
      </w:r>
      <w:r>
        <w:rPr>
          <w:rFonts w:hint="eastAsia" w:ascii="宋体" w:hAnsi="宋体" w:eastAsia="宋体" w:cs="宋体"/>
          <w:color w:val="auto"/>
          <w:szCs w:val="22"/>
          <w:highlight w:val="none"/>
          <w:lang w:eastAsia="zh-CN"/>
        </w:rPr>
        <w:t>。</w:t>
      </w:r>
    </w:p>
    <w:p w14:paraId="6F9F9464">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（25）</w:t>
      </w:r>
      <w:r>
        <w:rPr>
          <w:rFonts w:hint="eastAsia" w:ascii="宋体" w:hAnsi="宋体" w:eastAsia="宋体" w:cs="宋体"/>
          <w:color w:val="auto"/>
          <w:szCs w:val="22"/>
          <w:highlight w:val="none"/>
        </w:rPr>
        <w:t>采用双进风离心风机</w:t>
      </w:r>
      <w:r>
        <w:rPr>
          <w:rFonts w:hint="eastAsia" w:ascii="宋体" w:hAnsi="宋体" w:eastAsia="宋体" w:cs="宋体"/>
          <w:b/>
          <w:bCs/>
          <w:color w:val="auto"/>
          <w:szCs w:val="22"/>
          <w:highlight w:val="none"/>
        </w:rPr>
        <w:t>（供应商于供货时提供离心机的合格证）</w:t>
      </w:r>
      <w:r>
        <w:rPr>
          <w:rFonts w:hint="eastAsia" w:ascii="宋体" w:hAnsi="宋体" w:eastAsia="宋体" w:cs="宋体"/>
          <w:b/>
          <w:bCs/>
          <w:color w:val="auto"/>
          <w:highlight w:val="none"/>
          <w:lang w:eastAsia="zh-CN"/>
        </w:rPr>
        <w:t>。</w:t>
      </w:r>
    </w:p>
    <w:p w14:paraId="633CFA0D">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（26）</w:t>
      </w:r>
      <w:r>
        <w:rPr>
          <w:rFonts w:hint="eastAsia" w:ascii="宋体" w:hAnsi="宋体" w:eastAsia="宋体" w:cs="宋体"/>
          <w:color w:val="auto"/>
          <w:szCs w:val="22"/>
          <w:highlight w:val="none"/>
        </w:rPr>
        <w:t>风管材料为镀锌板，采用漏光法进行检漏，风管无漏光</w:t>
      </w:r>
      <w:r>
        <w:rPr>
          <w:rFonts w:hint="eastAsia" w:ascii="宋体" w:hAnsi="宋体" w:eastAsia="宋体" w:cs="宋体"/>
          <w:b/>
          <w:bCs/>
          <w:color w:val="auto"/>
          <w:szCs w:val="22"/>
          <w:highlight w:val="none"/>
        </w:rPr>
        <w:t>（供应商于供货时提供镀锌板的</w:t>
      </w:r>
      <w:r>
        <w:rPr>
          <w:rFonts w:hint="eastAsia" w:ascii="宋体" w:hAnsi="宋体" w:eastAsia="宋体" w:cs="宋体"/>
          <w:b/>
          <w:bCs/>
          <w:color w:val="auto"/>
          <w:highlight w:val="none"/>
        </w:rPr>
        <w:t>合格证</w:t>
      </w:r>
      <w:r>
        <w:rPr>
          <w:rFonts w:hint="eastAsia" w:ascii="宋体" w:hAnsi="宋体" w:eastAsia="宋体" w:cs="宋体"/>
          <w:b/>
          <w:bCs/>
          <w:color w:val="auto"/>
          <w:highlight w:val="none"/>
          <w:lang w:eastAsia="zh-CN"/>
        </w:rPr>
        <w:t>及</w:t>
      </w:r>
      <w:r>
        <w:rPr>
          <w:rFonts w:hint="eastAsia" w:ascii="宋体" w:hAnsi="宋体" w:eastAsia="宋体" w:cs="宋体"/>
          <w:b/>
          <w:bCs/>
          <w:color w:val="auto"/>
          <w:highlight w:val="none"/>
        </w:rPr>
        <w:t>风管漏风检查照片）</w:t>
      </w:r>
      <w:r>
        <w:rPr>
          <w:rFonts w:hint="eastAsia" w:ascii="宋体" w:hAnsi="宋体" w:eastAsia="宋体" w:cs="宋体"/>
          <w:b/>
          <w:bCs/>
          <w:color w:val="auto"/>
          <w:highlight w:val="none"/>
          <w:lang w:eastAsia="zh-CN"/>
        </w:rPr>
        <w:t>。</w:t>
      </w:r>
    </w:p>
    <w:p w14:paraId="78CF183D">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（27）</w:t>
      </w:r>
      <w:r>
        <w:rPr>
          <w:rFonts w:hint="eastAsia" w:ascii="宋体" w:hAnsi="宋体" w:eastAsia="宋体" w:cs="宋体"/>
          <w:color w:val="auto"/>
          <w:szCs w:val="22"/>
          <w:highlight w:val="none"/>
        </w:rPr>
        <w:t>高效过滤器安装后进行检漏测试，测试方法按GB50591-2010《洁净室施工及验收规范》附录D.3进行检漏</w:t>
      </w:r>
      <w:r>
        <w:rPr>
          <w:rFonts w:hint="eastAsia" w:ascii="宋体" w:hAnsi="宋体" w:eastAsia="宋体" w:cs="宋体"/>
          <w:color w:val="auto"/>
          <w:highlight w:val="none"/>
          <w:lang w:eastAsia="zh-CN"/>
        </w:rPr>
        <w:t>。</w:t>
      </w:r>
    </w:p>
    <w:p w14:paraId="75F09AD2">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（28）</w:t>
      </w:r>
      <w:r>
        <w:rPr>
          <w:rFonts w:hint="eastAsia" w:ascii="宋体" w:hAnsi="宋体" w:eastAsia="宋体" w:cs="宋体"/>
          <w:color w:val="auto"/>
          <w:szCs w:val="22"/>
          <w:highlight w:val="none"/>
        </w:rPr>
        <w:t>净化厂房按照GB/T16292—2010 《医药工业洁净室（区）悬浮粒子的测试方法》、GB/T16294—2010 《医药工业洁净室（区）沉降菌的测试方法》进行悬浮粒子和沉降菌测试，满足相应净化级别要求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 xml:space="preserve"> </w:t>
      </w:r>
    </w:p>
    <w:p w14:paraId="2AF4A3C9">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（29）</w:t>
      </w:r>
      <w:r>
        <w:rPr>
          <w:rFonts w:hint="eastAsia" w:ascii="宋体" w:hAnsi="宋体" w:eastAsia="宋体" w:cs="宋体"/>
          <w:color w:val="auto"/>
          <w:sz w:val="20"/>
          <w:szCs w:val="20"/>
          <w:highlight w:val="none"/>
        </w:rPr>
        <w:t>臭氧消毒时，臭氧浓度可调，并且各房间浓度最小需大于20ppm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2616DC55">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（30）</w:t>
      </w:r>
      <w:r>
        <w:rPr>
          <w:rFonts w:hint="eastAsia" w:ascii="宋体" w:hAnsi="宋体" w:eastAsia="宋体" w:cs="宋体"/>
          <w:color w:val="auto"/>
          <w:highlight w:val="none"/>
        </w:rPr>
        <w:t>冷热水机组与泵</w:t>
      </w:r>
      <w:r>
        <w:rPr>
          <w:rFonts w:hint="eastAsia" w:ascii="宋体" w:hAnsi="宋体" w:eastAsia="宋体" w:cs="宋体"/>
          <w:color w:val="auto"/>
          <w:highlight w:val="none"/>
          <w:lang w:eastAsia="zh-CN"/>
        </w:rPr>
        <w:t>参考或相当于</w:t>
      </w:r>
      <w:r>
        <w:rPr>
          <w:rFonts w:hint="eastAsia" w:ascii="宋体" w:hAnsi="宋体" w:eastAsia="宋体" w:cs="宋体"/>
          <w:color w:val="auto"/>
          <w:highlight w:val="none"/>
        </w:rPr>
        <w:t>天加、约克，并设置备用泵，即采用一用一备的方式</w:t>
      </w:r>
      <w:r>
        <w:rPr>
          <w:rFonts w:hint="eastAsia" w:ascii="宋体" w:hAnsi="宋体" w:eastAsia="宋体" w:cs="宋体"/>
          <w:color w:val="auto"/>
          <w:highlight w:val="none"/>
          <w:lang w:eastAsia="zh-CN"/>
        </w:rPr>
        <w:t>。</w:t>
      </w:r>
    </w:p>
    <w:p w14:paraId="727431E3">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（31）</w:t>
      </w:r>
      <w:r>
        <w:rPr>
          <w:rFonts w:hint="eastAsia" w:ascii="宋体" w:hAnsi="宋体" w:eastAsia="宋体" w:cs="宋体"/>
          <w:color w:val="auto"/>
          <w:szCs w:val="22"/>
          <w:highlight w:val="none"/>
        </w:rPr>
        <w:t>温湿度需要进行自动控制</w:t>
      </w:r>
      <w:r>
        <w:rPr>
          <w:rFonts w:hint="eastAsia" w:ascii="宋体" w:hAnsi="宋体" w:eastAsia="宋体" w:cs="宋体"/>
          <w:color w:val="auto"/>
          <w:szCs w:val="22"/>
          <w:highlight w:val="none"/>
          <w:lang w:eastAsia="zh-CN"/>
        </w:rPr>
        <w:t>。</w:t>
      </w:r>
    </w:p>
    <w:p w14:paraId="18F931C7">
      <w:pPr>
        <w:numPr>
          <w:ilvl w:val="0"/>
          <w:numId w:val="0"/>
        </w:numPr>
        <w:tabs>
          <w:tab w:val="left" w:pos="180"/>
          <w:tab w:val="left" w:pos="1620"/>
        </w:tabs>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（32）</w:t>
      </w:r>
      <w:r>
        <w:rPr>
          <w:rFonts w:hint="eastAsia" w:ascii="宋体" w:hAnsi="宋体" w:eastAsia="宋体" w:cs="宋体"/>
          <w:color w:val="auto"/>
          <w:szCs w:val="22"/>
          <w:highlight w:val="none"/>
        </w:rPr>
        <w:t>机组开关与冷热水机组连锁控制</w:t>
      </w:r>
      <w:r>
        <w:rPr>
          <w:rFonts w:hint="eastAsia" w:ascii="宋体" w:hAnsi="宋体" w:eastAsia="宋体" w:cs="宋体"/>
          <w:color w:val="auto"/>
          <w:highlight w:val="none"/>
        </w:rPr>
        <w:t>需具备温湿度控制、连锁控制、定时开关、臭氧消毒、值班模式等功能</w:t>
      </w:r>
      <w:r>
        <w:rPr>
          <w:rFonts w:hint="eastAsia" w:ascii="宋体" w:hAnsi="宋体" w:eastAsia="宋体" w:cs="宋体"/>
          <w:color w:val="auto"/>
          <w:highlight w:val="none"/>
          <w:lang w:eastAsia="zh-CN"/>
        </w:rPr>
        <w:t>。</w:t>
      </w:r>
    </w:p>
    <w:p w14:paraId="42428EDB">
      <w:pPr>
        <w:tabs>
          <w:tab w:val="left" w:pos="180"/>
          <w:tab w:val="left" w:pos="1620"/>
        </w:tabs>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7.注意事项</w:t>
      </w:r>
    </w:p>
    <w:p w14:paraId="25DE7FBB">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（1）机组选型：要求选用模块化组合式空调机组，便于维护和扩展。</w:t>
      </w:r>
    </w:p>
    <w:p w14:paraId="6023A8EA">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（2）控制系统：应采用PLC或DDC控制系统，支持远程监控、数据记录与报警功能。</w:t>
      </w:r>
    </w:p>
    <w:p w14:paraId="563735F0">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（3）节能考虑：在满足洁净要求的前提下，可考虑热回收装置，降低能耗。</w:t>
      </w:r>
    </w:p>
    <w:p w14:paraId="02D50E2D">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（4）验收标准：施工完成后需进行风量平衡、压差测试、洁净度检测、自控功能验证等，确保符合包含</w:t>
      </w:r>
      <w:r>
        <w:rPr>
          <w:rFonts w:hint="eastAsia" w:ascii="宋体" w:hAnsi="宋体" w:cs="宋体"/>
          <w:color w:val="auto"/>
          <w:highlight w:val="none"/>
          <w:lang w:eastAsia="zh-CN"/>
        </w:rPr>
        <w:t>但</w:t>
      </w:r>
      <w:r>
        <w:rPr>
          <w:rFonts w:hint="eastAsia" w:ascii="宋体" w:hAnsi="宋体" w:eastAsia="宋体" w:cs="宋体"/>
          <w:color w:val="auto"/>
          <w:highlight w:val="none"/>
        </w:rPr>
        <w:t>不限于以下标准：</w:t>
      </w:r>
    </w:p>
    <w:p w14:paraId="62FD1E13">
      <w:pPr>
        <w:ind w:left="720"/>
        <w:rPr>
          <w:rFonts w:hint="eastAsia" w:ascii="宋体" w:hAnsi="宋体" w:eastAsia="宋体" w:cs="宋体"/>
          <w:color w:val="auto"/>
          <w:highlight w:val="none"/>
          <w:lang w:eastAsia="zh-CN"/>
        </w:rPr>
      </w:pPr>
      <w:r>
        <w:rPr>
          <w:rFonts w:hint="eastAsia" w:ascii="宋体" w:hAnsi="宋体" w:eastAsia="宋体" w:cs="宋体"/>
          <w:color w:val="auto"/>
          <w:highlight w:val="none"/>
        </w:rPr>
        <w:t>GB 50457-2019 《医药工业洁净厂房设计标准》</w:t>
      </w:r>
      <w:r>
        <w:rPr>
          <w:rFonts w:hint="eastAsia" w:ascii="宋体" w:hAnsi="宋体" w:cs="宋体"/>
          <w:color w:val="auto"/>
          <w:highlight w:val="none"/>
          <w:lang w:eastAsia="zh-CN"/>
        </w:rPr>
        <w:t>。</w:t>
      </w:r>
    </w:p>
    <w:p w14:paraId="518DA521">
      <w:pPr>
        <w:ind w:left="720"/>
        <w:rPr>
          <w:rFonts w:hint="eastAsia" w:ascii="宋体" w:hAnsi="宋体" w:eastAsia="宋体" w:cs="宋体"/>
          <w:color w:val="auto"/>
          <w:highlight w:val="none"/>
          <w:lang w:eastAsia="zh-CN"/>
        </w:rPr>
      </w:pPr>
      <w:r>
        <w:rPr>
          <w:rFonts w:hint="eastAsia" w:ascii="宋体" w:hAnsi="宋体" w:eastAsia="宋体" w:cs="宋体"/>
          <w:color w:val="auto"/>
          <w:highlight w:val="none"/>
        </w:rPr>
        <w:t>GB50591-2010 《洁净室施工及验收规范》</w:t>
      </w:r>
      <w:r>
        <w:rPr>
          <w:rFonts w:hint="eastAsia" w:ascii="宋体" w:hAnsi="宋体" w:cs="宋体"/>
          <w:color w:val="auto"/>
          <w:highlight w:val="none"/>
          <w:lang w:eastAsia="zh-CN"/>
        </w:rPr>
        <w:t>。</w:t>
      </w:r>
    </w:p>
    <w:p w14:paraId="1A684AA1">
      <w:pPr>
        <w:ind w:left="720"/>
        <w:rPr>
          <w:rFonts w:hint="eastAsia" w:ascii="宋体" w:hAnsi="宋体" w:eastAsia="宋体" w:cs="宋体"/>
          <w:color w:val="auto"/>
          <w:highlight w:val="none"/>
          <w:lang w:eastAsia="zh-CN"/>
        </w:rPr>
      </w:pPr>
      <w:r>
        <w:rPr>
          <w:rFonts w:hint="eastAsia" w:ascii="宋体" w:hAnsi="宋体" w:eastAsia="宋体" w:cs="宋体"/>
          <w:color w:val="auto"/>
          <w:highlight w:val="none"/>
        </w:rPr>
        <w:t>GB/T16292—2010 《医药工业洁净室（区）悬浮粒子的测试方法》</w:t>
      </w:r>
      <w:r>
        <w:rPr>
          <w:rFonts w:hint="eastAsia" w:ascii="宋体" w:hAnsi="宋体" w:cs="宋体"/>
          <w:color w:val="auto"/>
          <w:highlight w:val="none"/>
          <w:lang w:eastAsia="zh-CN"/>
        </w:rPr>
        <w:t>。</w:t>
      </w:r>
    </w:p>
    <w:p w14:paraId="7F85166E">
      <w:pPr>
        <w:ind w:left="720"/>
        <w:rPr>
          <w:rFonts w:hint="eastAsia" w:ascii="宋体" w:hAnsi="宋体" w:eastAsia="宋体" w:cs="宋体"/>
          <w:color w:val="auto"/>
          <w:highlight w:val="none"/>
          <w:lang w:eastAsia="zh-CN"/>
        </w:rPr>
      </w:pPr>
      <w:r>
        <w:rPr>
          <w:rFonts w:hint="eastAsia" w:ascii="宋体" w:hAnsi="宋体" w:eastAsia="宋体" w:cs="宋体"/>
          <w:color w:val="auto"/>
          <w:highlight w:val="none"/>
        </w:rPr>
        <w:t>GB/T16294—2010 《医药工业洁净室（区）沉降菌的测试方法》</w:t>
      </w:r>
      <w:r>
        <w:rPr>
          <w:rFonts w:hint="eastAsia" w:ascii="宋体" w:hAnsi="宋体" w:cs="宋体"/>
          <w:color w:val="auto"/>
          <w:highlight w:val="none"/>
          <w:lang w:eastAsia="zh-CN"/>
        </w:rPr>
        <w:t>。</w:t>
      </w:r>
    </w:p>
    <w:p w14:paraId="740FE781">
      <w:pPr>
        <w:ind w:left="420" w:hanging="420" w:hangingChars="200"/>
        <w:rPr>
          <w:rFonts w:hint="eastAsia" w:ascii="宋体" w:hAnsi="宋体" w:eastAsia="宋体" w:cs="宋体"/>
          <w:b/>
          <w:bCs/>
          <w:color w:val="auto"/>
          <w:sz w:val="24"/>
          <w:highlight w:val="none"/>
        </w:rPr>
      </w:pPr>
      <w:r>
        <w:rPr>
          <w:rFonts w:hint="eastAsia" w:ascii="宋体" w:hAnsi="宋体" w:eastAsia="宋体" w:cs="宋体"/>
          <w:color w:val="auto"/>
          <w:szCs w:val="22"/>
          <w:highlight w:val="none"/>
        </w:rPr>
        <w:t xml:space="preserve">                                                                                                  </w:t>
      </w:r>
      <w:r>
        <w:rPr>
          <w:rFonts w:hint="eastAsia" w:ascii="宋体" w:hAnsi="宋体" w:eastAsia="宋体" w:cs="宋体"/>
          <w:b/>
          <w:bCs/>
          <w:color w:val="auto"/>
          <w:sz w:val="24"/>
          <w:highlight w:val="none"/>
        </w:rPr>
        <w:t>附件2：             气路系统部分设计与实施要求技术要求</w:t>
      </w:r>
    </w:p>
    <w:p w14:paraId="55E1C06E">
      <w:pPr>
        <w:ind w:left="482" w:hanging="482" w:hangingChars="200"/>
        <w:rPr>
          <w:rFonts w:hint="eastAsia" w:ascii="宋体" w:hAnsi="宋体" w:eastAsia="宋体" w:cs="宋体"/>
          <w:b/>
          <w:bCs/>
          <w:color w:val="auto"/>
          <w:sz w:val="24"/>
          <w:highlight w:val="none"/>
        </w:rPr>
      </w:pPr>
    </w:p>
    <w:p w14:paraId="4189B68C">
      <w:pPr>
        <w:numPr>
          <w:ilvl w:val="0"/>
          <w:numId w:val="1"/>
        </w:numPr>
        <w:tabs>
          <w:tab w:val="left" w:pos="180"/>
          <w:tab w:val="left" w:pos="1620"/>
        </w:tabs>
        <w:ind w:left="420" w:leftChars="200"/>
        <w:jc w:val="left"/>
        <w:rPr>
          <w:rFonts w:hint="eastAsia" w:ascii="宋体" w:hAnsi="宋体" w:eastAsia="宋体" w:cs="宋体"/>
          <w:color w:val="auto"/>
          <w:highlight w:val="none"/>
        </w:rPr>
      </w:pPr>
      <w:r>
        <w:rPr>
          <w:rFonts w:hint="eastAsia" w:ascii="宋体" w:hAnsi="宋体" w:eastAsia="宋体" w:cs="宋体"/>
          <w:color w:val="auto"/>
          <w:highlight w:val="none"/>
        </w:rPr>
        <w:t>满足使用点数量要求</w:t>
      </w:r>
      <w:r>
        <w:rPr>
          <w:rFonts w:hint="eastAsia" w:ascii="宋体" w:hAnsi="宋体" w:eastAsia="宋体" w:cs="宋体"/>
          <w:color w:val="auto"/>
          <w:highlight w:val="none"/>
          <w:lang w:eastAsia="zh-CN"/>
        </w:rPr>
        <w:t>。</w:t>
      </w:r>
    </w:p>
    <w:p w14:paraId="1F28EA47">
      <w:pPr>
        <w:numPr>
          <w:ilvl w:val="0"/>
          <w:numId w:val="1"/>
        </w:numPr>
        <w:tabs>
          <w:tab w:val="left" w:pos="180"/>
          <w:tab w:val="left" w:pos="1620"/>
        </w:tabs>
        <w:ind w:left="420" w:leftChars="200"/>
        <w:jc w:val="left"/>
        <w:rPr>
          <w:rFonts w:hint="eastAsia" w:ascii="宋体" w:hAnsi="宋体" w:eastAsia="宋体" w:cs="宋体"/>
          <w:color w:val="auto"/>
          <w:highlight w:val="none"/>
        </w:rPr>
      </w:pPr>
      <w:r>
        <w:rPr>
          <w:rFonts w:hint="eastAsia" w:ascii="宋体" w:hAnsi="宋体" w:eastAsia="宋体" w:cs="宋体"/>
          <w:color w:val="auto"/>
          <w:highlight w:val="none"/>
        </w:rPr>
        <w:t>管道材质为BA级不锈钢</w:t>
      </w:r>
      <w:r>
        <w:rPr>
          <w:rFonts w:hint="eastAsia" w:ascii="宋体" w:hAnsi="宋体" w:eastAsia="宋体" w:cs="宋体"/>
          <w:b/>
          <w:bCs/>
          <w:color w:val="auto"/>
          <w:highlight w:val="none"/>
        </w:rPr>
        <w:t>（供应商于供货时提供管道材质的合格证明及检验报告）</w:t>
      </w:r>
      <w:r>
        <w:rPr>
          <w:rFonts w:hint="eastAsia" w:ascii="宋体" w:hAnsi="宋体" w:eastAsia="宋体" w:cs="宋体"/>
          <w:color w:val="auto"/>
          <w:highlight w:val="none"/>
          <w:lang w:eastAsia="zh-CN"/>
        </w:rPr>
        <w:t>。</w:t>
      </w:r>
    </w:p>
    <w:p w14:paraId="760FB0C7">
      <w:pPr>
        <w:numPr>
          <w:ilvl w:val="0"/>
          <w:numId w:val="1"/>
        </w:numPr>
        <w:tabs>
          <w:tab w:val="left" w:pos="180"/>
          <w:tab w:val="left" w:pos="1620"/>
        </w:tabs>
        <w:ind w:left="420" w:leftChars="200"/>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t>夹层内管道接口方式采用焊接，房间内末端使用卡套式连接</w:t>
      </w:r>
      <w:r>
        <w:rPr>
          <w:rFonts w:hint="eastAsia" w:ascii="宋体" w:hAnsi="宋体" w:eastAsia="宋体" w:cs="宋体"/>
          <w:color w:val="auto"/>
          <w:highlight w:val="none"/>
          <w:lang w:eastAsia="zh-CN"/>
        </w:rPr>
        <w:t>。</w:t>
      </w:r>
    </w:p>
    <w:p w14:paraId="6DD45873">
      <w:pPr>
        <w:numPr>
          <w:ilvl w:val="0"/>
          <w:numId w:val="1"/>
        </w:numPr>
        <w:tabs>
          <w:tab w:val="left" w:pos="180"/>
          <w:tab w:val="left" w:pos="1620"/>
        </w:tabs>
        <w:ind w:left="420" w:leftChars="200"/>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t>使用点配置减压阀组和开关阀</w:t>
      </w:r>
      <w:r>
        <w:rPr>
          <w:rFonts w:hint="eastAsia" w:ascii="宋体" w:hAnsi="宋体" w:eastAsia="宋体" w:cs="宋体"/>
          <w:b/>
          <w:bCs/>
          <w:color w:val="auto"/>
          <w:highlight w:val="none"/>
        </w:rPr>
        <w:t>（供应商于供货时提供减压阀组和开关阀的合格证）</w:t>
      </w:r>
      <w:r>
        <w:rPr>
          <w:rFonts w:hint="eastAsia" w:ascii="宋体" w:hAnsi="宋体" w:eastAsia="宋体" w:cs="宋体"/>
          <w:color w:val="auto"/>
          <w:highlight w:val="none"/>
          <w:lang w:eastAsia="zh-CN"/>
        </w:rPr>
        <w:t>。</w:t>
      </w:r>
    </w:p>
    <w:p w14:paraId="76F0CBD3">
      <w:pPr>
        <w:numPr>
          <w:ilvl w:val="0"/>
          <w:numId w:val="1"/>
        </w:numPr>
        <w:tabs>
          <w:tab w:val="left" w:pos="180"/>
          <w:tab w:val="left" w:pos="1620"/>
        </w:tabs>
        <w:ind w:left="420" w:leftChars="200"/>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t>管道安装完成后进行吹扫</w:t>
      </w:r>
      <w:r>
        <w:rPr>
          <w:rFonts w:hint="eastAsia" w:ascii="宋体" w:hAnsi="宋体" w:eastAsia="宋体" w:cs="宋体"/>
          <w:color w:val="auto"/>
          <w:highlight w:val="none"/>
          <w:lang w:eastAsia="zh-CN"/>
        </w:rPr>
        <w:t>。</w:t>
      </w:r>
    </w:p>
    <w:p w14:paraId="334D4C3E">
      <w:pPr>
        <w:numPr>
          <w:ilvl w:val="0"/>
          <w:numId w:val="1"/>
        </w:numPr>
        <w:tabs>
          <w:tab w:val="left" w:pos="180"/>
          <w:tab w:val="left" w:pos="1620"/>
        </w:tabs>
        <w:ind w:left="420" w:leftChars="200"/>
        <w:jc w:val="left"/>
        <w:rPr>
          <w:rFonts w:hint="eastAsia" w:ascii="宋体" w:hAnsi="宋体" w:eastAsia="宋体" w:cs="宋体"/>
          <w:b/>
          <w:bCs/>
          <w:color w:val="auto"/>
          <w:sz w:val="24"/>
          <w:highlight w:val="none"/>
        </w:rPr>
      </w:pPr>
      <w:r>
        <w:rPr>
          <w:rFonts w:hint="eastAsia" w:ascii="宋体" w:hAnsi="宋体" w:eastAsia="宋体" w:cs="宋体"/>
          <w:color w:val="auto"/>
          <w:highlight w:val="none"/>
        </w:rPr>
        <w:t>管道安装完成后需进行气密性试验</w:t>
      </w:r>
      <w:r>
        <w:rPr>
          <w:rFonts w:hint="eastAsia" w:ascii="宋体" w:hAnsi="宋体" w:eastAsia="宋体" w:cs="宋体"/>
          <w:b/>
          <w:bCs/>
          <w:color w:val="auto"/>
          <w:highlight w:val="none"/>
        </w:rPr>
        <w:t>（验收时提供气密性试验报告）。</w:t>
      </w:r>
    </w:p>
    <w:p w14:paraId="5CAA166C">
      <w:pPr>
        <w:numPr>
          <w:ilvl w:val="255"/>
          <w:numId w:val="0"/>
        </w:numPr>
        <w:tabs>
          <w:tab w:val="left" w:pos="180"/>
          <w:tab w:val="left" w:pos="1620"/>
        </w:tabs>
        <w:ind w:left="420" w:leftChars="200"/>
        <w:jc w:val="left"/>
        <w:rPr>
          <w:rFonts w:hint="eastAsia" w:ascii="宋体" w:hAnsi="宋体" w:eastAsia="宋体" w:cs="宋体"/>
          <w:b/>
          <w:bCs/>
          <w:color w:val="auto"/>
          <w:sz w:val="24"/>
          <w:highlight w:val="none"/>
        </w:rPr>
      </w:pPr>
    </w:p>
    <w:p w14:paraId="04E25BA1">
      <w:pPr>
        <w:numPr>
          <w:ilvl w:val="255"/>
          <w:numId w:val="0"/>
        </w:numPr>
        <w:tabs>
          <w:tab w:val="left" w:pos="180"/>
          <w:tab w:val="left" w:pos="1620"/>
        </w:tabs>
        <w:ind w:left="420" w:leftChars="200"/>
        <w:jc w:val="left"/>
        <w:rPr>
          <w:rFonts w:hint="eastAsia" w:ascii="宋体" w:hAnsi="宋体" w:eastAsia="宋体" w:cs="宋体"/>
          <w:b/>
          <w:bCs/>
          <w:color w:val="auto"/>
          <w:sz w:val="24"/>
          <w:highlight w:val="none"/>
        </w:rPr>
      </w:pPr>
    </w:p>
    <w:p w14:paraId="5288DD73">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附件3：             纯水系统设计与实施要求</w:t>
      </w:r>
      <w:r>
        <w:rPr>
          <w:rFonts w:hint="eastAsia" w:ascii="宋体" w:hAnsi="宋体" w:cs="宋体"/>
          <w:b/>
          <w:bCs/>
          <w:color w:val="auto"/>
          <w:sz w:val="24"/>
          <w:highlight w:val="none"/>
          <w:lang w:eastAsia="zh-CN"/>
        </w:rPr>
        <w:t>及</w:t>
      </w:r>
      <w:r>
        <w:rPr>
          <w:rFonts w:hint="eastAsia" w:ascii="宋体" w:hAnsi="宋体" w:eastAsia="宋体" w:cs="宋体"/>
          <w:b/>
          <w:bCs/>
          <w:color w:val="auto"/>
          <w:sz w:val="24"/>
          <w:highlight w:val="none"/>
        </w:rPr>
        <w:t>技术要求</w:t>
      </w:r>
    </w:p>
    <w:p w14:paraId="58FA6611">
      <w:pPr>
        <w:ind w:firstLine="482" w:firstLineChars="200"/>
        <w:rPr>
          <w:rFonts w:hint="eastAsia" w:ascii="宋体" w:hAnsi="宋体" w:eastAsia="宋体" w:cs="宋体"/>
          <w:b/>
          <w:bCs/>
          <w:color w:val="auto"/>
          <w:sz w:val="24"/>
          <w:highlight w:val="none"/>
        </w:rPr>
      </w:pPr>
    </w:p>
    <w:p w14:paraId="737F35D3">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highlight w:val="none"/>
        </w:rPr>
        <w:t>关键URS条款符合性说明（纯化水系统）</w:t>
      </w:r>
    </w:p>
    <w:p w14:paraId="59CD6C55">
      <w:pPr>
        <w:numPr>
          <w:ilvl w:val="0"/>
          <w:numId w:val="0"/>
        </w:numPr>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满足实验室用水，产水水质符合2020年版中国药典中关于制药用</w:t>
      </w:r>
      <w:r>
        <w:rPr>
          <w:rFonts w:hint="eastAsia" w:ascii="宋体" w:hAnsi="宋体" w:cs="宋体"/>
          <w:color w:val="auto"/>
          <w:highlight w:val="none"/>
          <w:lang w:eastAsia="zh-CN"/>
        </w:rPr>
        <w:t>水</w:t>
      </w:r>
      <w:r>
        <w:rPr>
          <w:rFonts w:hint="eastAsia" w:ascii="宋体" w:hAnsi="宋体" w:eastAsia="宋体" w:cs="宋体"/>
          <w:color w:val="auto"/>
          <w:highlight w:val="none"/>
        </w:rPr>
        <w:t>的相关规定</w:t>
      </w:r>
      <w:r>
        <w:rPr>
          <w:rFonts w:hint="eastAsia" w:ascii="宋体" w:hAnsi="宋体" w:eastAsia="宋体" w:cs="宋体"/>
          <w:color w:val="auto"/>
          <w:highlight w:val="none"/>
          <w:lang w:eastAsia="zh-CN"/>
        </w:rPr>
        <w:t>。</w:t>
      </w:r>
    </w:p>
    <w:p w14:paraId="2BFF83EB">
      <w:pPr>
        <w:numPr>
          <w:ilvl w:val="0"/>
          <w:numId w:val="0"/>
        </w:numPr>
        <w:ind w:firstLine="420" w:firstLineChars="200"/>
        <w:rPr>
          <w:rFonts w:hint="eastAsia" w:ascii="宋体" w:hAnsi="宋体" w:eastAsia="宋体" w:cs="宋体"/>
          <w:color w:val="auto"/>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2</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纯化水生产能力为0.1t/h（</w:t>
      </w:r>
      <w:r>
        <w:rPr>
          <w:rFonts w:hint="eastAsia" w:ascii="宋体" w:hAnsi="宋体" w:eastAsia="宋体" w:cs="宋体"/>
          <w:color w:val="auto"/>
          <w:highlight w:val="none"/>
        </w:rPr>
        <w:t>流量显示</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eastAsia="zh-CN"/>
        </w:rPr>
        <w:t>。</w:t>
      </w:r>
    </w:p>
    <w:p w14:paraId="26DFDF64">
      <w:pPr>
        <w:numPr>
          <w:ilvl w:val="0"/>
          <w:numId w:val="0"/>
        </w:numPr>
        <w:ind w:firstLine="420" w:firstLineChars="200"/>
        <w:rPr>
          <w:rFonts w:hint="eastAsia" w:ascii="宋体" w:hAnsi="宋体" w:eastAsia="宋体" w:cs="宋体"/>
          <w:color w:val="auto"/>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脱盐率99%（</w:t>
      </w:r>
      <w:r>
        <w:rPr>
          <w:rFonts w:hint="eastAsia" w:ascii="宋体" w:hAnsi="宋体" w:eastAsia="宋体" w:cs="宋体"/>
          <w:color w:val="auto"/>
          <w:highlight w:val="none"/>
        </w:rPr>
        <w:t>RO膜合格证)</w:t>
      </w:r>
      <w:r>
        <w:rPr>
          <w:rFonts w:hint="eastAsia" w:ascii="宋体" w:hAnsi="宋体" w:eastAsia="宋体" w:cs="宋体"/>
          <w:color w:val="auto"/>
          <w:szCs w:val="22"/>
          <w:highlight w:val="none"/>
          <w:lang w:eastAsia="zh-CN"/>
        </w:rPr>
        <w:t>。</w:t>
      </w:r>
    </w:p>
    <w:p w14:paraId="48246DB4">
      <w:pPr>
        <w:numPr>
          <w:ilvl w:val="0"/>
          <w:numId w:val="0"/>
        </w:numPr>
        <w:ind w:firstLine="420" w:firstLineChars="200"/>
        <w:rPr>
          <w:rFonts w:hint="eastAsia" w:ascii="宋体" w:hAnsi="宋体" w:eastAsia="宋体" w:cs="宋体"/>
          <w:color w:val="auto"/>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4</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连续运行电导率稳定在≤2μs/cm （25℃）</w:t>
      </w:r>
      <w:r>
        <w:rPr>
          <w:rFonts w:hint="eastAsia" w:ascii="宋体" w:hAnsi="宋体" w:eastAsia="宋体" w:cs="宋体"/>
          <w:color w:val="auto"/>
          <w:szCs w:val="22"/>
          <w:highlight w:val="none"/>
          <w:lang w:eastAsia="zh-CN"/>
        </w:rPr>
        <w:t>。</w:t>
      </w:r>
    </w:p>
    <w:p w14:paraId="3A4291F6">
      <w:pPr>
        <w:numPr>
          <w:ilvl w:val="0"/>
          <w:numId w:val="0"/>
        </w:numPr>
        <w:ind w:firstLine="420" w:firstLineChars="200"/>
        <w:rPr>
          <w:rFonts w:hint="eastAsia" w:ascii="宋体" w:hAnsi="宋体" w:eastAsia="宋体" w:cs="宋体"/>
          <w:color w:val="auto"/>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在线监测一级、二级产水电导率；（</w:t>
      </w:r>
      <w:r>
        <w:rPr>
          <w:rFonts w:hint="eastAsia" w:ascii="宋体" w:hAnsi="宋体" w:eastAsia="宋体" w:cs="宋体"/>
          <w:color w:val="auto"/>
          <w:highlight w:val="none"/>
        </w:rPr>
        <w:t>安装有电导率表或有可读取的界面）</w:t>
      </w:r>
      <w:r>
        <w:rPr>
          <w:rFonts w:hint="eastAsia" w:ascii="宋体" w:hAnsi="宋体" w:eastAsia="宋体" w:cs="宋体"/>
          <w:color w:val="auto"/>
          <w:highlight w:val="none"/>
          <w:lang w:eastAsia="zh-CN"/>
        </w:rPr>
        <w:t>。</w:t>
      </w:r>
    </w:p>
    <w:p w14:paraId="2523CDB3">
      <w:pPr>
        <w:numPr>
          <w:ilvl w:val="0"/>
          <w:numId w:val="0"/>
        </w:numPr>
        <w:ind w:firstLine="420" w:firstLineChars="200"/>
        <w:rPr>
          <w:rFonts w:hint="eastAsia" w:ascii="宋体" w:hAnsi="宋体" w:eastAsia="宋体" w:cs="宋体"/>
          <w:b/>
          <w:bCs/>
          <w:color w:val="auto"/>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6</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纯水罐≥0.5t</w:t>
      </w:r>
      <w:r>
        <w:rPr>
          <w:rFonts w:hint="eastAsia" w:ascii="宋体" w:hAnsi="宋体" w:eastAsia="宋体" w:cs="宋体"/>
          <w:b/>
          <w:bCs/>
          <w:color w:val="auto"/>
          <w:szCs w:val="22"/>
          <w:highlight w:val="none"/>
        </w:rPr>
        <w:t>（供应商于供货时提供</w:t>
      </w:r>
      <w:r>
        <w:rPr>
          <w:rFonts w:hint="eastAsia" w:ascii="宋体" w:hAnsi="宋体" w:eastAsia="宋体" w:cs="宋体"/>
          <w:b/>
          <w:bCs/>
          <w:color w:val="auto"/>
          <w:highlight w:val="none"/>
        </w:rPr>
        <w:t>合格证）</w:t>
      </w:r>
      <w:r>
        <w:rPr>
          <w:rFonts w:hint="eastAsia" w:ascii="宋体" w:hAnsi="宋体" w:eastAsia="宋体" w:cs="宋体"/>
          <w:b/>
          <w:bCs/>
          <w:color w:val="auto"/>
          <w:highlight w:val="none"/>
          <w:lang w:eastAsia="zh-CN"/>
        </w:rPr>
        <w:t>。</w:t>
      </w:r>
    </w:p>
    <w:p w14:paraId="61A189F9">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7</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纯水产水、储罐、总送、总回应设置取样阀</w:t>
      </w:r>
      <w:r>
        <w:rPr>
          <w:rFonts w:hint="eastAsia" w:ascii="宋体" w:hAnsi="宋体" w:eastAsia="宋体" w:cs="宋体"/>
          <w:color w:val="auto"/>
          <w:szCs w:val="22"/>
          <w:highlight w:val="none"/>
          <w:lang w:eastAsia="zh-CN"/>
        </w:rPr>
        <w:t>。</w:t>
      </w:r>
    </w:p>
    <w:p w14:paraId="448ABA44">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8</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其他产水指标应符合药典内制药用水的规定（</w:t>
      </w:r>
      <w:r>
        <w:rPr>
          <w:rFonts w:hint="eastAsia" w:ascii="宋体" w:hAnsi="宋体" w:eastAsia="宋体" w:cs="宋体"/>
          <w:color w:val="auto"/>
          <w:highlight w:val="none"/>
        </w:rPr>
        <w:t>理化检验结果符合2020版中国药典相关规定）</w:t>
      </w:r>
      <w:r>
        <w:rPr>
          <w:rFonts w:hint="eastAsia" w:ascii="宋体" w:hAnsi="宋体" w:eastAsia="宋体" w:cs="宋体"/>
          <w:color w:val="auto"/>
          <w:szCs w:val="22"/>
          <w:highlight w:val="none"/>
          <w:lang w:eastAsia="zh-CN"/>
        </w:rPr>
        <w:t>。</w:t>
      </w:r>
    </w:p>
    <w:p w14:paraId="5C6340E4">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9</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原水泵、一级、二级水泵、分配泵</w:t>
      </w:r>
      <w:r>
        <w:rPr>
          <w:rFonts w:hint="eastAsia" w:ascii="宋体" w:hAnsi="宋体" w:cs="宋体"/>
          <w:color w:val="auto"/>
          <w:szCs w:val="22"/>
          <w:highlight w:val="none"/>
          <w:lang w:eastAsia="zh-CN"/>
        </w:rPr>
        <w:t>参考或相当于</w:t>
      </w:r>
      <w:r>
        <w:rPr>
          <w:rFonts w:hint="eastAsia" w:ascii="宋体" w:hAnsi="宋体" w:eastAsia="宋体" w:cs="宋体"/>
          <w:color w:val="auto"/>
          <w:szCs w:val="22"/>
          <w:highlight w:val="none"/>
        </w:rPr>
        <w:t>杭州南方、凌霄、亿迈</w:t>
      </w:r>
      <w:r>
        <w:rPr>
          <w:rFonts w:hint="eastAsia" w:ascii="宋体" w:hAnsi="宋体" w:eastAsia="宋体" w:cs="宋体"/>
          <w:b/>
          <w:bCs/>
          <w:color w:val="auto"/>
          <w:szCs w:val="22"/>
          <w:highlight w:val="none"/>
        </w:rPr>
        <w:t>（供应商于供货时提供电机、水泵的合格证）</w:t>
      </w:r>
      <w:r>
        <w:rPr>
          <w:rFonts w:hint="eastAsia" w:ascii="宋体" w:hAnsi="宋体" w:eastAsia="宋体" w:cs="宋体"/>
          <w:color w:val="auto"/>
          <w:highlight w:val="none"/>
          <w:lang w:eastAsia="zh-CN"/>
        </w:rPr>
        <w:t>。</w:t>
      </w:r>
    </w:p>
    <w:p w14:paraId="26D588E3">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10</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采用全自动控制，具有正反洗、自动产水、自动循环等功能</w:t>
      </w:r>
      <w:r>
        <w:rPr>
          <w:rFonts w:hint="eastAsia" w:ascii="宋体" w:hAnsi="宋体" w:eastAsia="宋体" w:cs="宋体"/>
          <w:color w:val="auto"/>
          <w:szCs w:val="22"/>
          <w:highlight w:val="none"/>
          <w:lang w:eastAsia="zh-CN"/>
        </w:rPr>
        <w:t>。</w:t>
      </w:r>
    </w:p>
    <w:p w14:paraId="53BB57C7">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11</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系统所有管路器件需采用304不锈钢，纯化水部分需要采用316L不锈钢</w:t>
      </w:r>
      <w:r>
        <w:rPr>
          <w:rFonts w:hint="eastAsia" w:ascii="宋体" w:hAnsi="宋体" w:eastAsia="宋体" w:cs="宋体"/>
          <w:b/>
          <w:bCs/>
          <w:color w:val="auto"/>
          <w:szCs w:val="22"/>
          <w:highlight w:val="none"/>
        </w:rPr>
        <w:t>（供应商于供货时提供管路材质的合格证）</w:t>
      </w:r>
      <w:r>
        <w:rPr>
          <w:rFonts w:hint="eastAsia" w:ascii="宋体" w:hAnsi="宋体" w:eastAsia="宋体" w:cs="宋体"/>
          <w:color w:val="auto"/>
          <w:highlight w:val="none"/>
          <w:lang w:eastAsia="zh-CN"/>
        </w:rPr>
        <w:t>。</w:t>
      </w:r>
    </w:p>
    <w:p w14:paraId="5547BCCB">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12</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分配管路需采用自动焊接，所有焊接点需进行100%无损检测（验收时提供焊点内窥图片）</w:t>
      </w:r>
      <w:r>
        <w:rPr>
          <w:rFonts w:hint="eastAsia" w:ascii="宋体" w:hAnsi="宋体" w:eastAsia="宋体" w:cs="宋体"/>
          <w:color w:val="auto"/>
          <w:szCs w:val="22"/>
          <w:highlight w:val="none"/>
          <w:lang w:eastAsia="zh-CN"/>
        </w:rPr>
        <w:t>。</w:t>
      </w:r>
    </w:p>
    <w:p w14:paraId="691CADBF">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13</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管路满足3D要求</w:t>
      </w:r>
      <w:r>
        <w:rPr>
          <w:rFonts w:hint="eastAsia" w:ascii="宋体" w:hAnsi="宋体" w:eastAsia="宋体" w:cs="宋体"/>
          <w:color w:val="auto"/>
          <w:szCs w:val="22"/>
          <w:highlight w:val="none"/>
          <w:lang w:eastAsia="zh-CN"/>
        </w:rPr>
        <w:t>。</w:t>
      </w:r>
    </w:p>
    <w:p w14:paraId="0261AE39">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14</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应有系统消毒，采用巴氏消毒或臭氧+紫外灯消毒</w:t>
      </w:r>
      <w:r>
        <w:rPr>
          <w:rFonts w:hint="eastAsia" w:ascii="宋体" w:hAnsi="宋体" w:eastAsia="宋体" w:cs="宋体"/>
          <w:color w:val="auto"/>
          <w:szCs w:val="22"/>
          <w:highlight w:val="none"/>
          <w:lang w:eastAsia="zh-CN"/>
        </w:rPr>
        <w:t>。</w:t>
      </w:r>
    </w:p>
    <w:p w14:paraId="1B94D973">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15</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分配管道坡度为0.5~2</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 xml:space="preserve"> </w:t>
      </w:r>
    </w:p>
    <w:p w14:paraId="4D731897">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16</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回水流速需＞1m/h（</w:t>
      </w:r>
      <w:r>
        <w:rPr>
          <w:rFonts w:hint="eastAsia" w:ascii="宋体" w:hAnsi="宋体" w:eastAsia="宋体" w:cs="宋体"/>
          <w:color w:val="auto"/>
          <w:highlight w:val="none"/>
        </w:rPr>
        <w:t>安装有流速表或有可读取的界面）</w:t>
      </w:r>
      <w:r>
        <w:rPr>
          <w:rFonts w:hint="eastAsia" w:ascii="宋体" w:hAnsi="宋体" w:eastAsia="宋体" w:cs="宋体"/>
          <w:color w:val="auto"/>
          <w:szCs w:val="22"/>
          <w:highlight w:val="none"/>
          <w:lang w:eastAsia="zh-CN"/>
        </w:rPr>
        <w:t>。</w:t>
      </w:r>
    </w:p>
    <w:p w14:paraId="1969CCAD">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17</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分配管路内表面光洁度＞0.6μm</w:t>
      </w:r>
      <w:r>
        <w:rPr>
          <w:rFonts w:hint="eastAsia" w:ascii="宋体" w:hAnsi="宋体" w:eastAsia="宋体" w:cs="宋体"/>
          <w:b/>
          <w:bCs/>
          <w:color w:val="auto"/>
          <w:szCs w:val="22"/>
          <w:highlight w:val="none"/>
        </w:rPr>
        <w:t>（供货时</w:t>
      </w:r>
      <w:r>
        <w:rPr>
          <w:rFonts w:hint="eastAsia" w:ascii="宋体" w:hAnsi="宋体" w:eastAsia="宋体" w:cs="宋体"/>
          <w:b/>
          <w:bCs/>
          <w:color w:val="auto"/>
          <w:highlight w:val="none"/>
        </w:rPr>
        <w:t>提供由国家认可的第三方检测机构出具的满足此项技术要求的检测报告）</w:t>
      </w:r>
      <w:r>
        <w:rPr>
          <w:rFonts w:hint="eastAsia" w:ascii="宋体" w:hAnsi="宋体" w:eastAsia="宋体" w:cs="宋体"/>
          <w:color w:val="auto"/>
          <w:szCs w:val="22"/>
          <w:highlight w:val="none"/>
        </w:rPr>
        <w:t>；</w:t>
      </w:r>
    </w:p>
    <w:p w14:paraId="793B9A41">
      <w:pPr>
        <w:numPr>
          <w:ilvl w:val="0"/>
          <w:numId w:val="0"/>
        </w:numPr>
        <w:ind w:firstLine="420" w:firstLineChars="200"/>
        <w:rPr>
          <w:rFonts w:hint="eastAsia" w:ascii="宋体" w:hAnsi="宋体" w:eastAsia="宋体" w:cs="宋体"/>
          <w:b/>
          <w:bCs/>
          <w:color w:val="auto"/>
          <w:sz w:val="24"/>
          <w:highlight w:val="none"/>
        </w:rPr>
      </w:pP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18</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纯水罐需安装呼吸器，过滤器孔径在0.1~0.2μm</w:t>
      </w:r>
      <w:r>
        <w:rPr>
          <w:rFonts w:hint="eastAsia" w:ascii="宋体" w:hAnsi="宋体" w:eastAsia="宋体" w:cs="宋体"/>
          <w:b/>
          <w:bCs/>
          <w:color w:val="auto"/>
          <w:szCs w:val="22"/>
          <w:highlight w:val="none"/>
        </w:rPr>
        <w:t>（供货时提供由国家认可的第三方检测机构出具的满足此项技术要求的检测报告）。</w:t>
      </w:r>
    </w:p>
    <w:p w14:paraId="08A4B505">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2.注意事项</w:t>
      </w:r>
    </w:p>
    <w:p w14:paraId="150B9918">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（1）机组选型：要求选用模块化机组，便于维护和扩展；</w:t>
      </w:r>
    </w:p>
    <w:p w14:paraId="1F2B5B71">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（2）控制系统：应采用PLC或DDC控制系统，支持远程监控、数据记录与报警功能；</w:t>
      </w:r>
    </w:p>
    <w:p w14:paraId="26FD0CA4">
      <w:pPr>
        <w:numPr>
          <w:ilvl w:val="255"/>
          <w:numId w:val="0"/>
        </w:numPr>
        <w:ind w:left="360"/>
        <w:rPr>
          <w:rFonts w:hint="eastAsia" w:ascii="宋体" w:hAnsi="宋体" w:eastAsia="宋体" w:cs="宋体"/>
          <w:color w:val="auto"/>
          <w:highlight w:val="none"/>
        </w:rPr>
      </w:pPr>
      <w:r>
        <w:rPr>
          <w:rFonts w:hint="eastAsia" w:ascii="宋体" w:hAnsi="宋体" w:eastAsia="宋体" w:cs="宋体"/>
          <w:color w:val="auto"/>
          <w:highlight w:val="none"/>
        </w:rPr>
        <w:t>（3）验收标准：施工完成后需进行运行确认，产水确保符合2020版中国药典中制药用水的相关规定。</w:t>
      </w:r>
    </w:p>
    <w:p w14:paraId="18E8FD17">
      <w:pPr>
        <w:numPr>
          <w:ilvl w:val="255"/>
          <w:numId w:val="0"/>
        </w:numPr>
        <w:ind w:left="360"/>
        <w:rPr>
          <w:rFonts w:hint="eastAsia" w:ascii="宋体" w:hAnsi="宋体" w:eastAsia="宋体" w:cs="宋体"/>
          <w:color w:val="auto"/>
          <w:highlight w:val="none"/>
        </w:rPr>
      </w:pPr>
    </w:p>
    <w:p w14:paraId="67792830">
      <w:pPr>
        <w:numPr>
          <w:ilvl w:val="255"/>
          <w:numId w:val="0"/>
        </w:numPr>
        <w:rPr>
          <w:rFonts w:hint="eastAsia" w:ascii="宋体" w:hAnsi="宋体" w:eastAsia="宋体" w:cs="宋体"/>
          <w:color w:val="auto"/>
          <w:highlight w:val="none"/>
        </w:rPr>
      </w:pPr>
    </w:p>
    <w:p w14:paraId="6511AEA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附件4：             装修部分设计与实施要求</w:t>
      </w:r>
    </w:p>
    <w:p w14:paraId="04BC808B">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1.要点要求：</w:t>
      </w:r>
    </w:p>
    <w:p w14:paraId="67123AA0">
      <w:pPr>
        <w:numPr>
          <w:ilvl w:val="255"/>
          <w:numId w:val="0"/>
        </w:numPr>
        <w:ind w:left="36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（1）建筑装饰：地面、墙面、吊顶、墙角、门窗、缝隙密封满足规范要求；（现场检查、材料提供合格报告）</w:t>
      </w:r>
    </w:p>
    <w:p w14:paraId="2735D1D5">
      <w:pPr>
        <w:numPr>
          <w:ilvl w:val="255"/>
          <w:numId w:val="0"/>
        </w:numPr>
        <w:ind w:left="36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（2）配电系统：线路、电气设备与装置满足规范要求；（现场检查、材料提供合格报告）</w:t>
      </w:r>
    </w:p>
    <w:p w14:paraId="10728E16">
      <w:pPr>
        <w:numPr>
          <w:ilvl w:val="255"/>
          <w:numId w:val="0"/>
        </w:numPr>
        <w:ind w:left="36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（3）消防系统：消火栓系统、防排烟系统、火灾自动报警系统满足GB55036-2023消防设施通用规范的相关要求）</w:t>
      </w:r>
    </w:p>
    <w:p w14:paraId="7116B42E">
      <w:pPr>
        <w:numPr>
          <w:ilvl w:val="255"/>
          <w:numId w:val="0"/>
        </w:numPr>
        <w:ind w:left="36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（4）验收结合暖通系统、纯化水系统、工艺气路系统运行确认，符合相关标准；</w:t>
      </w:r>
    </w:p>
    <w:p w14:paraId="08A76B4D">
      <w:pPr>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w:t>
      </w:r>
      <w:r>
        <w:rPr>
          <w:rFonts w:hint="eastAsia" w:ascii="宋体" w:hAnsi="宋体" w:eastAsia="宋体" w:cs="宋体"/>
          <w:b/>
          <w:bCs/>
          <w:color w:val="auto"/>
          <w:highlight w:val="none"/>
        </w:rPr>
        <w:t>注意事项</w:t>
      </w:r>
    </w:p>
    <w:p w14:paraId="07730996">
      <w:pPr>
        <w:numPr>
          <w:ilvl w:val="255"/>
          <w:numId w:val="0"/>
        </w:numPr>
        <w:ind w:left="36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确保符合</w:t>
      </w:r>
      <w:r>
        <w:rPr>
          <w:rFonts w:hint="eastAsia" w:ascii="宋体" w:hAnsi="宋体" w:cs="宋体"/>
          <w:color w:val="auto"/>
          <w:highlight w:val="none"/>
          <w:lang w:eastAsia="zh-CN"/>
        </w:rPr>
        <w:t>如下</w:t>
      </w:r>
      <w:r>
        <w:rPr>
          <w:rFonts w:hint="eastAsia" w:ascii="宋体" w:hAnsi="宋体" w:eastAsia="宋体" w:cs="宋体"/>
          <w:color w:val="auto"/>
          <w:highlight w:val="none"/>
        </w:rPr>
        <w:t>标准</w:t>
      </w:r>
    </w:p>
    <w:p w14:paraId="5FC5C560">
      <w:pPr>
        <w:ind w:left="720"/>
        <w:rPr>
          <w:rFonts w:hint="eastAsia" w:ascii="宋体" w:hAnsi="宋体" w:eastAsia="宋体" w:cs="宋体"/>
          <w:color w:val="auto"/>
          <w:highlight w:val="none"/>
        </w:rPr>
      </w:pPr>
      <w:r>
        <w:rPr>
          <w:rFonts w:hint="eastAsia" w:ascii="宋体" w:hAnsi="宋体" w:eastAsia="宋体" w:cs="宋体"/>
          <w:color w:val="auto"/>
          <w:highlight w:val="none"/>
        </w:rPr>
        <w:t>GB 50457-2019 《医药工业洁净厂房设计标准》</w:t>
      </w:r>
    </w:p>
    <w:p w14:paraId="3177DA83">
      <w:pPr>
        <w:ind w:left="720"/>
        <w:rPr>
          <w:rFonts w:hint="eastAsia" w:ascii="宋体" w:hAnsi="宋体" w:eastAsia="宋体" w:cs="宋体"/>
          <w:color w:val="auto"/>
          <w:highlight w:val="none"/>
        </w:rPr>
      </w:pPr>
      <w:r>
        <w:rPr>
          <w:rFonts w:hint="eastAsia" w:ascii="宋体" w:hAnsi="宋体" w:eastAsia="宋体" w:cs="宋体"/>
          <w:color w:val="auto"/>
          <w:highlight w:val="none"/>
        </w:rPr>
        <w:t>GB50591-2010 《洁净室施工及验收规范》</w:t>
      </w:r>
    </w:p>
    <w:p w14:paraId="2275FEDA">
      <w:pPr>
        <w:ind w:left="720"/>
        <w:rPr>
          <w:rFonts w:hint="eastAsia" w:ascii="宋体" w:hAnsi="宋体" w:eastAsia="宋体" w:cs="宋体"/>
          <w:color w:val="auto"/>
          <w:highlight w:val="none"/>
        </w:rPr>
      </w:pPr>
      <w:r>
        <w:rPr>
          <w:rFonts w:hint="eastAsia" w:ascii="宋体" w:hAnsi="宋体" w:eastAsia="宋体" w:cs="宋体"/>
          <w:color w:val="auto"/>
          <w:highlight w:val="none"/>
        </w:rPr>
        <w:t>GB/T16292-2010 《医药工业洁净室（区）悬浮粒子的测试方法》</w:t>
      </w:r>
    </w:p>
    <w:p w14:paraId="01832445">
      <w:pPr>
        <w:ind w:left="720"/>
        <w:rPr>
          <w:rFonts w:hint="eastAsia" w:ascii="宋体" w:hAnsi="宋体" w:eastAsia="宋体" w:cs="宋体"/>
          <w:color w:val="auto"/>
          <w:highlight w:val="none"/>
        </w:rPr>
      </w:pPr>
      <w:r>
        <w:rPr>
          <w:rFonts w:hint="eastAsia" w:ascii="宋体" w:hAnsi="宋体" w:eastAsia="宋体" w:cs="宋体"/>
          <w:color w:val="auto"/>
          <w:highlight w:val="none"/>
        </w:rPr>
        <w:t>GB/T16294-2010 《医药工业洁净室（区）沉降菌的测试方法》</w:t>
      </w:r>
    </w:p>
    <w:p w14:paraId="0B2031B8">
      <w:pPr>
        <w:ind w:left="720"/>
        <w:rPr>
          <w:rFonts w:hint="eastAsia" w:ascii="宋体" w:hAnsi="宋体" w:eastAsia="宋体" w:cs="宋体"/>
          <w:color w:val="auto"/>
          <w:highlight w:val="none"/>
        </w:rPr>
      </w:pPr>
      <w:r>
        <w:rPr>
          <w:rFonts w:hint="eastAsia" w:ascii="宋体" w:hAnsi="宋体" w:eastAsia="宋体" w:cs="宋体"/>
          <w:color w:val="auto"/>
          <w:highlight w:val="none"/>
        </w:rPr>
        <w:t>GB55036-2023 《消防设施通用规范》</w:t>
      </w:r>
    </w:p>
    <w:p w14:paraId="53420B73">
      <w:pPr>
        <w:numPr>
          <w:ilvl w:val="255"/>
          <w:numId w:val="0"/>
        </w:numPr>
        <w:ind w:left="360" w:firstLine="420" w:firstLineChars="200"/>
        <w:rPr>
          <w:color w:val="auto"/>
          <w:highlight w:val="none"/>
        </w:rPr>
      </w:pPr>
    </w:p>
    <w:p w14:paraId="72871EBF">
      <w:pPr>
        <w:pStyle w:val="65"/>
        <w:rPr>
          <w:color w:val="auto"/>
          <w:highlight w:val="none"/>
        </w:rPr>
      </w:pPr>
    </w:p>
    <w:p w14:paraId="06F8F18B">
      <w:pPr>
        <w:pStyle w:val="65"/>
        <w:rPr>
          <w:color w:val="auto"/>
          <w:highlight w:val="none"/>
        </w:rPr>
      </w:pPr>
    </w:p>
    <w:p w14:paraId="5B70CAE6">
      <w:pPr>
        <w:pStyle w:val="65"/>
        <w:rPr>
          <w:color w:val="auto"/>
          <w:highlight w:val="none"/>
        </w:rPr>
      </w:pPr>
    </w:p>
    <w:p w14:paraId="6BE89EE3">
      <w:pPr>
        <w:pStyle w:val="65"/>
        <w:rPr>
          <w:color w:val="auto"/>
          <w:highlight w:val="none"/>
        </w:rPr>
      </w:pPr>
    </w:p>
    <w:p w14:paraId="6461AB76">
      <w:pPr>
        <w:pStyle w:val="65"/>
        <w:rPr>
          <w:color w:val="auto"/>
          <w:highlight w:val="none"/>
        </w:rPr>
      </w:pPr>
    </w:p>
    <w:p w14:paraId="17EBF967">
      <w:pPr>
        <w:pStyle w:val="65"/>
        <w:rPr>
          <w:color w:val="auto"/>
          <w:highlight w:val="none"/>
        </w:rPr>
      </w:pPr>
    </w:p>
    <w:p w14:paraId="085236DD">
      <w:pPr>
        <w:pStyle w:val="65"/>
        <w:rPr>
          <w:color w:val="auto"/>
          <w:highlight w:val="none"/>
        </w:rPr>
      </w:pPr>
    </w:p>
    <w:p w14:paraId="586F2A55">
      <w:pPr>
        <w:pStyle w:val="65"/>
        <w:rPr>
          <w:color w:val="auto"/>
          <w:highlight w:val="none"/>
        </w:rPr>
      </w:pPr>
    </w:p>
    <w:p w14:paraId="5BE46D99">
      <w:pPr>
        <w:pStyle w:val="65"/>
        <w:rPr>
          <w:color w:val="auto"/>
          <w:highlight w:val="none"/>
        </w:rPr>
      </w:pPr>
    </w:p>
    <w:p w14:paraId="13DD66C3">
      <w:pPr>
        <w:pStyle w:val="65"/>
        <w:rPr>
          <w:color w:val="auto"/>
          <w:highlight w:val="none"/>
        </w:rPr>
      </w:pPr>
    </w:p>
    <w:p w14:paraId="5F3769BB">
      <w:pPr>
        <w:pStyle w:val="65"/>
        <w:rPr>
          <w:color w:val="auto"/>
          <w:highlight w:val="none"/>
        </w:rPr>
      </w:pPr>
    </w:p>
    <w:p w14:paraId="40B513BC">
      <w:pPr>
        <w:pStyle w:val="65"/>
        <w:rPr>
          <w:color w:val="auto"/>
          <w:highlight w:val="none"/>
        </w:rPr>
      </w:pPr>
    </w:p>
    <w:p w14:paraId="5170FA49">
      <w:pPr>
        <w:pStyle w:val="65"/>
        <w:rPr>
          <w:color w:val="auto"/>
          <w:highlight w:val="none"/>
        </w:rPr>
      </w:pPr>
    </w:p>
    <w:p w14:paraId="0FD71691">
      <w:pPr>
        <w:pStyle w:val="65"/>
        <w:rPr>
          <w:color w:val="auto"/>
          <w:highlight w:val="none"/>
        </w:rPr>
      </w:pPr>
    </w:p>
    <w:p w14:paraId="3C6975C1">
      <w:pPr>
        <w:pStyle w:val="65"/>
        <w:rPr>
          <w:color w:val="auto"/>
          <w:highlight w:val="none"/>
        </w:rPr>
      </w:pPr>
    </w:p>
    <w:p w14:paraId="634CCE03">
      <w:pPr>
        <w:pStyle w:val="65"/>
        <w:rPr>
          <w:color w:val="auto"/>
          <w:highlight w:val="none"/>
        </w:rPr>
      </w:pPr>
    </w:p>
    <w:p w14:paraId="3F88DB9E">
      <w:pPr>
        <w:pStyle w:val="65"/>
        <w:rPr>
          <w:color w:val="auto"/>
          <w:highlight w:val="none"/>
        </w:rPr>
      </w:pPr>
    </w:p>
    <w:p w14:paraId="1CE7195C">
      <w:pPr>
        <w:pStyle w:val="65"/>
        <w:rPr>
          <w:color w:val="auto"/>
          <w:highlight w:val="none"/>
        </w:rPr>
      </w:pPr>
    </w:p>
    <w:p w14:paraId="2FA39C43">
      <w:pPr>
        <w:pStyle w:val="65"/>
        <w:rPr>
          <w:color w:val="auto"/>
          <w:highlight w:val="none"/>
        </w:rPr>
      </w:pPr>
    </w:p>
    <w:p w14:paraId="502E3E1F">
      <w:pPr>
        <w:pStyle w:val="65"/>
        <w:rPr>
          <w:color w:val="auto"/>
          <w:highlight w:val="none"/>
        </w:rPr>
      </w:pPr>
    </w:p>
    <w:p w14:paraId="766917D6">
      <w:pPr>
        <w:pStyle w:val="65"/>
        <w:rPr>
          <w:color w:val="auto"/>
          <w:highlight w:val="none"/>
        </w:rPr>
      </w:pPr>
    </w:p>
    <w:p w14:paraId="608AD9D0">
      <w:pPr>
        <w:pStyle w:val="65"/>
        <w:rPr>
          <w:color w:val="auto"/>
          <w:highlight w:val="none"/>
        </w:rPr>
      </w:pPr>
    </w:p>
    <w:p w14:paraId="4C4871D3">
      <w:pPr>
        <w:pStyle w:val="65"/>
        <w:rPr>
          <w:color w:val="auto"/>
          <w:highlight w:val="none"/>
        </w:rPr>
      </w:pPr>
    </w:p>
    <w:p w14:paraId="44B370E9">
      <w:pPr>
        <w:pStyle w:val="2"/>
        <w:spacing w:before="0" w:after="0" w:line="360" w:lineRule="auto"/>
        <w:jc w:val="center"/>
        <w:rPr>
          <w:color w:val="auto"/>
          <w:highlight w:val="none"/>
        </w:rPr>
      </w:pPr>
      <w:r>
        <w:rPr>
          <w:rFonts w:hint="eastAsia"/>
          <w:color w:val="auto"/>
          <w:highlight w:val="none"/>
        </w:rPr>
        <w:t>第四章  评审程序、评审方法和评审标准</w:t>
      </w:r>
      <w:bookmarkEnd w:id="71"/>
    </w:p>
    <w:p w14:paraId="32FF674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0B2AA17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7D81C1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5E83E5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69AC3AF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5FDC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B94ED0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B5687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5185FA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BDEF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1.3供应商有下列情形之一的，资格审查不通过，其响应文件按无效处理：</w:t>
      </w:r>
    </w:p>
    <w:p w14:paraId="53FB41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9094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（2）未按磋商文件规定的方式获取本磋商文件的供应商的；</w:t>
      </w:r>
    </w:p>
    <w:p w14:paraId="23C73E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2DBF73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24B6B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w:t>
      </w:r>
      <w:r>
        <w:rPr>
          <w:rFonts w:hint="eastAsia" w:ascii="宋体" w:hAnsi="宋体" w:cs="宋体"/>
          <w:color w:val="auto"/>
          <w:highlight w:val="none"/>
        </w:rPr>
        <w:t>为本项目提供过整体设计、规范编制或者项目管理、监理、检测等服务的供应商，不得再参加该采购项目的其他采购活动。</w:t>
      </w:r>
    </w:p>
    <w:p w14:paraId="118D7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1.4通过资格审查的合格供应商不足3家的，不得进入符合性审查环节，应当重新开展采购活动。</w:t>
      </w:r>
    </w:p>
    <w:p w14:paraId="7BDCD1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616A299F">
      <w:pPr>
        <w:spacing w:line="360" w:lineRule="auto"/>
        <w:ind w:firstLine="420" w:firstLineChars="200"/>
        <w:rPr>
          <w:rFonts w:ascii="宋体" w:hAnsi="宋体" w:cs="宋体"/>
          <w:color w:val="auto"/>
          <w:szCs w:val="21"/>
          <w:highlight w:val="none"/>
        </w:rPr>
      </w:pPr>
      <w:bookmarkStart w:id="72" w:name="_Hlk42528882"/>
      <w:r>
        <w:rPr>
          <w:rFonts w:hint="eastAsia" w:ascii="宋体" w:hAnsi="宋体" w:cs="宋体"/>
          <w:color w:val="auto"/>
          <w:szCs w:val="21"/>
          <w:highlight w:val="none"/>
        </w:rPr>
        <w:t>2.1磋商小组对通过资格审查的合格供应商的响应文件的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、商务、技术等实质性要求进行符合性审查，以确定其是否满足磋商文件的实质性要求。</w:t>
      </w:r>
    </w:p>
    <w:bookmarkEnd w:id="72"/>
    <w:p w14:paraId="40CBA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89C429">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2037550E">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5C6ACBE">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1DDA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E5F96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40FA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873B0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93B835A">
      <w:pPr>
        <w:tabs>
          <w:tab w:val="left" w:pos="483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4B2AB9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41224BE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5BC7F61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21391A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26CC2F3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023B9D9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44191FB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12E381D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3CF9AA7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6）响应文件的实质性内容未使用中文表述、使用计量单位不符合磋商文件要求的；</w:t>
      </w:r>
    </w:p>
    <w:p w14:paraId="510E67E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7）响应文件中的文件资料因填写不齐全或者内容虚假或者出现其他情形而导致被磋商小组认定无效的；</w:t>
      </w:r>
    </w:p>
    <w:p w14:paraId="30B4273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8）响应文件含有采购人不能接受的附加条件的；</w:t>
      </w:r>
    </w:p>
    <w:p w14:paraId="0A5121D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9）属于“供应商须知正文”第7.5条供应商相互串通竞标情形的；</w:t>
      </w:r>
    </w:p>
    <w:p w14:paraId="658C7CD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599F0DD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11）虚假竞标，或者出现其他情形而导致被磋商小组认定无效的；</w:t>
      </w:r>
    </w:p>
    <w:p w14:paraId="45E3C07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w:t>
      </w:r>
      <w:bookmarkStart w:id="73"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3"/>
    </w:p>
    <w:p w14:paraId="4D5C2FC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13）竞争性磋商文件明确不允许分包，响应文件拟分包的；</w:t>
      </w:r>
    </w:p>
    <w:p w14:paraId="64A20A9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14）未响应磋商文件实质性要求的；</w:t>
      </w:r>
    </w:p>
    <w:p w14:paraId="377CEAC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和磋商文件规定的其他无效情形。</w:t>
      </w:r>
    </w:p>
    <w:p w14:paraId="4E48407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（2）报价评审</w:t>
      </w:r>
    </w:p>
    <w:p w14:paraId="44DE037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响应文件未提供“供应商须知前附表” 报价文件中规定的“</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表”的；</w:t>
      </w:r>
    </w:p>
    <w:p w14:paraId="1437340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24D40E4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76342E1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（包含首次报价、最后报价）超过本项目规定的采购预算金额或者最高限价的（如本项目公布了最高限价）；</w:t>
      </w:r>
      <w:bookmarkStart w:id="74" w:name="_Hlk42596405"/>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w:t>
      </w:r>
      <w:bookmarkEnd w:id="74"/>
      <w:bookmarkStart w:id="75" w:name="_Hlk42596276"/>
      <w:r>
        <w:rPr>
          <w:rFonts w:hint="eastAsia" w:ascii="宋体" w:hAnsi="宋体" w:cs="宋体"/>
          <w:b/>
          <w:color w:val="auto"/>
          <w:szCs w:val="21"/>
          <w:highlight w:val="none"/>
        </w:rPr>
        <w:t>超过磋商文件分项采购预算金额或者最高限价的</w:t>
      </w:r>
      <w:bookmarkEnd w:id="75"/>
      <w:r>
        <w:rPr>
          <w:rFonts w:hint="eastAsia" w:ascii="宋体" w:hAnsi="宋体" w:cs="宋体"/>
          <w:b/>
          <w:color w:val="auto"/>
          <w:szCs w:val="21"/>
          <w:highlight w:val="none"/>
        </w:rPr>
        <w:t>；（如本项目有要求并公布了分项采购预算金额或者最高限价）；</w:t>
      </w:r>
    </w:p>
    <w:p w14:paraId="4AD98EC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（包含首次报价、最后报价）超过本项目规定的采购预算金额或者最高限价（如本项目公布了最高限价）；或者经供应商确认修正后</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（包含首次报价、最后报价）超过磋商文件分项采购预算金额或者最高限价的（如本项目有要求并公布了分项采购预算金额或者最高限价）；</w:t>
      </w:r>
    </w:p>
    <w:p w14:paraId="174697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的；</w:t>
      </w:r>
    </w:p>
    <w:p w14:paraId="0A270AE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16D97CD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8）安全文明施工费和规费、增值税不按广西区费用定额及造价管理相关文件规定报价的（园林绿化及仿古建筑工程除外）；（适用于房屋建筑和市政工程项目）</w:t>
      </w:r>
    </w:p>
    <w:p w14:paraId="3097C7F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9）供应商已标价工程量清单的项目编码（12位）、计量单位、工程量任何一处与工程量清单不一致的；（适用于房屋建筑和市政工程项目）</w:t>
      </w:r>
    </w:p>
    <w:p w14:paraId="49DED92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053D43C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1A5EBD6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3F94FF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13）未对竞标有效期作出响应或者响应文件承诺的竞标有效期不满足磋商文件要求的；</w:t>
      </w:r>
    </w:p>
    <w:p w14:paraId="521B68C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14）响应文件响应的标的数量及单位与竞争性磋商采购文件要求实质性不一致的；</w:t>
      </w:r>
    </w:p>
    <w:p w14:paraId="008EB35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15）未响应磋商文件实质性要求的。</w:t>
      </w:r>
    </w:p>
    <w:p w14:paraId="7D82FA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w:t>
      </w:r>
    </w:p>
    <w:p w14:paraId="24DB8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2.7通过符合性审查的合格供应商不足3家的，不得进入磋商环节，应当重新开展采购活动。</w:t>
      </w:r>
    </w:p>
    <w:p w14:paraId="15B9021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7591D8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71CA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233F1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3DC29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6E2D6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3.5磋商中，磋商的任何一方不得透露与磋商有关的其他供应商的技术资料、价格和其他信息</w:t>
      </w:r>
      <w:r>
        <w:rPr>
          <w:rFonts w:hint="eastAsia" w:ascii="宋体" w:hAnsi="宋体" w:cs="宋体"/>
          <w:color w:val="auto"/>
          <w:spacing w:val="-6"/>
          <w:szCs w:val="21"/>
          <w:highlight w:val="none"/>
        </w:rPr>
        <w:t>。</w:t>
      </w:r>
    </w:p>
    <w:p w14:paraId="5DFC67ED">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3.6采购代理机构对磋商过程和磋商内容进行记录。</w:t>
      </w:r>
    </w:p>
    <w:p w14:paraId="372BCBC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35ABF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本章第3.7条规定的情形外，</w:t>
      </w:r>
      <w:r>
        <w:rPr>
          <w:rFonts w:hint="eastAsia" w:ascii="宋体" w:hAnsi="宋体" w:cs="宋体"/>
          <w:color w:val="auto"/>
          <w:szCs w:val="21"/>
          <w:highlight w:val="none"/>
        </w:rPr>
        <w:t>对磋商过程提交的响应文件进行有效性、完整性和响应程度审查，通过审查的合格供应商不足3家的，应当重新开展采购活动。</w:t>
      </w:r>
    </w:p>
    <w:p w14:paraId="74123927">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7A278F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5ACBE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w:t>
      </w:r>
      <w:r>
        <w:rPr>
          <w:rFonts w:hint="eastAsia" w:ascii="宋体" w:hAnsi="宋体" w:cs="宋体"/>
          <w:b/>
          <w:color w:val="auto"/>
          <w:szCs w:val="21"/>
          <w:highlight w:val="none"/>
          <w:lang w:eastAsia="zh-CN"/>
        </w:rPr>
        <w:t>作</w:t>
      </w:r>
      <w:r>
        <w:rPr>
          <w:rFonts w:hint="eastAsia" w:ascii="宋体" w:hAnsi="宋体" w:cs="宋体"/>
          <w:b/>
          <w:color w:val="auto"/>
          <w:szCs w:val="21"/>
          <w:highlight w:val="none"/>
        </w:rPr>
        <w:t>无效响应处理。</w:t>
      </w:r>
    </w:p>
    <w:p w14:paraId="5AC8E9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w:t>
      </w:r>
    </w:p>
    <w:p w14:paraId="68B0E1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w:t>
      </w:r>
      <w:r>
        <w:rPr>
          <w:rFonts w:hint="eastAsia" w:ascii="宋体" w:hAnsi="宋体" w:cs="宋体"/>
          <w:color w:val="auto"/>
          <w:szCs w:val="21"/>
          <w:highlight w:val="none"/>
        </w:rPr>
        <w:t>规定</w:t>
      </w:r>
      <w:r>
        <w:rPr>
          <w:rFonts w:hint="eastAsia" w:ascii="宋体" w:hAnsi="宋体" w:cs="宋体"/>
          <w:color w:val="auto"/>
          <w:highlight w:val="none"/>
        </w:rPr>
        <w:t>情形的，</w:t>
      </w:r>
      <w:r>
        <w:rPr>
          <w:rFonts w:hint="eastAsia" w:ascii="宋体" w:hAnsi="宋体" w:cs="宋体"/>
          <w:color w:val="auto"/>
          <w:szCs w:val="21"/>
          <w:highlight w:val="none"/>
        </w:rPr>
        <w:t>提交最后报价的供应商可以为2家。</w:t>
      </w:r>
    </w:p>
    <w:p w14:paraId="64BC6E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2BE6BE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4E2BA9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7C037E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2D215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738A31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791FD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（包含首次报价、最后报价）超过本项目规定的采购预算金额或者最高限价的（如本项目公布了最高限价）；</w:t>
      </w:r>
    </w:p>
    <w:p w14:paraId="56BC25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（包含首次报价、最后报价）超过分项采购预算金额或者最高限价的（如本项目公布了最高限价）。</w:t>
      </w:r>
    </w:p>
    <w:p w14:paraId="0AF9EC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3100B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3333F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6017647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7C7623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5B2C1A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461457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15721D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5F477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E8DE4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5.4最终成交人的成交金额等于最后报价（如有修正，以确认修正后的最后报价为准）。</w:t>
      </w:r>
    </w:p>
    <w:p w14:paraId="4470B3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 成交人荐原则</w:t>
      </w:r>
    </w:p>
    <w:p w14:paraId="3298D978">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6.1</w:t>
      </w:r>
      <w:r>
        <w:rPr>
          <w:rFonts w:hint="eastAsia" w:ascii="宋体" w:hAnsi="宋体" w:cs="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评审报告通过电子交易平台向采购人、采购代理机构提交。</w:t>
      </w:r>
      <w:r>
        <w:rPr>
          <w:rFonts w:hint="eastAsia" w:ascii="宋体" w:hAnsi="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分由高到低顺序推荐（按技术得分由高到低排序，技术分得分相同的按照履约能力分由高到低排序）。评审得分、最</w:t>
      </w:r>
      <w:r>
        <w:rPr>
          <w:rFonts w:hint="eastAsia" w:ascii="宋体" w:hAnsi="宋体"/>
          <w:bCs/>
          <w:color w:val="auto"/>
          <w:szCs w:val="21"/>
          <w:highlight w:val="none"/>
        </w:rPr>
        <w:t>后报价（不计算价格折扣）、技术得分、技术及其他要求偏离分均相同的，由磋商小组随机抽取推荐</w:t>
      </w:r>
      <w:r>
        <w:rPr>
          <w:rFonts w:hint="eastAsia" w:ascii="宋体" w:hAnsi="宋体"/>
          <w:color w:val="auto"/>
          <w:kern w:val="0"/>
          <w:szCs w:val="21"/>
          <w:highlight w:val="none"/>
        </w:rPr>
        <w:t>。</w:t>
      </w:r>
    </w:p>
    <w:p w14:paraId="2CDB8DD0">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DC2765">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01E04EC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w:t>
      </w:r>
      <w:r>
        <w:rPr>
          <w:rFonts w:hint="eastAsia"/>
          <w:color w:val="auto"/>
          <w:highlight w:val="none"/>
        </w:rPr>
        <w:t>履约能力</w:t>
      </w:r>
      <w:r>
        <w:rPr>
          <w:rFonts w:hint="eastAsia" w:ascii="宋体" w:hAnsi="宋体"/>
          <w:bCs/>
          <w:color w:val="auto"/>
          <w:szCs w:val="21"/>
          <w:highlight w:val="none"/>
        </w:rPr>
        <w:t>等方面内容按百分制打分。（计分方法按四舍五入取至百分位）</w:t>
      </w:r>
    </w:p>
    <w:tbl>
      <w:tblPr>
        <w:tblStyle w:val="46"/>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8"/>
        <w:gridCol w:w="6288"/>
        <w:gridCol w:w="851"/>
      </w:tblGrid>
      <w:tr w14:paraId="13BB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53B9A64">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2A9E9D3D">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2202EC67">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14:paraId="6533EA95">
            <w:pPr>
              <w:widowControl/>
              <w:spacing w:line="360" w:lineRule="auto"/>
              <w:jc w:val="center"/>
              <w:rPr>
                <w:rFonts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分值</w:t>
            </w:r>
          </w:p>
        </w:tc>
      </w:tr>
      <w:tr w14:paraId="73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FE1269F">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4B935DB4">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tcPr>
          <w:p w14:paraId="03978103">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383F770A">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（2）政府采购政策性扣除计算方法</w:t>
            </w:r>
          </w:p>
          <w:p w14:paraId="2E3590EC">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根据《政府采购促进中小企业发展管理办法》（财库〔2020〕46号）及《广西壮族自治区财政厅关于贯彻落实政府采购支持中小企业发展政策的通知》（桂财采【2022】31号）的规定，供应商在其响应文件中提供《中小企业声明函》，且其竞标工程由符合政策要求的小微企业提供的，对供应商的最后报价给予</w:t>
            </w:r>
            <w:r>
              <w:rPr>
                <w:rFonts w:hint="eastAsia" w:cs="Courier New" w:asciiTheme="majorEastAsia" w:hAnsiTheme="majorEastAsia" w:eastAsiaTheme="majorEastAsia"/>
                <w:b w:val="0"/>
                <w:bCs/>
                <w:strike w:val="0"/>
                <w:color w:val="auto"/>
                <w:szCs w:val="21"/>
                <w:highlight w:val="none"/>
                <w:lang w:val="en-US" w:eastAsia="zh-CN"/>
              </w:rPr>
              <w:t>10</w:t>
            </w:r>
            <w:r>
              <w:rPr>
                <w:rFonts w:hint="eastAsia" w:cs="Courier New" w:asciiTheme="majorEastAsia" w:hAnsiTheme="majorEastAsia" w:eastAsiaTheme="majorEastAsia"/>
                <w:b w:val="0"/>
                <w:bCs/>
                <w:strike w:val="0"/>
                <w:color w:val="auto"/>
                <w:szCs w:val="21"/>
                <w:highlight w:val="none"/>
              </w:rPr>
              <w:t>%的扣除，扣除后的价格为评审价，即评审价=最后报价×（1-</w:t>
            </w:r>
            <w:r>
              <w:rPr>
                <w:rFonts w:hint="eastAsia" w:cs="Courier New" w:asciiTheme="majorEastAsia" w:hAnsiTheme="majorEastAsia" w:eastAsiaTheme="majorEastAsia"/>
                <w:b w:val="0"/>
                <w:bCs/>
                <w:strike w:val="0"/>
                <w:color w:val="auto"/>
                <w:szCs w:val="21"/>
                <w:highlight w:val="none"/>
                <w:lang w:val="en-US" w:eastAsia="zh-CN"/>
              </w:rPr>
              <w:t>10</w:t>
            </w:r>
            <w:r>
              <w:rPr>
                <w:rFonts w:hint="eastAsia" w:cs="Courier New" w:asciiTheme="majorEastAsia" w:hAnsiTheme="majorEastAsia" w:eastAsiaTheme="majorEastAsia"/>
                <w:b w:val="0"/>
                <w:bCs/>
                <w:strike w:val="0"/>
                <w:color w:val="auto"/>
                <w:szCs w:val="21"/>
                <w:highlight w:val="none"/>
              </w:rPr>
              <w:t>%）。除上述情况外，评审价=最后报价。</w:t>
            </w:r>
          </w:p>
          <w:p w14:paraId="20EDB217">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E1AF5EE">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26D348">
            <w:pPr>
              <w:spacing w:line="500" w:lineRule="exact"/>
              <w:ind w:firstLine="31" w:firstLineChars="15"/>
              <w:rPr>
                <w:rFonts w:hint="eastAsia" w:cs="Courier New" w:asciiTheme="majorEastAsia" w:hAnsiTheme="majorEastAsia" w:eastAsiaTheme="majorEastAsia"/>
                <w:b w:val="0"/>
                <w:bCs/>
                <w:strike w:val="0"/>
                <w:color w:val="auto"/>
                <w:szCs w:val="21"/>
                <w:highlight w:val="none"/>
              </w:rPr>
            </w:pPr>
            <w:r>
              <w:rPr>
                <w:rFonts w:hint="eastAsia" w:cs="Courier New" w:asciiTheme="majorEastAsia" w:hAnsiTheme="majorEastAsia" w:eastAsiaTheme="majorEastAsia"/>
                <w:b w:val="0"/>
                <w:bCs/>
                <w:strike w:val="0"/>
                <w:color w:val="auto"/>
                <w:szCs w:val="21"/>
                <w:highlight w:val="none"/>
              </w:rPr>
              <w:t>（5）以进入比较与评价环节的最低的评审价为基准价，基准价得分为30分。</w:t>
            </w:r>
          </w:p>
          <w:p w14:paraId="458106D6">
            <w:pPr>
              <w:pStyle w:val="26"/>
              <w:spacing w:line="500" w:lineRule="exact"/>
              <w:ind w:firstLine="30" w:firstLineChars="15"/>
              <w:rPr>
                <w:rFonts w:asciiTheme="majorEastAsia" w:hAnsiTheme="majorEastAsia" w:eastAsiaTheme="majorEastAsia"/>
                <w:color w:val="auto"/>
                <w:kern w:val="2"/>
                <w:sz w:val="21"/>
                <w:highlight w:val="none"/>
              </w:rPr>
            </w:pPr>
            <w:r>
              <w:rPr>
                <w:rFonts w:hint="eastAsia" w:cs="Courier New" w:asciiTheme="majorEastAsia" w:hAnsiTheme="majorEastAsia" w:eastAsiaTheme="majorEastAsia"/>
                <w:b w:val="0"/>
                <w:bCs/>
                <w:strike w:val="0"/>
                <w:color w:val="auto"/>
                <w:szCs w:val="21"/>
                <w:highlight w:val="none"/>
              </w:rPr>
              <w:t>（6）价格分计算公式：报价得分=（基准价/最后报价）×30分</w:t>
            </w:r>
          </w:p>
        </w:tc>
        <w:tc>
          <w:tcPr>
            <w:tcW w:w="851" w:type="dxa"/>
            <w:tcBorders>
              <w:top w:val="single" w:color="auto" w:sz="4" w:space="0"/>
              <w:left w:val="single" w:color="auto" w:sz="4" w:space="0"/>
              <w:bottom w:val="single" w:color="auto" w:sz="4" w:space="0"/>
              <w:right w:val="single" w:color="auto" w:sz="4" w:space="0"/>
            </w:tcBorders>
            <w:vAlign w:val="center"/>
          </w:tcPr>
          <w:p w14:paraId="01F01CCF">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30分</w:t>
            </w:r>
          </w:p>
        </w:tc>
      </w:tr>
      <w:tr w14:paraId="099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233A6D2A">
            <w:pPr>
              <w:widowControl/>
              <w:spacing w:line="360" w:lineRule="auto"/>
              <w:jc w:val="center"/>
              <w:rPr>
                <w:rFonts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137AB34F">
            <w:pPr>
              <w:widowControl/>
              <w:spacing w:line="360" w:lineRule="auto"/>
              <w:jc w:val="center"/>
              <w:rPr>
                <w:rFonts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技术分【</w:t>
            </w:r>
            <w:r>
              <w:rPr>
                <w:rFonts w:hint="eastAsia" w:asciiTheme="majorEastAsia" w:hAnsiTheme="majorEastAsia" w:eastAsiaTheme="majorEastAsia"/>
                <w:color w:val="auto"/>
                <w:szCs w:val="21"/>
                <w:highlight w:val="none"/>
              </w:rPr>
              <w:t>施工组织设计】</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653DA960">
            <w:pPr>
              <w:spacing w:line="500" w:lineRule="exact"/>
              <w:jc w:val="center"/>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评审标准</w:t>
            </w:r>
          </w:p>
        </w:tc>
      </w:tr>
      <w:tr w14:paraId="0D62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1BC45CE5">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72C6AF9">
            <w:pPr>
              <w:spacing w:line="360" w:lineRule="exact"/>
              <w:jc w:val="center"/>
              <w:rPr>
                <w:rFonts w:asciiTheme="majorEastAsia" w:hAnsiTheme="majorEastAsia" w:eastAsiaTheme="majorEastAsia"/>
                <w:bCs/>
                <w:color w:val="auto"/>
                <w:kern w:val="0"/>
                <w:szCs w:val="21"/>
                <w:highlight w:val="none"/>
              </w:rPr>
            </w:pPr>
            <w:r>
              <w:rPr>
                <w:rFonts w:hint="eastAsia" w:ascii="宋体" w:hAnsi="宋体" w:cs="宋体"/>
                <w:color w:val="auto"/>
                <w:highlight w:val="none"/>
              </w:rPr>
              <w:t>（1）总体概述分（6分）</w:t>
            </w:r>
          </w:p>
        </w:tc>
        <w:tc>
          <w:tcPr>
            <w:tcW w:w="6288" w:type="dxa"/>
            <w:tcBorders>
              <w:top w:val="single" w:color="auto" w:sz="4" w:space="0"/>
              <w:left w:val="single" w:color="auto" w:sz="4" w:space="0"/>
              <w:bottom w:val="single" w:color="auto" w:sz="4" w:space="0"/>
              <w:right w:val="single" w:color="auto" w:sz="4" w:space="0"/>
            </w:tcBorders>
            <w:vAlign w:val="center"/>
          </w:tcPr>
          <w:p w14:paraId="5E10AB9F">
            <w:pPr>
              <w:spacing w:line="500" w:lineRule="exact"/>
              <w:jc w:val="left"/>
              <w:rPr>
                <w:rFonts w:ascii="宋体" w:hAnsi="宋体" w:cs="宋体"/>
                <w:color w:val="auto"/>
                <w:highlight w:val="none"/>
              </w:rPr>
            </w:pPr>
            <w:r>
              <w:rPr>
                <w:rFonts w:hint="eastAsia" w:ascii="宋体" w:hAnsi="宋体" w:cs="宋体"/>
                <w:color w:val="auto"/>
                <w:highlight w:val="none"/>
              </w:rPr>
              <w:t xml:space="preserve">一档（2分）：对项目总体有认识，有一定的措施但部分不具体；施工段划分较合理，基本符合规范要求； </w:t>
            </w:r>
          </w:p>
          <w:p w14:paraId="4094D272">
            <w:pPr>
              <w:spacing w:line="500" w:lineRule="exact"/>
              <w:jc w:val="left"/>
              <w:rPr>
                <w:color w:val="auto"/>
                <w:highlight w:val="none"/>
              </w:rPr>
            </w:pPr>
            <w:r>
              <w:rPr>
                <w:rFonts w:hint="eastAsia" w:ascii="宋体" w:hAnsi="宋体" w:cs="宋体"/>
                <w:color w:val="auto"/>
                <w:highlight w:val="none"/>
              </w:rPr>
              <w:t>二档（4分）：在满足一档的基础上，</w:t>
            </w:r>
            <w:r>
              <w:rPr>
                <w:rFonts w:hint="eastAsia"/>
                <w:color w:val="auto"/>
                <w:highlight w:val="none"/>
              </w:rPr>
              <w:t xml:space="preserve">对项目总体有一定认识，表达清晰、完整，措施具体有效；施工段划分清晰，符合规范要求； </w:t>
            </w:r>
          </w:p>
          <w:p w14:paraId="285A3788">
            <w:pPr>
              <w:pStyle w:val="7"/>
              <w:spacing w:line="500" w:lineRule="exact"/>
              <w:ind w:firstLine="0"/>
              <w:rPr>
                <w:color w:val="auto"/>
                <w:highlight w:val="none"/>
              </w:rPr>
            </w:pPr>
            <w:r>
              <w:rPr>
                <w:rFonts w:hint="eastAsia" w:ascii="宋体" w:hAnsi="宋体" w:cs="宋体"/>
                <w:color w:val="auto"/>
                <w:highlight w:val="none"/>
              </w:rPr>
              <w:t>三档（6分）：在满足二档的基础上，</w:t>
            </w:r>
            <w:r>
              <w:rPr>
                <w:rFonts w:hint="eastAsia"/>
                <w:color w:val="auto"/>
                <w:highlight w:val="none"/>
              </w:rPr>
              <w:t>对项目总体有深刻认识，内容清晰、完整、严谨、合理，措施先进、具体、有效、成熟；施工段划分清晰、合理，完全符合规范要求。</w:t>
            </w:r>
          </w:p>
          <w:p w14:paraId="28112743">
            <w:pPr>
              <w:pStyle w:val="7"/>
              <w:spacing w:line="500" w:lineRule="exact"/>
              <w:ind w:firstLine="0"/>
              <w:rPr>
                <w:color w:val="auto"/>
                <w:highlight w:val="none"/>
              </w:rPr>
            </w:pPr>
            <w:r>
              <w:rPr>
                <w:rFonts w:hint="eastAsia" w:asciiTheme="majorEastAsia" w:hAnsiTheme="majorEastAsia" w:eastAsiaTheme="majorEastAsia"/>
                <w:color w:val="auto"/>
                <w:szCs w:val="21"/>
                <w:highlight w:val="none"/>
              </w:rPr>
              <w:t>注：施工组织设计中</w:t>
            </w:r>
            <w:r>
              <w:rPr>
                <w:rFonts w:hint="eastAsia"/>
                <w:color w:val="auto"/>
                <w:highlight w:val="none"/>
              </w:rPr>
              <w:t>未提供“</w:t>
            </w:r>
            <w:r>
              <w:rPr>
                <w:rFonts w:hint="eastAsia" w:ascii="宋体" w:hAnsi="宋体" w:cs="宋体"/>
                <w:color w:val="auto"/>
                <w:highlight w:val="none"/>
              </w:rPr>
              <w:t>总体概述”或所提供的</w:t>
            </w:r>
            <w:r>
              <w:rPr>
                <w:rFonts w:hint="eastAsia"/>
                <w:color w:val="auto"/>
                <w:highlight w:val="none"/>
              </w:rPr>
              <w:t>“</w:t>
            </w:r>
            <w:r>
              <w:rPr>
                <w:rFonts w:hint="eastAsia" w:ascii="宋体" w:hAnsi="宋体" w:cs="宋体"/>
                <w:color w:val="auto"/>
                <w:highlight w:val="none"/>
              </w:rPr>
              <w:t>总体概述”未达一档档次的，</w:t>
            </w:r>
            <w:r>
              <w:rPr>
                <w:rFonts w:hint="eastAsia"/>
                <w:color w:val="auto"/>
                <w:highlight w:val="none"/>
              </w:rPr>
              <w:t>“</w:t>
            </w:r>
            <w:r>
              <w:rPr>
                <w:rFonts w:hint="eastAsia" w:ascii="宋体" w:hAnsi="宋体" w:cs="宋体"/>
                <w:color w:val="auto"/>
                <w:highlight w:val="none"/>
              </w:rPr>
              <w:t>总体概述分”不予计分。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351BFA6D">
            <w:pPr>
              <w:numPr>
                <w:ilvl w:val="0"/>
                <w:numId w:val="0"/>
              </w:numPr>
              <w:spacing w:line="340" w:lineRule="exact"/>
              <w:ind w:leftChars="0"/>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58</w:t>
            </w:r>
            <w:r>
              <w:rPr>
                <w:rFonts w:hint="eastAsia" w:asciiTheme="majorEastAsia" w:hAnsiTheme="majorEastAsia" w:eastAsiaTheme="majorEastAsia"/>
                <w:color w:val="auto"/>
                <w:szCs w:val="21"/>
                <w:highlight w:val="none"/>
              </w:rPr>
              <w:t>分</w:t>
            </w:r>
          </w:p>
        </w:tc>
      </w:tr>
      <w:tr w14:paraId="407A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2732DA47">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4ECAF55">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（2）主要施工方法分（</w:t>
            </w:r>
            <w:r>
              <w:rPr>
                <w:rFonts w:hint="eastAsia" w:ascii="宋体" w:hAnsi="宋体" w:cs="宋体"/>
                <w:color w:val="auto"/>
                <w:highlight w:val="none"/>
                <w:lang w:val="en-US" w:eastAsia="zh-CN"/>
              </w:rPr>
              <w:t>7</w:t>
            </w:r>
            <w:r>
              <w:rPr>
                <w:rFonts w:hint="eastAsia" w:ascii="宋体" w:hAnsi="宋体" w:cs="宋体"/>
                <w:color w:val="auto"/>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670F2C0A">
            <w:pPr>
              <w:spacing w:line="500" w:lineRule="exact"/>
              <w:jc w:val="left"/>
              <w:rPr>
                <w:rFonts w:ascii="宋体" w:hAnsi="宋体" w:cs="宋体"/>
                <w:color w:val="auto"/>
                <w:highlight w:val="none"/>
              </w:rPr>
            </w:pPr>
            <w:r>
              <w:rPr>
                <w:rFonts w:hint="eastAsia" w:ascii="宋体" w:hAnsi="宋体" w:cs="宋体"/>
                <w:color w:val="auto"/>
                <w:highlight w:val="none"/>
              </w:rPr>
              <w:t>一档（3分）：各主要分部施工方法能满足项目需求，有施工技术方案，能指导具体施工并确保安全；</w:t>
            </w:r>
          </w:p>
          <w:p w14:paraId="4C196582">
            <w:pPr>
              <w:spacing w:line="500" w:lineRule="exact"/>
              <w:jc w:val="left"/>
              <w:rPr>
                <w:rFonts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5</w:t>
            </w:r>
            <w:r>
              <w:rPr>
                <w:rFonts w:hint="eastAsia" w:ascii="宋体" w:hAnsi="宋体" w:cs="宋体"/>
                <w:color w:val="auto"/>
                <w:highlight w:val="none"/>
              </w:rPr>
              <w:t>分）：在满足一档的基础上，各主要分部施工方法符合项目实际，有较详尽的施工技术方案，工艺较好、方法有一定的可</w:t>
            </w:r>
            <w:r>
              <w:rPr>
                <w:rFonts w:hint="eastAsia" w:ascii="宋体" w:hAnsi="宋体" w:cs="宋体"/>
                <w:color w:val="auto"/>
                <w:highlight w:val="none"/>
                <w:lang w:eastAsia="zh-CN"/>
              </w:rPr>
              <w:t>行性</w:t>
            </w:r>
            <w:r>
              <w:rPr>
                <w:rFonts w:hint="eastAsia" w:ascii="宋体" w:hAnsi="宋体" w:cs="宋体"/>
                <w:color w:val="auto"/>
                <w:highlight w:val="none"/>
              </w:rPr>
              <w:t xml:space="preserve">及针对性，能指导具体施工并确保安全； </w:t>
            </w:r>
          </w:p>
          <w:p w14:paraId="0557F8F5">
            <w:pPr>
              <w:spacing w:line="500" w:lineRule="exact"/>
              <w:jc w:val="left"/>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7</w:t>
            </w:r>
            <w:r>
              <w:rPr>
                <w:rFonts w:hint="eastAsia" w:ascii="宋体" w:hAnsi="宋体" w:cs="宋体"/>
                <w:color w:val="auto"/>
                <w:highlight w:val="none"/>
              </w:rPr>
              <w:t>分）：在满足二档的基础上，各主要分部施工方法符合项目实际，有详尽的施工技术方案，工艺先进、方法科学合理、可行、针对性强，能</w:t>
            </w:r>
            <w:r>
              <w:rPr>
                <w:rFonts w:hint="eastAsia" w:ascii="宋体" w:hAnsi="宋体" w:cs="宋体"/>
                <w:color w:val="auto"/>
                <w:highlight w:val="none"/>
                <w:lang w:eastAsia="zh-CN"/>
              </w:rPr>
              <w:t>有效地</w:t>
            </w:r>
            <w:r>
              <w:rPr>
                <w:rFonts w:hint="eastAsia" w:ascii="宋体" w:hAnsi="宋体" w:cs="宋体"/>
                <w:color w:val="auto"/>
                <w:highlight w:val="none"/>
              </w:rPr>
              <w:t xml:space="preserve">指导具体施工并确保安全。 </w:t>
            </w:r>
          </w:p>
          <w:p w14:paraId="1AF6827B">
            <w:pPr>
              <w:spacing w:line="500" w:lineRule="exact"/>
              <w:jc w:val="left"/>
              <w:rPr>
                <w:color w:val="auto"/>
                <w:highlight w:val="none"/>
              </w:rPr>
            </w:pPr>
            <w:r>
              <w:rPr>
                <w:rFonts w:hint="eastAsia" w:asciiTheme="majorEastAsia" w:hAnsiTheme="majorEastAsia" w:eastAsiaTheme="majorEastAsia"/>
                <w:color w:val="auto"/>
                <w:szCs w:val="21"/>
                <w:highlight w:val="none"/>
              </w:rPr>
              <w:t>注：施工组织设计中</w:t>
            </w:r>
            <w:r>
              <w:rPr>
                <w:rFonts w:hint="eastAsia"/>
                <w:color w:val="auto"/>
                <w:highlight w:val="none"/>
              </w:rPr>
              <w:t>未</w:t>
            </w:r>
            <w:r>
              <w:rPr>
                <w:rFonts w:hint="eastAsia" w:asciiTheme="majorEastAsia" w:hAnsiTheme="majorEastAsia" w:eastAsiaTheme="majorEastAsia"/>
                <w:color w:val="auto"/>
                <w:szCs w:val="21"/>
                <w:highlight w:val="none"/>
              </w:rPr>
              <w:t>提供“主要施工方法”或所提供的“主要施工方法”未达一档档次的，“主要施工方法分”不予计分。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DF87A5A">
            <w:pPr>
              <w:widowControl/>
              <w:spacing w:line="340" w:lineRule="exact"/>
              <w:jc w:val="left"/>
              <w:rPr>
                <w:rFonts w:asciiTheme="majorEastAsia" w:hAnsiTheme="majorEastAsia" w:eastAsiaTheme="majorEastAsia"/>
                <w:color w:val="auto"/>
                <w:szCs w:val="21"/>
                <w:highlight w:val="none"/>
              </w:rPr>
            </w:pPr>
          </w:p>
        </w:tc>
      </w:tr>
      <w:tr w14:paraId="1AB1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424EE014">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6F731FC">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（3）施工进度、施工进度计划和各阶段进度的保证措施分（</w:t>
            </w:r>
            <w:r>
              <w:rPr>
                <w:rFonts w:hint="eastAsia" w:ascii="宋体" w:hAnsi="宋体" w:cs="宋体"/>
                <w:color w:val="auto"/>
                <w:highlight w:val="none"/>
                <w:lang w:val="en-US" w:eastAsia="zh-CN"/>
              </w:rPr>
              <w:t>7</w:t>
            </w:r>
            <w:r>
              <w:rPr>
                <w:rFonts w:hint="eastAsia" w:ascii="宋体" w:hAnsi="宋体" w:cs="宋体"/>
                <w:color w:val="auto"/>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34457EC4">
            <w:pPr>
              <w:spacing w:line="500" w:lineRule="exact"/>
              <w:jc w:val="left"/>
              <w:rPr>
                <w:rFonts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3</w:t>
            </w:r>
            <w:r>
              <w:rPr>
                <w:rFonts w:hint="eastAsia" w:ascii="宋体" w:hAnsi="宋体" w:cs="宋体"/>
                <w:color w:val="auto"/>
                <w:highlight w:val="none"/>
              </w:rPr>
              <w:t>分）：关键线路基本准确，计划编制基本合理，关键节点的控制措施基本可行；</w:t>
            </w:r>
          </w:p>
          <w:p w14:paraId="691D0675">
            <w:pPr>
              <w:spacing w:line="500" w:lineRule="exact"/>
              <w:jc w:val="left"/>
              <w:rPr>
                <w:rFonts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5</w:t>
            </w:r>
            <w:r>
              <w:rPr>
                <w:rFonts w:hint="eastAsia" w:ascii="宋体" w:hAnsi="宋体" w:cs="宋体"/>
                <w:color w:val="auto"/>
                <w:highlight w:val="none"/>
              </w:rPr>
              <w:t>分）：在满足一档的基础上，关键线路清晰、准确，计划编制合理、有一定的可行性，关键节点的</w:t>
            </w:r>
            <w:r>
              <w:rPr>
                <w:rFonts w:hint="eastAsia" w:ascii="宋体" w:hAnsi="宋体" w:cs="宋体"/>
                <w:color w:val="auto"/>
                <w:highlight w:val="none"/>
                <w:lang w:eastAsia="zh-CN"/>
              </w:rPr>
              <w:t>控制措施</w:t>
            </w:r>
            <w:r>
              <w:rPr>
                <w:rFonts w:hint="eastAsia" w:ascii="宋体" w:hAnsi="宋体" w:cs="宋体"/>
                <w:color w:val="auto"/>
                <w:highlight w:val="none"/>
              </w:rPr>
              <w:t>基本可行，有一定的针对性；</w:t>
            </w:r>
          </w:p>
          <w:p w14:paraId="198DADDE">
            <w:pPr>
              <w:spacing w:line="500" w:lineRule="exact"/>
              <w:jc w:val="left"/>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7</w:t>
            </w:r>
            <w:r>
              <w:rPr>
                <w:rFonts w:hint="eastAsia" w:ascii="宋体" w:hAnsi="宋体" w:cs="宋体"/>
                <w:color w:val="auto"/>
                <w:highlight w:val="none"/>
              </w:rPr>
              <w:t xml:space="preserve">分）：在满足二档的基础上，关键线路清晰、准确、完整，计划编制合理、可行、针对性强，关键节点的控制措施有力、合理、可行、针对性强。 </w:t>
            </w:r>
          </w:p>
          <w:p w14:paraId="6B53DEAF">
            <w:pPr>
              <w:spacing w:line="500" w:lineRule="exact"/>
              <w:jc w:val="left"/>
              <w:rPr>
                <w:color w:val="auto"/>
                <w:highlight w:val="none"/>
              </w:rPr>
            </w:pPr>
            <w:r>
              <w:rPr>
                <w:rFonts w:hint="eastAsia" w:asciiTheme="majorEastAsia" w:hAnsiTheme="majorEastAsia" w:eastAsiaTheme="majorEastAsia"/>
                <w:color w:val="auto"/>
                <w:szCs w:val="21"/>
                <w:highlight w:val="none"/>
              </w:rPr>
              <w:t>注：施工组织设计中未提供“施工进度、施工进度计划和各阶段进度的保证措施”或所提供的“施工进度、施工进度计划和各阶段进度的保证措施”未达一档档次的，“施工进度、施工进度计划和各阶段进度的保证措施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B92D2E4">
            <w:pPr>
              <w:widowControl/>
              <w:spacing w:line="340" w:lineRule="exact"/>
              <w:jc w:val="left"/>
              <w:rPr>
                <w:rFonts w:asciiTheme="majorEastAsia" w:hAnsiTheme="majorEastAsia" w:eastAsiaTheme="majorEastAsia"/>
                <w:color w:val="auto"/>
                <w:szCs w:val="21"/>
                <w:highlight w:val="none"/>
              </w:rPr>
            </w:pPr>
          </w:p>
        </w:tc>
      </w:tr>
      <w:tr w14:paraId="796D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1C88E5CD">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AE49980">
            <w:pPr>
              <w:spacing w:line="360" w:lineRule="exact"/>
              <w:jc w:val="center"/>
              <w:rPr>
                <w:rFonts w:ascii="宋体" w:hAnsi="宋体" w:cs="宋体"/>
                <w:color w:val="auto"/>
                <w:highlight w:val="none"/>
              </w:rPr>
            </w:pPr>
            <w:r>
              <w:rPr>
                <w:rFonts w:hint="eastAsia" w:ascii="宋体" w:hAnsi="宋体" w:cs="宋体"/>
                <w:color w:val="auto"/>
                <w:highlight w:val="none"/>
              </w:rPr>
              <w:t>（4）关键施工技术、工艺及工程实施的重点、难点和解决方案分</w:t>
            </w:r>
          </w:p>
          <w:p w14:paraId="3EE1ADE6">
            <w:pPr>
              <w:spacing w:line="36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（12分）</w:t>
            </w:r>
          </w:p>
        </w:tc>
        <w:tc>
          <w:tcPr>
            <w:tcW w:w="6288" w:type="dxa"/>
            <w:tcBorders>
              <w:top w:val="single" w:color="auto" w:sz="4" w:space="0"/>
              <w:left w:val="single" w:color="auto" w:sz="4" w:space="0"/>
              <w:bottom w:val="single" w:color="auto" w:sz="4" w:space="0"/>
              <w:right w:val="single" w:color="auto" w:sz="4" w:space="0"/>
            </w:tcBorders>
            <w:vAlign w:val="center"/>
          </w:tcPr>
          <w:p w14:paraId="72D927B2">
            <w:pPr>
              <w:spacing w:line="500" w:lineRule="exact"/>
              <w:jc w:val="left"/>
              <w:rPr>
                <w:rFonts w:ascii="宋体" w:hAnsi="宋体" w:cs="宋体"/>
                <w:color w:val="auto"/>
                <w:highlight w:val="none"/>
              </w:rPr>
            </w:pPr>
            <w:r>
              <w:rPr>
                <w:rFonts w:hint="eastAsia" w:ascii="宋体" w:hAnsi="宋体" w:cs="宋体"/>
                <w:color w:val="auto"/>
                <w:highlight w:val="none"/>
              </w:rPr>
              <w:t xml:space="preserve">一档（4分）：对项目关键技术有一定了解，对重点、难点有建议，解决方案基本可行； </w:t>
            </w:r>
          </w:p>
          <w:p w14:paraId="0FD4BB06">
            <w:pPr>
              <w:spacing w:line="500" w:lineRule="exact"/>
              <w:jc w:val="left"/>
              <w:rPr>
                <w:rFonts w:ascii="宋体" w:hAnsi="宋体" w:cs="宋体"/>
                <w:color w:val="auto"/>
                <w:highlight w:val="none"/>
              </w:rPr>
            </w:pPr>
            <w:r>
              <w:rPr>
                <w:rFonts w:hint="eastAsia" w:ascii="宋体" w:hAnsi="宋体" w:cs="宋体"/>
                <w:color w:val="auto"/>
                <w:highlight w:val="none"/>
              </w:rPr>
              <w:t>二档（8分）：在满足一档的基础上，对项目关键技术、工艺有深入的表达，对重点、难点有合理的建议，解决方案经济、安全、基本可行；</w:t>
            </w:r>
          </w:p>
          <w:p w14:paraId="6F178342">
            <w:pPr>
              <w:spacing w:line="500" w:lineRule="exact"/>
              <w:jc w:val="left"/>
              <w:rPr>
                <w:rFonts w:ascii="宋体" w:hAnsi="宋体" w:cs="宋体"/>
                <w:color w:val="auto"/>
                <w:highlight w:val="none"/>
              </w:rPr>
            </w:pPr>
            <w:r>
              <w:rPr>
                <w:rFonts w:hint="eastAsia" w:ascii="宋体" w:hAnsi="宋体" w:cs="宋体"/>
                <w:color w:val="auto"/>
                <w:highlight w:val="none"/>
              </w:rPr>
              <w:t xml:space="preserve">三档（12分）：在满足二档的基础上，对项目关键技术、工艺有深入的表达，对重点、难点有先进合理的施工措施并有可行的安全措施，解决方案完整、经济、安全、切实可行，措施得力。 </w:t>
            </w:r>
          </w:p>
          <w:p w14:paraId="74137003">
            <w:pPr>
              <w:spacing w:line="500" w:lineRule="exact"/>
              <w:jc w:val="left"/>
              <w:rPr>
                <w:rFonts w:asciiTheme="majorEastAsia" w:hAnsiTheme="majorEastAsia" w:eastAsiaTheme="majorEastAsia"/>
                <w:color w:val="auto"/>
                <w:highlight w:val="none"/>
              </w:rPr>
            </w:pPr>
            <w:r>
              <w:rPr>
                <w:rFonts w:hint="eastAsia" w:asciiTheme="majorEastAsia" w:hAnsiTheme="majorEastAsia" w:eastAsiaTheme="majorEastAsia"/>
                <w:color w:val="auto"/>
                <w:szCs w:val="21"/>
                <w:highlight w:val="none"/>
              </w:rPr>
              <w:t>注：施工组织设计中未提供“关键施工技术、工艺及工程实施的重点、难点和解决方案”或所提供的“关键施工技术、工艺及工程实施的重点、难点和解决方案”未达一档档次的，“关键施工技术、工艺及工程实施的重点、难点和解决方案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8BD18CE">
            <w:pPr>
              <w:widowControl/>
              <w:spacing w:line="340" w:lineRule="exact"/>
              <w:jc w:val="left"/>
              <w:rPr>
                <w:rFonts w:asciiTheme="majorEastAsia" w:hAnsiTheme="majorEastAsia" w:eastAsiaTheme="majorEastAsia"/>
                <w:color w:val="auto"/>
                <w:szCs w:val="21"/>
                <w:highlight w:val="none"/>
              </w:rPr>
            </w:pPr>
          </w:p>
        </w:tc>
      </w:tr>
      <w:tr w14:paraId="7E7B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2D998F0">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62D9449">
            <w:pPr>
              <w:spacing w:line="420" w:lineRule="exact"/>
              <w:jc w:val="center"/>
              <w:rPr>
                <w:rFonts w:cs="宋体" w:asciiTheme="majorEastAsia" w:hAnsiTheme="majorEastAsia" w:eastAsiaTheme="majorEastAsia"/>
                <w:color w:val="auto"/>
                <w:highlight w:val="none"/>
              </w:rPr>
            </w:pPr>
            <w:r>
              <w:rPr>
                <w:rFonts w:hint="eastAsia" w:ascii="宋体" w:hAnsi="宋体" w:cs="宋体"/>
                <w:color w:val="auto"/>
                <w:highlight w:val="none"/>
              </w:rPr>
              <w:t>（5）安全文明施工措施分（6分）</w:t>
            </w:r>
          </w:p>
        </w:tc>
        <w:tc>
          <w:tcPr>
            <w:tcW w:w="6288" w:type="dxa"/>
            <w:tcBorders>
              <w:top w:val="single" w:color="auto" w:sz="4" w:space="0"/>
              <w:left w:val="single" w:color="auto" w:sz="4" w:space="0"/>
              <w:bottom w:val="single" w:color="auto" w:sz="4" w:space="0"/>
              <w:right w:val="single" w:color="auto" w:sz="4" w:space="0"/>
            </w:tcBorders>
            <w:vAlign w:val="center"/>
          </w:tcPr>
          <w:p w14:paraId="4D9EA98F">
            <w:pPr>
              <w:spacing w:line="420" w:lineRule="exact"/>
              <w:jc w:val="left"/>
              <w:rPr>
                <w:rFonts w:ascii="宋体" w:hAnsi="宋体" w:cs="宋体"/>
                <w:color w:val="auto"/>
                <w:highlight w:val="none"/>
              </w:rPr>
            </w:pPr>
            <w:r>
              <w:rPr>
                <w:rFonts w:hint="eastAsia" w:ascii="宋体" w:hAnsi="宋体" w:cs="宋体"/>
                <w:color w:val="auto"/>
                <w:highlight w:val="none"/>
              </w:rPr>
              <w:t>一档（2分）：有基本合理的措施，采用规范正确；</w:t>
            </w:r>
          </w:p>
          <w:p w14:paraId="5ADBA24C">
            <w:pPr>
              <w:spacing w:line="420" w:lineRule="exact"/>
              <w:jc w:val="left"/>
              <w:rPr>
                <w:rFonts w:ascii="宋体" w:hAnsi="宋体" w:cs="宋体"/>
                <w:color w:val="auto"/>
                <w:highlight w:val="none"/>
              </w:rPr>
            </w:pPr>
            <w:r>
              <w:rPr>
                <w:rFonts w:hint="eastAsia" w:ascii="宋体" w:hAnsi="宋体" w:cs="宋体"/>
                <w:color w:val="auto"/>
                <w:highlight w:val="none"/>
              </w:rPr>
              <w:t xml:space="preserve">二档（4分）：在满足一档的基础上，针对项目实际情况，提供合理的措施且具体、完整，采用规范正确。 </w:t>
            </w:r>
          </w:p>
          <w:p w14:paraId="36EE2529">
            <w:pPr>
              <w:spacing w:line="420" w:lineRule="exact"/>
              <w:jc w:val="left"/>
              <w:rPr>
                <w:rFonts w:ascii="宋体" w:hAnsi="宋体" w:cs="宋体"/>
                <w:color w:val="auto"/>
                <w:highlight w:val="none"/>
              </w:rPr>
            </w:pPr>
            <w:r>
              <w:rPr>
                <w:rFonts w:hint="eastAsia" w:ascii="宋体" w:hAnsi="宋体" w:cs="宋体"/>
                <w:color w:val="auto"/>
                <w:highlight w:val="none"/>
              </w:rPr>
              <w:t xml:space="preserve">三档（6分）：在满足二档的基础上，针对项目实际情况，提供先进、具体、完整、可行、针对性强的实施措施，采用规范正确、清晰。 </w:t>
            </w:r>
          </w:p>
          <w:p w14:paraId="691470C8">
            <w:pPr>
              <w:spacing w:line="420" w:lineRule="exact"/>
              <w:jc w:val="left"/>
              <w:rPr>
                <w:rFonts w:asciiTheme="majorEastAsia" w:hAnsiTheme="majorEastAsia" w:eastAsiaTheme="majorEastAsia"/>
                <w:color w:val="auto"/>
                <w:highlight w:val="none"/>
              </w:rPr>
            </w:pPr>
            <w:r>
              <w:rPr>
                <w:rFonts w:hint="eastAsia" w:asciiTheme="majorEastAsia" w:hAnsiTheme="majorEastAsia" w:eastAsiaTheme="majorEastAsia"/>
                <w:color w:val="auto"/>
                <w:szCs w:val="21"/>
                <w:highlight w:val="none"/>
              </w:rPr>
              <w:t>注：施工组织设计中未提供“</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”或所提供的“</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”未达一档档次的，“</w:t>
            </w:r>
            <w:r>
              <w:rPr>
                <w:rFonts w:hint="eastAsia" w:ascii="宋体" w:hAnsi="宋体" w:cs="宋体"/>
                <w:color w:val="auto"/>
                <w:highlight w:val="none"/>
              </w:rPr>
              <w:t>安全文明施工措施</w:t>
            </w:r>
            <w:r>
              <w:rPr>
                <w:rFonts w:hint="eastAsia" w:asciiTheme="majorEastAsia" w:hAnsiTheme="majorEastAsia"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0378F28">
            <w:pPr>
              <w:widowControl/>
              <w:spacing w:line="340" w:lineRule="exact"/>
              <w:jc w:val="left"/>
              <w:rPr>
                <w:rFonts w:asciiTheme="majorEastAsia" w:hAnsiTheme="majorEastAsia" w:eastAsiaTheme="majorEastAsia"/>
                <w:color w:val="auto"/>
                <w:szCs w:val="21"/>
                <w:highlight w:val="none"/>
              </w:rPr>
            </w:pPr>
          </w:p>
        </w:tc>
      </w:tr>
      <w:tr w14:paraId="5E4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0FEAD1C">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543F27F">
            <w:pPr>
              <w:spacing w:line="420" w:lineRule="exact"/>
              <w:jc w:val="center"/>
              <w:rPr>
                <w:rFonts w:ascii="宋体" w:hAnsi="宋体" w:cs="宋体"/>
                <w:color w:val="auto"/>
                <w:highlight w:val="none"/>
              </w:rPr>
            </w:pPr>
            <w:r>
              <w:rPr>
                <w:rFonts w:hint="eastAsia" w:ascii="宋体" w:hAnsi="宋体" w:cs="宋体"/>
                <w:color w:val="auto"/>
                <w:highlight w:val="none"/>
              </w:rPr>
              <w:t>（6）质量保证与承诺分</w:t>
            </w:r>
          </w:p>
          <w:p w14:paraId="4ABADE8F">
            <w:pPr>
              <w:spacing w:line="420" w:lineRule="exact"/>
              <w:jc w:val="center"/>
              <w:rPr>
                <w:rFonts w:asciiTheme="majorEastAsia" w:hAnsiTheme="majorEastAsia" w:eastAsiaTheme="majorEastAsia"/>
                <w:bCs/>
                <w:color w:val="auto"/>
                <w:kern w:val="0"/>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rPr>
              <w:t>15分）</w:t>
            </w:r>
          </w:p>
        </w:tc>
        <w:tc>
          <w:tcPr>
            <w:tcW w:w="6288" w:type="dxa"/>
            <w:tcBorders>
              <w:top w:val="single" w:color="auto" w:sz="4" w:space="0"/>
              <w:left w:val="single" w:color="auto" w:sz="4" w:space="0"/>
              <w:bottom w:val="single" w:color="auto" w:sz="4" w:space="0"/>
              <w:right w:val="single" w:color="auto" w:sz="4" w:space="0"/>
            </w:tcBorders>
            <w:vAlign w:val="center"/>
          </w:tcPr>
          <w:p w14:paraId="7DF8E77E">
            <w:pPr>
              <w:widowControl/>
              <w:spacing w:line="42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一档（5分）：有质量保证措施和售后服务方案，承诺收到采购人故障通知后48小时内响应，方案内容</w:t>
            </w:r>
            <w:r>
              <w:rPr>
                <w:rFonts w:hint="eastAsia" w:ascii="宋体" w:hAnsi="宋体" w:cs="宋体"/>
                <w:color w:val="auto"/>
                <w:kern w:val="0"/>
                <w:szCs w:val="21"/>
                <w:highlight w:val="none"/>
                <w:lang w:eastAsia="zh-CN" w:bidi="ar"/>
              </w:rPr>
              <w:t>包含</w:t>
            </w:r>
            <w:r>
              <w:rPr>
                <w:rFonts w:hint="eastAsia" w:ascii="宋体" w:hAnsi="宋体" w:cs="宋体"/>
                <w:color w:val="auto"/>
                <w:kern w:val="0"/>
                <w:szCs w:val="21"/>
                <w:highlight w:val="none"/>
                <w:lang w:bidi="ar"/>
              </w:rPr>
              <w:t>保障措施、</w:t>
            </w:r>
            <w:r>
              <w:rPr>
                <w:rFonts w:hint="eastAsia" w:ascii="宋体" w:hAnsi="宋体" w:cs="宋体"/>
                <w:bCs/>
                <w:color w:val="auto"/>
                <w:szCs w:val="21"/>
                <w:highlight w:val="none"/>
                <w:lang w:bidi="ar"/>
              </w:rPr>
              <w:t>培训方案、验收方案、排除故障时间等内容，但内容不够详细的</w:t>
            </w:r>
            <w:r>
              <w:rPr>
                <w:rFonts w:hint="eastAsia" w:ascii="宋体" w:hAnsi="宋体" w:cs="宋体"/>
                <w:color w:val="auto"/>
                <w:kern w:val="0"/>
                <w:szCs w:val="21"/>
                <w:highlight w:val="none"/>
                <w:lang w:bidi="ar"/>
              </w:rPr>
              <w:t xml:space="preserve">； </w:t>
            </w:r>
          </w:p>
          <w:p w14:paraId="50D5BAEB">
            <w:pPr>
              <w:spacing w:line="420" w:lineRule="exact"/>
              <w:rPr>
                <w:rFonts w:ascii="宋体" w:hAnsi="宋体" w:cs="宋体"/>
                <w:color w:val="auto"/>
                <w:szCs w:val="21"/>
                <w:highlight w:val="none"/>
              </w:rPr>
            </w:pPr>
            <w:r>
              <w:rPr>
                <w:rFonts w:hint="eastAsia" w:ascii="宋体" w:hAnsi="宋体" w:cs="宋体"/>
                <w:color w:val="auto"/>
                <w:kern w:val="0"/>
                <w:szCs w:val="21"/>
                <w:highlight w:val="none"/>
                <w:lang w:bidi="ar"/>
              </w:rPr>
              <w:t>二档（10分）：在满足一档的基础上，质量保证措施和售后服务承诺方案内容较详细，承诺收到采购人故障通知后24小时内响应，方案内容</w:t>
            </w:r>
            <w:r>
              <w:rPr>
                <w:rFonts w:hint="eastAsia" w:ascii="宋体" w:hAnsi="宋体" w:cs="宋体"/>
                <w:color w:val="auto"/>
                <w:kern w:val="0"/>
                <w:szCs w:val="21"/>
                <w:highlight w:val="none"/>
                <w:lang w:eastAsia="zh-CN" w:bidi="ar"/>
              </w:rPr>
              <w:t>包含</w:t>
            </w:r>
            <w:r>
              <w:rPr>
                <w:rFonts w:hint="eastAsia" w:ascii="宋体" w:hAnsi="宋体" w:cs="宋体"/>
                <w:color w:val="auto"/>
                <w:kern w:val="0"/>
                <w:szCs w:val="21"/>
                <w:highlight w:val="none"/>
                <w:lang w:bidi="ar"/>
              </w:rPr>
              <w:t>保障措施、培训方案、验收方案、排除故障时间、</w:t>
            </w:r>
            <w:r>
              <w:rPr>
                <w:rFonts w:hint="eastAsia" w:ascii="宋体" w:hAnsi="宋体" w:cs="宋体"/>
                <w:bCs/>
                <w:color w:val="auto"/>
                <w:szCs w:val="21"/>
                <w:highlight w:val="none"/>
                <w:lang w:bidi="ar"/>
              </w:rPr>
              <w:t>定期回访安排等内容，并于响应文件中</w:t>
            </w:r>
            <w:r>
              <w:rPr>
                <w:rFonts w:hint="eastAsia" w:ascii="宋体" w:hAnsi="宋体" w:cs="宋体"/>
                <w:color w:val="auto"/>
                <w:kern w:val="0"/>
                <w:szCs w:val="21"/>
                <w:highlight w:val="none"/>
                <w:lang w:bidi="ar"/>
              </w:rPr>
              <w:t>提供了“分部分项工程和单价措施项目费用表”中所竞第101-103项产品“通风空调工程-风冷直膨空调机组”生产厂家售后服务承诺书原件扫描件</w:t>
            </w:r>
            <w:r>
              <w:rPr>
                <w:rStyle w:val="336"/>
                <w:rFonts w:hint="default"/>
                <w:color w:val="auto"/>
                <w:sz w:val="21"/>
                <w:szCs w:val="21"/>
                <w:highlight w:val="none"/>
                <w:lang w:bidi="ar"/>
              </w:rPr>
              <w:t>。</w:t>
            </w:r>
          </w:p>
          <w:p w14:paraId="3270A3D0">
            <w:pPr>
              <w:spacing w:line="420" w:lineRule="exact"/>
              <w:jc w:val="left"/>
              <w:rPr>
                <w:rFonts w:asciiTheme="majorEastAsia" w:hAnsiTheme="majorEastAsia" w:eastAsiaTheme="majorEastAsia"/>
                <w:color w:val="auto"/>
                <w:highlight w:val="none"/>
              </w:rPr>
            </w:pPr>
            <w:r>
              <w:rPr>
                <w:rFonts w:hint="eastAsia" w:ascii="宋体" w:hAnsi="宋体" w:cs="宋体"/>
                <w:color w:val="auto"/>
                <w:kern w:val="0"/>
                <w:szCs w:val="21"/>
                <w:highlight w:val="none"/>
                <w:lang w:bidi="ar"/>
              </w:rPr>
              <w:t>三档（15分）：在满足二档的基础上，质量保证措施和售后服务承诺方案内容详细且具有针对性，承诺收到采购人故障通知后12小时内响应，方案内容</w:t>
            </w:r>
            <w:r>
              <w:rPr>
                <w:rFonts w:hint="eastAsia" w:ascii="宋体" w:hAnsi="宋体" w:cs="宋体"/>
                <w:color w:val="auto"/>
                <w:kern w:val="0"/>
                <w:szCs w:val="21"/>
                <w:highlight w:val="none"/>
                <w:lang w:eastAsia="zh-CN" w:bidi="ar"/>
              </w:rPr>
              <w:t>包含</w:t>
            </w:r>
            <w:r>
              <w:rPr>
                <w:rFonts w:hint="eastAsia" w:ascii="宋体" w:hAnsi="宋体" w:cs="宋体"/>
                <w:color w:val="auto"/>
                <w:kern w:val="0"/>
                <w:szCs w:val="21"/>
                <w:highlight w:val="none"/>
                <w:lang w:bidi="ar"/>
              </w:rPr>
              <w:t>保障措施、培训方案、验收方案、排除故障时间、定期回访安排等内容，并于响应文件中提供了“分部分项工程和单价措施项目费用表”中所竞第</w:t>
            </w:r>
            <w:r>
              <w:rPr>
                <w:rFonts w:hint="eastAsia" w:ascii="宋体" w:hAnsi="宋体" w:cs="宋体"/>
                <w:color w:val="auto"/>
                <w:kern w:val="0"/>
                <w:szCs w:val="21"/>
                <w:highlight w:val="none"/>
                <w:lang w:val="en-US" w:eastAsia="zh-CN" w:bidi="ar"/>
              </w:rPr>
              <w:t>99</w:t>
            </w:r>
            <w:r>
              <w:rPr>
                <w:rFonts w:hint="eastAsia" w:ascii="宋体" w:hAnsi="宋体" w:cs="宋体"/>
                <w:color w:val="auto"/>
                <w:kern w:val="0"/>
                <w:szCs w:val="21"/>
                <w:highlight w:val="none"/>
                <w:lang w:bidi="ar"/>
              </w:rPr>
              <w:t>-10</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项产品“通风空调工程-风冷直膨空调机组”、第4</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项产品“电气设备安装工程-不间断电源”、第17</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项产品“气路系统-空压机”、第1</w:t>
            </w:r>
            <w:r>
              <w:rPr>
                <w:rFonts w:hint="eastAsia" w:ascii="宋体" w:hAnsi="宋体" w:cs="宋体"/>
                <w:color w:val="auto"/>
                <w:kern w:val="0"/>
                <w:szCs w:val="21"/>
                <w:highlight w:val="none"/>
                <w:lang w:val="en-US" w:eastAsia="zh-CN" w:bidi="ar"/>
              </w:rPr>
              <w:t>89</w:t>
            </w:r>
            <w:r>
              <w:rPr>
                <w:rFonts w:hint="eastAsia" w:ascii="宋体" w:hAnsi="宋体" w:cs="宋体"/>
                <w:color w:val="auto"/>
                <w:kern w:val="0"/>
                <w:szCs w:val="21"/>
                <w:highlight w:val="none"/>
                <w:lang w:bidi="ar"/>
              </w:rPr>
              <w:t>项产品“纯水系统-实验室超纯水仪”的生产厂家售后服务承诺书原件扫描件</w:t>
            </w:r>
            <w:r>
              <w:rPr>
                <w:rFonts w:ascii="Arial" w:hAnsi="Arial" w:cs="Arial"/>
                <w:color w:val="auto"/>
                <w:kern w:val="0"/>
                <w:szCs w:val="21"/>
                <w:highlight w:val="none"/>
                <w:lang w:bidi="ar"/>
              </w:rPr>
              <w:t>。</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6491F42">
            <w:pPr>
              <w:widowControl/>
              <w:spacing w:line="340" w:lineRule="exact"/>
              <w:jc w:val="left"/>
              <w:rPr>
                <w:rFonts w:asciiTheme="majorEastAsia" w:hAnsiTheme="majorEastAsia" w:eastAsiaTheme="majorEastAsia"/>
                <w:color w:val="auto"/>
                <w:szCs w:val="21"/>
                <w:highlight w:val="none"/>
              </w:rPr>
            </w:pPr>
          </w:p>
        </w:tc>
      </w:tr>
      <w:tr w14:paraId="7D39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9C71D46">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6BB02BC">
            <w:pPr>
              <w:spacing w:line="420" w:lineRule="exact"/>
              <w:jc w:val="center"/>
              <w:rPr>
                <w:rFonts w:ascii="宋体" w:hAnsi="宋体" w:cs="宋体"/>
                <w:color w:val="auto"/>
                <w:highlight w:val="none"/>
              </w:rPr>
            </w:pPr>
            <w:r>
              <w:rPr>
                <w:rFonts w:hint="eastAsia" w:ascii="宋体" w:hAnsi="宋体" w:cs="宋体"/>
                <w:color w:val="auto"/>
                <w:highlight w:val="none"/>
              </w:rPr>
              <w:t>（7）新技术应用与承诺分</w:t>
            </w:r>
          </w:p>
          <w:p w14:paraId="2F64CD53">
            <w:pPr>
              <w:spacing w:line="420" w:lineRule="exact"/>
              <w:jc w:val="center"/>
              <w:rPr>
                <w:rFonts w:asciiTheme="majorEastAsia" w:hAnsiTheme="majorEastAsia" w:eastAsiaTheme="majorEastAsia"/>
                <w:bCs/>
                <w:color w:val="auto"/>
                <w:kern w:val="0"/>
                <w:highlight w:val="none"/>
              </w:rPr>
            </w:pPr>
            <w:r>
              <w:rPr>
                <w:rFonts w:hint="eastAsia" w:ascii="宋体" w:hAnsi="宋体" w:cs="宋体"/>
                <w:color w:val="auto"/>
                <w:highlight w:val="none"/>
              </w:rPr>
              <w:t>（5分）</w:t>
            </w:r>
          </w:p>
        </w:tc>
        <w:tc>
          <w:tcPr>
            <w:tcW w:w="6288" w:type="dxa"/>
            <w:tcBorders>
              <w:top w:val="single" w:color="auto" w:sz="4" w:space="0"/>
              <w:left w:val="single" w:color="auto" w:sz="4" w:space="0"/>
              <w:bottom w:val="single" w:color="auto" w:sz="4" w:space="0"/>
              <w:right w:val="single" w:color="auto" w:sz="4" w:space="0"/>
            </w:tcBorders>
            <w:vAlign w:val="center"/>
          </w:tcPr>
          <w:p w14:paraId="4925B9A0">
            <w:pPr>
              <w:spacing w:line="420" w:lineRule="exact"/>
              <w:jc w:val="left"/>
              <w:rPr>
                <w:rFonts w:ascii="宋体" w:hAnsi="宋体" w:cs="宋体"/>
                <w:color w:val="auto"/>
                <w:highlight w:val="none"/>
              </w:rPr>
            </w:pPr>
            <w:r>
              <w:rPr>
                <w:rFonts w:hint="eastAsia" w:ascii="宋体" w:hAnsi="宋体" w:cs="宋体"/>
                <w:color w:val="auto"/>
                <w:highlight w:val="none"/>
              </w:rPr>
              <w:t xml:space="preserve">一档（1分）：有新技术措施，但验证材料不充分，对节约投资和工期可能有一定收益，对采用新技术可能产生的风险预见不足； </w:t>
            </w:r>
          </w:p>
          <w:p w14:paraId="474F0C1C">
            <w:pPr>
              <w:spacing w:line="420" w:lineRule="exact"/>
              <w:jc w:val="left"/>
              <w:rPr>
                <w:rFonts w:ascii="宋体" w:hAnsi="宋体" w:cs="宋体"/>
                <w:color w:val="auto"/>
                <w:highlight w:val="none"/>
              </w:rPr>
            </w:pPr>
            <w:r>
              <w:rPr>
                <w:rFonts w:hint="eastAsia" w:ascii="宋体" w:hAnsi="宋体" w:cs="宋体"/>
                <w:color w:val="auto"/>
                <w:highlight w:val="none"/>
              </w:rPr>
              <w:t>二档（3分）：在满足一档的基础上，针对项目实际，提出采用新技术的具体措施。新技术的验证材料可靠，对节约投资和工期有保证措施；对采用新技术可能产生的风险有一定的预见；</w:t>
            </w:r>
          </w:p>
          <w:p w14:paraId="3E9077F9">
            <w:pPr>
              <w:spacing w:line="420" w:lineRule="exact"/>
              <w:jc w:val="left"/>
              <w:rPr>
                <w:color w:val="auto"/>
                <w:highlight w:val="none"/>
              </w:rPr>
            </w:pPr>
            <w:r>
              <w:rPr>
                <w:rFonts w:hint="eastAsia" w:ascii="宋体" w:hAnsi="宋体" w:cs="宋体"/>
                <w:color w:val="auto"/>
                <w:highlight w:val="none"/>
              </w:rPr>
              <w:t>三档（5分）：在满足二档的基础上，针对项目实际，提出采用新技术的具体措施；新技术的验证材料可靠，对节约投资和工期的保证措施得力、具体、严谨；对采用新技术可能产生的风险预见充分，对新技术的实施有安全生产的可靠方案。</w:t>
            </w:r>
          </w:p>
          <w:p w14:paraId="47575137">
            <w:pPr>
              <w:spacing w:line="420" w:lineRule="exact"/>
              <w:jc w:val="left"/>
              <w:rPr>
                <w:color w:val="auto"/>
                <w:highlight w:val="none"/>
              </w:rPr>
            </w:pPr>
            <w:r>
              <w:rPr>
                <w:rFonts w:hint="eastAsia" w:asciiTheme="majorEastAsia" w:hAnsiTheme="majorEastAsia" w:eastAsiaTheme="majorEastAsia"/>
                <w:color w:val="auto"/>
                <w:szCs w:val="21"/>
                <w:highlight w:val="none"/>
              </w:rPr>
              <w:t>注：施工组织设计中未提供“</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”或所提供的“</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”未达一档档次的，“</w:t>
            </w:r>
            <w:r>
              <w:rPr>
                <w:rFonts w:hint="eastAsia" w:ascii="宋体" w:hAnsi="宋体" w:cs="宋体"/>
                <w:color w:val="auto"/>
                <w:highlight w:val="none"/>
              </w:rPr>
              <w:t>新技术应用与承诺</w:t>
            </w:r>
            <w:r>
              <w:rPr>
                <w:rFonts w:hint="eastAsia" w:asciiTheme="majorEastAsia" w:hAnsiTheme="majorEastAsia"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BD388F0">
            <w:pPr>
              <w:widowControl/>
              <w:spacing w:line="340" w:lineRule="exact"/>
              <w:jc w:val="left"/>
              <w:rPr>
                <w:rFonts w:asciiTheme="majorEastAsia" w:hAnsiTheme="majorEastAsia" w:eastAsiaTheme="majorEastAsia"/>
                <w:color w:val="auto"/>
                <w:szCs w:val="21"/>
                <w:highlight w:val="none"/>
              </w:rPr>
            </w:pPr>
          </w:p>
        </w:tc>
      </w:tr>
      <w:tr w14:paraId="6DFF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1BC59FD2">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0790FECE">
            <w:pPr>
              <w:widowControl/>
              <w:spacing w:line="420" w:lineRule="exact"/>
              <w:jc w:val="center"/>
              <w:rPr>
                <w:rFonts w:cs="Courier New" w:asciiTheme="majorEastAsia" w:hAnsiTheme="majorEastAsia" w:eastAsiaTheme="majorEastAsia"/>
                <w:bCs/>
                <w:color w:val="auto"/>
                <w:szCs w:val="21"/>
                <w:highlight w:val="none"/>
              </w:rPr>
            </w:pPr>
            <w:r>
              <w:rPr>
                <w:rFonts w:hint="eastAsia"/>
                <w:color w:val="auto"/>
                <w:highlight w:val="none"/>
              </w:rPr>
              <w:t>履约能力</w:t>
            </w:r>
            <w:r>
              <w:rPr>
                <w:rFonts w:hint="eastAsia" w:cs="Courier New" w:asciiTheme="majorEastAsia" w:hAnsiTheme="majorEastAsia" w:eastAsiaTheme="majorEastAsia"/>
                <w:bCs/>
                <w:color w:val="auto"/>
                <w:szCs w:val="21"/>
                <w:highlight w:val="none"/>
              </w:rPr>
              <w:t>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608BCB33">
            <w:pPr>
              <w:widowControl/>
              <w:spacing w:line="42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评审标准</w:t>
            </w:r>
          </w:p>
        </w:tc>
      </w:tr>
      <w:tr w14:paraId="2C7B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3E210D1">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2AC21D4">
            <w:pPr>
              <w:widowControl/>
              <w:spacing w:line="42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3.1企业认证分（3分）</w:t>
            </w:r>
          </w:p>
        </w:tc>
        <w:tc>
          <w:tcPr>
            <w:tcW w:w="6288" w:type="dxa"/>
            <w:tcBorders>
              <w:top w:val="single" w:color="auto" w:sz="4" w:space="0"/>
              <w:left w:val="single" w:color="auto" w:sz="4" w:space="0"/>
              <w:bottom w:val="single" w:color="auto" w:sz="4" w:space="0"/>
              <w:right w:val="single" w:color="auto" w:sz="4" w:space="0"/>
            </w:tcBorders>
          </w:tcPr>
          <w:p w14:paraId="609A9E40">
            <w:pPr>
              <w:pStyle w:val="26"/>
              <w:spacing w:line="420" w:lineRule="exact"/>
              <w:rPr>
                <w:rFonts w:asciiTheme="majorEastAsia" w:hAnsiTheme="majorEastAsia" w:eastAsiaTheme="majorEastAsia"/>
                <w:color w:val="auto"/>
                <w:spacing w:val="-4"/>
                <w:kern w:val="2"/>
                <w:sz w:val="21"/>
                <w:highlight w:val="none"/>
              </w:rPr>
            </w:pPr>
            <w:r>
              <w:rPr>
                <w:rFonts w:hint="eastAsia" w:asciiTheme="majorEastAsia" w:hAnsiTheme="majorEastAsia" w:eastAsiaTheme="majorEastAsia"/>
                <w:strike w:val="0"/>
                <w:color w:val="auto"/>
                <w:spacing w:val="-4"/>
                <w:kern w:val="2"/>
                <w:sz w:val="21"/>
                <w:highlight w:val="none"/>
              </w:rPr>
              <w:t>供应商通过</w:t>
            </w:r>
            <w:r>
              <w:rPr>
                <w:rFonts w:hint="eastAsia" w:asciiTheme="majorEastAsia" w:hAnsiTheme="majorEastAsia" w:eastAsiaTheme="majorEastAsia"/>
                <w:strike w:val="0"/>
                <w:color w:val="auto"/>
                <w:kern w:val="2"/>
                <w:sz w:val="21"/>
                <w:highlight w:val="none"/>
              </w:rPr>
              <w:t>质量管理体系认证、环境管理体系认证、职业健康安全管理体系认证且有效的</w:t>
            </w:r>
            <w:r>
              <w:rPr>
                <w:rFonts w:hint="eastAsia" w:asciiTheme="majorEastAsia" w:hAnsiTheme="majorEastAsia" w:eastAsiaTheme="majorEastAsia"/>
                <w:color w:val="auto"/>
                <w:kern w:val="2"/>
                <w:sz w:val="21"/>
                <w:highlight w:val="none"/>
              </w:rPr>
              <w:t>【供应商于响应文件中提供相应有效认证证书复印件（认证证书中应清晰反映供应商单位全称），并加盖供应商电子签章】，每提供1项有效认证得1分，最多得3分。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6B5EE18">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12分</w:t>
            </w:r>
          </w:p>
        </w:tc>
      </w:tr>
      <w:tr w14:paraId="5F32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2600655E">
            <w:pPr>
              <w:widowControl/>
              <w:jc w:val="left"/>
              <w:rPr>
                <w:rFonts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right w:val="single" w:color="auto" w:sz="4" w:space="0"/>
            </w:tcBorders>
            <w:vAlign w:val="center"/>
          </w:tcPr>
          <w:p w14:paraId="783D954C">
            <w:pPr>
              <w:widowControl/>
              <w:spacing w:line="420" w:lineRule="exact"/>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3.2业绩分（9分）</w:t>
            </w:r>
          </w:p>
        </w:tc>
        <w:tc>
          <w:tcPr>
            <w:tcW w:w="6288" w:type="dxa"/>
            <w:tcBorders>
              <w:top w:val="single" w:color="auto" w:sz="4" w:space="0"/>
              <w:left w:val="single" w:color="auto" w:sz="4" w:space="0"/>
              <w:bottom w:val="single" w:color="auto" w:sz="4" w:space="0"/>
              <w:right w:val="single" w:color="auto" w:sz="4" w:space="0"/>
            </w:tcBorders>
          </w:tcPr>
          <w:p w14:paraId="6D956FC1">
            <w:pPr>
              <w:pStyle w:val="26"/>
              <w:spacing w:line="420" w:lineRule="exact"/>
              <w:rPr>
                <w:rFonts w:cs="宋体" w:asciiTheme="majorEastAsia" w:hAnsiTheme="majorEastAsia" w:eastAsiaTheme="majorEastAsia"/>
                <w:color w:val="auto"/>
                <w:kern w:val="2"/>
                <w:sz w:val="21"/>
                <w:highlight w:val="none"/>
              </w:rPr>
            </w:pPr>
            <w:r>
              <w:rPr>
                <w:rFonts w:hint="eastAsia" w:cs="宋体" w:asciiTheme="majorEastAsia" w:hAnsiTheme="majorEastAsia" w:eastAsiaTheme="majorEastAsia"/>
                <w:color w:val="auto"/>
                <w:kern w:val="2"/>
                <w:sz w:val="21"/>
                <w:highlight w:val="none"/>
              </w:rPr>
              <w:t>供应商自</w:t>
            </w:r>
            <w:r>
              <w:rPr>
                <w:rFonts w:hint="eastAsia" w:cs="宋体" w:asciiTheme="majorEastAsia" w:hAnsiTheme="majorEastAsia" w:eastAsiaTheme="majorEastAsia"/>
                <w:color w:val="auto"/>
                <w:sz w:val="21"/>
                <w:highlight w:val="none"/>
              </w:rPr>
              <w:t>2022年1月1日以来（以签订合同时间为准）</w:t>
            </w:r>
            <w:r>
              <w:rPr>
                <w:rFonts w:hint="eastAsia" w:cs="宋体" w:asciiTheme="majorEastAsia" w:hAnsiTheme="majorEastAsia" w:eastAsiaTheme="majorEastAsia"/>
                <w:color w:val="auto"/>
                <w:sz w:val="21"/>
                <w:highlight w:val="none"/>
              </w:rPr>
              <w:t>具有承接过同类工程项目业绩</w:t>
            </w:r>
            <w:r>
              <w:rPr>
                <w:rFonts w:hint="eastAsia" w:cs="宋体" w:asciiTheme="majorEastAsia" w:hAnsiTheme="majorEastAsia" w:eastAsiaTheme="majorEastAsia"/>
                <w:color w:val="auto"/>
                <w:kern w:val="2"/>
                <w:sz w:val="21"/>
                <w:highlight w:val="none"/>
              </w:rPr>
              <w:t>的</w:t>
            </w:r>
            <w:r>
              <w:rPr>
                <w:rFonts w:hint="eastAsia" w:cs="宋体" w:asciiTheme="majorEastAsia" w:hAnsiTheme="majorEastAsia" w:eastAsiaTheme="majorEastAsia"/>
                <w:color w:val="auto"/>
                <w:kern w:val="2"/>
                <w:sz w:val="21"/>
                <w:highlight w:val="none"/>
              </w:rPr>
              <w:t>【响应文件中提供合同协议书复印件，</w:t>
            </w:r>
            <w:r>
              <w:rPr>
                <w:rFonts w:hint="eastAsia" w:asciiTheme="majorEastAsia" w:hAnsiTheme="majorEastAsia" w:eastAsiaTheme="majorEastAsia"/>
                <w:color w:val="auto"/>
                <w:sz w:val="21"/>
                <w:highlight w:val="none"/>
              </w:rPr>
              <w:t>要求能清晰反映工程名称、工程内容、金额，同一个编号的项目有两个或两个以上的分标中标的只算</w:t>
            </w:r>
            <w:r>
              <w:rPr>
                <w:rFonts w:asciiTheme="majorEastAsia" w:hAnsiTheme="majorEastAsia" w:eastAsiaTheme="majorEastAsia"/>
                <w:color w:val="auto"/>
                <w:sz w:val="21"/>
                <w:highlight w:val="none"/>
              </w:rPr>
              <w:t>1</w:t>
            </w:r>
            <w:r>
              <w:rPr>
                <w:rFonts w:hint="eastAsia" w:asciiTheme="majorEastAsia" w:hAnsiTheme="majorEastAsia" w:eastAsiaTheme="majorEastAsia"/>
                <w:color w:val="auto"/>
                <w:sz w:val="21"/>
                <w:highlight w:val="none"/>
              </w:rPr>
              <w:t>个业绩，</w:t>
            </w:r>
            <w:r>
              <w:rPr>
                <w:rFonts w:hint="eastAsia" w:cs="宋体" w:asciiTheme="majorEastAsia" w:hAnsiTheme="majorEastAsia" w:eastAsiaTheme="majorEastAsia"/>
                <w:color w:val="auto"/>
                <w:kern w:val="2"/>
                <w:sz w:val="21"/>
                <w:highlight w:val="none"/>
              </w:rPr>
              <w:t>加盖供应商电子签章，否则不予计分】，每提供1项业绩得1.5分，最多得9分。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8ED35BA">
            <w:pPr>
              <w:widowControl/>
              <w:spacing w:line="360" w:lineRule="auto"/>
              <w:jc w:val="center"/>
              <w:rPr>
                <w:rFonts w:cs="Tahoma" w:asciiTheme="majorEastAsia" w:hAnsiTheme="majorEastAsia" w:eastAsiaTheme="majorEastAsia"/>
                <w:color w:val="auto"/>
                <w:kern w:val="0"/>
                <w:szCs w:val="21"/>
                <w:highlight w:val="none"/>
              </w:rPr>
            </w:pPr>
          </w:p>
        </w:tc>
      </w:tr>
      <w:tr w14:paraId="4BFF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83" w:type="dxa"/>
            <w:gridSpan w:val="3"/>
            <w:tcBorders>
              <w:top w:val="single" w:color="auto" w:sz="4" w:space="0"/>
              <w:left w:val="single" w:color="auto" w:sz="4" w:space="0"/>
              <w:bottom w:val="single" w:color="auto" w:sz="4" w:space="0"/>
              <w:right w:val="single" w:color="auto" w:sz="4" w:space="0"/>
            </w:tcBorders>
            <w:vAlign w:val="center"/>
          </w:tcPr>
          <w:p w14:paraId="3F16FE56">
            <w:pPr>
              <w:pStyle w:val="26"/>
              <w:spacing w:line="360" w:lineRule="auto"/>
              <w:jc w:val="left"/>
              <w:rPr>
                <w:rFonts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7028101E">
            <w:pPr>
              <w:widowControl/>
              <w:spacing w:line="360" w:lineRule="auto"/>
              <w:jc w:val="center"/>
              <w:rPr>
                <w:rFonts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100分</w:t>
            </w:r>
          </w:p>
        </w:tc>
      </w:tr>
    </w:tbl>
    <w:p w14:paraId="190C7257">
      <w:pPr>
        <w:spacing w:line="400" w:lineRule="exact"/>
        <w:rPr>
          <w:rFonts w:ascii="宋体" w:hAnsi="宋体" w:cs="宋体"/>
          <w:color w:val="auto"/>
          <w:highlight w:val="none"/>
        </w:rPr>
      </w:pPr>
    </w:p>
    <w:p w14:paraId="0D8B364C">
      <w:pPr>
        <w:pStyle w:val="64"/>
        <w:rPr>
          <w:color w:val="auto"/>
          <w:highlight w:val="none"/>
        </w:rPr>
      </w:pPr>
    </w:p>
    <w:p w14:paraId="30AEA80D">
      <w:pPr>
        <w:pStyle w:val="64"/>
        <w:rPr>
          <w:color w:val="auto"/>
          <w:highlight w:val="none"/>
        </w:rPr>
      </w:pPr>
    </w:p>
    <w:p w14:paraId="3771B52B">
      <w:pPr>
        <w:pStyle w:val="64"/>
        <w:rPr>
          <w:color w:val="auto"/>
          <w:highlight w:val="none"/>
        </w:rPr>
      </w:pPr>
    </w:p>
    <w:p w14:paraId="2040002D">
      <w:pPr>
        <w:pStyle w:val="64"/>
        <w:rPr>
          <w:color w:val="auto"/>
          <w:highlight w:val="none"/>
        </w:rPr>
      </w:pPr>
    </w:p>
    <w:p w14:paraId="525371BF">
      <w:pPr>
        <w:pStyle w:val="64"/>
        <w:rPr>
          <w:color w:val="auto"/>
          <w:highlight w:val="none"/>
        </w:rPr>
      </w:pPr>
    </w:p>
    <w:p w14:paraId="663F9D74">
      <w:pPr>
        <w:pStyle w:val="64"/>
        <w:rPr>
          <w:color w:val="auto"/>
          <w:highlight w:val="none"/>
        </w:rPr>
      </w:pPr>
    </w:p>
    <w:p w14:paraId="318848A7">
      <w:pPr>
        <w:pStyle w:val="64"/>
        <w:rPr>
          <w:color w:val="auto"/>
          <w:highlight w:val="none"/>
        </w:rPr>
      </w:pPr>
    </w:p>
    <w:p w14:paraId="5457FC84">
      <w:pPr>
        <w:pStyle w:val="64"/>
        <w:rPr>
          <w:color w:val="auto"/>
          <w:highlight w:val="none"/>
        </w:rPr>
      </w:pPr>
    </w:p>
    <w:p w14:paraId="4E7F4997">
      <w:pPr>
        <w:pStyle w:val="64"/>
        <w:rPr>
          <w:color w:val="auto"/>
          <w:highlight w:val="none"/>
        </w:rPr>
      </w:pPr>
    </w:p>
    <w:p w14:paraId="04370671">
      <w:pPr>
        <w:pStyle w:val="64"/>
        <w:rPr>
          <w:color w:val="auto"/>
          <w:highlight w:val="none"/>
        </w:rPr>
      </w:pPr>
    </w:p>
    <w:p w14:paraId="4DFED5B2">
      <w:pPr>
        <w:pStyle w:val="64"/>
        <w:rPr>
          <w:color w:val="auto"/>
          <w:highlight w:val="none"/>
        </w:rPr>
      </w:pPr>
    </w:p>
    <w:p w14:paraId="4458F3CB">
      <w:pPr>
        <w:pStyle w:val="64"/>
        <w:rPr>
          <w:color w:val="auto"/>
          <w:highlight w:val="none"/>
        </w:rPr>
      </w:pPr>
    </w:p>
    <w:p w14:paraId="238D7C54">
      <w:pPr>
        <w:pStyle w:val="64"/>
        <w:rPr>
          <w:color w:val="auto"/>
          <w:highlight w:val="none"/>
        </w:rPr>
      </w:pPr>
    </w:p>
    <w:p w14:paraId="05E7643B">
      <w:pPr>
        <w:pStyle w:val="64"/>
        <w:rPr>
          <w:color w:val="auto"/>
          <w:highlight w:val="none"/>
        </w:rPr>
      </w:pPr>
    </w:p>
    <w:p w14:paraId="18FCEA60">
      <w:pPr>
        <w:pStyle w:val="64"/>
        <w:rPr>
          <w:color w:val="auto"/>
          <w:highlight w:val="none"/>
        </w:rPr>
      </w:pPr>
    </w:p>
    <w:p w14:paraId="39B82E88">
      <w:pPr>
        <w:pStyle w:val="64"/>
        <w:rPr>
          <w:color w:val="auto"/>
          <w:highlight w:val="none"/>
        </w:rPr>
      </w:pPr>
    </w:p>
    <w:p w14:paraId="7FDC1680">
      <w:pPr>
        <w:pStyle w:val="64"/>
        <w:rPr>
          <w:color w:val="auto"/>
          <w:highlight w:val="none"/>
        </w:rPr>
      </w:pPr>
    </w:p>
    <w:p w14:paraId="76676F21">
      <w:pPr>
        <w:pStyle w:val="64"/>
        <w:rPr>
          <w:color w:val="auto"/>
          <w:highlight w:val="none"/>
        </w:rPr>
      </w:pPr>
    </w:p>
    <w:p w14:paraId="1D948F3C">
      <w:pPr>
        <w:pStyle w:val="64"/>
        <w:rPr>
          <w:color w:val="auto"/>
          <w:highlight w:val="none"/>
        </w:rPr>
      </w:pPr>
    </w:p>
    <w:p w14:paraId="2CBBB3D7">
      <w:pPr>
        <w:pStyle w:val="64"/>
        <w:rPr>
          <w:color w:val="auto"/>
          <w:highlight w:val="none"/>
        </w:rPr>
      </w:pPr>
    </w:p>
    <w:p w14:paraId="2A2FFD10">
      <w:pPr>
        <w:pStyle w:val="64"/>
        <w:rPr>
          <w:color w:val="auto"/>
          <w:highlight w:val="none"/>
        </w:rPr>
      </w:pPr>
    </w:p>
    <w:p w14:paraId="301E050E">
      <w:pPr>
        <w:pStyle w:val="64"/>
        <w:rPr>
          <w:color w:val="auto"/>
          <w:highlight w:val="none"/>
        </w:rPr>
      </w:pPr>
    </w:p>
    <w:p w14:paraId="2D666DB5">
      <w:pPr>
        <w:pStyle w:val="64"/>
        <w:rPr>
          <w:color w:val="auto"/>
          <w:highlight w:val="none"/>
        </w:rPr>
      </w:pPr>
    </w:p>
    <w:p w14:paraId="4CD4869A">
      <w:pPr>
        <w:pStyle w:val="64"/>
        <w:rPr>
          <w:color w:val="auto"/>
          <w:highlight w:val="none"/>
        </w:rPr>
      </w:pPr>
    </w:p>
    <w:p w14:paraId="1CF17D51">
      <w:pPr>
        <w:pStyle w:val="64"/>
        <w:rPr>
          <w:color w:val="auto"/>
          <w:highlight w:val="none"/>
        </w:rPr>
      </w:pPr>
    </w:p>
    <w:p w14:paraId="6965CA66">
      <w:pPr>
        <w:pStyle w:val="64"/>
        <w:rPr>
          <w:color w:val="auto"/>
          <w:highlight w:val="none"/>
        </w:rPr>
      </w:pPr>
    </w:p>
    <w:p w14:paraId="4AD0C166">
      <w:pPr>
        <w:pStyle w:val="64"/>
        <w:rPr>
          <w:color w:val="auto"/>
          <w:highlight w:val="none"/>
        </w:rPr>
      </w:pPr>
    </w:p>
    <w:p w14:paraId="67373B75">
      <w:pPr>
        <w:pStyle w:val="64"/>
        <w:rPr>
          <w:color w:val="auto"/>
          <w:highlight w:val="none"/>
        </w:rPr>
      </w:pPr>
    </w:p>
    <w:p w14:paraId="6BD0C844">
      <w:pPr>
        <w:pStyle w:val="64"/>
        <w:rPr>
          <w:color w:val="auto"/>
          <w:highlight w:val="none"/>
        </w:rPr>
      </w:pPr>
    </w:p>
    <w:p w14:paraId="6F7F52F7">
      <w:pPr>
        <w:pStyle w:val="64"/>
        <w:rPr>
          <w:color w:val="auto"/>
          <w:highlight w:val="none"/>
        </w:rPr>
      </w:pPr>
    </w:p>
    <w:p w14:paraId="50CEC712">
      <w:pPr>
        <w:pStyle w:val="64"/>
        <w:rPr>
          <w:color w:val="auto"/>
          <w:highlight w:val="none"/>
        </w:rPr>
      </w:pPr>
    </w:p>
    <w:p w14:paraId="4F84BC14">
      <w:pPr>
        <w:pStyle w:val="64"/>
        <w:rPr>
          <w:color w:val="auto"/>
          <w:highlight w:val="none"/>
        </w:rPr>
      </w:pPr>
    </w:p>
    <w:p w14:paraId="17304D7B">
      <w:pPr>
        <w:pStyle w:val="64"/>
        <w:rPr>
          <w:color w:val="auto"/>
          <w:highlight w:val="none"/>
        </w:rPr>
      </w:pPr>
    </w:p>
    <w:p w14:paraId="5F2BE445">
      <w:pPr>
        <w:pStyle w:val="64"/>
        <w:rPr>
          <w:color w:val="auto"/>
          <w:highlight w:val="none"/>
        </w:rPr>
      </w:pPr>
    </w:p>
    <w:p w14:paraId="1E012CC4">
      <w:pPr>
        <w:pStyle w:val="64"/>
        <w:rPr>
          <w:color w:val="auto"/>
          <w:highlight w:val="none"/>
        </w:rPr>
      </w:pPr>
    </w:p>
    <w:p w14:paraId="47F2EF53">
      <w:pPr>
        <w:pStyle w:val="64"/>
        <w:rPr>
          <w:color w:val="auto"/>
          <w:highlight w:val="none"/>
        </w:rPr>
      </w:pPr>
    </w:p>
    <w:p w14:paraId="7AF2150B">
      <w:pPr>
        <w:pStyle w:val="64"/>
        <w:rPr>
          <w:color w:val="auto"/>
          <w:highlight w:val="none"/>
        </w:rPr>
      </w:pPr>
    </w:p>
    <w:p w14:paraId="5CCB3E29">
      <w:pPr>
        <w:pStyle w:val="64"/>
        <w:rPr>
          <w:color w:val="auto"/>
          <w:highlight w:val="none"/>
        </w:rPr>
      </w:pPr>
    </w:p>
    <w:p w14:paraId="50C67801">
      <w:pPr>
        <w:pStyle w:val="64"/>
        <w:rPr>
          <w:color w:val="auto"/>
          <w:highlight w:val="none"/>
        </w:rPr>
      </w:pPr>
    </w:p>
    <w:p w14:paraId="3E4D7332">
      <w:pPr>
        <w:pStyle w:val="64"/>
        <w:rPr>
          <w:color w:val="auto"/>
          <w:highlight w:val="none"/>
        </w:rPr>
      </w:pPr>
    </w:p>
    <w:p w14:paraId="69DDE016">
      <w:pPr>
        <w:pStyle w:val="64"/>
        <w:rPr>
          <w:color w:val="auto"/>
          <w:highlight w:val="none"/>
        </w:rPr>
      </w:pPr>
    </w:p>
    <w:p w14:paraId="7FEA8D2C">
      <w:pPr>
        <w:pStyle w:val="2"/>
        <w:jc w:val="center"/>
        <w:rPr>
          <w:color w:val="auto"/>
          <w:highlight w:val="none"/>
        </w:rPr>
      </w:pPr>
      <w:r>
        <w:rPr>
          <w:rFonts w:hint="eastAsia"/>
          <w:color w:val="auto"/>
          <w:highlight w:val="none"/>
        </w:rPr>
        <w:t>第五章 工程量清单及图纸</w:t>
      </w:r>
    </w:p>
    <w:p w14:paraId="521055C2">
      <w:pPr>
        <w:pStyle w:val="42"/>
        <w:keepNext w:val="0"/>
        <w:keepLines w:val="0"/>
        <w:widowControl w:val="0"/>
        <w:suppressLineNumbers w:val="0"/>
        <w:spacing w:before="0" w:beforeAutospacing="0" w:after="0" w:afterAutospacing="0" w:line="440" w:lineRule="exact"/>
        <w:ind w:left="0" w:right="0" w:firstLine="0" w:firstLineChars="0"/>
        <w:jc w:val="both"/>
        <w:rPr>
          <w:color w:val="auto"/>
          <w:highlight w:val="none"/>
        </w:rPr>
      </w:pPr>
      <w:r>
        <w:rPr>
          <w:color w:val="auto"/>
          <w:highlight w:val="none"/>
        </w:rPr>
        <w:br w:type="page"/>
      </w:r>
      <w:bookmarkStart w:id="76" w:name="_Toc1386396751"/>
      <w:bookmarkStart w:id="77" w:name="_Toc78449869"/>
      <w:bookmarkStart w:id="78" w:name="_Toc1392571603"/>
      <w:bookmarkStart w:id="79" w:name="_Toc407135284"/>
    </w:p>
    <w:p w14:paraId="3F7B8354">
      <w:pPr>
        <w:pStyle w:val="42"/>
        <w:keepNext w:val="0"/>
        <w:keepLines w:val="0"/>
        <w:widowControl w:val="0"/>
        <w:suppressLineNumbers w:val="0"/>
        <w:spacing w:before="0" w:beforeAutospacing="0" w:after="0" w:afterAutospacing="0" w:line="440" w:lineRule="exact"/>
        <w:ind w:left="0" w:right="0" w:firstLine="0" w:firstLineChars="0"/>
        <w:jc w:val="both"/>
        <w:rPr>
          <w:color w:val="auto"/>
          <w:highlight w:val="none"/>
        </w:rPr>
      </w:pPr>
    </w:p>
    <w:p w14:paraId="37570C32">
      <w:pPr>
        <w:pStyle w:val="42"/>
        <w:keepNext w:val="0"/>
        <w:keepLines w:val="0"/>
        <w:widowControl w:val="0"/>
        <w:suppressLineNumbers w:val="0"/>
        <w:spacing w:before="0" w:beforeAutospacing="0" w:after="0" w:afterAutospacing="0" w:line="440" w:lineRule="exact"/>
        <w:ind w:left="0" w:right="0" w:firstLine="0" w:firstLineChars="0"/>
        <w:jc w:val="center"/>
        <w:rPr>
          <w:color w:val="auto"/>
          <w:highlight w:val="none"/>
        </w:rPr>
      </w:pPr>
      <w:r>
        <w:rPr>
          <w:rFonts w:hint="eastAsia" w:ascii="宋体" w:hAnsi="宋体" w:cs="宋体"/>
          <w:b/>
          <w:color w:val="auto"/>
          <w:sz w:val="32"/>
          <w:szCs w:val="32"/>
          <w:highlight w:val="none"/>
          <w:lang w:val="en-US" w:eastAsia="zh-CN" w:bidi="ar"/>
        </w:rPr>
        <w:t>工程量清单具体要求</w:t>
      </w:r>
    </w:p>
    <w:p w14:paraId="171EE467">
      <w:pPr>
        <w:pStyle w:val="42"/>
        <w:keepNext w:val="0"/>
        <w:keepLines w:val="0"/>
        <w:widowControl w:val="0"/>
        <w:suppressLineNumbers w:val="0"/>
        <w:spacing w:before="0" w:beforeAutospacing="0" w:after="0" w:afterAutospacing="0" w:line="400" w:lineRule="exact"/>
        <w:ind w:left="0" w:right="0" w:firstLine="0" w:firstLineChars="0"/>
        <w:jc w:val="both"/>
        <w:rPr>
          <w:rFonts w:hint="default" w:ascii="Times New Roman" w:hAnsi="宋体" w:eastAsia="宋体" w:cs="宋体"/>
          <w:color w:val="auto"/>
          <w:kern w:val="21"/>
          <w:sz w:val="21"/>
          <w:szCs w:val="21"/>
          <w:highlight w:val="none"/>
        </w:rPr>
      </w:pPr>
      <w:r>
        <w:rPr>
          <w:rFonts w:hint="eastAsia" w:ascii="宋体" w:hAnsi="宋体" w:eastAsia="宋体" w:cs="宋体"/>
          <w:b/>
          <w:bCs w:val="0"/>
          <w:color w:val="auto"/>
          <w:kern w:val="2"/>
          <w:sz w:val="24"/>
          <w:szCs w:val="24"/>
          <w:highlight w:val="none"/>
          <w:lang w:val="en-US" w:eastAsia="zh-CN" w:bidi="ar"/>
        </w:rPr>
        <w:t>一</w:t>
      </w:r>
      <w:r>
        <w:rPr>
          <w:rFonts w:hint="eastAsia" w:ascii="宋体" w:hAnsi="宋体" w:eastAsia="宋体" w:cs="宋体"/>
          <w:b/>
          <w:bCs w:val="0"/>
          <w:color w:val="auto"/>
          <w:kern w:val="2"/>
          <w:sz w:val="21"/>
          <w:szCs w:val="21"/>
          <w:highlight w:val="none"/>
          <w:lang w:val="en-US" w:eastAsia="zh-CN" w:bidi="ar"/>
        </w:rPr>
        <w:t>、工程量清单说明</w:t>
      </w:r>
      <w:r>
        <w:rPr>
          <w:rFonts w:hint="eastAsia" w:ascii="宋体" w:hAnsi="宋体" w:eastAsia="宋体" w:cs="宋体"/>
          <w:color w:val="auto"/>
          <w:kern w:val="21"/>
          <w:sz w:val="21"/>
          <w:szCs w:val="21"/>
          <w:highlight w:val="none"/>
          <w:lang w:val="en-US" w:eastAsia="zh-CN" w:bidi="ar"/>
        </w:rPr>
        <w:t>：</w:t>
      </w:r>
    </w:p>
    <w:p w14:paraId="53C9F032">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1.</w:t>
      </w:r>
      <w:r>
        <w:rPr>
          <w:rFonts w:hint="eastAsia" w:ascii="宋体" w:hAnsi="宋体" w:eastAsia="宋体" w:cs="宋体"/>
          <w:color w:val="auto"/>
          <w:kern w:val="21"/>
          <w:sz w:val="21"/>
          <w:szCs w:val="21"/>
          <w:highlight w:val="none"/>
          <w:lang w:val="en-US" w:eastAsia="zh-CN" w:bidi="ar"/>
        </w:rPr>
        <w:t>工程量清单所列的工程数量为采购时的工程量，仅作为报价的共同基础，不作为最终结算与支付的依据。实际支付应按磋商文件中“合同条款”有关规定执行。</w:t>
      </w:r>
    </w:p>
    <w:p w14:paraId="54DD06AF">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本工程计价及结算参考依据：</w:t>
      </w:r>
    </w:p>
    <w:p w14:paraId="6C08BC9C">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 设计施工图纸</w:t>
      </w:r>
      <w:r>
        <w:rPr>
          <w:rFonts w:hint="eastAsia" w:ascii="宋体" w:hAnsi="宋体" w:cs="宋体"/>
          <w:color w:val="auto"/>
          <w:kern w:val="2"/>
          <w:sz w:val="21"/>
          <w:szCs w:val="21"/>
          <w:highlight w:val="none"/>
          <w:lang w:val="en-US" w:eastAsia="zh-CN" w:bidi="ar"/>
        </w:rPr>
        <w:t>。</w:t>
      </w:r>
    </w:p>
    <w:p w14:paraId="2A783B20">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）2024年《广西壮族自治区建筑装饰装修工程消耗量定额》及费用定额。</w:t>
      </w:r>
    </w:p>
    <w:p w14:paraId="1F277AE3">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）2023年《广西壮族自治区安装工程消耗量定额》及费用定额</w:t>
      </w:r>
      <w:r>
        <w:rPr>
          <w:rFonts w:hint="eastAsia" w:ascii="宋体" w:hAnsi="宋体" w:cs="宋体"/>
          <w:color w:val="auto"/>
          <w:kern w:val="2"/>
          <w:sz w:val="21"/>
          <w:szCs w:val="21"/>
          <w:highlight w:val="none"/>
          <w:lang w:val="en-US" w:eastAsia="zh-CN" w:bidi="ar"/>
        </w:rPr>
        <w:t>。</w:t>
      </w:r>
    </w:p>
    <w:p w14:paraId="514FFDC0">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）2024年《广西壮族自治区建筑工程拆除消耗量》及费用定额。</w:t>
      </w:r>
    </w:p>
    <w:p w14:paraId="57A1DA5F">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）2013年《广西壮族自治区安装工程拆除消耗量》及费用定额。</w:t>
      </w:r>
    </w:p>
    <w:p w14:paraId="61DF9FDB">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）《自治区住房城乡建设厅关于调整建设工程计价增值税税率的通知》(桂建标〔2019〕12号)。</w:t>
      </w:r>
    </w:p>
    <w:p w14:paraId="16F5EAEC">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）《关于印发广西壮族自治区房屋建筑和市政基础设施工程安全生产责任 保险计价规定的通知》(桂建发〔2023〕6号)。</w:t>
      </w:r>
    </w:p>
    <w:p w14:paraId="7D33D1EA">
      <w:pPr>
        <w:pStyle w:val="42"/>
        <w:keepNext w:val="0"/>
        <w:keepLines w:val="0"/>
        <w:widowControl w:val="0"/>
        <w:suppressLineNumbers w:val="0"/>
        <w:spacing w:before="0" w:beforeAutospacing="0" w:after="0" w:afterAutospacing="0" w:line="400" w:lineRule="exact"/>
        <w:ind w:left="0" w:right="0" w:firstLine="420" w:firstLineChars="0"/>
        <w:jc w:val="both"/>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bidi="ar"/>
        </w:rPr>
        <w:t>（9）材料价格采用《桂林市建设工程造价信息》2025年第8期（除税价格），工程造价信息中没有发布的，参照市场价。</w:t>
      </w:r>
    </w:p>
    <w:p w14:paraId="12FBC49D">
      <w:pPr>
        <w:pStyle w:val="42"/>
        <w:keepNext w:val="0"/>
        <w:keepLines w:val="0"/>
        <w:widowControl w:val="0"/>
        <w:suppressLineNumbers w:val="0"/>
        <w:spacing w:before="0" w:beforeAutospacing="0" w:after="0" w:afterAutospacing="0" w:line="400" w:lineRule="exact"/>
        <w:ind w:left="0" w:right="0" w:firstLine="0" w:firstLineChars="0"/>
        <w:jc w:val="both"/>
        <w:rPr>
          <w:rFonts w:hint="default" w:ascii="Times New Roman"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二、磋商报价说明</w:t>
      </w:r>
    </w:p>
    <w:p w14:paraId="6B674123">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1"/>
          <w:sz w:val="21"/>
          <w:szCs w:val="21"/>
          <w:highlight w:val="none"/>
          <w:lang w:val="en-US" w:eastAsia="zh-CN" w:bidi="ar"/>
        </w:rPr>
        <w:t>有价标的工程量清单中的每一细目须填入单价和合价，且只允许有一个报价。</w:t>
      </w:r>
      <w:r>
        <w:rPr>
          <w:rFonts w:hint="eastAsia" w:ascii="宋体" w:hAnsi="宋体" w:eastAsia="宋体" w:cs="宋体"/>
          <w:color w:val="auto"/>
          <w:kern w:val="2"/>
          <w:sz w:val="21"/>
          <w:szCs w:val="21"/>
          <w:highlight w:val="none"/>
          <w:lang w:val="en-US" w:eastAsia="zh-CN" w:bidi="ar"/>
        </w:rPr>
        <w:t>供应商</w:t>
      </w:r>
      <w:r>
        <w:rPr>
          <w:rFonts w:hint="eastAsia" w:ascii="宋体" w:hAnsi="宋体" w:eastAsia="宋体" w:cs="宋体"/>
          <w:color w:val="auto"/>
          <w:kern w:val="21"/>
          <w:sz w:val="21"/>
          <w:szCs w:val="21"/>
          <w:highlight w:val="none"/>
          <w:lang w:val="en-US" w:eastAsia="zh-CN" w:bidi="ar"/>
        </w:rPr>
        <w:t>没有填写单价和合价的细目，其费用应视为已分配在相关工程细目的单价与合价之中。</w:t>
      </w:r>
    </w:p>
    <w:p w14:paraId="3843D4B6">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2</w:t>
      </w:r>
      <w:r>
        <w:rPr>
          <w:rFonts w:hint="eastAsia" w:ascii="宋体" w:hAnsi="宋体" w:eastAsia="宋体" w:cs="宋体"/>
          <w:color w:val="auto"/>
          <w:kern w:val="21"/>
          <w:sz w:val="21"/>
          <w:szCs w:val="21"/>
          <w:highlight w:val="none"/>
          <w:lang w:val="en-US" w:eastAsia="zh-CN" w:bidi="ar"/>
        </w:rPr>
        <w:t>工程量清单中的任何算术性错误，磋商小组将按下述原则予以调整。</w:t>
      </w:r>
    </w:p>
    <w:p w14:paraId="62A06DB0">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(a)</w:t>
      </w:r>
      <w:r>
        <w:rPr>
          <w:rFonts w:hint="eastAsia" w:ascii="宋体" w:hAnsi="宋体" w:eastAsia="宋体" w:cs="宋体"/>
          <w:color w:val="auto"/>
          <w:kern w:val="21"/>
          <w:sz w:val="21"/>
          <w:szCs w:val="21"/>
          <w:highlight w:val="none"/>
          <w:lang w:val="en-US" w:eastAsia="zh-CN" w:bidi="ar"/>
        </w:rPr>
        <w:t>如果用数字表示的数额与用文字表示的数额不一致时，以文字数额为准。</w:t>
      </w:r>
    </w:p>
    <w:p w14:paraId="1D2FD486">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(b)</w:t>
      </w:r>
      <w:r>
        <w:rPr>
          <w:rFonts w:hint="eastAsia" w:ascii="宋体" w:hAnsi="宋体" w:eastAsia="宋体" w:cs="宋体"/>
          <w:color w:val="auto"/>
          <w:kern w:val="21"/>
          <w:sz w:val="21"/>
          <w:szCs w:val="21"/>
          <w:highlight w:val="none"/>
          <w:lang w:val="en-US" w:eastAsia="zh-CN" w:bidi="ar"/>
        </w:rPr>
        <w:t>当单价与数量的乘积与总额之间不一致时，通常以标出的单价为准，除非磋商小组认为有明显的小数点出错，此时应以标出的总额为准，并修改单价。</w:t>
      </w:r>
    </w:p>
    <w:p w14:paraId="5224AFED">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3.</w:t>
      </w:r>
      <w:r>
        <w:rPr>
          <w:rFonts w:hint="eastAsia" w:ascii="宋体" w:hAnsi="宋体" w:eastAsia="宋体" w:cs="宋体"/>
          <w:color w:val="auto"/>
          <w:kern w:val="21"/>
          <w:sz w:val="21"/>
          <w:szCs w:val="21"/>
          <w:highlight w:val="none"/>
          <w:lang w:val="en-US" w:eastAsia="zh-CN" w:bidi="ar"/>
        </w:rPr>
        <w:t>供</w:t>
      </w:r>
      <w:r>
        <w:rPr>
          <w:rFonts w:hint="eastAsia" w:ascii="宋体" w:hAnsi="宋体" w:eastAsia="宋体" w:cs="宋体"/>
          <w:color w:val="auto"/>
          <w:kern w:val="2"/>
          <w:sz w:val="21"/>
          <w:szCs w:val="21"/>
          <w:highlight w:val="none"/>
          <w:lang w:val="en-US" w:eastAsia="zh-CN" w:bidi="ar"/>
        </w:rPr>
        <w:t>应商</w:t>
      </w:r>
      <w:r>
        <w:rPr>
          <w:rFonts w:hint="eastAsia" w:ascii="宋体" w:hAnsi="宋体" w:eastAsia="宋体" w:cs="宋体"/>
          <w:color w:val="auto"/>
          <w:kern w:val="21"/>
          <w:sz w:val="21"/>
          <w:szCs w:val="21"/>
          <w:highlight w:val="none"/>
          <w:lang w:val="en-US" w:eastAsia="zh-CN" w:bidi="ar"/>
        </w:rPr>
        <w:t>在进行工程量清单报价时，应按照采购人（采购代理机构）提供的工程量清单进行报价。</w:t>
      </w:r>
      <w:r>
        <w:rPr>
          <w:rFonts w:hint="eastAsia" w:ascii="宋体" w:hAnsi="宋体" w:eastAsia="宋体" w:cs="宋体"/>
          <w:color w:val="auto"/>
          <w:kern w:val="2"/>
          <w:sz w:val="21"/>
          <w:szCs w:val="21"/>
          <w:highlight w:val="none"/>
          <w:lang w:val="en-US" w:eastAsia="zh-CN" w:bidi="ar"/>
        </w:rPr>
        <w:t>已标价工程量清单中项目编码、项目名称、项目特征、计量单位、工程量必须与工程量清单一致，供应商不得对工程量清单项目进行增减调整，否则响应文件无效。</w:t>
      </w:r>
    </w:p>
    <w:p w14:paraId="0EF1CD34">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4.</w:t>
      </w:r>
      <w:r>
        <w:rPr>
          <w:rFonts w:hint="eastAsia" w:ascii="宋体" w:hAnsi="宋体" w:eastAsia="宋体" w:cs="宋体"/>
          <w:color w:val="auto"/>
          <w:kern w:val="21"/>
          <w:sz w:val="21"/>
          <w:szCs w:val="21"/>
          <w:highlight w:val="none"/>
          <w:lang w:val="en-US" w:eastAsia="zh-CN" w:bidi="ar"/>
        </w:rPr>
        <w:t>供</w:t>
      </w:r>
      <w:r>
        <w:rPr>
          <w:rFonts w:hint="eastAsia" w:ascii="宋体" w:hAnsi="宋体" w:eastAsia="宋体" w:cs="宋体"/>
          <w:color w:val="auto"/>
          <w:kern w:val="2"/>
          <w:sz w:val="21"/>
          <w:szCs w:val="21"/>
          <w:highlight w:val="none"/>
          <w:lang w:val="en-US" w:eastAsia="zh-CN" w:bidi="ar"/>
        </w:rPr>
        <w:t>应商</w:t>
      </w:r>
      <w:r>
        <w:rPr>
          <w:rFonts w:hint="eastAsia" w:ascii="宋体" w:hAnsi="宋体" w:eastAsia="宋体" w:cs="宋体"/>
          <w:color w:val="auto"/>
          <w:kern w:val="21"/>
          <w:sz w:val="21"/>
          <w:szCs w:val="21"/>
          <w:highlight w:val="none"/>
          <w:lang w:val="en-US" w:eastAsia="zh-CN" w:bidi="ar"/>
        </w:rPr>
        <w:t>应认真对照施工设计等文件核对采购人颁布的工程预算控制价，发现工程预算控制价中计算存在明显误差或有遗漏的，必须在</w:t>
      </w:r>
      <w:r>
        <w:rPr>
          <w:rFonts w:hint="eastAsia" w:ascii="宋体" w:hAnsi="宋体" w:eastAsia="宋体" w:cs="宋体"/>
          <w:color w:val="auto"/>
          <w:kern w:val="2"/>
          <w:sz w:val="21"/>
          <w:szCs w:val="21"/>
          <w:highlight w:val="none"/>
          <w:lang w:val="en-US" w:eastAsia="zh-CN" w:bidi="ar"/>
        </w:rPr>
        <w:t>响应文件</w:t>
      </w:r>
      <w:r>
        <w:rPr>
          <w:rFonts w:hint="eastAsia" w:ascii="宋体" w:hAnsi="宋体" w:eastAsia="宋体" w:cs="宋体"/>
          <w:color w:val="auto"/>
          <w:kern w:val="21"/>
          <w:sz w:val="21"/>
          <w:szCs w:val="21"/>
          <w:highlight w:val="none"/>
          <w:lang w:val="en-US" w:eastAsia="zh-CN" w:bidi="ar"/>
        </w:rPr>
        <w:t>递交截止时间</w:t>
      </w:r>
      <w:r>
        <w:rPr>
          <w:rFonts w:hint="default" w:ascii="Times New Roman" w:hAnsi="Times New Roman" w:eastAsia="宋体" w:cs="Times New Roman"/>
          <w:color w:val="auto"/>
          <w:kern w:val="21"/>
          <w:sz w:val="21"/>
          <w:szCs w:val="21"/>
          <w:highlight w:val="none"/>
          <w:lang w:val="en-US" w:eastAsia="zh-CN" w:bidi="ar"/>
        </w:rPr>
        <w:t>2</w:t>
      </w:r>
      <w:r>
        <w:rPr>
          <w:rFonts w:hint="eastAsia" w:ascii="宋体" w:hAnsi="宋体" w:eastAsia="宋体" w:cs="宋体"/>
          <w:color w:val="auto"/>
          <w:kern w:val="21"/>
          <w:sz w:val="21"/>
          <w:szCs w:val="21"/>
          <w:highlight w:val="none"/>
          <w:lang w:val="en-US" w:eastAsia="zh-CN" w:bidi="ar"/>
        </w:rPr>
        <w:t>天前向采购人（采购代理机构）提出书面异议或修正要求。</w:t>
      </w:r>
    </w:p>
    <w:p w14:paraId="29D1C71D">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5.</w:t>
      </w:r>
      <w:r>
        <w:rPr>
          <w:rFonts w:hint="eastAsia" w:ascii="宋体" w:hAnsi="宋体" w:eastAsia="宋体" w:cs="宋体"/>
          <w:color w:val="auto"/>
          <w:kern w:val="21"/>
          <w:sz w:val="21"/>
          <w:szCs w:val="21"/>
          <w:highlight w:val="none"/>
          <w:lang w:val="en-US" w:eastAsia="zh-CN" w:bidi="ar"/>
        </w:rPr>
        <w:t>供</w:t>
      </w:r>
      <w:r>
        <w:rPr>
          <w:rFonts w:hint="eastAsia" w:ascii="宋体" w:hAnsi="宋体" w:eastAsia="宋体" w:cs="宋体"/>
          <w:color w:val="auto"/>
          <w:kern w:val="2"/>
          <w:sz w:val="21"/>
          <w:szCs w:val="21"/>
          <w:highlight w:val="none"/>
          <w:lang w:val="en-US" w:eastAsia="zh-CN" w:bidi="ar"/>
        </w:rPr>
        <w:t>应商</w:t>
      </w:r>
      <w:r>
        <w:rPr>
          <w:rFonts w:hint="eastAsia" w:ascii="宋体" w:hAnsi="宋体" w:eastAsia="宋体" w:cs="宋体"/>
          <w:color w:val="auto"/>
          <w:kern w:val="21"/>
          <w:sz w:val="21"/>
          <w:szCs w:val="21"/>
          <w:highlight w:val="none"/>
          <w:lang w:val="en-US" w:eastAsia="zh-CN" w:bidi="ar"/>
        </w:rPr>
        <w:t>应对磋商</w:t>
      </w:r>
      <w:r>
        <w:rPr>
          <w:rFonts w:hint="eastAsia" w:ascii="宋体" w:hAnsi="宋体" w:eastAsia="宋体" w:cs="宋体"/>
          <w:color w:val="auto"/>
          <w:kern w:val="2"/>
          <w:sz w:val="21"/>
          <w:szCs w:val="21"/>
          <w:highlight w:val="none"/>
          <w:lang w:val="en-US" w:eastAsia="zh-CN" w:bidi="ar"/>
        </w:rPr>
        <w:t>文件</w:t>
      </w:r>
      <w:r>
        <w:rPr>
          <w:rFonts w:hint="eastAsia" w:ascii="宋体" w:hAnsi="宋体" w:eastAsia="宋体" w:cs="宋体"/>
          <w:color w:val="auto"/>
          <w:kern w:val="21"/>
          <w:sz w:val="21"/>
          <w:szCs w:val="21"/>
          <w:highlight w:val="none"/>
          <w:lang w:val="en-US" w:eastAsia="zh-CN" w:bidi="ar"/>
        </w:rPr>
        <w:t>中工程量清单所列的各项内容和要求作实质性响应，报价不得低于企业成本。</w:t>
      </w:r>
    </w:p>
    <w:p w14:paraId="76D3E774">
      <w:pPr>
        <w:pStyle w:val="42"/>
        <w:keepNext w:val="0"/>
        <w:keepLines w:val="0"/>
        <w:widowControl w:val="0"/>
        <w:suppressLineNumbers w:val="0"/>
        <w:spacing w:before="0" w:beforeAutospacing="0" w:after="0" w:afterAutospacing="0" w:line="400" w:lineRule="exact"/>
        <w:ind w:left="0" w:right="0" w:firstLine="420" w:firstLineChars="0"/>
        <w:jc w:val="both"/>
        <w:rPr>
          <w:rFonts w:hint="default" w:ascii="Times New Roman" w:hAnsi="宋体" w:eastAsia="宋体" w:cs="宋体"/>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bidi="ar"/>
        </w:rPr>
        <w:t>6.</w:t>
      </w:r>
      <w:r>
        <w:rPr>
          <w:rFonts w:hint="eastAsia" w:ascii="宋体" w:hAnsi="宋体" w:eastAsia="宋体" w:cs="宋体"/>
          <w:color w:val="auto"/>
          <w:kern w:val="21"/>
          <w:sz w:val="21"/>
          <w:szCs w:val="21"/>
          <w:highlight w:val="none"/>
          <w:lang w:val="en-US" w:eastAsia="zh-CN" w:bidi="ar"/>
        </w:rPr>
        <w:t>供</w:t>
      </w:r>
      <w:r>
        <w:rPr>
          <w:rFonts w:hint="eastAsia" w:ascii="宋体" w:hAnsi="宋体" w:eastAsia="宋体" w:cs="宋体"/>
          <w:color w:val="auto"/>
          <w:kern w:val="2"/>
          <w:sz w:val="21"/>
          <w:szCs w:val="21"/>
          <w:highlight w:val="none"/>
          <w:lang w:val="en-US" w:eastAsia="zh-CN" w:bidi="ar"/>
        </w:rPr>
        <w:t>应商</w:t>
      </w:r>
      <w:r>
        <w:rPr>
          <w:rFonts w:hint="eastAsia" w:ascii="宋体" w:hAnsi="宋体" w:eastAsia="宋体" w:cs="宋体"/>
          <w:color w:val="auto"/>
          <w:kern w:val="21"/>
          <w:sz w:val="21"/>
          <w:szCs w:val="21"/>
          <w:highlight w:val="none"/>
          <w:lang w:val="en-US" w:eastAsia="zh-CN" w:bidi="ar"/>
        </w:rPr>
        <w:t>应采用综合单价进行工程量清单报价，不得采用总价让利或以百分比让利等形式进行报价。</w:t>
      </w:r>
    </w:p>
    <w:p w14:paraId="591649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7.列金额的数量及拟用子目的说明（如有）：应按采购人在其他项目清单中列出的金额填写，不得变动。</w:t>
      </w:r>
    </w:p>
    <w:p w14:paraId="41E32B99">
      <w:pPr>
        <w:keepNext w:val="0"/>
        <w:keepLines w:val="0"/>
        <w:widowControl w:val="0"/>
        <w:suppressLineNumbers w:val="0"/>
        <w:tabs>
          <w:tab w:val="left" w:pos="210"/>
        </w:tabs>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8.估价的数量及拟用子目的说明（如有）：材料暂估价应按采购人在其他项目清单中列出的单价计入综合单价；专业工程暂估价应按采购人在其他项目清单中列出的金额填写。</w:t>
      </w:r>
    </w:p>
    <w:p w14:paraId="5ADA3926">
      <w:pPr>
        <w:keepNext w:val="0"/>
        <w:keepLines w:val="0"/>
        <w:widowControl w:val="0"/>
        <w:suppressLineNumbers w:val="0"/>
        <w:tabs>
          <w:tab w:val="left" w:pos="210"/>
        </w:tabs>
        <w:spacing w:before="0" w:beforeAutospacing="0" w:after="0" w:afterAutospacing="0" w:line="40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9.工程量清单封面须由编制人签字并盖专用章，否则响应文件按无效处理。</w:t>
      </w:r>
    </w:p>
    <w:p w14:paraId="4745AD56">
      <w:pPr>
        <w:keepNext w:val="0"/>
        <w:keepLines w:val="0"/>
        <w:widowControl w:val="0"/>
        <w:suppressLineNumbers w:val="0"/>
        <w:tabs>
          <w:tab w:val="left" w:pos="210"/>
        </w:tabs>
        <w:spacing w:before="0" w:beforeAutospacing="0" w:after="0" w:afterAutospacing="0" w:line="40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三、工程量清单及图纸另附，作为本磋商文件的一个重要组成部分。</w:t>
      </w:r>
    </w:p>
    <w:bookmarkEnd w:id="76"/>
    <w:bookmarkEnd w:id="77"/>
    <w:bookmarkEnd w:id="78"/>
    <w:bookmarkEnd w:id="79"/>
    <w:p w14:paraId="50D37B9C">
      <w:pPr>
        <w:rPr>
          <w:color w:val="auto"/>
          <w:highlight w:val="none"/>
        </w:rPr>
      </w:pPr>
    </w:p>
    <w:p w14:paraId="4230C7C6">
      <w:pPr>
        <w:rPr>
          <w:color w:val="auto"/>
          <w:highlight w:val="none"/>
        </w:rPr>
      </w:pPr>
    </w:p>
    <w:p w14:paraId="5C39FF17">
      <w:pPr>
        <w:rPr>
          <w:color w:val="auto"/>
          <w:highlight w:val="none"/>
        </w:rPr>
      </w:pPr>
    </w:p>
    <w:p w14:paraId="37FBF304">
      <w:pPr>
        <w:rPr>
          <w:color w:val="auto"/>
          <w:highlight w:val="none"/>
        </w:rPr>
      </w:pPr>
    </w:p>
    <w:p w14:paraId="57A6BC3D">
      <w:pPr>
        <w:rPr>
          <w:color w:val="auto"/>
          <w:highlight w:val="none"/>
        </w:rPr>
      </w:pPr>
    </w:p>
    <w:p w14:paraId="32905D8E">
      <w:pPr>
        <w:rPr>
          <w:color w:val="auto"/>
          <w:highlight w:val="none"/>
        </w:rPr>
      </w:pPr>
    </w:p>
    <w:p w14:paraId="6761F1EA">
      <w:pPr>
        <w:rPr>
          <w:color w:val="auto"/>
          <w:highlight w:val="none"/>
        </w:rPr>
      </w:pPr>
    </w:p>
    <w:p w14:paraId="338A9C57">
      <w:pPr>
        <w:rPr>
          <w:color w:val="auto"/>
          <w:highlight w:val="none"/>
        </w:rPr>
      </w:pPr>
    </w:p>
    <w:p w14:paraId="679C7285">
      <w:pPr>
        <w:rPr>
          <w:color w:val="auto"/>
          <w:highlight w:val="none"/>
        </w:rPr>
      </w:pPr>
    </w:p>
    <w:p w14:paraId="77E24C01">
      <w:pPr>
        <w:rPr>
          <w:color w:val="auto"/>
          <w:highlight w:val="none"/>
        </w:rPr>
      </w:pPr>
    </w:p>
    <w:p w14:paraId="3F8AAD96">
      <w:pPr>
        <w:rPr>
          <w:color w:val="auto"/>
          <w:highlight w:val="none"/>
        </w:rPr>
      </w:pPr>
    </w:p>
    <w:p w14:paraId="46322AA2">
      <w:pPr>
        <w:rPr>
          <w:color w:val="auto"/>
          <w:highlight w:val="none"/>
        </w:rPr>
      </w:pPr>
    </w:p>
    <w:p w14:paraId="0D9A6C36">
      <w:pPr>
        <w:pStyle w:val="7"/>
        <w:rPr>
          <w:color w:val="auto"/>
          <w:highlight w:val="none"/>
        </w:rPr>
      </w:pPr>
    </w:p>
    <w:p w14:paraId="7836018C">
      <w:pPr>
        <w:pStyle w:val="7"/>
        <w:rPr>
          <w:color w:val="auto"/>
          <w:highlight w:val="none"/>
        </w:rPr>
      </w:pPr>
    </w:p>
    <w:p w14:paraId="4AE63EF6">
      <w:pPr>
        <w:pStyle w:val="7"/>
        <w:rPr>
          <w:color w:val="auto"/>
          <w:highlight w:val="none"/>
        </w:rPr>
      </w:pPr>
    </w:p>
    <w:p w14:paraId="7E0A3ACE">
      <w:pPr>
        <w:pStyle w:val="7"/>
        <w:rPr>
          <w:color w:val="auto"/>
          <w:highlight w:val="none"/>
        </w:rPr>
      </w:pPr>
    </w:p>
    <w:p w14:paraId="697EF010">
      <w:pPr>
        <w:pStyle w:val="7"/>
        <w:rPr>
          <w:color w:val="auto"/>
          <w:highlight w:val="none"/>
        </w:rPr>
      </w:pPr>
    </w:p>
    <w:p w14:paraId="45CC8023">
      <w:pPr>
        <w:pStyle w:val="7"/>
        <w:rPr>
          <w:color w:val="auto"/>
          <w:highlight w:val="none"/>
        </w:rPr>
      </w:pPr>
    </w:p>
    <w:p w14:paraId="515C8EE3">
      <w:pPr>
        <w:rPr>
          <w:color w:val="auto"/>
          <w:highlight w:val="none"/>
        </w:rPr>
      </w:pPr>
    </w:p>
    <w:p w14:paraId="66E281F0">
      <w:pPr>
        <w:rPr>
          <w:color w:val="auto"/>
          <w:highlight w:val="none"/>
        </w:rPr>
      </w:pPr>
    </w:p>
    <w:p w14:paraId="1A9FCE79">
      <w:pPr>
        <w:pStyle w:val="2"/>
        <w:jc w:val="center"/>
        <w:rPr>
          <w:color w:val="auto"/>
          <w:highlight w:val="none"/>
        </w:rPr>
      </w:pPr>
      <w:bookmarkStart w:id="80" w:name="_Toc74323460"/>
      <w:r>
        <w:rPr>
          <w:rFonts w:hint="eastAsia"/>
          <w:color w:val="auto"/>
          <w:highlight w:val="none"/>
        </w:rPr>
        <w:t>第六章 响应文件格式</w:t>
      </w:r>
      <w:bookmarkEnd w:id="80"/>
    </w:p>
    <w:p w14:paraId="7FC0BC37">
      <w:pPr>
        <w:spacing w:line="240" w:lineRule="atLeast"/>
        <w:rPr>
          <w:rFonts w:ascii="宋体" w:hAnsi="宋体"/>
          <w:b/>
          <w:color w:val="auto"/>
          <w:sz w:val="32"/>
          <w:szCs w:val="32"/>
          <w:highlight w:val="none"/>
        </w:rPr>
      </w:pPr>
    </w:p>
    <w:p w14:paraId="20017608">
      <w:pPr>
        <w:spacing w:line="240" w:lineRule="atLeast"/>
        <w:rPr>
          <w:rFonts w:ascii="宋体" w:hAnsi="宋体"/>
          <w:b/>
          <w:color w:val="auto"/>
          <w:sz w:val="32"/>
          <w:szCs w:val="32"/>
          <w:highlight w:val="none"/>
        </w:rPr>
      </w:pPr>
    </w:p>
    <w:p w14:paraId="7319C1AF">
      <w:pPr>
        <w:spacing w:line="240" w:lineRule="atLeast"/>
        <w:rPr>
          <w:rFonts w:ascii="宋体" w:hAnsi="宋体"/>
          <w:b/>
          <w:color w:val="auto"/>
          <w:sz w:val="32"/>
          <w:szCs w:val="32"/>
          <w:highlight w:val="none"/>
        </w:rPr>
      </w:pPr>
    </w:p>
    <w:p w14:paraId="3E2839EE">
      <w:pPr>
        <w:spacing w:line="240" w:lineRule="atLeast"/>
        <w:rPr>
          <w:rFonts w:ascii="宋体" w:hAnsi="宋体"/>
          <w:b/>
          <w:color w:val="auto"/>
          <w:sz w:val="32"/>
          <w:szCs w:val="32"/>
          <w:highlight w:val="none"/>
        </w:rPr>
      </w:pPr>
    </w:p>
    <w:p w14:paraId="7496A4D7">
      <w:pPr>
        <w:spacing w:line="240" w:lineRule="atLeast"/>
        <w:rPr>
          <w:rFonts w:ascii="宋体" w:hAnsi="宋体"/>
          <w:b/>
          <w:color w:val="auto"/>
          <w:sz w:val="32"/>
          <w:szCs w:val="32"/>
          <w:highlight w:val="none"/>
        </w:rPr>
      </w:pPr>
    </w:p>
    <w:p w14:paraId="284333E8">
      <w:pPr>
        <w:spacing w:line="240" w:lineRule="atLeast"/>
        <w:rPr>
          <w:rFonts w:ascii="宋体" w:hAnsi="宋体"/>
          <w:b/>
          <w:color w:val="auto"/>
          <w:sz w:val="32"/>
          <w:szCs w:val="32"/>
          <w:highlight w:val="none"/>
        </w:rPr>
      </w:pPr>
    </w:p>
    <w:p w14:paraId="352B19F5">
      <w:pPr>
        <w:spacing w:line="240" w:lineRule="atLeast"/>
        <w:rPr>
          <w:rFonts w:ascii="宋体" w:hAnsi="宋体"/>
          <w:b/>
          <w:color w:val="auto"/>
          <w:sz w:val="32"/>
          <w:szCs w:val="32"/>
          <w:highlight w:val="none"/>
        </w:rPr>
      </w:pPr>
    </w:p>
    <w:p w14:paraId="110DFE27">
      <w:pPr>
        <w:spacing w:line="240" w:lineRule="atLeast"/>
        <w:rPr>
          <w:rFonts w:ascii="宋体" w:hAnsi="宋体"/>
          <w:b/>
          <w:color w:val="auto"/>
          <w:sz w:val="32"/>
          <w:szCs w:val="32"/>
          <w:highlight w:val="none"/>
        </w:rPr>
      </w:pPr>
    </w:p>
    <w:p w14:paraId="518F9B34">
      <w:pPr>
        <w:spacing w:line="240" w:lineRule="atLeast"/>
        <w:rPr>
          <w:rFonts w:ascii="宋体" w:hAnsi="宋体"/>
          <w:b/>
          <w:color w:val="auto"/>
          <w:sz w:val="32"/>
          <w:szCs w:val="32"/>
          <w:highlight w:val="none"/>
        </w:rPr>
      </w:pPr>
    </w:p>
    <w:p w14:paraId="0D41F382">
      <w:pPr>
        <w:spacing w:line="240" w:lineRule="atLeast"/>
        <w:rPr>
          <w:rFonts w:ascii="宋体" w:hAnsi="宋体"/>
          <w:b/>
          <w:color w:val="auto"/>
          <w:sz w:val="32"/>
          <w:szCs w:val="32"/>
          <w:highlight w:val="none"/>
        </w:rPr>
      </w:pPr>
    </w:p>
    <w:p w14:paraId="36277EFF">
      <w:pPr>
        <w:spacing w:line="240" w:lineRule="atLeast"/>
        <w:rPr>
          <w:rFonts w:ascii="宋体" w:hAnsi="宋体"/>
          <w:b/>
          <w:color w:val="auto"/>
          <w:sz w:val="32"/>
          <w:szCs w:val="32"/>
          <w:highlight w:val="none"/>
        </w:rPr>
      </w:pPr>
    </w:p>
    <w:p w14:paraId="243FBC07">
      <w:pPr>
        <w:snapToGrid w:val="0"/>
        <w:spacing w:before="50" w:after="50"/>
        <w:outlineLvl w:val="1"/>
        <w:rPr>
          <w:rFonts w:ascii="宋体" w:hAnsi="宋体"/>
          <w:b/>
          <w:bCs/>
          <w:color w:val="auto"/>
          <w:sz w:val="24"/>
          <w:highlight w:val="none"/>
        </w:rPr>
      </w:pPr>
    </w:p>
    <w:p w14:paraId="3C1D25A5">
      <w:pPr>
        <w:rPr>
          <w:b/>
          <w:color w:val="auto"/>
          <w:sz w:val="32"/>
          <w:szCs w:val="32"/>
          <w:highlight w:val="none"/>
        </w:rPr>
      </w:pPr>
      <w:bookmarkStart w:id="81" w:name="_Toc71366186"/>
      <w:bookmarkStart w:id="82" w:name="_Toc44229899"/>
      <w:bookmarkStart w:id="83" w:name="_Toc31728084"/>
      <w:bookmarkStart w:id="84" w:name="_Toc35611516"/>
      <w:bookmarkStart w:id="85" w:name="_Toc35611438"/>
      <w:bookmarkStart w:id="86" w:name="_Toc31723070"/>
      <w:r>
        <w:rPr>
          <w:rFonts w:hint="eastAsia"/>
          <w:b/>
          <w:color w:val="auto"/>
          <w:sz w:val="32"/>
          <w:szCs w:val="32"/>
          <w:highlight w:val="none"/>
        </w:rPr>
        <w:t>一、资格证明文件格式</w:t>
      </w:r>
      <w:bookmarkEnd w:id="81"/>
      <w:bookmarkEnd w:id="82"/>
      <w:bookmarkEnd w:id="83"/>
      <w:bookmarkEnd w:id="84"/>
      <w:bookmarkEnd w:id="85"/>
      <w:bookmarkEnd w:id="86"/>
    </w:p>
    <w:p w14:paraId="453A0142">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D4F2468">
      <w:pPr>
        <w:snapToGrid w:val="0"/>
        <w:spacing w:before="156" w:beforeLines="50" w:after="50"/>
        <w:jc w:val="center"/>
        <w:rPr>
          <w:rFonts w:ascii="宋体" w:hAnsi="宋体"/>
          <w:color w:val="auto"/>
          <w:sz w:val="44"/>
          <w:szCs w:val="44"/>
          <w:highlight w:val="none"/>
        </w:rPr>
      </w:pPr>
    </w:p>
    <w:p w14:paraId="4034850B">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9E0D9FA">
      <w:pPr>
        <w:snapToGrid w:val="0"/>
        <w:spacing w:before="156" w:beforeLines="50" w:after="50"/>
        <w:rPr>
          <w:rFonts w:ascii="宋体" w:hAnsi="宋体"/>
          <w:color w:val="auto"/>
          <w:sz w:val="24"/>
          <w:szCs w:val="20"/>
          <w:highlight w:val="none"/>
        </w:rPr>
      </w:pPr>
    </w:p>
    <w:p w14:paraId="021723A4">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CBEF98F">
      <w:pPr>
        <w:snapToGrid w:val="0"/>
        <w:spacing w:before="156" w:beforeLines="50" w:after="50"/>
        <w:rPr>
          <w:rFonts w:ascii="宋体" w:hAnsi="宋体"/>
          <w:bCs/>
          <w:color w:val="auto"/>
          <w:sz w:val="24"/>
          <w:szCs w:val="20"/>
          <w:highlight w:val="none"/>
        </w:rPr>
      </w:pPr>
    </w:p>
    <w:p w14:paraId="5578B885">
      <w:pPr>
        <w:snapToGrid w:val="0"/>
        <w:spacing w:before="156" w:beforeLines="50" w:after="50"/>
        <w:rPr>
          <w:rFonts w:ascii="宋体" w:hAnsi="宋体"/>
          <w:bCs/>
          <w:color w:val="auto"/>
          <w:sz w:val="24"/>
          <w:szCs w:val="20"/>
          <w:highlight w:val="none"/>
        </w:rPr>
      </w:pPr>
    </w:p>
    <w:p w14:paraId="134BA16F">
      <w:pPr>
        <w:snapToGrid w:val="0"/>
        <w:spacing w:before="156" w:beforeLines="50" w:after="50"/>
        <w:rPr>
          <w:rFonts w:ascii="宋体" w:hAnsi="宋体"/>
          <w:bCs/>
          <w:color w:val="auto"/>
          <w:sz w:val="24"/>
          <w:szCs w:val="20"/>
          <w:highlight w:val="none"/>
        </w:rPr>
      </w:pPr>
    </w:p>
    <w:p w14:paraId="577CCE01">
      <w:pPr>
        <w:snapToGrid w:val="0"/>
        <w:spacing w:before="156" w:beforeLines="50" w:after="50"/>
        <w:rPr>
          <w:rFonts w:ascii="宋体" w:hAnsi="宋体"/>
          <w:bCs/>
          <w:color w:val="auto"/>
          <w:sz w:val="24"/>
          <w:szCs w:val="20"/>
          <w:highlight w:val="none"/>
        </w:rPr>
      </w:pPr>
    </w:p>
    <w:p w14:paraId="69F7DC6B">
      <w:pPr>
        <w:snapToGrid w:val="0"/>
        <w:spacing w:before="156" w:beforeLines="50" w:after="50"/>
        <w:rPr>
          <w:rFonts w:ascii="宋体" w:hAnsi="宋体"/>
          <w:bCs/>
          <w:color w:val="auto"/>
          <w:sz w:val="24"/>
          <w:szCs w:val="20"/>
          <w:highlight w:val="none"/>
        </w:rPr>
      </w:pPr>
    </w:p>
    <w:p w14:paraId="64CFEFD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83074A1">
      <w:pPr>
        <w:snapToGrid w:val="0"/>
        <w:spacing w:before="156" w:beforeLines="50" w:after="50"/>
        <w:ind w:firstLine="720" w:firstLineChars="225"/>
        <w:rPr>
          <w:rFonts w:ascii="宋体" w:hAnsi="宋体" w:cs="仿宋_GB2312"/>
          <w:bCs/>
          <w:color w:val="auto"/>
          <w:sz w:val="32"/>
          <w:szCs w:val="32"/>
          <w:highlight w:val="none"/>
        </w:rPr>
      </w:pPr>
    </w:p>
    <w:p w14:paraId="15F70B7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7EEEC7">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D9B2461">
      <w:pPr>
        <w:snapToGrid w:val="0"/>
        <w:spacing w:before="156" w:beforeLines="50" w:after="50"/>
        <w:ind w:firstLine="720" w:firstLineChars="225"/>
        <w:rPr>
          <w:rFonts w:ascii="宋体" w:hAnsi="宋体" w:cs="仿宋_GB2312"/>
          <w:bCs/>
          <w:color w:val="auto"/>
          <w:sz w:val="32"/>
          <w:szCs w:val="32"/>
          <w:highlight w:val="none"/>
        </w:rPr>
      </w:pPr>
    </w:p>
    <w:p w14:paraId="03CF8026">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A73DC4A">
      <w:pPr>
        <w:snapToGrid w:val="0"/>
        <w:spacing w:before="156" w:beforeLines="50" w:after="50"/>
        <w:ind w:firstLine="640" w:firstLineChars="200"/>
        <w:rPr>
          <w:rFonts w:ascii="宋体" w:hAnsi="宋体" w:cs="仿宋_GB2312"/>
          <w:bCs/>
          <w:color w:val="auto"/>
          <w:sz w:val="32"/>
          <w:szCs w:val="32"/>
          <w:highlight w:val="none"/>
        </w:rPr>
      </w:pPr>
    </w:p>
    <w:p w14:paraId="59D6DC59">
      <w:pPr>
        <w:pStyle w:val="7"/>
        <w:snapToGrid w:val="0"/>
        <w:spacing w:before="50" w:after="50"/>
        <w:ind w:firstLine="720" w:firstLineChars="225"/>
        <w:rPr>
          <w:rFonts w:ascii="宋体" w:hAnsi="宋体" w:cs="仿宋_GB2312"/>
          <w:bCs/>
          <w:color w:val="auto"/>
          <w:sz w:val="32"/>
          <w:szCs w:val="32"/>
          <w:highlight w:val="none"/>
        </w:rPr>
      </w:pPr>
    </w:p>
    <w:p w14:paraId="22D01787">
      <w:pPr>
        <w:pStyle w:val="7"/>
        <w:snapToGrid w:val="0"/>
        <w:spacing w:before="50" w:after="50"/>
        <w:ind w:firstLine="720" w:firstLineChars="225"/>
        <w:rPr>
          <w:rFonts w:ascii="宋体" w:hAnsi="宋体" w:cs="仿宋_GB2312"/>
          <w:bCs/>
          <w:color w:val="auto"/>
          <w:sz w:val="32"/>
          <w:szCs w:val="32"/>
          <w:highlight w:val="none"/>
        </w:rPr>
      </w:pPr>
    </w:p>
    <w:p w14:paraId="24235DAD">
      <w:pPr>
        <w:pStyle w:val="7"/>
        <w:snapToGrid w:val="0"/>
        <w:spacing w:before="50" w:after="50"/>
        <w:ind w:firstLine="1280" w:firstLineChars="400"/>
        <w:rPr>
          <w:rFonts w:ascii="宋体" w:hAnsi="宋体" w:cs="仿宋_GB2312"/>
          <w:bCs/>
          <w:color w:val="auto"/>
          <w:sz w:val="32"/>
          <w:szCs w:val="32"/>
          <w:highlight w:val="none"/>
        </w:rPr>
      </w:pPr>
    </w:p>
    <w:p w14:paraId="7BCD8232">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608BBE4">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81CD9E4">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5DFE548">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96BD2BF">
      <w:pPr>
        <w:spacing w:line="300" w:lineRule="auto"/>
        <w:rPr>
          <w:rFonts w:ascii="宋体" w:hAnsi="宋体"/>
          <w:color w:val="auto"/>
          <w:szCs w:val="21"/>
          <w:highlight w:val="none"/>
        </w:rPr>
      </w:pPr>
    </w:p>
    <w:p w14:paraId="6880D030">
      <w:pPr>
        <w:spacing w:line="300" w:lineRule="auto"/>
        <w:rPr>
          <w:rFonts w:ascii="宋体" w:hAnsi="宋体"/>
          <w:color w:val="auto"/>
          <w:szCs w:val="21"/>
          <w:highlight w:val="none"/>
        </w:rPr>
      </w:pPr>
    </w:p>
    <w:p w14:paraId="30BFA35F">
      <w:pPr>
        <w:spacing w:line="300" w:lineRule="auto"/>
        <w:rPr>
          <w:rFonts w:ascii="宋体" w:hAnsi="宋体"/>
          <w:color w:val="auto"/>
          <w:szCs w:val="21"/>
          <w:highlight w:val="none"/>
        </w:rPr>
      </w:pPr>
    </w:p>
    <w:p w14:paraId="42EB367F">
      <w:pPr>
        <w:spacing w:line="300" w:lineRule="auto"/>
        <w:rPr>
          <w:rFonts w:ascii="宋体" w:hAnsi="宋体"/>
          <w:color w:val="auto"/>
          <w:szCs w:val="21"/>
          <w:highlight w:val="none"/>
        </w:rPr>
      </w:pPr>
    </w:p>
    <w:p w14:paraId="54968ED0">
      <w:pPr>
        <w:spacing w:line="300" w:lineRule="auto"/>
        <w:rPr>
          <w:rFonts w:ascii="宋体" w:hAnsi="宋体"/>
          <w:color w:val="auto"/>
          <w:szCs w:val="21"/>
          <w:highlight w:val="none"/>
        </w:rPr>
      </w:pPr>
    </w:p>
    <w:p w14:paraId="2EF191E3">
      <w:pPr>
        <w:spacing w:line="300" w:lineRule="auto"/>
        <w:rPr>
          <w:rFonts w:ascii="宋体" w:hAnsi="宋体"/>
          <w:color w:val="auto"/>
          <w:szCs w:val="21"/>
          <w:highlight w:val="none"/>
        </w:rPr>
      </w:pPr>
    </w:p>
    <w:p w14:paraId="04768085">
      <w:pPr>
        <w:spacing w:line="300" w:lineRule="auto"/>
        <w:rPr>
          <w:rFonts w:ascii="宋体" w:hAnsi="宋体"/>
          <w:color w:val="auto"/>
          <w:szCs w:val="21"/>
          <w:highlight w:val="none"/>
        </w:rPr>
      </w:pPr>
    </w:p>
    <w:p w14:paraId="512D13A1">
      <w:pPr>
        <w:spacing w:line="300" w:lineRule="auto"/>
        <w:rPr>
          <w:rFonts w:ascii="宋体" w:hAnsi="宋体"/>
          <w:color w:val="auto"/>
          <w:szCs w:val="21"/>
          <w:highlight w:val="none"/>
        </w:rPr>
      </w:pPr>
    </w:p>
    <w:p w14:paraId="4956F2DC">
      <w:pPr>
        <w:spacing w:line="300" w:lineRule="auto"/>
        <w:rPr>
          <w:rFonts w:ascii="宋体" w:hAnsi="宋体"/>
          <w:color w:val="auto"/>
          <w:szCs w:val="21"/>
          <w:highlight w:val="none"/>
        </w:rPr>
      </w:pPr>
    </w:p>
    <w:p w14:paraId="27AFC6ED">
      <w:pPr>
        <w:spacing w:line="300" w:lineRule="auto"/>
        <w:rPr>
          <w:rFonts w:ascii="宋体" w:hAnsi="宋体"/>
          <w:color w:val="auto"/>
          <w:szCs w:val="21"/>
          <w:highlight w:val="none"/>
        </w:rPr>
      </w:pPr>
    </w:p>
    <w:p w14:paraId="1D6F463F">
      <w:pPr>
        <w:spacing w:line="300" w:lineRule="auto"/>
        <w:rPr>
          <w:rFonts w:ascii="宋体" w:hAnsi="宋体"/>
          <w:color w:val="auto"/>
          <w:szCs w:val="21"/>
          <w:highlight w:val="none"/>
        </w:rPr>
      </w:pPr>
    </w:p>
    <w:p w14:paraId="50E691B0">
      <w:pPr>
        <w:spacing w:line="300" w:lineRule="auto"/>
        <w:rPr>
          <w:rFonts w:ascii="宋体" w:hAnsi="宋体"/>
          <w:color w:val="auto"/>
          <w:szCs w:val="21"/>
          <w:highlight w:val="none"/>
        </w:rPr>
      </w:pPr>
    </w:p>
    <w:p w14:paraId="386FEC9F">
      <w:pPr>
        <w:spacing w:line="300" w:lineRule="auto"/>
        <w:rPr>
          <w:rFonts w:ascii="宋体" w:hAnsi="宋体"/>
          <w:color w:val="auto"/>
          <w:szCs w:val="21"/>
          <w:highlight w:val="none"/>
        </w:rPr>
      </w:pPr>
    </w:p>
    <w:p w14:paraId="38D567E1">
      <w:pPr>
        <w:spacing w:line="300" w:lineRule="auto"/>
        <w:rPr>
          <w:rFonts w:ascii="宋体" w:hAnsi="宋体"/>
          <w:color w:val="auto"/>
          <w:szCs w:val="21"/>
          <w:highlight w:val="none"/>
        </w:rPr>
      </w:pPr>
    </w:p>
    <w:p w14:paraId="6DFEED97">
      <w:pPr>
        <w:spacing w:line="300" w:lineRule="auto"/>
        <w:rPr>
          <w:rFonts w:ascii="宋体" w:hAnsi="宋体"/>
          <w:color w:val="auto"/>
          <w:szCs w:val="21"/>
          <w:highlight w:val="none"/>
        </w:rPr>
      </w:pPr>
    </w:p>
    <w:p w14:paraId="67EDA54D">
      <w:pPr>
        <w:spacing w:line="320" w:lineRule="exact"/>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22EB671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BDEE1AE">
      <w:pPr>
        <w:snapToGrid w:val="0"/>
        <w:spacing w:before="156" w:beforeLines="50" w:after="50" w:line="360" w:lineRule="auto"/>
        <w:jc w:val="center"/>
        <w:rPr>
          <w:rFonts w:ascii="宋体" w:hAnsi="宋体"/>
          <w:b/>
          <w:color w:val="auto"/>
          <w:sz w:val="24"/>
          <w:highlight w:val="none"/>
        </w:rPr>
      </w:pPr>
    </w:p>
    <w:p w14:paraId="7084A181">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2B34D524">
      <w:pPr>
        <w:spacing w:line="360" w:lineRule="auto"/>
        <w:contextualSpacing/>
        <w:jc w:val="center"/>
        <w:rPr>
          <w:rFonts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2178C2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E1828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59FEB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8E763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5B23C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7881C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4BF62F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67A9D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BDE3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B8017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1C7816">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37BFA1">
            <w:pPr>
              <w:widowControl/>
              <w:spacing w:line="360" w:lineRule="auto"/>
              <w:contextualSpacing/>
              <w:jc w:val="center"/>
              <w:rPr>
                <w:rFonts w:ascii="宋体" w:hAnsi="宋体" w:cs="宋体"/>
                <w:color w:val="auto"/>
                <w:kern w:val="0"/>
                <w:sz w:val="24"/>
                <w:highlight w:val="none"/>
              </w:rPr>
            </w:pPr>
          </w:p>
        </w:tc>
      </w:tr>
      <w:tr w14:paraId="4A0FB10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43C77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48DDA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B2D7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BB64F3">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CA5C1">
            <w:pPr>
              <w:widowControl/>
              <w:spacing w:line="360" w:lineRule="auto"/>
              <w:contextualSpacing/>
              <w:jc w:val="center"/>
              <w:rPr>
                <w:rFonts w:ascii="宋体" w:hAnsi="宋体" w:cs="宋体"/>
                <w:color w:val="auto"/>
                <w:kern w:val="0"/>
                <w:sz w:val="24"/>
                <w:highlight w:val="none"/>
              </w:rPr>
            </w:pPr>
          </w:p>
        </w:tc>
      </w:tr>
      <w:tr w14:paraId="2D5ED9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076A8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8EA91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F9AE59">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A261C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8CDF49">
            <w:pPr>
              <w:widowControl/>
              <w:spacing w:line="360" w:lineRule="auto"/>
              <w:contextualSpacing/>
              <w:jc w:val="center"/>
              <w:rPr>
                <w:rFonts w:ascii="宋体" w:hAnsi="宋体" w:cs="宋体"/>
                <w:color w:val="auto"/>
                <w:kern w:val="0"/>
                <w:sz w:val="24"/>
                <w:highlight w:val="none"/>
              </w:rPr>
            </w:pPr>
          </w:p>
        </w:tc>
      </w:tr>
      <w:tr w14:paraId="7D11B5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D91EA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79899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A0440A">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5F19D6">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6EF74B">
            <w:pPr>
              <w:widowControl/>
              <w:spacing w:line="360" w:lineRule="auto"/>
              <w:contextualSpacing/>
              <w:jc w:val="center"/>
              <w:rPr>
                <w:rFonts w:ascii="宋体" w:hAnsi="宋体" w:cs="宋体"/>
                <w:color w:val="auto"/>
                <w:kern w:val="0"/>
                <w:sz w:val="24"/>
                <w:highlight w:val="none"/>
              </w:rPr>
            </w:pPr>
          </w:p>
        </w:tc>
      </w:tr>
    </w:tbl>
    <w:p w14:paraId="2B79B86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77A4CD7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6A497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090EC6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2CB63DA">
      <w:pPr>
        <w:spacing w:line="360" w:lineRule="auto"/>
        <w:ind w:firstLine="420" w:firstLineChars="200"/>
        <w:contextualSpacing/>
        <w:jc w:val="left"/>
        <w:rPr>
          <w:rFonts w:ascii="宋体" w:hAnsi="宋体" w:cs="宋体"/>
          <w:color w:val="auto"/>
          <w:szCs w:val="21"/>
          <w:highlight w:val="none"/>
        </w:rPr>
      </w:pPr>
    </w:p>
    <w:p w14:paraId="4FC249AF">
      <w:pPr>
        <w:spacing w:line="360" w:lineRule="auto"/>
        <w:ind w:firstLine="560" w:firstLineChars="200"/>
        <w:contextualSpacing/>
        <w:jc w:val="left"/>
        <w:rPr>
          <w:rFonts w:ascii="宋体" w:hAnsi="宋体" w:cs="宋体"/>
          <w:color w:val="auto"/>
          <w:sz w:val="28"/>
          <w:szCs w:val="28"/>
          <w:highlight w:val="none"/>
        </w:rPr>
      </w:pPr>
    </w:p>
    <w:p w14:paraId="6B918DD9">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9FBB56B">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586B9FD0">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33DED584">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06B1F276">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3AF539C">
      <w:pPr>
        <w:snapToGrid w:val="0"/>
        <w:spacing w:line="360" w:lineRule="auto"/>
        <w:jc w:val="center"/>
        <w:rPr>
          <w:rFonts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091EC9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27711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2A957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B3BCD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10F3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5896F09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2EA33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37781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06529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9BFF1F">
            <w:pPr>
              <w:widowControl/>
              <w:spacing w:line="360" w:lineRule="auto"/>
              <w:contextualSpacing/>
              <w:jc w:val="center"/>
              <w:rPr>
                <w:rFonts w:ascii="宋体" w:hAnsi="宋体" w:cs="宋体"/>
                <w:color w:val="auto"/>
                <w:kern w:val="0"/>
                <w:sz w:val="24"/>
                <w:highlight w:val="none"/>
              </w:rPr>
            </w:pPr>
          </w:p>
        </w:tc>
      </w:tr>
      <w:tr w14:paraId="2E8ECD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98069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42270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DFEC4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78CE4A">
            <w:pPr>
              <w:widowControl/>
              <w:spacing w:line="360" w:lineRule="auto"/>
              <w:contextualSpacing/>
              <w:jc w:val="center"/>
              <w:rPr>
                <w:rFonts w:ascii="宋体" w:hAnsi="宋体" w:cs="宋体"/>
                <w:color w:val="auto"/>
                <w:kern w:val="0"/>
                <w:sz w:val="24"/>
                <w:highlight w:val="none"/>
              </w:rPr>
            </w:pPr>
          </w:p>
        </w:tc>
      </w:tr>
      <w:tr w14:paraId="1DC5BE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5BEE0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C6E7F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BCF63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3FA5BA">
            <w:pPr>
              <w:widowControl/>
              <w:spacing w:line="360" w:lineRule="auto"/>
              <w:contextualSpacing/>
              <w:jc w:val="center"/>
              <w:rPr>
                <w:rFonts w:ascii="宋体" w:hAnsi="宋体" w:cs="宋体"/>
                <w:color w:val="auto"/>
                <w:kern w:val="0"/>
                <w:sz w:val="24"/>
                <w:highlight w:val="none"/>
              </w:rPr>
            </w:pPr>
          </w:p>
        </w:tc>
      </w:tr>
      <w:tr w14:paraId="15859C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6CD4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9E4F1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4E3DC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A54CF1">
            <w:pPr>
              <w:widowControl/>
              <w:spacing w:line="360" w:lineRule="auto"/>
              <w:contextualSpacing/>
              <w:jc w:val="center"/>
              <w:rPr>
                <w:rFonts w:ascii="宋体" w:hAnsi="宋体" w:cs="宋体"/>
                <w:color w:val="auto"/>
                <w:kern w:val="0"/>
                <w:sz w:val="24"/>
                <w:highlight w:val="none"/>
              </w:rPr>
            </w:pPr>
          </w:p>
        </w:tc>
      </w:tr>
    </w:tbl>
    <w:p w14:paraId="41C765BD">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1996E97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D88347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D5224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35DAF8B">
      <w:pPr>
        <w:spacing w:line="360" w:lineRule="auto"/>
        <w:contextualSpacing/>
        <w:jc w:val="left"/>
        <w:rPr>
          <w:rFonts w:ascii="宋体" w:hAnsi="宋体"/>
          <w:color w:val="auto"/>
          <w:sz w:val="28"/>
          <w:szCs w:val="28"/>
          <w:highlight w:val="none"/>
        </w:rPr>
      </w:pPr>
    </w:p>
    <w:p w14:paraId="4C243F3D">
      <w:pPr>
        <w:spacing w:line="360" w:lineRule="auto"/>
        <w:contextualSpacing/>
        <w:jc w:val="left"/>
        <w:rPr>
          <w:rFonts w:ascii="宋体" w:hAnsi="宋体"/>
          <w:color w:val="auto"/>
          <w:sz w:val="28"/>
          <w:szCs w:val="28"/>
          <w:highlight w:val="none"/>
        </w:rPr>
      </w:pPr>
    </w:p>
    <w:p w14:paraId="259AD589">
      <w:pPr>
        <w:spacing w:line="360" w:lineRule="auto"/>
        <w:contextualSpacing/>
        <w:jc w:val="left"/>
        <w:rPr>
          <w:color w:val="auto"/>
          <w:sz w:val="28"/>
          <w:szCs w:val="28"/>
          <w:highlight w:val="none"/>
        </w:rPr>
      </w:pPr>
    </w:p>
    <w:p w14:paraId="3FFEC276">
      <w:pPr>
        <w:spacing w:line="360" w:lineRule="auto"/>
        <w:contextualSpacing/>
        <w:jc w:val="left"/>
        <w:rPr>
          <w:color w:val="auto"/>
          <w:sz w:val="28"/>
          <w:szCs w:val="28"/>
          <w:highlight w:val="none"/>
        </w:rPr>
      </w:pPr>
    </w:p>
    <w:p w14:paraId="2B76EC9B">
      <w:pPr>
        <w:spacing w:line="360" w:lineRule="auto"/>
        <w:contextualSpacing/>
        <w:jc w:val="left"/>
        <w:rPr>
          <w:color w:val="auto"/>
          <w:sz w:val="28"/>
          <w:szCs w:val="28"/>
          <w:highlight w:val="none"/>
        </w:rPr>
      </w:pPr>
    </w:p>
    <w:p w14:paraId="0C5FB195">
      <w:pPr>
        <w:spacing w:line="360" w:lineRule="auto"/>
        <w:contextualSpacing/>
        <w:jc w:val="left"/>
        <w:rPr>
          <w:rFonts w:ascii="宋体" w:hAnsi="宋体"/>
          <w:color w:val="auto"/>
          <w:sz w:val="28"/>
          <w:szCs w:val="28"/>
          <w:highlight w:val="none"/>
        </w:rPr>
      </w:pPr>
    </w:p>
    <w:p w14:paraId="4E2C483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DC4552">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45C299E">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5EB5492B">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6BC4EE5B">
      <w:pPr>
        <w:spacing w:line="320" w:lineRule="exact"/>
        <w:jc w:val="center"/>
        <w:rPr>
          <w:rFonts w:ascii="宋体" w:hAnsi="宋体"/>
          <w:color w:val="auto"/>
          <w:sz w:val="24"/>
          <w:szCs w:val="20"/>
          <w:highlight w:val="none"/>
        </w:rPr>
      </w:pPr>
    </w:p>
    <w:p w14:paraId="7CF8FCE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70C61F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175EC1">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项目的竞标，为便于贵方公正、择优地确定成交人及其服务，我方就本次竞标有关事项郑重声明如下：</w:t>
      </w:r>
    </w:p>
    <w:p w14:paraId="689AEF19">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AD37BE2">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E4452DC">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E2B9FE1">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AA17266">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EAE8FF8">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9D5D98F">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C083332">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1A0BC8A">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E6DB687">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2001BF5">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93D4CD8">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FBA03ED">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E356A4C">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23BBF39">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923D0D7">
      <w:pPr>
        <w:spacing w:line="380" w:lineRule="exact"/>
        <w:ind w:firstLine="420"/>
        <w:rPr>
          <w:rFonts w:ascii="宋体" w:hAnsi="宋体" w:cs="宋体"/>
          <w:color w:val="auto"/>
          <w:kern w:val="0"/>
          <w:sz w:val="24"/>
          <w:highlight w:val="none"/>
        </w:rPr>
      </w:pPr>
      <w:r>
        <w:rPr>
          <w:rFonts w:hint="eastAsia" w:ascii="宋体" w:hAnsi="宋体"/>
          <w:color w:val="auto"/>
          <w:sz w:val="24"/>
          <w:highlight w:val="none"/>
        </w:rPr>
        <w:t>6.</w:t>
      </w:r>
      <w:r>
        <w:rPr>
          <w:rFonts w:hint="eastAsia" w:ascii="宋体" w:hAnsi="宋体" w:cs="宋体"/>
          <w:color w:val="auto"/>
          <w:kern w:val="0"/>
          <w:sz w:val="24"/>
          <w:highlight w:val="none"/>
        </w:rPr>
        <w:t>如我方成交，我方保证在领取成交通知书后五个工作日内，按本项目竞争性磋商文件的规定及标准向云之龙咨询集团有限公司一次性足额支付代理服务费。代理服务费发票我方选择开具：□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3E0F877F">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开具增值税</w:t>
      </w:r>
      <w:r>
        <w:rPr>
          <w:rFonts w:hint="eastAsia" w:ascii="宋体" w:hAnsi="宋体" w:cs="宋体"/>
          <w:b/>
          <w:color w:val="auto"/>
          <w:kern w:val="0"/>
          <w:sz w:val="24"/>
          <w:highlight w:val="none"/>
        </w:rPr>
        <w:t>普通</w:t>
      </w:r>
      <w:r>
        <w:rPr>
          <w:rFonts w:hint="eastAsia" w:ascii="宋体" w:hAnsi="宋体" w:cs="宋体"/>
          <w:color w:val="auto"/>
          <w:kern w:val="0"/>
          <w:sz w:val="24"/>
          <w:highlight w:val="none"/>
        </w:rPr>
        <w:t>发票开票信息：</w:t>
      </w:r>
    </w:p>
    <w:p w14:paraId="74CDE03C">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9205A7B">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093BDDC1">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开具增值税</w:t>
      </w:r>
      <w:r>
        <w:rPr>
          <w:rFonts w:hint="eastAsia" w:ascii="宋体" w:hAnsi="宋体" w:cs="宋体"/>
          <w:b/>
          <w:color w:val="auto"/>
          <w:kern w:val="0"/>
          <w:sz w:val="24"/>
          <w:highlight w:val="none"/>
        </w:rPr>
        <w:t>专用</w:t>
      </w:r>
      <w:r>
        <w:rPr>
          <w:rFonts w:hint="eastAsia" w:ascii="宋体" w:hAnsi="宋体" w:cs="宋体"/>
          <w:color w:val="auto"/>
          <w:kern w:val="0"/>
          <w:sz w:val="24"/>
          <w:highlight w:val="none"/>
        </w:rPr>
        <w:t>发票开票信息：</w:t>
      </w:r>
    </w:p>
    <w:p w14:paraId="58B6EA03">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7C3C5811">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②纳税人识别号：_</w:t>
      </w:r>
      <w:r>
        <w:rPr>
          <w:rFonts w:hint="eastAsia" w:ascii="宋体" w:hAnsi="宋体" w:cs="宋体"/>
          <w:color w:val="auto"/>
          <w:kern w:val="0"/>
          <w:sz w:val="24"/>
          <w:highlight w:val="none"/>
          <w:u w:val="single"/>
        </w:rPr>
        <w:t xml:space="preserve">               </w:t>
      </w:r>
    </w:p>
    <w:p w14:paraId="320B825B">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③税局登记地址：</w:t>
      </w:r>
      <w:r>
        <w:rPr>
          <w:rFonts w:hint="eastAsia" w:ascii="宋体" w:hAnsi="宋体" w:cs="宋体"/>
          <w:color w:val="auto"/>
          <w:kern w:val="0"/>
          <w:sz w:val="24"/>
          <w:highlight w:val="none"/>
          <w:u w:val="single"/>
        </w:rPr>
        <w:t xml:space="preserve">               </w:t>
      </w:r>
    </w:p>
    <w:p w14:paraId="7E94B266">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④税局登记电话：</w:t>
      </w:r>
      <w:r>
        <w:rPr>
          <w:rFonts w:hint="eastAsia" w:ascii="宋体" w:hAnsi="宋体" w:cs="宋体"/>
          <w:color w:val="auto"/>
          <w:kern w:val="0"/>
          <w:sz w:val="24"/>
          <w:highlight w:val="none"/>
          <w:u w:val="single"/>
        </w:rPr>
        <w:t xml:space="preserve">               </w:t>
      </w:r>
    </w:p>
    <w:p w14:paraId="298CEEFD">
      <w:pPr>
        <w:spacing w:line="38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⑤开户银行：</w:t>
      </w:r>
      <w:r>
        <w:rPr>
          <w:rFonts w:hint="eastAsia" w:ascii="宋体" w:hAnsi="宋体" w:cs="宋体"/>
          <w:color w:val="auto"/>
          <w:kern w:val="0"/>
          <w:sz w:val="24"/>
          <w:highlight w:val="none"/>
          <w:u w:val="single"/>
        </w:rPr>
        <w:t xml:space="preserve">               </w:t>
      </w:r>
    </w:p>
    <w:p w14:paraId="1EB9242C">
      <w:pPr>
        <w:pStyle w:val="65"/>
        <w:spacing w:line="380" w:lineRule="exact"/>
        <w:rPr>
          <w:color w:val="auto"/>
          <w:sz w:val="24"/>
          <w:highlight w:val="none"/>
        </w:rPr>
      </w:pPr>
      <w:r>
        <w:rPr>
          <w:rFonts w:hint="eastAsia" w:ascii="宋体" w:hAnsi="宋体" w:cs="宋体"/>
          <w:color w:val="auto"/>
          <w:kern w:val="0"/>
          <w:sz w:val="24"/>
          <w:highlight w:val="none"/>
        </w:rPr>
        <w:t xml:space="preserve">    ⑥银行账户：</w:t>
      </w:r>
      <w:r>
        <w:rPr>
          <w:rFonts w:hint="eastAsia" w:ascii="宋体" w:hAnsi="宋体" w:cs="宋体"/>
          <w:color w:val="auto"/>
          <w:kern w:val="0"/>
          <w:sz w:val="24"/>
          <w:highlight w:val="none"/>
          <w:u w:val="single"/>
        </w:rPr>
        <w:t xml:space="preserve">               </w:t>
      </w:r>
    </w:p>
    <w:p w14:paraId="3FAD71AB">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BEE841C">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4F21F5">
      <w:pPr>
        <w:spacing w:line="3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ED66A2D">
      <w:pPr>
        <w:pStyle w:val="26"/>
        <w:spacing w:line="380" w:lineRule="exact"/>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2B426B3">
      <w:pPr>
        <w:pStyle w:val="26"/>
        <w:spacing w:line="380" w:lineRule="exact"/>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43D7F83">
      <w:pPr>
        <w:pStyle w:val="21"/>
        <w:tabs>
          <w:tab w:val="left" w:pos="939"/>
        </w:tabs>
        <w:spacing w:line="3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651A04E">
      <w:pPr>
        <w:pStyle w:val="21"/>
        <w:tabs>
          <w:tab w:val="left" w:pos="939"/>
        </w:tabs>
        <w:spacing w:line="38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747F9066">
      <w:pPr>
        <w:pStyle w:val="21"/>
        <w:tabs>
          <w:tab w:val="left" w:pos="939"/>
        </w:tabs>
        <w:spacing w:line="3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5CD37E82">
      <w:pPr>
        <w:spacing w:line="360" w:lineRule="auto"/>
        <w:ind w:firstLine="482" w:firstLineChars="200"/>
        <w:contextualSpacing/>
        <w:jc w:val="left"/>
        <w:rPr>
          <w:rFonts w:ascii="宋体" w:hAnsi="宋体"/>
          <w:b/>
          <w:color w:val="auto"/>
          <w:sz w:val="24"/>
          <w:highlight w:val="none"/>
        </w:rPr>
      </w:pPr>
    </w:p>
    <w:p w14:paraId="38A918F8">
      <w:pPr>
        <w:spacing w:line="360" w:lineRule="auto"/>
        <w:contextualSpacing/>
        <w:jc w:val="left"/>
        <w:rPr>
          <w:rFonts w:ascii="宋体" w:hAnsi="宋体" w:cs="宋体"/>
          <w:color w:val="auto"/>
          <w:szCs w:val="21"/>
          <w:highlight w:val="none"/>
        </w:rPr>
      </w:pPr>
    </w:p>
    <w:p w14:paraId="4A2FB078">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2291C549">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4D4A4541">
      <w:pPr>
        <w:pStyle w:val="21"/>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年    月    日</w:t>
      </w:r>
    </w:p>
    <w:p w14:paraId="354FB03F">
      <w:pPr>
        <w:pStyle w:val="7"/>
        <w:overflowPunct w:val="0"/>
        <w:spacing w:line="520" w:lineRule="exact"/>
        <w:ind w:firstLine="0"/>
        <w:jc w:val="center"/>
        <w:rPr>
          <w:color w:val="auto"/>
          <w:sz w:val="24"/>
          <w:highlight w:val="none"/>
        </w:rPr>
      </w:pPr>
      <w:r>
        <w:rPr>
          <w:rFonts w:hint="eastAsia"/>
          <w:color w:val="auto"/>
          <w:sz w:val="24"/>
          <w:highlight w:val="none"/>
        </w:rPr>
        <w:br w:type="page"/>
      </w:r>
    </w:p>
    <w:p w14:paraId="4D292E5D">
      <w:pPr>
        <w:spacing w:line="360" w:lineRule="auto"/>
        <w:ind w:firstLine="562" w:firstLineChars="200"/>
        <w:jc w:val="center"/>
        <w:rPr>
          <w:rFonts w:cs="宋体"/>
          <w:b/>
          <w:bCs/>
          <w:color w:val="auto"/>
          <w:sz w:val="28"/>
          <w:szCs w:val="28"/>
          <w:highlight w:val="none"/>
        </w:rPr>
      </w:pPr>
    </w:p>
    <w:p w14:paraId="3FE47895">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在人员、设备、资金等方面具有相应的履约能力承诺函</w:t>
      </w:r>
    </w:p>
    <w:p w14:paraId="3AF2BAF4">
      <w:pPr>
        <w:spacing w:line="520" w:lineRule="exact"/>
        <w:ind w:left="-10" w:firstLine="520" w:firstLineChars="217"/>
        <w:jc w:val="left"/>
        <w:rPr>
          <w:rFonts w:cs="宋体"/>
          <w:bCs/>
          <w:color w:val="auto"/>
          <w:sz w:val="24"/>
          <w:highlight w:val="none"/>
        </w:rPr>
      </w:pPr>
      <w:r>
        <w:rPr>
          <w:rFonts w:hint="eastAsia" w:cs="宋体"/>
          <w:bCs/>
          <w:color w:val="auto"/>
          <w:sz w:val="24"/>
          <w:highlight w:val="none"/>
        </w:rPr>
        <w:t>我公司郑重承诺：在参加本次</w:t>
      </w:r>
      <w:r>
        <w:rPr>
          <w:rFonts w:hint="eastAsia" w:cs="宋体"/>
          <w:bCs/>
          <w:color w:val="auto"/>
          <w:sz w:val="24"/>
          <w:highlight w:val="none"/>
          <w:u w:val="single"/>
        </w:rPr>
        <w:t>桂林医科大学细胞基因治疗研发与临床转化联合实验室平台项目</w:t>
      </w:r>
      <w:r>
        <w:rPr>
          <w:rFonts w:hint="eastAsia" w:cs="宋体"/>
          <w:bCs/>
          <w:color w:val="auto"/>
          <w:sz w:val="24"/>
          <w:highlight w:val="none"/>
        </w:rPr>
        <w:t>（项目编号：</w:t>
      </w:r>
      <w:r>
        <w:rPr>
          <w:rFonts w:hint="eastAsia" w:cs="宋体"/>
          <w:bCs/>
          <w:color w:val="auto"/>
          <w:sz w:val="24"/>
          <w:highlight w:val="none"/>
          <w:u w:val="single"/>
        </w:rPr>
        <w:t xml:space="preserve"> GXZC2025-C2-003210-YZLZ</w:t>
      </w:r>
      <w:r>
        <w:rPr>
          <w:rFonts w:hint="eastAsia" w:cs="宋体"/>
          <w:bCs/>
          <w:color w:val="auto"/>
          <w:sz w:val="24"/>
          <w:highlight w:val="none"/>
        </w:rPr>
        <w:t>）竞争性磋商项目中，在人员、设备、资金等方面具有相应的履约能力。</w:t>
      </w:r>
    </w:p>
    <w:p w14:paraId="0CFAFFC8">
      <w:pPr>
        <w:spacing w:line="520" w:lineRule="exact"/>
        <w:ind w:left="-10" w:firstLine="520" w:firstLineChars="217"/>
        <w:jc w:val="left"/>
        <w:rPr>
          <w:color w:val="auto"/>
          <w:sz w:val="24"/>
          <w:highlight w:val="none"/>
        </w:rPr>
      </w:pPr>
      <w:r>
        <w:rPr>
          <w:rFonts w:hint="eastAsia" w:ascii="宋体" w:hAnsi="宋体" w:cs="仿宋_GB2312"/>
          <w:color w:val="auto"/>
          <w:sz w:val="24"/>
          <w:highlight w:val="none"/>
        </w:rPr>
        <w:t>本单位对上述承诺的真实性负责。如有虚假，将依法承担相应责任。</w:t>
      </w:r>
    </w:p>
    <w:p w14:paraId="143346AB">
      <w:pPr>
        <w:spacing w:line="520" w:lineRule="exact"/>
        <w:ind w:left="-10" w:firstLine="455" w:firstLineChars="217"/>
        <w:jc w:val="left"/>
        <w:rPr>
          <w:color w:val="auto"/>
          <w:szCs w:val="21"/>
          <w:highlight w:val="none"/>
        </w:rPr>
      </w:pPr>
    </w:p>
    <w:p w14:paraId="0E2ACBA4">
      <w:pPr>
        <w:spacing w:line="520" w:lineRule="exact"/>
        <w:jc w:val="left"/>
        <w:rPr>
          <w:color w:val="auto"/>
          <w:highlight w:val="none"/>
        </w:rPr>
      </w:pPr>
    </w:p>
    <w:p w14:paraId="1AD30AED">
      <w:pPr>
        <w:spacing w:line="360" w:lineRule="auto"/>
        <w:ind w:firstLine="4410" w:firstLineChars="2100"/>
        <w:jc w:val="left"/>
        <w:rPr>
          <w:rFonts w:cs="宋体"/>
          <w:color w:val="auto"/>
          <w:highlight w:val="none"/>
        </w:rPr>
      </w:pPr>
    </w:p>
    <w:p w14:paraId="2D56F05A">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7B4F86C1">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34F1A70E">
      <w:pPr>
        <w:spacing w:line="360" w:lineRule="auto"/>
        <w:ind w:firstLine="2730" w:firstLineChars="130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35A29130">
      <w:pPr>
        <w:spacing w:line="360" w:lineRule="auto"/>
        <w:ind w:right="420"/>
        <w:contextualSpacing/>
        <w:jc w:val="left"/>
        <w:rPr>
          <w:rFonts w:ascii="宋体" w:hAnsi="宋体"/>
          <w:b/>
          <w:bCs/>
          <w:color w:val="auto"/>
          <w:sz w:val="32"/>
          <w:szCs w:val="32"/>
          <w:highlight w:val="none"/>
        </w:rPr>
      </w:pPr>
    </w:p>
    <w:p w14:paraId="38A8B4C1">
      <w:pPr>
        <w:spacing w:line="360" w:lineRule="auto"/>
        <w:ind w:right="420"/>
        <w:contextualSpacing/>
        <w:jc w:val="left"/>
        <w:rPr>
          <w:rFonts w:ascii="宋体" w:hAnsi="宋体"/>
          <w:b/>
          <w:bCs/>
          <w:color w:val="auto"/>
          <w:sz w:val="32"/>
          <w:szCs w:val="32"/>
          <w:highlight w:val="none"/>
        </w:rPr>
      </w:pPr>
    </w:p>
    <w:p w14:paraId="3B2B338B">
      <w:pPr>
        <w:spacing w:line="360" w:lineRule="auto"/>
        <w:ind w:right="420"/>
        <w:contextualSpacing/>
        <w:jc w:val="left"/>
        <w:rPr>
          <w:rFonts w:ascii="宋体" w:hAnsi="宋体"/>
          <w:b/>
          <w:bCs/>
          <w:color w:val="auto"/>
          <w:sz w:val="32"/>
          <w:szCs w:val="32"/>
          <w:highlight w:val="none"/>
        </w:rPr>
      </w:pPr>
    </w:p>
    <w:p w14:paraId="036536C3">
      <w:pPr>
        <w:spacing w:line="360" w:lineRule="auto"/>
        <w:ind w:right="420"/>
        <w:contextualSpacing/>
        <w:jc w:val="left"/>
        <w:rPr>
          <w:rFonts w:ascii="宋体" w:hAnsi="宋体"/>
          <w:b/>
          <w:bCs/>
          <w:color w:val="auto"/>
          <w:sz w:val="32"/>
          <w:szCs w:val="32"/>
          <w:highlight w:val="none"/>
        </w:rPr>
      </w:pPr>
    </w:p>
    <w:p w14:paraId="5CF29375">
      <w:pPr>
        <w:spacing w:line="360" w:lineRule="auto"/>
        <w:ind w:right="420"/>
        <w:contextualSpacing/>
        <w:jc w:val="left"/>
        <w:rPr>
          <w:rFonts w:ascii="宋体" w:hAnsi="宋体"/>
          <w:b/>
          <w:bCs/>
          <w:color w:val="auto"/>
          <w:sz w:val="32"/>
          <w:szCs w:val="32"/>
          <w:highlight w:val="none"/>
        </w:rPr>
      </w:pPr>
    </w:p>
    <w:p w14:paraId="610FC751">
      <w:pPr>
        <w:spacing w:line="360" w:lineRule="auto"/>
        <w:ind w:right="420"/>
        <w:contextualSpacing/>
        <w:jc w:val="left"/>
        <w:rPr>
          <w:rFonts w:ascii="宋体" w:hAnsi="宋体"/>
          <w:b/>
          <w:bCs/>
          <w:color w:val="auto"/>
          <w:sz w:val="32"/>
          <w:szCs w:val="32"/>
          <w:highlight w:val="none"/>
        </w:rPr>
      </w:pPr>
    </w:p>
    <w:p w14:paraId="355E6A22">
      <w:pPr>
        <w:spacing w:line="360" w:lineRule="auto"/>
        <w:ind w:right="420"/>
        <w:contextualSpacing/>
        <w:jc w:val="left"/>
        <w:rPr>
          <w:rFonts w:ascii="宋体" w:hAnsi="宋体"/>
          <w:b/>
          <w:bCs/>
          <w:color w:val="auto"/>
          <w:sz w:val="32"/>
          <w:szCs w:val="32"/>
          <w:highlight w:val="none"/>
        </w:rPr>
      </w:pPr>
    </w:p>
    <w:p w14:paraId="021A6FEC">
      <w:pPr>
        <w:spacing w:line="360" w:lineRule="auto"/>
        <w:ind w:right="420"/>
        <w:contextualSpacing/>
        <w:jc w:val="left"/>
        <w:rPr>
          <w:rFonts w:ascii="宋体" w:hAnsi="宋体"/>
          <w:b/>
          <w:bCs/>
          <w:color w:val="auto"/>
          <w:sz w:val="32"/>
          <w:szCs w:val="32"/>
          <w:highlight w:val="none"/>
        </w:rPr>
      </w:pPr>
    </w:p>
    <w:p w14:paraId="4B4474D8">
      <w:pPr>
        <w:spacing w:line="360" w:lineRule="auto"/>
        <w:ind w:right="420"/>
        <w:contextualSpacing/>
        <w:jc w:val="left"/>
        <w:rPr>
          <w:rFonts w:ascii="宋体" w:hAnsi="宋体"/>
          <w:b/>
          <w:bCs/>
          <w:color w:val="auto"/>
          <w:sz w:val="32"/>
          <w:szCs w:val="32"/>
          <w:highlight w:val="none"/>
        </w:rPr>
      </w:pPr>
    </w:p>
    <w:p w14:paraId="1C436095">
      <w:pPr>
        <w:pStyle w:val="7"/>
        <w:rPr>
          <w:color w:val="auto"/>
          <w:highlight w:val="none"/>
        </w:rPr>
      </w:pPr>
    </w:p>
    <w:p w14:paraId="5FDD0400">
      <w:pPr>
        <w:pStyle w:val="7"/>
        <w:rPr>
          <w:color w:val="auto"/>
          <w:highlight w:val="none"/>
        </w:rPr>
      </w:pPr>
    </w:p>
    <w:p w14:paraId="3CEF65F7">
      <w:pPr>
        <w:pStyle w:val="7"/>
        <w:rPr>
          <w:color w:val="auto"/>
          <w:highlight w:val="none"/>
        </w:rPr>
      </w:pPr>
    </w:p>
    <w:p w14:paraId="47279922">
      <w:pPr>
        <w:pStyle w:val="7"/>
        <w:rPr>
          <w:color w:val="auto"/>
          <w:highlight w:val="none"/>
        </w:rPr>
      </w:pPr>
    </w:p>
    <w:p w14:paraId="552A967A">
      <w:pPr>
        <w:pStyle w:val="7"/>
        <w:rPr>
          <w:color w:val="auto"/>
          <w:highlight w:val="none"/>
        </w:rPr>
      </w:pPr>
    </w:p>
    <w:p w14:paraId="5DDB9A17">
      <w:pPr>
        <w:pStyle w:val="7"/>
        <w:rPr>
          <w:color w:val="auto"/>
          <w:highlight w:val="none"/>
        </w:rPr>
      </w:pPr>
    </w:p>
    <w:p w14:paraId="4CB3410B">
      <w:pPr>
        <w:pStyle w:val="7"/>
        <w:rPr>
          <w:color w:val="auto"/>
          <w:highlight w:val="none"/>
        </w:rPr>
      </w:pPr>
    </w:p>
    <w:p w14:paraId="13D310ED">
      <w:pPr>
        <w:pStyle w:val="7"/>
        <w:rPr>
          <w:color w:val="auto"/>
          <w:highlight w:val="none"/>
        </w:rPr>
      </w:pPr>
    </w:p>
    <w:p w14:paraId="233D03FB">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6CE6A4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7D02B8A">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8232FD0">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8EE20DF">
      <w:pPr>
        <w:snapToGrid w:val="0"/>
        <w:spacing w:before="156" w:beforeLines="50" w:after="50"/>
        <w:rPr>
          <w:rFonts w:ascii="宋体" w:hAnsi="宋体"/>
          <w:color w:val="auto"/>
          <w:sz w:val="24"/>
          <w:szCs w:val="20"/>
          <w:highlight w:val="none"/>
        </w:rPr>
      </w:pPr>
    </w:p>
    <w:p w14:paraId="226FCA7A">
      <w:pPr>
        <w:snapToGrid w:val="0"/>
        <w:spacing w:before="156" w:beforeLines="50" w:after="50"/>
        <w:rPr>
          <w:rFonts w:ascii="宋体" w:hAnsi="宋体"/>
          <w:color w:val="auto"/>
          <w:sz w:val="24"/>
          <w:szCs w:val="20"/>
          <w:highlight w:val="none"/>
        </w:rPr>
      </w:pPr>
    </w:p>
    <w:p w14:paraId="35B77E64">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B789486">
      <w:pPr>
        <w:snapToGrid w:val="0"/>
        <w:spacing w:before="156" w:beforeLines="50" w:after="50"/>
        <w:rPr>
          <w:rFonts w:ascii="宋体" w:hAnsi="宋体"/>
          <w:bCs/>
          <w:color w:val="auto"/>
          <w:sz w:val="24"/>
          <w:szCs w:val="20"/>
          <w:highlight w:val="none"/>
        </w:rPr>
      </w:pPr>
    </w:p>
    <w:p w14:paraId="3BE6BC7C">
      <w:pPr>
        <w:snapToGrid w:val="0"/>
        <w:spacing w:before="156" w:beforeLines="50" w:after="50"/>
        <w:rPr>
          <w:rFonts w:ascii="宋体" w:hAnsi="宋体"/>
          <w:bCs/>
          <w:color w:val="auto"/>
          <w:sz w:val="24"/>
          <w:szCs w:val="20"/>
          <w:highlight w:val="none"/>
        </w:rPr>
      </w:pPr>
    </w:p>
    <w:p w14:paraId="1DD9B8CA">
      <w:pPr>
        <w:snapToGrid w:val="0"/>
        <w:spacing w:before="156" w:beforeLines="50" w:after="50"/>
        <w:rPr>
          <w:rFonts w:ascii="宋体" w:hAnsi="宋体"/>
          <w:bCs/>
          <w:color w:val="auto"/>
          <w:sz w:val="24"/>
          <w:szCs w:val="20"/>
          <w:highlight w:val="none"/>
        </w:rPr>
      </w:pPr>
    </w:p>
    <w:p w14:paraId="4492EBC2">
      <w:pPr>
        <w:snapToGrid w:val="0"/>
        <w:spacing w:before="156" w:beforeLines="50" w:after="50"/>
        <w:rPr>
          <w:rFonts w:ascii="宋体" w:hAnsi="宋体"/>
          <w:bCs/>
          <w:color w:val="auto"/>
          <w:sz w:val="24"/>
          <w:szCs w:val="20"/>
          <w:highlight w:val="none"/>
        </w:rPr>
      </w:pPr>
    </w:p>
    <w:p w14:paraId="536B4B2A">
      <w:pPr>
        <w:snapToGrid w:val="0"/>
        <w:spacing w:before="156" w:beforeLines="50" w:after="50"/>
        <w:rPr>
          <w:rFonts w:ascii="宋体" w:hAnsi="宋体"/>
          <w:bCs/>
          <w:color w:val="auto"/>
          <w:sz w:val="24"/>
          <w:szCs w:val="20"/>
          <w:highlight w:val="none"/>
        </w:rPr>
      </w:pPr>
    </w:p>
    <w:p w14:paraId="562F745B">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58FA8B0">
      <w:pPr>
        <w:snapToGrid w:val="0"/>
        <w:spacing w:before="156" w:beforeLines="50" w:after="50"/>
        <w:ind w:firstLine="720" w:firstLineChars="225"/>
        <w:rPr>
          <w:rFonts w:ascii="宋体" w:hAnsi="宋体" w:cs="仿宋_GB2312"/>
          <w:bCs/>
          <w:color w:val="auto"/>
          <w:sz w:val="32"/>
          <w:szCs w:val="32"/>
          <w:highlight w:val="none"/>
        </w:rPr>
      </w:pPr>
    </w:p>
    <w:p w14:paraId="23475BC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398B43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44764ED">
      <w:pPr>
        <w:snapToGrid w:val="0"/>
        <w:spacing w:before="156" w:beforeLines="50" w:after="50"/>
        <w:ind w:firstLine="720" w:firstLineChars="225"/>
        <w:rPr>
          <w:rFonts w:ascii="宋体" w:hAnsi="宋体" w:cs="仿宋_GB2312"/>
          <w:bCs/>
          <w:color w:val="auto"/>
          <w:sz w:val="32"/>
          <w:szCs w:val="32"/>
          <w:highlight w:val="none"/>
        </w:rPr>
      </w:pPr>
    </w:p>
    <w:p w14:paraId="11F786A2">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FF4A09C">
      <w:pPr>
        <w:pStyle w:val="7"/>
        <w:snapToGrid w:val="0"/>
        <w:spacing w:before="50" w:after="50"/>
        <w:ind w:firstLine="640" w:firstLineChars="200"/>
        <w:rPr>
          <w:rFonts w:ascii="宋体" w:hAnsi="宋体" w:cs="仿宋_GB2312"/>
          <w:bCs/>
          <w:color w:val="auto"/>
          <w:sz w:val="32"/>
          <w:szCs w:val="32"/>
          <w:highlight w:val="none"/>
        </w:rPr>
      </w:pPr>
    </w:p>
    <w:p w14:paraId="46C25D82">
      <w:pPr>
        <w:pStyle w:val="7"/>
        <w:snapToGrid w:val="0"/>
        <w:spacing w:before="50" w:after="50"/>
        <w:ind w:firstLine="720" w:firstLineChars="225"/>
        <w:rPr>
          <w:rFonts w:ascii="宋体" w:hAnsi="宋体" w:cs="仿宋_GB2312"/>
          <w:bCs/>
          <w:color w:val="auto"/>
          <w:sz w:val="32"/>
          <w:szCs w:val="32"/>
          <w:highlight w:val="none"/>
        </w:rPr>
      </w:pPr>
    </w:p>
    <w:p w14:paraId="298A2017">
      <w:pPr>
        <w:pStyle w:val="7"/>
        <w:snapToGrid w:val="0"/>
        <w:spacing w:before="50" w:after="50"/>
        <w:ind w:firstLine="0"/>
        <w:rPr>
          <w:rFonts w:ascii="宋体" w:hAnsi="宋体" w:cs="仿宋_GB2312"/>
          <w:bCs/>
          <w:color w:val="auto"/>
          <w:sz w:val="32"/>
          <w:szCs w:val="32"/>
          <w:highlight w:val="none"/>
        </w:rPr>
      </w:pPr>
    </w:p>
    <w:p w14:paraId="32FDE05B">
      <w:pPr>
        <w:pStyle w:val="7"/>
        <w:snapToGrid w:val="0"/>
        <w:spacing w:before="50" w:after="50"/>
        <w:ind w:firstLine="1280" w:firstLineChars="400"/>
        <w:rPr>
          <w:rFonts w:ascii="宋体" w:hAnsi="宋体" w:cs="仿宋_GB2312"/>
          <w:bCs/>
          <w:color w:val="auto"/>
          <w:sz w:val="32"/>
          <w:szCs w:val="32"/>
          <w:highlight w:val="none"/>
        </w:rPr>
      </w:pPr>
    </w:p>
    <w:p w14:paraId="5094E045">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A6C8F67">
      <w:pP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1C6688A">
      <w:pPr>
        <w:spacing w:line="520" w:lineRule="exact"/>
        <w:jc w:val="center"/>
        <w:rPr>
          <w:rFonts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23A5555E">
      <w:pPr>
        <w:spacing w:line="520" w:lineRule="exact"/>
        <w:jc w:val="center"/>
        <w:rPr>
          <w:rFonts w:ascii="宋体" w:hAnsi="宋体" w:cs="方正小标宋简体"/>
          <w:b/>
          <w:bCs/>
          <w:color w:val="auto"/>
          <w:sz w:val="32"/>
          <w:szCs w:val="32"/>
          <w:highlight w:val="none"/>
        </w:rPr>
      </w:pPr>
    </w:p>
    <w:p w14:paraId="18C8CBD2">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A3FF481">
      <w:pPr>
        <w:spacing w:line="520" w:lineRule="exact"/>
        <w:jc w:val="center"/>
        <w:rPr>
          <w:rFonts w:ascii="宋体" w:hAnsi="宋体" w:cs="方正小标宋简体"/>
          <w:b/>
          <w:bCs/>
          <w:color w:val="auto"/>
          <w:sz w:val="32"/>
          <w:szCs w:val="32"/>
          <w:highlight w:val="none"/>
        </w:rPr>
      </w:pPr>
    </w:p>
    <w:p w14:paraId="3293E210">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6E545A8C">
      <w:pPr>
        <w:pStyle w:val="218"/>
        <w:numPr>
          <w:ilvl w:val="0"/>
          <w:numId w:val="2"/>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87" w:name="bookmark2065"/>
      <w:bookmarkEnd w:id="87"/>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eastAsia="zh-CN"/>
        </w:rPr>
        <w:t>磋商报价</w:t>
      </w:r>
      <w:r>
        <w:rPr>
          <w:rFonts w:hint="eastAsia" w:ascii="Times New Roman" w:hAnsi="Times New Roman" w:cs="Times New Roman"/>
          <w:color w:val="auto"/>
          <w:szCs w:val="21"/>
          <w:highlight w:val="none"/>
          <w:u w:val="single"/>
          <w:lang w:val="en-US"/>
        </w:rPr>
        <w:t>表</w:t>
      </w:r>
      <w:r>
        <w:rPr>
          <w:rFonts w:hint="eastAsia" w:ascii="Times New Roman" w:hAnsi="Times New Roman" w:cs="Times New Roman"/>
          <w:color w:val="auto"/>
          <w:szCs w:val="21"/>
          <w:highlight w:val="none"/>
          <w:u w:val="single"/>
        </w:rPr>
        <w:t>；</w:t>
      </w:r>
      <w:r>
        <w:rPr>
          <w:rFonts w:ascii="Times New Roman" w:hAnsi="Times New Roman" w:cs="Times New Roman"/>
          <w:color w:val="auto"/>
          <w:szCs w:val="21"/>
          <w:highlight w:val="none"/>
        </w:rPr>
        <w:t>工期</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eastAsia="zh-CN"/>
        </w:rPr>
        <w:t>磋商报价</w:t>
      </w:r>
      <w:r>
        <w:rPr>
          <w:rFonts w:hint="eastAsia" w:ascii="Times New Roman" w:hAnsi="Times New Roman" w:cs="Times New Roman"/>
          <w:color w:val="auto"/>
          <w:szCs w:val="21"/>
          <w:highlight w:val="none"/>
          <w:u w:val="single"/>
          <w:lang w:val="en-US"/>
        </w:rPr>
        <w:t>表</w:t>
      </w:r>
      <w:r>
        <w:rPr>
          <w:rFonts w:ascii="Times New Roman" w:hAnsi="Times New Roman" w:cs="Times New Roman"/>
          <w:color w:val="auto"/>
          <w:szCs w:val="21"/>
          <w:highlight w:val="none"/>
        </w:rPr>
        <w:t>，按合同约定实施和完成承包工程，修补工程中的任何缺陷，</w:t>
      </w:r>
      <w:r>
        <w:rPr>
          <w:rFonts w:hint="eastAsia" w:ascii="Times New Roman" w:hAnsi="Times New Roman" w:cs="Times New Roman"/>
          <w:color w:val="auto"/>
          <w:szCs w:val="21"/>
          <w:highlight w:val="none"/>
        </w:rPr>
        <w:t>承诺质量等级：</w:t>
      </w:r>
      <w:r>
        <w:rPr>
          <w:rFonts w:hint="eastAsia" w:ascii="Times New Roman" w:hAnsi="Times New Roman" w:cs="Times New Roman"/>
          <w:color w:val="auto"/>
          <w:szCs w:val="21"/>
          <w:highlight w:val="none"/>
          <w:u w:val="single"/>
        </w:rPr>
        <w:t>详见</w:t>
      </w:r>
      <w:r>
        <w:rPr>
          <w:rFonts w:hint="eastAsia" w:ascii="Times New Roman" w:hAnsi="Times New Roman" w:cs="Times New Roman"/>
          <w:color w:val="auto"/>
          <w:szCs w:val="21"/>
          <w:highlight w:val="none"/>
          <w:u w:val="single"/>
          <w:lang w:val="en-US" w:eastAsia="zh-CN"/>
        </w:rPr>
        <w:t>磋商报价</w:t>
      </w:r>
      <w:r>
        <w:rPr>
          <w:rFonts w:hint="eastAsia" w:ascii="Times New Roman" w:hAnsi="Times New Roman" w:cs="Times New Roman"/>
          <w:color w:val="auto"/>
          <w:szCs w:val="21"/>
          <w:highlight w:val="none"/>
          <w:u w:val="single"/>
          <w:lang w:val="en-US"/>
        </w:rPr>
        <w:t>表</w:t>
      </w:r>
      <w:r>
        <w:rPr>
          <w:rFonts w:ascii="Times New Roman" w:hAnsi="Times New Roman" w:cs="Times New Roman"/>
          <w:color w:val="auto"/>
          <w:szCs w:val="21"/>
          <w:highlight w:val="none"/>
          <w:lang w:val="en-US" w:bidi="en-US"/>
        </w:rPr>
        <w:t>。</w:t>
      </w:r>
    </w:p>
    <w:p w14:paraId="3522ABCA">
      <w:pPr>
        <w:pStyle w:val="218"/>
        <w:numPr>
          <w:ilvl w:val="0"/>
          <w:numId w:val="2"/>
        </w:numPr>
        <w:tabs>
          <w:tab w:val="left" w:pos="762"/>
        </w:tabs>
        <w:ind w:firstLine="420"/>
        <w:rPr>
          <w:rFonts w:ascii="Times New Roman" w:hAnsi="Times New Roman" w:cs="Times New Roman"/>
          <w:color w:val="auto"/>
          <w:szCs w:val="21"/>
          <w:highlight w:val="none"/>
        </w:rPr>
      </w:pPr>
      <w:bookmarkStart w:id="88" w:name="bookmark2067"/>
      <w:bookmarkEnd w:id="88"/>
      <w:bookmarkStart w:id="89" w:name="bookmark2066"/>
      <w:bookmarkEnd w:id="89"/>
      <w:bookmarkStart w:id="90" w:name="bookmark2068"/>
      <w:bookmarkEnd w:id="90"/>
      <w:r>
        <w:rPr>
          <w:rFonts w:hint="eastAsia"/>
          <w:color w:val="auto"/>
          <w:highlight w:val="none"/>
        </w:rPr>
        <w:t>我方承认竞标函附录是我方竞标函的组成部分。</w:t>
      </w:r>
    </w:p>
    <w:p w14:paraId="0E2532D6">
      <w:pPr>
        <w:pStyle w:val="218"/>
        <w:numPr>
          <w:ilvl w:val="0"/>
          <w:numId w:val="2"/>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41BF609">
      <w:pPr>
        <w:pStyle w:val="218"/>
        <w:tabs>
          <w:tab w:val="left" w:pos="903"/>
        </w:tabs>
        <w:ind w:firstLine="420"/>
        <w:rPr>
          <w:rFonts w:ascii="Times New Roman" w:hAnsi="Times New Roman" w:cs="Times New Roman"/>
          <w:color w:val="auto"/>
          <w:szCs w:val="21"/>
          <w:highlight w:val="none"/>
        </w:rPr>
      </w:pPr>
      <w:bookmarkStart w:id="91" w:name="bookmark2069"/>
      <w:r>
        <w:rPr>
          <w:rFonts w:ascii="Times New Roman" w:hAnsi="Times New Roman" w:cs="Times New Roman"/>
          <w:color w:val="auto"/>
          <w:szCs w:val="21"/>
          <w:highlight w:val="none"/>
        </w:rPr>
        <w:t>（</w:t>
      </w:r>
      <w:bookmarkEnd w:id="91"/>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7FBA9D3E">
      <w:pPr>
        <w:pStyle w:val="218"/>
        <w:tabs>
          <w:tab w:val="left" w:pos="903"/>
        </w:tabs>
        <w:ind w:firstLine="420"/>
        <w:rPr>
          <w:rFonts w:ascii="Times New Roman" w:hAnsi="Times New Roman" w:cs="Times New Roman"/>
          <w:color w:val="auto"/>
          <w:szCs w:val="21"/>
          <w:highlight w:val="none"/>
        </w:rPr>
      </w:pPr>
      <w:bookmarkStart w:id="92" w:name="bookmark2070"/>
      <w:r>
        <w:rPr>
          <w:rFonts w:ascii="Times New Roman" w:hAnsi="Times New Roman" w:cs="Times New Roman"/>
          <w:color w:val="auto"/>
          <w:szCs w:val="21"/>
          <w:highlight w:val="none"/>
        </w:rPr>
        <w:t>（</w:t>
      </w:r>
      <w:bookmarkEnd w:id="92"/>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352F5BE5">
      <w:pPr>
        <w:pStyle w:val="218"/>
        <w:tabs>
          <w:tab w:val="left" w:pos="903"/>
        </w:tabs>
        <w:ind w:firstLine="420"/>
        <w:rPr>
          <w:rFonts w:ascii="Times New Roman" w:hAnsi="Times New Roman" w:cs="Times New Roman"/>
          <w:color w:val="auto"/>
          <w:szCs w:val="21"/>
          <w:highlight w:val="none"/>
        </w:rPr>
      </w:pPr>
      <w:bookmarkStart w:id="93" w:name="bookmark2071"/>
      <w:r>
        <w:rPr>
          <w:rFonts w:ascii="Times New Roman" w:hAnsi="Times New Roman" w:cs="Times New Roman"/>
          <w:color w:val="auto"/>
          <w:szCs w:val="21"/>
          <w:highlight w:val="none"/>
        </w:rPr>
        <w:t>（</w:t>
      </w:r>
      <w:bookmarkEnd w:id="93"/>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74E52A25">
      <w:pPr>
        <w:pStyle w:val="218"/>
        <w:tabs>
          <w:tab w:val="left" w:pos="903"/>
        </w:tabs>
        <w:ind w:firstLine="420"/>
        <w:rPr>
          <w:rFonts w:ascii="Times New Roman" w:hAnsi="Times New Roman" w:cs="Times New Roman"/>
          <w:color w:val="auto"/>
          <w:szCs w:val="21"/>
          <w:highlight w:val="none"/>
        </w:rPr>
      </w:pPr>
      <w:bookmarkStart w:id="94" w:name="bookmark2072"/>
      <w:r>
        <w:rPr>
          <w:rFonts w:ascii="Times New Roman" w:hAnsi="Times New Roman" w:cs="Times New Roman"/>
          <w:color w:val="auto"/>
          <w:szCs w:val="21"/>
          <w:highlight w:val="none"/>
        </w:rPr>
        <w:t>（</w:t>
      </w:r>
      <w:bookmarkEnd w:id="94"/>
      <w:r>
        <w:rPr>
          <w:rFonts w:ascii="Times New Roman" w:hAnsi="Times New Roman" w:cs="Times New Roman"/>
          <w:color w:val="auto"/>
          <w:szCs w:val="21"/>
          <w:highlight w:val="none"/>
        </w:rPr>
        <w:t>4）我方承诺在合同约定的期限内完成并移交全部合同工程。</w:t>
      </w:r>
    </w:p>
    <w:p w14:paraId="168EB1FF">
      <w:pPr>
        <w:pStyle w:val="218"/>
        <w:numPr>
          <w:ilvl w:val="0"/>
          <w:numId w:val="2"/>
        </w:numPr>
        <w:tabs>
          <w:tab w:val="left" w:pos="762"/>
        </w:tabs>
        <w:ind w:firstLine="440"/>
        <w:rPr>
          <w:rFonts w:ascii="Times New Roman" w:hAnsi="Times New Roman" w:cs="Times New Roman"/>
          <w:color w:val="auto"/>
          <w:szCs w:val="21"/>
          <w:highlight w:val="none"/>
        </w:rPr>
      </w:pPr>
      <w:bookmarkStart w:id="95" w:name="bookmark2073"/>
      <w:bookmarkEnd w:id="95"/>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7B4F547B">
      <w:pPr>
        <w:spacing w:line="360" w:lineRule="auto"/>
        <w:ind w:firstLine="420" w:firstLineChars="200"/>
        <w:rPr>
          <w:color w:val="auto"/>
          <w:szCs w:val="21"/>
          <w:highlight w:val="none"/>
        </w:rPr>
      </w:pPr>
      <w:bookmarkStart w:id="96" w:name="bookmark2074"/>
      <w:bookmarkEnd w:id="96"/>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2D68F28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E2C60EF">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78F8664">
      <w:pPr>
        <w:spacing w:line="360" w:lineRule="auto"/>
        <w:jc w:val="center"/>
        <w:rPr>
          <w:rFonts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AD5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2394CD">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vAlign w:val="center"/>
          </w:tcPr>
          <w:p w14:paraId="68105AA8">
            <w:pPr>
              <w:jc w:val="center"/>
              <w:rPr>
                <w:color w:val="auto"/>
                <w:highlight w:val="none"/>
              </w:rPr>
            </w:pPr>
            <w:r>
              <w:rPr>
                <w:rFonts w:hint="eastAsia" w:cs="宋体"/>
                <w:color w:val="auto"/>
                <w:highlight w:val="none"/>
              </w:rPr>
              <w:t>条款内容</w:t>
            </w:r>
          </w:p>
        </w:tc>
        <w:tc>
          <w:tcPr>
            <w:tcW w:w="2126" w:type="dxa"/>
            <w:vAlign w:val="center"/>
          </w:tcPr>
          <w:p w14:paraId="5672C53B">
            <w:pPr>
              <w:jc w:val="center"/>
              <w:rPr>
                <w:color w:val="auto"/>
                <w:highlight w:val="none"/>
              </w:rPr>
            </w:pPr>
            <w:r>
              <w:rPr>
                <w:rFonts w:hint="eastAsia" w:cs="宋体"/>
                <w:color w:val="auto"/>
                <w:highlight w:val="none"/>
              </w:rPr>
              <w:t>合同条款号</w:t>
            </w:r>
          </w:p>
        </w:tc>
        <w:tc>
          <w:tcPr>
            <w:tcW w:w="1984" w:type="dxa"/>
            <w:vAlign w:val="center"/>
          </w:tcPr>
          <w:p w14:paraId="0C055F59">
            <w:pPr>
              <w:jc w:val="center"/>
              <w:rPr>
                <w:color w:val="auto"/>
                <w:highlight w:val="none"/>
              </w:rPr>
            </w:pPr>
            <w:r>
              <w:rPr>
                <w:rFonts w:hint="eastAsia" w:cs="宋体"/>
                <w:color w:val="auto"/>
                <w:highlight w:val="none"/>
              </w:rPr>
              <w:t>约定内容</w:t>
            </w:r>
          </w:p>
        </w:tc>
        <w:tc>
          <w:tcPr>
            <w:tcW w:w="1843" w:type="dxa"/>
            <w:vAlign w:val="center"/>
          </w:tcPr>
          <w:p w14:paraId="452796EC">
            <w:pPr>
              <w:jc w:val="center"/>
              <w:rPr>
                <w:color w:val="auto"/>
                <w:highlight w:val="none"/>
              </w:rPr>
            </w:pPr>
            <w:r>
              <w:rPr>
                <w:rFonts w:hint="eastAsia" w:cs="宋体"/>
                <w:color w:val="auto"/>
                <w:highlight w:val="none"/>
              </w:rPr>
              <w:t>供应商响应情况</w:t>
            </w:r>
          </w:p>
        </w:tc>
      </w:tr>
      <w:tr w14:paraId="5E66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69C5A5">
            <w:pPr>
              <w:jc w:val="center"/>
              <w:rPr>
                <w:color w:val="auto"/>
                <w:highlight w:val="none"/>
              </w:rPr>
            </w:pPr>
            <w:r>
              <w:rPr>
                <w:color w:val="auto"/>
                <w:highlight w:val="none"/>
              </w:rPr>
              <w:t>1</w:t>
            </w:r>
          </w:p>
        </w:tc>
        <w:tc>
          <w:tcPr>
            <w:tcW w:w="1985" w:type="dxa"/>
            <w:vAlign w:val="center"/>
          </w:tcPr>
          <w:p w14:paraId="15CFFF05">
            <w:pPr>
              <w:rPr>
                <w:color w:val="auto"/>
                <w:highlight w:val="none"/>
              </w:rPr>
            </w:pPr>
            <w:r>
              <w:rPr>
                <w:rFonts w:hint="eastAsia" w:cs="宋体"/>
                <w:color w:val="auto"/>
                <w:highlight w:val="none"/>
              </w:rPr>
              <w:t>项目经理</w:t>
            </w:r>
          </w:p>
        </w:tc>
        <w:tc>
          <w:tcPr>
            <w:tcW w:w="2126" w:type="dxa"/>
            <w:tcMar>
              <w:left w:w="170" w:type="dxa"/>
            </w:tcMar>
            <w:vAlign w:val="center"/>
          </w:tcPr>
          <w:p w14:paraId="67771F82">
            <w:pPr>
              <w:jc w:val="center"/>
              <w:rPr>
                <w:color w:val="auto"/>
                <w:highlight w:val="none"/>
              </w:rPr>
            </w:pPr>
            <w:r>
              <w:rPr>
                <w:rFonts w:hint="eastAsia" w:cs="宋体"/>
                <w:color w:val="auto"/>
                <w:highlight w:val="none"/>
              </w:rPr>
              <w:t>专用条款</w:t>
            </w:r>
          </w:p>
        </w:tc>
        <w:tc>
          <w:tcPr>
            <w:tcW w:w="1984" w:type="dxa"/>
            <w:vAlign w:val="center"/>
          </w:tcPr>
          <w:p w14:paraId="60009D02">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vAlign w:val="center"/>
          </w:tcPr>
          <w:p w14:paraId="12944D51">
            <w:pPr>
              <w:jc w:val="center"/>
              <w:rPr>
                <w:color w:val="auto"/>
                <w:highlight w:val="none"/>
              </w:rPr>
            </w:pPr>
          </w:p>
        </w:tc>
      </w:tr>
      <w:tr w14:paraId="0394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8AD2951">
            <w:pPr>
              <w:jc w:val="center"/>
              <w:rPr>
                <w:color w:val="auto"/>
                <w:highlight w:val="none"/>
              </w:rPr>
            </w:pPr>
            <w:r>
              <w:rPr>
                <w:color w:val="auto"/>
                <w:highlight w:val="none"/>
              </w:rPr>
              <w:t>2</w:t>
            </w:r>
          </w:p>
        </w:tc>
        <w:tc>
          <w:tcPr>
            <w:tcW w:w="1985" w:type="dxa"/>
            <w:vAlign w:val="center"/>
          </w:tcPr>
          <w:p w14:paraId="1616D1EF">
            <w:pPr>
              <w:rPr>
                <w:color w:val="auto"/>
                <w:highlight w:val="none"/>
              </w:rPr>
            </w:pPr>
            <w:r>
              <w:rPr>
                <w:rFonts w:hint="eastAsia" w:cs="宋体"/>
                <w:color w:val="auto"/>
                <w:highlight w:val="none"/>
              </w:rPr>
              <w:t>竞标有效期</w:t>
            </w:r>
          </w:p>
        </w:tc>
        <w:tc>
          <w:tcPr>
            <w:tcW w:w="2126" w:type="dxa"/>
            <w:tcMar>
              <w:left w:w="170" w:type="dxa"/>
            </w:tcMar>
            <w:vAlign w:val="center"/>
          </w:tcPr>
          <w:p w14:paraId="04807892">
            <w:pPr>
              <w:rPr>
                <w:color w:val="auto"/>
                <w:highlight w:val="none"/>
              </w:rPr>
            </w:pPr>
          </w:p>
        </w:tc>
        <w:tc>
          <w:tcPr>
            <w:tcW w:w="1984" w:type="dxa"/>
            <w:vAlign w:val="center"/>
          </w:tcPr>
          <w:p w14:paraId="4F9E3C19">
            <w:pPr>
              <w:jc w:val="center"/>
              <w:rPr>
                <w:color w:val="auto"/>
                <w:highlight w:val="none"/>
                <w:u w:val="single"/>
              </w:rPr>
            </w:pPr>
          </w:p>
        </w:tc>
        <w:tc>
          <w:tcPr>
            <w:tcW w:w="1843" w:type="dxa"/>
            <w:vAlign w:val="center"/>
          </w:tcPr>
          <w:p w14:paraId="04747ABB">
            <w:pPr>
              <w:jc w:val="center"/>
              <w:rPr>
                <w:color w:val="auto"/>
                <w:highlight w:val="none"/>
              </w:rPr>
            </w:pPr>
          </w:p>
        </w:tc>
      </w:tr>
      <w:tr w14:paraId="3772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5D8645C">
            <w:pPr>
              <w:jc w:val="center"/>
              <w:rPr>
                <w:color w:val="auto"/>
                <w:highlight w:val="none"/>
              </w:rPr>
            </w:pPr>
            <w:r>
              <w:rPr>
                <w:color w:val="auto"/>
                <w:highlight w:val="none"/>
              </w:rPr>
              <w:t>3</w:t>
            </w:r>
          </w:p>
        </w:tc>
        <w:tc>
          <w:tcPr>
            <w:tcW w:w="1985" w:type="dxa"/>
            <w:vAlign w:val="center"/>
          </w:tcPr>
          <w:p w14:paraId="598EBF37">
            <w:pPr>
              <w:rPr>
                <w:color w:val="auto"/>
                <w:highlight w:val="none"/>
              </w:rPr>
            </w:pPr>
            <w:r>
              <w:rPr>
                <w:rFonts w:hint="eastAsia" w:cs="宋体"/>
                <w:color w:val="auto"/>
                <w:highlight w:val="none"/>
              </w:rPr>
              <w:t>工期</w:t>
            </w:r>
          </w:p>
        </w:tc>
        <w:tc>
          <w:tcPr>
            <w:tcW w:w="2126" w:type="dxa"/>
            <w:tcMar>
              <w:left w:w="170" w:type="dxa"/>
            </w:tcMar>
            <w:vAlign w:val="center"/>
          </w:tcPr>
          <w:p w14:paraId="544A77BF">
            <w:pPr>
              <w:jc w:val="center"/>
              <w:rPr>
                <w:color w:val="auto"/>
                <w:highlight w:val="none"/>
              </w:rPr>
            </w:pPr>
            <w:r>
              <w:rPr>
                <w:rFonts w:hint="eastAsia" w:cs="宋体"/>
                <w:color w:val="auto"/>
                <w:highlight w:val="none"/>
              </w:rPr>
              <w:t>专用条款</w:t>
            </w:r>
          </w:p>
        </w:tc>
        <w:tc>
          <w:tcPr>
            <w:tcW w:w="1984" w:type="dxa"/>
            <w:vAlign w:val="center"/>
          </w:tcPr>
          <w:p w14:paraId="47E0C143">
            <w:pPr>
              <w:jc w:val="center"/>
              <w:rPr>
                <w:color w:val="auto"/>
                <w:highlight w:val="none"/>
              </w:rPr>
            </w:pPr>
            <w:r>
              <w:rPr>
                <w:color w:val="auto"/>
                <w:highlight w:val="none"/>
                <w:u w:val="single"/>
              </w:rPr>
              <w:t xml:space="preserve">          </w:t>
            </w:r>
            <w:r>
              <w:rPr>
                <w:rFonts w:hint="eastAsia" w:cs="宋体"/>
                <w:color w:val="auto"/>
                <w:highlight w:val="none"/>
              </w:rPr>
              <w:t>日历天</w:t>
            </w:r>
          </w:p>
        </w:tc>
        <w:tc>
          <w:tcPr>
            <w:tcW w:w="1843" w:type="dxa"/>
            <w:vAlign w:val="center"/>
          </w:tcPr>
          <w:p w14:paraId="1463103E">
            <w:pPr>
              <w:jc w:val="center"/>
              <w:rPr>
                <w:color w:val="auto"/>
                <w:highlight w:val="none"/>
              </w:rPr>
            </w:pPr>
          </w:p>
        </w:tc>
      </w:tr>
      <w:tr w14:paraId="77BB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C0A9404">
            <w:pPr>
              <w:jc w:val="center"/>
              <w:rPr>
                <w:color w:val="auto"/>
                <w:highlight w:val="none"/>
              </w:rPr>
            </w:pPr>
            <w:r>
              <w:rPr>
                <w:color w:val="auto"/>
                <w:highlight w:val="none"/>
              </w:rPr>
              <w:t>4</w:t>
            </w:r>
          </w:p>
        </w:tc>
        <w:tc>
          <w:tcPr>
            <w:tcW w:w="1985" w:type="dxa"/>
            <w:vAlign w:val="center"/>
          </w:tcPr>
          <w:p w14:paraId="4CDD2A41">
            <w:pPr>
              <w:rPr>
                <w:color w:val="auto"/>
                <w:highlight w:val="none"/>
              </w:rPr>
            </w:pPr>
            <w:r>
              <w:rPr>
                <w:rFonts w:hint="eastAsia" w:cs="宋体"/>
                <w:color w:val="auto"/>
                <w:highlight w:val="none"/>
              </w:rPr>
              <w:t>缺陷责任期</w:t>
            </w:r>
          </w:p>
        </w:tc>
        <w:tc>
          <w:tcPr>
            <w:tcW w:w="2126" w:type="dxa"/>
            <w:tcMar>
              <w:left w:w="170" w:type="dxa"/>
            </w:tcMar>
            <w:vAlign w:val="center"/>
          </w:tcPr>
          <w:p w14:paraId="5BAAE06B">
            <w:pPr>
              <w:jc w:val="center"/>
              <w:rPr>
                <w:color w:val="auto"/>
                <w:highlight w:val="none"/>
              </w:rPr>
            </w:pPr>
            <w:r>
              <w:rPr>
                <w:rFonts w:hint="eastAsia" w:cs="宋体"/>
                <w:color w:val="auto"/>
                <w:highlight w:val="none"/>
              </w:rPr>
              <w:t>专用条款</w:t>
            </w:r>
          </w:p>
        </w:tc>
        <w:tc>
          <w:tcPr>
            <w:tcW w:w="1984" w:type="dxa"/>
            <w:vAlign w:val="center"/>
          </w:tcPr>
          <w:p w14:paraId="45705CC9">
            <w:pPr>
              <w:jc w:val="center"/>
              <w:rPr>
                <w:color w:val="auto"/>
                <w:highlight w:val="none"/>
              </w:rPr>
            </w:pPr>
          </w:p>
        </w:tc>
        <w:tc>
          <w:tcPr>
            <w:tcW w:w="1843" w:type="dxa"/>
            <w:vAlign w:val="center"/>
          </w:tcPr>
          <w:p w14:paraId="02A464CA">
            <w:pPr>
              <w:jc w:val="center"/>
              <w:rPr>
                <w:color w:val="auto"/>
                <w:highlight w:val="none"/>
              </w:rPr>
            </w:pPr>
          </w:p>
        </w:tc>
      </w:tr>
      <w:tr w14:paraId="24FF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3BBFB8">
            <w:pPr>
              <w:jc w:val="center"/>
              <w:rPr>
                <w:color w:val="auto"/>
                <w:highlight w:val="none"/>
              </w:rPr>
            </w:pPr>
            <w:r>
              <w:rPr>
                <w:color w:val="auto"/>
                <w:highlight w:val="none"/>
              </w:rPr>
              <w:t>5</w:t>
            </w:r>
          </w:p>
        </w:tc>
        <w:tc>
          <w:tcPr>
            <w:tcW w:w="1985" w:type="dxa"/>
            <w:vAlign w:val="center"/>
          </w:tcPr>
          <w:p w14:paraId="4036DAC6">
            <w:pPr>
              <w:rPr>
                <w:color w:val="auto"/>
                <w:highlight w:val="none"/>
              </w:rPr>
            </w:pPr>
            <w:r>
              <w:rPr>
                <w:rFonts w:hint="eastAsia" w:cs="宋体"/>
                <w:color w:val="auto"/>
                <w:highlight w:val="none"/>
              </w:rPr>
              <w:t>发包人支付担保</w:t>
            </w:r>
          </w:p>
        </w:tc>
        <w:tc>
          <w:tcPr>
            <w:tcW w:w="2126" w:type="dxa"/>
            <w:tcMar>
              <w:left w:w="170" w:type="dxa"/>
            </w:tcMar>
            <w:vAlign w:val="center"/>
          </w:tcPr>
          <w:p w14:paraId="1373AB1C">
            <w:pPr>
              <w:jc w:val="center"/>
              <w:rPr>
                <w:color w:val="auto"/>
                <w:highlight w:val="none"/>
              </w:rPr>
            </w:pPr>
            <w:r>
              <w:rPr>
                <w:rFonts w:hint="eastAsia" w:cs="宋体"/>
                <w:color w:val="auto"/>
                <w:highlight w:val="none"/>
              </w:rPr>
              <w:t>专用条款</w:t>
            </w:r>
          </w:p>
        </w:tc>
        <w:tc>
          <w:tcPr>
            <w:tcW w:w="1984" w:type="dxa"/>
            <w:vAlign w:val="center"/>
          </w:tcPr>
          <w:p w14:paraId="57780818">
            <w:pPr>
              <w:jc w:val="center"/>
              <w:rPr>
                <w:color w:val="auto"/>
                <w:highlight w:val="none"/>
              </w:rPr>
            </w:pPr>
          </w:p>
        </w:tc>
        <w:tc>
          <w:tcPr>
            <w:tcW w:w="1843" w:type="dxa"/>
            <w:vAlign w:val="center"/>
          </w:tcPr>
          <w:p w14:paraId="32DB6007">
            <w:pPr>
              <w:jc w:val="center"/>
              <w:rPr>
                <w:color w:val="auto"/>
                <w:highlight w:val="none"/>
              </w:rPr>
            </w:pPr>
          </w:p>
        </w:tc>
      </w:tr>
      <w:tr w14:paraId="4CD9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3AF6C2C">
            <w:pPr>
              <w:jc w:val="center"/>
              <w:rPr>
                <w:color w:val="auto"/>
                <w:highlight w:val="none"/>
              </w:rPr>
            </w:pPr>
            <w:r>
              <w:rPr>
                <w:color w:val="auto"/>
                <w:highlight w:val="none"/>
              </w:rPr>
              <w:t>6</w:t>
            </w:r>
          </w:p>
        </w:tc>
        <w:tc>
          <w:tcPr>
            <w:tcW w:w="1985" w:type="dxa"/>
            <w:vAlign w:val="center"/>
          </w:tcPr>
          <w:p w14:paraId="7BD59731">
            <w:pPr>
              <w:rPr>
                <w:color w:val="auto"/>
                <w:highlight w:val="none"/>
              </w:rPr>
            </w:pPr>
            <w:r>
              <w:rPr>
                <w:rFonts w:hint="eastAsia" w:cs="宋体"/>
                <w:color w:val="auto"/>
                <w:highlight w:val="none"/>
              </w:rPr>
              <w:t>承包人履约担保金额</w:t>
            </w:r>
          </w:p>
        </w:tc>
        <w:tc>
          <w:tcPr>
            <w:tcW w:w="2126" w:type="dxa"/>
            <w:tcMar>
              <w:left w:w="170" w:type="dxa"/>
            </w:tcMar>
            <w:vAlign w:val="center"/>
          </w:tcPr>
          <w:p w14:paraId="4C163061">
            <w:pPr>
              <w:jc w:val="center"/>
              <w:rPr>
                <w:color w:val="auto"/>
                <w:highlight w:val="none"/>
              </w:rPr>
            </w:pPr>
            <w:r>
              <w:rPr>
                <w:rFonts w:hint="eastAsia" w:cs="宋体"/>
                <w:color w:val="auto"/>
                <w:highlight w:val="none"/>
              </w:rPr>
              <w:t>专用条款</w:t>
            </w:r>
          </w:p>
        </w:tc>
        <w:tc>
          <w:tcPr>
            <w:tcW w:w="1984" w:type="dxa"/>
            <w:vAlign w:val="center"/>
          </w:tcPr>
          <w:p w14:paraId="0A4AE391">
            <w:pPr>
              <w:jc w:val="center"/>
              <w:rPr>
                <w:color w:val="auto"/>
                <w:highlight w:val="none"/>
              </w:rPr>
            </w:pPr>
          </w:p>
        </w:tc>
        <w:tc>
          <w:tcPr>
            <w:tcW w:w="1843" w:type="dxa"/>
            <w:vAlign w:val="center"/>
          </w:tcPr>
          <w:p w14:paraId="7608DB7C">
            <w:pPr>
              <w:jc w:val="center"/>
              <w:rPr>
                <w:color w:val="auto"/>
                <w:highlight w:val="none"/>
              </w:rPr>
            </w:pPr>
          </w:p>
        </w:tc>
      </w:tr>
      <w:tr w14:paraId="0F6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9BE7AD">
            <w:pPr>
              <w:jc w:val="center"/>
              <w:rPr>
                <w:color w:val="auto"/>
                <w:highlight w:val="none"/>
              </w:rPr>
            </w:pPr>
            <w:r>
              <w:rPr>
                <w:color w:val="auto"/>
                <w:highlight w:val="none"/>
              </w:rPr>
              <w:t>7</w:t>
            </w:r>
          </w:p>
        </w:tc>
        <w:tc>
          <w:tcPr>
            <w:tcW w:w="1985" w:type="dxa"/>
            <w:vAlign w:val="center"/>
          </w:tcPr>
          <w:p w14:paraId="2113A314">
            <w:pPr>
              <w:rPr>
                <w:color w:val="auto"/>
                <w:highlight w:val="none"/>
              </w:rPr>
            </w:pPr>
            <w:r>
              <w:rPr>
                <w:rFonts w:hint="eastAsia" w:cs="宋体"/>
                <w:color w:val="auto"/>
                <w:highlight w:val="none"/>
              </w:rPr>
              <w:t>分包</w:t>
            </w:r>
          </w:p>
        </w:tc>
        <w:tc>
          <w:tcPr>
            <w:tcW w:w="2126" w:type="dxa"/>
            <w:tcMar>
              <w:left w:w="170" w:type="dxa"/>
            </w:tcMar>
            <w:vAlign w:val="center"/>
          </w:tcPr>
          <w:p w14:paraId="0963F7D5">
            <w:pPr>
              <w:jc w:val="center"/>
              <w:rPr>
                <w:color w:val="auto"/>
                <w:highlight w:val="none"/>
              </w:rPr>
            </w:pPr>
            <w:r>
              <w:rPr>
                <w:rFonts w:hint="eastAsia" w:cs="宋体"/>
                <w:color w:val="auto"/>
                <w:highlight w:val="none"/>
              </w:rPr>
              <w:t>专用条款</w:t>
            </w:r>
          </w:p>
        </w:tc>
        <w:tc>
          <w:tcPr>
            <w:tcW w:w="1984" w:type="dxa"/>
            <w:vAlign w:val="center"/>
          </w:tcPr>
          <w:p w14:paraId="5B275761">
            <w:pPr>
              <w:jc w:val="center"/>
              <w:rPr>
                <w:color w:val="auto"/>
                <w:highlight w:val="none"/>
              </w:rPr>
            </w:pPr>
            <w:r>
              <w:rPr>
                <w:rFonts w:hint="eastAsia" w:cs="宋体"/>
                <w:color w:val="auto"/>
                <w:highlight w:val="none"/>
              </w:rPr>
              <w:t>见分包项目情况表</w:t>
            </w:r>
          </w:p>
        </w:tc>
        <w:tc>
          <w:tcPr>
            <w:tcW w:w="1843" w:type="dxa"/>
            <w:vAlign w:val="center"/>
          </w:tcPr>
          <w:p w14:paraId="0F501C80">
            <w:pPr>
              <w:jc w:val="center"/>
              <w:rPr>
                <w:color w:val="auto"/>
                <w:highlight w:val="none"/>
              </w:rPr>
            </w:pPr>
          </w:p>
        </w:tc>
      </w:tr>
      <w:tr w14:paraId="13C4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CFBE30">
            <w:pPr>
              <w:jc w:val="center"/>
              <w:rPr>
                <w:color w:val="auto"/>
                <w:highlight w:val="none"/>
              </w:rPr>
            </w:pPr>
            <w:r>
              <w:rPr>
                <w:color w:val="auto"/>
                <w:highlight w:val="none"/>
              </w:rPr>
              <w:t>8</w:t>
            </w:r>
          </w:p>
        </w:tc>
        <w:tc>
          <w:tcPr>
            <w:tcW w:w="1985" w:type="dxa"/>
            <w:vAlign w:val="center"/>
          </w:tcPr>
          <w:p w14:paraId="36C00451">
            <w:pPr>
              <w:rPr>
                <w:color w:val="auto"/>
                <w:highlight w:val="none"/>
              </w:rPr>
            </w:pPr>
            <w:r>
              <w:rPr>
                <w:rFonts w:hint="eastAsia" w:cs="宋体"/>
                <w:color w:val="auto"/>
                <w:highlight w:val="none"/>
              </w:rPr>
              <w:t>逾期竣工违约金</w:t>
            </w:r>
          </w:p>
        </w:tc>
        <w:tc>
          <w:tcPr>
            <w:tcW w:w="2126" w:type="dxa"/>
            <w:tcMar>
              <w:left w:w="170" w:type="dxa"/>
            </w:tcMar>
            <w:vAlign w:val="center"/>
          </w:tcPr>
          <w:p w14:paraId="7F7258D6">
            <w:pPr>
              <w:jc w:val="center"/>
              <w:rPr>
                <w:color w:val="auto"/>
                <w:highlight w:val="none"/>
              </w:rPr>
            </w:pPr>
            <w:r>
              <w:rPr>
                <w:rFonts w:hint="eastAsia" w:cs="宋体"/>
                <w:color w:val="auto"/>
                <w:highlight w:val="none"/>
              </w:rPr>
              <w:t>专用条款</w:t>
            </w:r>
          </w:p>
        </w:tc>
        <w:tc>
          <w:tcPr>
            <w:tcW w:w="1984" w:type="dxa"/>
            <w:vAlign w:val="center"/>
          </w:tcPr>
          <w:p w14:paraId="60C6F989">
            <w:pPr>
              <w:rPr>
                <w:color w:val="auto"/>
                <w:highlight w:val="none"/>
              </w:rPr>
            </w:pPr>
          </w:p>
        </w:tc>
        <w:tc>
          <w:tcPr>
            <w:tcW w:w="1843" w:type="dxa"/>
            <w:vAlign w:val="center"/>
          </w:tcPr>
          <w:p w14:paraId="4C5FD6E8">
            <w:pPr>
              <w:jc w:val="center"/>
              <w:rPr>
                <w:color w:val="auto"/>
                <w:highlight w:val="none"/>
              </w:rPr>
            </w:pPr>
          </w:p>
        </w:tc>
      </w:tr>
      <w:tr w14:paraId="158C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202E0EB">
            <w:pPr>
              <w:jc w:val="center"/>
              <w:rPr>
                <w:color w:val="auto"/>
                <w:highlight w:val="none"/>
              </w:rPr>
            </w:pPr>
            <w:r>
              <w:rPr>
                <w:color w:val="auto"/>
                <w:highlight w:val="none"/>
              </w:rPr>
              <w:t>9</w:t>
            </w:r>
          </w:p>
        </w:tc>
        <w:tc>
          <w:tcPr>
            <w:tcW w:w="1985" w:type="dxa"/>
            <w:vAlign w:val="center"/>
          </w:tcPr>
          <w:p w14:paraId="737B8D75">
            <w:pPr>
              <w:rPr>
                <w:color w:val="auto"/>
                <w:highlight w:val="none"/>
              </w:rPr>
            </w:pPr>
            <w:r>
              <w:rPr>
                <w:rFonts w:hint="eastAsia" w:cs="宋体"/>
                <w:color w:val="auto"/>
                <w:highlight w:val="none"/>
              </w:rPr>
              <w:t>逾期竣工违约金最高限额</w:t>
            </w:r>
          </w:p>
        </w:tc>
        <w:tc>
          <w:tcPr>
            <w:tcW w:w="2126" w:type="dxa"/>
            <w:tcMar>
              <w:left w:w="170" w:type="dxa"/>
            </w:tcMar>
            <w:vAlign w:val="center"/>
          </w:tcPr>
          <w:p w14:paraId="65EEA588">
            <w:pPr>
              <w:jc w:val="center"/>
              <w:rPr>
                <w:color w:val="auto"/>
                <w:highlight w:val="none"/>
              </w:rPr>
            </w:pPr>
            <w:r>
              <w:rPr>
                <w:rFonts w:hint="eastAsia" w:cs="宋体"/>
                <w:color w:val="auto"/>
                <w:highlight w:val="none"/>
              </w:rPr>
              <w:t>专用条款</w:t>
            </w:r>
          </w:p>
        </w:tc>
        <w:tc>
          <w:tcPr>
            <w:tcW w:w="1984" w:type="dxa"/>
            <w:vAlign w:val="center"/>
          </w:tcPr>
          <w:p w14:paraId="0F513F21">
            <w:pPr>
              <w:rPr>
                <w:color w:val="auto"/>
                <w:highlight w:val="none"/>
              </w:rPr>
            </w:pPr>
          </w:p>
        </w:tc>
        <w:tc>
          <w:tcPr>
            <w:tcW w:w="1843" w:type="dxa"/>
            <w:vAlign w:val="center"/>
          </w:tcPr>
          <w:p w14:paraId="3AEF9DF8">
            <w:pPr>
              <w:jc w:val="center"/>
              <w:rPr>
                <w:color w:val="auto"/>
                <w:highlight w:val="none"/>
              </w:rPr>
            </w:pPr>
          </w:p>
        </w:tc>
      </w:tr>
      <w:tr w14:paraId="0BC8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86043EE">
            <w:pPr>
              <w:jc w:val="center"/>
              <w:rPr>
                <w:color w:val="auto"/>
                <w:highlight w:val="none"/>
              </w:rPr>
            </w:pPr>
            <w:r>
              <w:rPr>
                <w:color w:val="auto"/>
                <w:highlight w:val="none"/>
              </w:rPr>
              <w:t>10</w:t>
            </w:r>
          </w:p>
        </w:tc>
        <w:tc>
          <w:tcPr>
            <w:tcW w:w="1985" w:type="dxa"/>
            <w:vAlign w:val="center"/>
          </w:tcPr>
          <w:p w14:paraId="601AC81E">
            <w:pPr>
              <w:rPr>
                <w:color w:val="auto"/>
                <w:highlight w:val="none"/>
              </w:rPr>
            </w:pPr>
            <w:r>
              <w:rPr>
                <w:rFonts w:hint="eastAsia" w:cs="宋体"/>
                <w:color w:val="auto"/>
                <w:highlight w:val="none"/>
              </w:rPr>
              <w:t>质量标准</w:t>
            </w:r>
          </w:p>
        </w:tc>
        <w:tc>
          <w:tcPr>
            <w:tcW w:w="2126" w:type="dxa"/>
            <w:tcMar>
              <w:left w:w="170" w:type="dxa"/>
            </w:tcMar>
            <w:vAlign w:val="center"/>
          </w:tcPr>
          <w:p w14:paraId="7E7C0BC0">
            <w:pPr>
              <w:jc w:val="center"/>
              <w:rPr>
                <w:color w:val="auto"/>
                <w:highlight w:val="none"/>
              </w:rPr>
            </w:pPr>
            <w:r>
              <w:rPr>
                <w:rFonts w:hint="eastAsia" w:cs="宋体"/>
                <w:color w:val="auto"/>
                <w:highlight w:val="none"/>
              </w:rPr>
              <w:t>专用条款</w:t>
            </w:r>
          </w:p>
        </w:tc>
        <w:tc>
          <w:tcPr>
            <w:tcW w:w="1984" w:type="dxa"/>
            <w:vAlign w:val="center"/>
          </w:tcPr>
          <w:p w14:paraId="77DBB151">
            <w:pPr>
              <w:jc w:val="center"/>
              <w:rPr>
                <w:color w:val="auto"/>
                <w:highlight w:val="none"/>
              </w:rPr>
            </w:pPr>
          </w:p>
        </w:tc>
        <w:tc>
          <w:tcPr>
            <w:tcW w:w="1843" w:type="dxa"/>
            <w:vAlign w:val="center"/>
          </w:tcPr>
          <w:p w14:paraId="422E7845">
            <w:pPr>
              <w:jc w:val="center"/>
              <w:rPr>
                <w:color w:val="auto"/>
                <w:highlight w:val="none"/>
              </w:rPr>
            </w:pPr>
          </w:p>
        </w:tc>
      </w:tr>
      <w:tr w14:paraId="1957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2A1E901">
            <w:pPr>
              <w:jc w:val="center"/>
              <w:rPr>
                <w:color w:val="auto"/>
                <w:highlight w:val="none"/>
              </w:rPr>
            </w:pPr>
            <w:r>
              <w:rPr>
                <w:color w:val="auto"/>
                <w:highlight w:val="none"/>
              </w:rPr>
              <w:t>11</w:t>
            </w:r>
          </w:p>
        </w:tc>
        <w:tc>
          <w:tcPr>
            <w:tcW w:w="1985" w:type="dxa"/>
            <w:vAlign w:val="center"/>
          </w:tcPr>
          <w:p w14:paraId="08749552">
            <w:pPr>
              <w:rPr>
                <w:color w:val="auto"/>
                <w:highlight w:val="none"/>
              </w:rPr>
            </w:pPr>
            <w:r>
              <w:rPr>
                <w:rFonts w:hint="eastAsia" w:cs="宋体"/>
                <w:color w:val="auto"/>
                <w:highlight w:val="none"/>
              </w:rPr>
              <w:t>预付款额度</w:t>
            </w:r>
          </w:p>
        </w:tc>
        <w:tc>
          <w:tcPr>
            <w:tcW w:w="2126" w:type="dxa"/>
            <w:tcMar>
              <w:left w:w="170" w:type="dxa"/>
            </w:tcMar>
            <w:vAlign w:val="center"/>
          </w:tcPr>
          <w:p w14:paraId="7B9128FA">
            <w:pPr>
              <w:jc w:val="center"/>
              <w:rPr>
                <w:color w:val="auto"/>
                <w:highlight w:val="none"/>
              </w:rPr>
            </w:pPr>
            <w:r>
              <w:rPr>
                <w:rFonts w:hint="eastAsia" w:cs="宋体"/>
                <w:color w:val="auto"/>
                <w:highlight w:val="none"/>
              </w:rPr>
              <w:t>专用条款</w:t>
            </w:r>
          </w:p>
        </w:tc>
        <w:tc>
          <w:tcPr>
            <w:tcW w:w="1984" w:type="dxa"/>
            <w:vAlign w:val="center"/>
          </w:tcPr>
          <w:p w14:paraId="0ADDF5E3">
            <w:pPr>
              <w:jc w:val="center"/>
              <w:rPr>
                <w:color w:val="auto"/>
                <w:highlight w:val="none"/>
              </w:rPr>
            </w:pPr>
          </w:p>
        </w:tc>
        <w:tc>
          <w:tcPr>
            <w:tcW w:w="1843" w:type="dxa"/>
            <w:vAlign w:val="center"/>
          </w:tcPr>
          <w:p w14:paraId="002EAAB5">
            <w:pPr>
              <w:jc w:val="center"/>
              <w:rPr>
                <w:color w:val="auto"/>
                <w:highlight w:val="none"/>
              </w:rPr>
            </w:pPr>
          </w:p>
        </w:tc>
      </w:tr>
      <w:tr w14:paraId="7C81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19A17DF">
            <w:pPr>
              <w:jc w:val="center"/>
              <w:rPr>
                <w:color w:val="auto"/>
                <w:highlight w:val="none"/>
              </w:rPr>
            </w:pPr>
            <w:r>
              <w:rPr>
                <w:color w:val="auto"/>
                <w:highlight w:val="none"/>
              </w:rPr>
              <w:t>12</w:t>
            </w:r>
          </w:p>
        </w:tc>
        <w:tc>
          <w:tcPr>
            <w:tcW w:w="1985" w:type="dxa"/>
            <w:vAlign w:val="center"/>
          </w:tcPr>
          <w:p w14:paraId="1F92A827">
            <w:pPr>
              <w:rPr>
                <w:color w:val="auto"/>
                <w:highlight w:val="none"/>
              </w:rPr>
            </w:pPr>
            <w:r>
              <w:rPr>
                <w:rFonts w:hint="eastAsia" w:cs="宋体"/>
                <w:color w:val="auto"/>
                <w:highlight w:val="none"/>
              </w:rPr>
              <w:t>预付款保函金额</w:t>
            </w:r>
          </w:p>
        </w:tc>
        <w:tc>
          <w:tcPr>
            <w:tcW w:w="2126" w:type="dxa"/>
            <w:tcMar>
              <w:left w:w="170" w:type="dxa"/>
            </w:tcMar>
            <w:vAlign w:val="center"/>
          </w:tcPr>
          <w:p w14:paraId="58499990">
            <w:pPr>
              <w:jc w:val="center"/>
              <w:rPr>
                <w:color w:val="auto"/>
                <w:highlight w:val="none"/>
              </w:rPr>
            </w:pPr>
            <w:r>
              <w:rPr>
                <w:rFonts w:hint="eastAsia" w:cs="宋体"/>
                <w:color w:val="auto"/>
                <w:highlight w:val="none"/>
              </w:rPr>
              <w:t>专用条款</w:t>
            </w:r>
          </w:p>
        </w:tc>
        <w:tc>
          <w:tcPr>
            <w:tcW w:w="1984" w:type="dxa"/>
            <w:vAlign w:val="center"/>
          </w:tcPr>
          <w:p w14:paraId="1A950866">
            <w:pPr>
              <w:jc w:val="center"/>
              <w:rPr>
                <w:color w:val="auto"/>
                <w:highlight w:val="none"/>
              </w:rPr>
            </w:pPr>
          </w:p>
        </w:tc>
        <w:tc>
          <w:tcPr>
            <w:tcW w:w="1843" w:type="dxa"/>
            <w:vAlign w:val="center"/>
          </w:tcPr>
          <w:p w14:paraId="626FF7C9">
            <w:pPr>
              <w:jc w:val="center"/>
              <w:rPr>
                <w:color w:val="auto"/>
                <w:highlight w:val="none"/>
              </w:rPr>
            </w:pPr>
          </w:p>
        </w:tc>
      </w:tr>
      <w:tr w14:paraId="68A2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98FB18F">
            <w:pPr>
              <w:jc w:val="center"/>
              <w:rPr>
                <w:color w:val="auto"/>
                <w:highlight w:val="none"/>
              </w:rPr>
            </w:pPr>
            <w:r>
              <w:rPr>
                <w:color w:val="auto"/>
                <w:highlight w:val="none"/>
              </w:rPr>
              <w:t>13</w:t>
            </w:r>
          </w:p>
        </w:tc>
        <w:tc>
          <w:tcPr>
            <w:tcW w:w="1985" w:type="dxa"/>
            <w:vAlign w:val="center"/>
          </w:tcPr>
          <w:p w14:paraId="389B7685">
            <w:pPr>
              <w:rPr>
                <w:color w:val="auto"/>
                <w:highlight w:val="none"/>
              </w:rPr>
            </w:pPr>
            <w:r>
              <w:rPr>
                <w:rFonts w:hint="eastAsia" w:cs="宋体"/>
                <w:color w:val="auto"/>
                <w:highlight w:val="none"/>
              </w:rPr>
              <w:t>质量保证金额度</w:t>
            </w:r>
          </w:p>
        </w:tc>
        <w:tc>
          <w:tcPr>
            <w:tcW w:w="2126" w:type="dxa"/>
            <w:tcMar>
              <w:left w:w="170" w:type="dxa"/>
            </w:tcMar>
            <w:vAlign w:val="center"/>
          </w:tcPr>
          <w:p w14:paraId="3F1E8F4D">
            <w:pPr>
              <w:jc w:val="center"/>
              <w:rPr>
                <w:color w:val="auto"/>
                <w:highlight w:val="none"/>
              </w:rPr>
            </w:pPr>
            <w:r>
              <w:rPr>
                <w:rFonts w:hint="eastAsia" w:cs="宋体"/>
                <w:color w:val="auto"/>
                <w:highlight w:val="none"/>
              </w:rPr>
              <w:t>专用条款</w:t>
            </w:r>
          </w:p>
        </w:tc>
        <w:tc>
          <w:tcPr>
            <w:tcW w:w="1984" w:type="dxa"/>
            <w:vAlign w:val="center"/>
          </w:tcPr>
          <w:p w14:paraId="126C65A7">
            <w:pPr>
              <w:jc w:val="center"/>
              <w:rPr>
                <w:color w:val="auto"/>
                <w:highlight w:val="none"/>
              </w:rPr>
            </w:pPr>
          </w:p>
        </w:tc>
        <w:tc>
          <w:tcPr>
            <w:tcW w:w="1843" w:type="dxa"/>
            <w:vAlign w:val="center"/>
          </w:tcPr>
          <w:p w14:paraId="638461A0">
            <w:pPr>
              <w:jc w:val="center"/>
              <w:rPr>
                <w:color w:val="auto"/>
                <w:highlight w:val="none"/>
              </w:rPr>
            </w:pPr>
          </w:p>
        </w:tc>
      </w:tr>
      <w:tr w14:paraId="2396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09375D0">
            <w:pPr>
              <w:jc w:val="center"/>
              <w:rPr>
                <w:color w:val="auto"/>
                <w:highlight w:val="none"/>
              </w:rPr>
            </w:pPr>
            <w:r>
              <w:rPr>
                <w:color w:val="auto"/>
                <w:highlight w:val="none"/>
              </w:rPr>
              <w:t>……</w:t>
            </w:r>
          </w:p>
        </w:tc>
        <w:tc>
          <w:tcPr>
            <w:tcW w:w="1985" w:type="dxa"/>
            <w:vAlign w:val="center"/>
          </w:tcPr>
          <w:p w14:paraId="241B7193">
            <w:pPr>
              <w:jc w:val="center"/>
              <w:rPr>
                <w:color w:val="auto"/>
                <w:highlight w:val="none"/>
              </w:rPr>
            </w:pPr>
            <w:r>
              <w:rPr>
                <w:color w:val="auto"/>
                <w:highlight w:val="none"/>
              </w:rPr>
              <w:t>……</w:t>
            </w:r>
          </w:p>
        </w:tc>
        <w:tc>
          <w:tcPr>
            <w:tcW w:w="2126" w:type="dxa"/>
            <w:tcMar>
              <w:left w:w="170" w:type="dxa"/>
            </w:tcMar>
            <w:vAlign w:val="center"/>
          </w:tcPr>
          <w:p w14:paraId="4BE0D30B">
            <w:pPr>
              <w:rPr>
                <w:color w:val="auto"/>
                <w:highlight w:val="none"/>
              </w:rPr>
            </w:pPr>
          </w:p>
        </w:tc>
        <w:tc>
          <w:tcPr>
            <w:tcW w:w="1984" w:type="dxa"/>
            <w:vAlign w:val="center"/>
          </w:tcPr>
          <w:p w14:paraId="0B0D2125">
            <w:pPr>
              <w:jc w:val="center"/>
              <w:rPr>
                <w:color w:val="auto"/>
                <w:highlight w:val="none"/>
              </w:rPr>
            </w:pPr>
          </w:p>
        </w:tc>
        <w:tc>
          <w:tcPr>
            <w:tcW w:w="1843" w:type="dxa"/>
            <w:vAlign w:val="center"/>
          </w:tcPr>
          <w:p w14:paraId="11BD3B3F">
            <w:pPr>
              <w:jc w:val="center"/>
              <w:rPr>
                <w:color w:val="auto"/>
                <w:highlight w:val="none"/>
              </w:rPr>
            </w:pPr>
          </w:p>
        </w:tc>
      </w:tr>
      <w:tr w14:paraId="4EB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63805E5E">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7E26343B">
      <w:pPr>
        <w:spacing w:line="360" w:lineRule="auto"/>
        <w:ind w:right="-817" w:rightChars="-389" w:firstLine="2640" w:firstLineChars="1100"/>
        <w:contextualSpacing/>
        <w:rPr>
          <w:rFonts w:ascii="宋体" w:hAnsi="宋体" w:cs="仿宋_GB2312"/>
          <w:color w:val="auto"/>
          <w:sz w:val="24"/>
          <w:highlight w:val="none"/>
        </w:rPr>
      </w:pPr>
    </w:p>
    <w:p w14:paraId="1AAEA768">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95910E1">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8E9683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D5110EE">
      <w:pPr>
        <w:spacing w:line="360" w:lineRule="auto"/>
        <w:jc w:val="center"/>
        <w:rPr>
          <w:rFonts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lang w:eastAsia="zh-CN"/>
        </w:rPr>
        <w:t>磋商报价</w:t>
      </w:r>
      <w:r>
        <w:rPr>
          <w:rFonts w:hint="eastAsia" w:ascii="宋体" w:hAnsi="宋体" w:cs="方正小标宋简体"/>
          <w:b/>
          <w:bCs/>
          <w:color w:val="auto"/>
          <w:sz w:val="32"/>
          <w:szCs w:val="32"/>
          <w:highlight w:val="none"/>
        </w:rPr>
        <w:t>表</w:t>
      </w:r>
    </w:p>
    <w:p w14:paraId="4A033E58">
      <w:pPr>
        <w:spacing w:line="440" w:lineRule="exact"/>
        <w:jc w:val="center"/>
        <w:rPr>
          <w:rFonts w:ascii="方正小标宋简体" w:hAnsi="方正小标宋简体" w:eastAsia="方正小标宋简体" w:cs="方正小标宋简体"/>
          <w:bCs/>
          <w:color w:val="auto"/>
          <w:sz w:val="32"/>
          <w:szCs w:val="32"/>
          <w:highlight w:val="none"/>
        </w:rPr>
      </w:pPr>
    </w:p>
    <w:p w14:paraId="797BA589">
      <w:pPr>
        <w:spacing w:line="360" w:lineRule="auto"/>
        <w:ind w:firstLine="720" w:firstLineChars="300"/>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78A645F">
      <w:pPr>
        <w:spacing w:line="360" w:lineRule="auto"/>
        <w:ind w:firstLine="720" w:firstLineChars="30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3393DB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6"/>
        <w:gridCol w:w="1878"/>
        <w:gridCol w:w="3918"/>
      </w:tblGrid>
      <w:tr w14:paraId="08B5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36009D72">
            <w:pPr>
              <w:spacing w:line="460" w:lineRule="exact"/>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56" w:type="dxa"/>
            <w:tcBorders>
              <w:top w:val="single" w:color="auto" w:sz="4" w:space="0"/>
              <w:left w:val="single" w:color="auto" w:sz="4" w:space="0"/>
              <w:bottom w:val="single" w:color="auto" w:sz="4" w:space="0"/>
              <w:right w:val="single" w:color="auto" w:sz="4" w:space="0"/>
            </w:tcBorders>
            <w:vAlign w:val="center"/>
          </w:tcPr>
          <w:p w14:paraId="50A4F8B4">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878" w:type="dxa"/>
            <w:tcBorders>
              <w:top w:val="single" w:color="auto" w:sz="4" w:space="0"/>
              <w:left w:val="single" w:color="auto" w:sz="4" w:space="0"/>
              <w:bottom w:val="single" w:color="auto" w:sz="4" w:space="0"/>
              <w:right w:val="single" w:color="auto" w:sz="4" w:space="0"/>
            </w:tcBorders>
            <w:vAlign w:val="center"/>
          </w:tcPr>
          <w:p w14:paraId="63E5E682">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918" w:type="dxa"/>
            <w:tcBorders>
              <w:top w:val="single" w:color="auto" w:sz="4" w:space="0"/>
              <w:left w:val="single" w:color="auto" w:sz="4" w:space="0"/>
              <w:bottom w:val="single" w:color="auto" w:sz="4" w:space="0"/>
              <w:right w:val="single" w:color="auto" w:sz="4" w:space="0"/>
            </w:tcBorders>
            <w:vAlign w:val="center"/>
          </w:tcPr>
          <w:p w14:paraId="05C8F042">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磋商报价（即工程总造价）</w:t>
            </w:r>
          </w:p>
        </w:tc>
      </w:tr>
      <w:tr w14:paraId="1708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3F4A2EFB">
            <w:pPr>
              <w:spacing w:line="460" w:lineRule="exact"/>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1BF9169F">
            <w:pPr>
              <w:spacing w:line="460" w:lineRule="exact"/>
              <w:contextualSpacing/>
              <w:jc w:val="center"/>
              <w:rPr>
                <w:rFonts w:ascii="宋体" w:hAnsi="宋体" w:cs="仿宋_GB2312"/>
                <w:color w:val="auto"/>
                <w:sz w:val="24"/>
                <w:highlight w:val="none"/>
              </w:rPr>
            </w:pPr>
            <w:r>
              <w:rPr>
                <w:rFonts w:hint="eastAsia" w:ascii="宋体" w:hAnsi="宋体" w:cs="宋体"/>
                <w:color w:val="auto"/>
                <w:szCs w:val="21"/>
                <w:highlight w:val="none"/>
              </w:rPr>
              <w:t>桂林医科大学细胞基因治疗研发与临床转化联合实验室平台项目</w:t>
            </w:r>
          </w:p>
        </w:tc>
        <w:tc>
          <w:tcPr>
            <w:tcW w:w="1878" w:type="dxa"/>
            <w:tcBorders>
              <w:top w:val="single" w:color="auto" w:sz="4" w:space="0"/>
              <w:left w:val="single" w:color="auto" w:sz="4" w:space="0"/>
              <w:bottom w:val="single" w:color="auto" w:sz="4" w:space="0"/>
              <w:right w:val="single" w:color="auto" w:sz="4" w:space="0"/>
            </w:tcBorders>
            <w:vAlign w:val="center"/>
          </w:tcPr>
          <w:p w14:paraId="3DE59785">
            <w:pPr>
              <w:spacing w:line="460" w:lineRule="exact"/>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918" w:type="dxa"/>
            <w:tcBorders>
              <w:top w:val="single" w:color="auto" w:sz="4" w:space="0"/>
              <w:left w:val="single" w:color="auto" w:sz="4" w:space="0"/>
              <w:bottom w:val="single" w:color="auto" w:sz="4" w:space="0"/>
              <w:right w:val="single" w:color="auto" w:sz="4" w:space="0"/>
            </w:tcBorders>
            <w:vAlign w:val="center"/>
          </w:tcPr>
          <w:p w14:paraId="2BF2A747">
            <w:pPr>
              <w:spacing w:line="460" w:lineRule="exact"/>
              <w:ind w:left="480" w:right="680" w:rightChars="324" w:hanging="480" w:hanging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大写：</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r>
              <w:rPr>
                <w:rFonts w:hint="eastAsia" w:ascii="方正粗黑宋简体" w:hAnsi="方正粗黑宋简体" w:eastAsia="方正粗黑宋简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469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4"/>
            <w:tcBorders>
              <w:top w:val="single" w:color="auto" w:sz="4" w:space="0"/>
              <w:left w:val="single" w:color="auto" w:sz="4" w:space="0"/>
              <w:bottom w:val="single" w:color="auto" w:sz="4" w:space="0"/>
              <w:right w:val="single" w:color="auto" w:sz="4" w:space="0"/>
            </w:tcBorders>
            <w:vAlign w:val="center"/>
          </w:tcPr>
          <w:p w14:paraId="2DC3EF4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承诺工期：</w:t>
            </w:r>
            <w:r>
              <w:rPr>
                <w:rFonts w:hint="eastAsia" w:ascii="宋体" w:hAnsi="宋体" w:cs="仿宋_GB2312"/>
                <w:color w:val="auto"/>
                <w:sz w:val="24"/>
                <w:highlight w:val="none"/>
                <w:u w:val="single"/>
              </w:rPr>
              <w:t xml:space="preserve">                        </w:t>
            </w:r>
          </w:p>
          <w:p w14:paraId="50BEE68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承诺质量等级：</w:t>
            </w:r>
            <w:r>
              <w:rPr>
                <w:rFonts w:hint="eastAsia" w:ascii="宋体" w:hAnsi="宋体" w:cs="仿宋_GB2312"/>
                <w:color w:val="auto"/>
                <w:sz w:val="24"/>
                <w:highlight w:val="none"/>
                <w:u w:val="single"/>
              </w:rPr>
              <w:t xml:space="preserve">                     </w:t>
            </w:r>
          </w:p>
        </w:tc>
      </w:tr>
    </w:tbl>
    <w:p w14:paraId="57F6C0E4">
      <w:pPr>
        <w:spacing w:line="360" w:lineRule="auto"/>
        <w:contextualSpacing/>
        <w:jc w:val="left"/>
        <w:rPr>
          <w:rFonts w:ascii="宋体" w:hAnsi="宋体" w:cs="仿宋_GB2312"/>
          <w:color w:val="auto"/>
          <w:sz w:val="24"/>
          <w:highlight w:val="none"/>
        </w:rPr>
      </w:pPr>
    </w:p>
    <w:p w14:paraId="3052BFA6">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718F0E74">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82A7F77">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168AD81">
      <w:pPr>
        <w:spacing w:line="360" w:lineRule="auto"/>
        <w:ind w:firstLine="480" w:firstLineChars="200"/>
        <w:contextualSpacing/>
        <w:jc w:val="left"/>
        <w:rPr>
          <w:rFonts w:ascii="宋体" w:hAnsi="宋体" w:cs="仿宋_GB2312"/>
          <w:color w:val="auto"/>
          <w:sz w:val="24"/>
          <w:highlight w:val="none"/>
        </w:rPr>
      </w:pPr>
    </w:p>
    <w:p w14:paraId="17D50D53">
      <w:pPr>
        <w:spacing w:line="360" w:lineRule="auto"/>
        <w:ind w:right="-817" w:rightChars="-389"/>
        <w:contextualSpacing/>
        <w:rPr>
          <w:rFonts w:ascii="宋体" w:hAnsi="宋体" w:cs="仿宋_GB2312"/>
          <w:color w:val="auto"/>
          <w:sz w:val="24"/>
          <w:highlight w:val="none"/>
        </w:rPr>
      </w:pPr>
    </w:p>
    <w:p w14:paraId="636CEC5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4B48300">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C128152">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CF81D53">
      <w:pPr>
        <w:spacing w:line="360" w:lineRule="auto"/>
        <w:contextualSpacing/>
        <w:jc w:val="center"/>
        <w:rPr>
          <w:rFonts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0589E0C8">
      <w:pPr>
        <w:spacing w:line="520" w:lineRule="exact"/>
        <w:ind w:firstLine="420" w:firstLineChars="200"/>
        <w:rPr>
          <w:color w:val="auto"/>
          <w:highlight w:val="none"/>
        </w:rPr>
      </w:pPr>
      <w:r>
        <w:rPr>
          <w:color w:val="auto"/>
          <w:highlight w:val="none"/>
        </w:rPr>
        <w:t xml:space="preserve">1. </w:t>
      </w:r>
      <w:r>
        <w:rPr>
          <w:rFonts w:hint="eastAsia" w:cs="宋体"/>
          <w:color w:val="auto"/>
          <w:highlight w:val="none"/>
        </w:rPr>
        <w:t>已标价工程量清单应按第五章</w:t>
      </w:r>
      <w:r>
        <w:rPr>
          <w:rFonts w:hint="eastAsia"/>
          <w:color w:val="auto"/>
          <w:highlight w:val="none"/>
        </w:rPr>
        <w:t>“工程量清单及图纸”</w:t>
      </w:r>
      <w:r>
        <w:rPr>
          <w:rFonts w:hint="eastAsia" w:cs="宋体"/>
          <w:color w:val="auto"/>
          <w:highlight w:val="none"/>
        </w:rPr>
        <w:t>中的相关表格及</w:t>
      </w:r>
      <w:r>
        <w:rPr>
          <w:rFonts w:hint="eastAsia" w:cs="宋体"/>
          <w:color w:val="auto"/>
          <w:highlight w:val="none"/>
          <w:lang w:eastAsia="zh-CN"/>
        </w:rPr>
        <w:t>磋商报价</w:t>
      </w:r>
      <w:r>
        <w:rPr>
          <w:rFonts w:hint="eastAsia" w:cs="宋体"/>
          <w:color w:val="auto"/>
          <w:highlight w:val="none"/>
        </w:rPr>
        <w:t>说明填写。构成合同文件的已标价工程量清单包括第五章</w:t>
      </w:r>
      <w:r>
        <w:rPr>
          <w:rFonts w:hint="eastAsia"/>
          <w:color w:val="auto"/>
          <w:highlight w:val="none"/>
        </w:rPr>
        <w:t>“工程量清单及图纸”</w:t>
      </w:r>
      <w:r>
        <w:rPr>
          <w:rFonts w:hint="eastAsia" w:cs="宋体"/>
          <w:color w:val="auto"/>
          <w:highlight w:val="none"/>
        </w:rPr>
        <w:t>有关工程量清单、</w:t>
      </w:r>
      <w:r>
        <w:rPr>
          <w:rFonts w:hint="eastAsia" w:cs="宋体"/>
          <w:color w:val="auto"/>
          <w:highlight w:val="none"/>
          <w:lang w:eastAsia="zh-CN"/>
        </w:rPr>
        <w:t>磋商报价</w:t>
      </w:r>
      <w:r>
        <w:rPr>
          <w:rFonts w:hint="eastAsia" w:cs="宋体"/>
          <w:color w:val="auto"/>
          <w:highlight w:val="none"/>
        </w:rPr>
        <w:t>以及其他说明的内容。</w:t>
      </w:r>
    </w:p>
    <w:p w14:paraId="1581143A">
      <w:pPr>
        <w:spacing w:line="520" w:lineRule="exact"/>
        <w:ind w:firstLine="420" w:firstLineChars="200"/>
        <w:rPr>
          <w:color w:val="auto"/>
          <w:highlight w:val="none"/>
        </w:rPr>
      </w:pPr>
      <w:r>
        <w:rPr>
          <w:color w:val="auto"/>
          <w:highlight w:val="none"/>
        </w:rPr>
        <w:t xml:space="preserve">2. </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cs="宋体"/>
          <w:color w:val="auto"/>
          <w:highlight w:val="none"/>
        </w:rPr>
        <w:t>，具体内容包括：</w:t>
      </w:r>
    </w:p>
    <w:p w14:paraId="13F1B80F">
      <w:pPr>
        <w:spacing w:line="520" w:lineRule="exact"/>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3B2ED9C3">
      <w:pPr>
        <w:spacing w:line="520" w:lineRule="exact"/>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0F64DE2B">
      <w:pPr>
        <w:spacing w:line="520" w:lineRule="exact"/>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2BABC04F">
      <w:pPr>
        <w:spacing w:line="520" w:lineRule="exact"/>
        <w:ind w:firstLine="630" w:firstLineChars="300"/>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76FD6260">
      <w:pPr>
        <w:spacing w:line="520" w:lineRule="exact"/>
        <w:ind w:firstLine="630" w:firstLineChars="300"/>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71B3E83F">
      <w:pPr>
        <w:spacing w:line="520" w:lineRule="exact"/>
        <w:ind w:firstLine="630" w:firstLineChars="300"/>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1DE19DF8">
      <w:pPr>
        <w:spacing w:line="520" w:lineRule="exact"/>
        <w:ind w:firstLine="630" w:firstLineChars="300"/>
        <w:rPr>
          <w:rFonts w:hint="eastAsia" w:cs="宋体"/>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2DCAB7F5">
      <w:pPr>
        <w:spacing w:line="520" w:lineRule="exact"/>
        <w:ind w:firstLine="630" w:firstLineChars="300"/>
        <w:rPr>
          <w:rFonts w:hint="eastAsia" w:cs="宋体"/>
          <w:color w:val="auto"/>
          <w:highlight w:val="none"/>
        </w:rPr>
      </w:pPr>
      <w:r>
        <w:rPr>
          <w:rFonts w:hint="eastAsia" w:cs="宋体"/>
          <w:color w:val="auto"/>
          <w:highlight w:val="none"/>
          <w:lang w:val="en-US" w:eastAsia="zh-CN"/>
        </w:rPr>
        <w:t>1.8</w:t>
      </w:r>
      <w:r>
        <w:rPr>
          <w:rFonts w:hint="eastAsia" w:cs="宋体"/>
          <w:color w:val="auto"/>
          <w:highlight w:val="none"/>
        </w:rPr>
        <w:t>总价措施项目清单与计价表（表</w:t>
      </w:r>
      <w:r>
        <w:rPr>
          <w:color w:val="auto"/>
          <w:highlight w:val="none"/>
        </w:rPr>
        <w:t>-</w:t>
      </w:r>
      <w:r>
        <w:rPr>
          <w:rFonts w:hint="eastAsia"/>
          <w:color w:val="auto"/>
          <w:highlight w:val="none"/>
          <w:lang w:val="en-US" w:eastAsia="zh-CN"/>
        </w:rPr>
        <w:t>11</w:t>
      </w:r>
      <w:r>
        <w:rPr>
          <w:rFonts w:hint="eastAsia" w:cs="宋体"/>
          <w:color w:val="auto"/>
          <w:highlight w:val="none"/>
        </w:rPr>
        <w:t>）</w:t>
      </w:r>
    </w:p>
    <w:p w14:paraId="04C1C865">
      <w:pPr>
        <w:spacing w:line="520" w:lineRule="exact"/>
        <w:ind w:firstLine="630" w:firstLineChars="300"/>
        <w:rPr>
          <w:rFonts w:hint="eastAsia" w:cs="宋体"/>
          <w:color w:val="auto"/>
          <w:highlight w:val="none"/>
        </w:rPr>
      </w:pPr>
      <w:r>
        <w:rPr>
          <w:rFonts w:hint="eastAsia" w:cs="宋体"/>
          <w:color w:val="auto"/>
          <w:highlight w:val="none"/>
          <w:lang w:val="en-US" w:eastAsia="zh-CN"/>
        </w:rPr>
        <w:t>1.9</w:t>
      </w:r>
      <w:r>
        <w:rPr>
          <w:rFonts w:hint="eastAsia" w:cs="宋体"/>
          <w:color w:val="auto"/>
          <w:highlight w:val="none"/>
        </w:rPr>
        <w:t>其他项目清单与计价汇总表（表</w:t>
      </w:r>
      <w:r>
        <w:rPr>
          <w:color w:val="auto"/>
          <w:highlight w:val="none"/>
        </w:rPr>
        <w:t>-</w:t>
      </w:r>
      <w:r>
        <w:rPr>
          <w:rFonts w:hint="eastAsia"/>
          <w:color w:val="auto"/>
          <w:highlight w:val="none"/>
          <w:lang w:val="en-US" w:eastAsia="zh-CN"/>
        </w:rPr>
        <w:t>12</w:t>
      </w:r>
      <w:r>
        <w:rPr>
          <w:rFonts w:hint="eastAsia" w:cs="宋体"/>
          <w:color w:val="auto"/>
          <w:highlight w:val="none"/>
        </w:rPr>
        <w:t>）</w:t>
      </w:r>
    </w:p>
    <w:p w14:paraId="15E96E8A">
      <w:pPr>
        <w:spacing w:line="520" w:lineRule="exact"/>
        <w:rPr>
          <w:color w:val="auto"/>
          <w:highlight w:val="none"/>
        </w:rPr>
      </w:pPr>
      <w:r>
        <w:rPr>
          <w:rFonts w:hint="eastAsia" w:cs="宋体"/>
          <w:color w:val="auto"/>
          <w:highlight w:val="none"/>
        </w:rPr>
        <w:t>备注：</w:t>
      </w:r>
    </w:p>
    <w:p w14:paraId="3742567C">
      <w:pPr>
        <w:spacing w:line="520" w:lineRule="exact"/>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）供应商在上传</w:t>
      </w:r>
      <w:r>
        <w:rPr>
          <w:rFonts w:hint="eastAsia" w:cs="宋体"/>
          <w:color w:val="auto"/>
          <w:highlight w:val="none"/>
          <w:lang w:eastAsia="zh-CN"/>
        </w:rPr>
        <w:t>磋商报价</w:t>
      </w:r>
      <w:r>
        <w:rPr>
          <w:rFonts w:hint="eastAsia" w:cs="宋体"/>
          <w:color w:val="auto"/>
          <w:highlight w:val="none"/>
        </w:rPr>
        <w:t>文件时应上传纸质投标总价封面的原件扫描件。竞标总价封面必须经供应商盖章，并由法定代表人（或其授权人）签字（或盖章），同时由编制人签字盖专用章。</w:t>
      </w:r>
    </w:p>
    <w:p w14:paraId="06FCAF4A">
      <w:pPr>
        <w:spacing w:line="520" w:lineRule="exact"/>
        <w:ind w:firstLine="420" w:firstLineChars="200"/>
        <w:rPr>
          <w:rFonts w:cs="宋体"/>
          <w:color w:val="auto"/>
          <w:highlight w:val="none"/>
        </w:rPr>
      </w:pPr>
      <w:r>
        <w:rPr>
          <w:rFonts w:hint="eastAsia" w:cs="宋体"/>
          <w:color w:val="auto"/>
          <w:highlight w:val="none"/>
        </w:rPr>
        <w:t>（</w:t>
      </w:r>
      <w:r>
        <w:rPr>
          <w:rFonts w:hint="eastAsia"/>
          <w:color w:val="auto"/>
          <w:highlight w:val="none"/>
        </w:rPr>
        <w:t>2</w:t>
      </w:r>
      <w:r>
        <w:rPr>
          <w:rFonts w:hint="eastAsia" w:cs="宋体"/>
          <w:color w:val="auto"/>
          <w:highlight w:val="none"/>
        </w:rPr>
        <w:t>）已标价工程量清单表格要严格按照招标工程量清单给出的表格要求和内容填报。</w:t>
      </w:r>
    </w:p>
    <w:p w14:paraId="26DD4E00">
      <w:pPr>
        <w:spacing w:line="520" w:lineRule="exact"/>
        <w:ind w:firstLine="420" w:firstLineChars="200"/>
        <w:contextualSpacing/>
        <w:jc w:val="left"/>
        <w:rPr>
          <w:rFonts w:hAnsi="宋体" w:cs="宋体"/>
          <w:color w:val="auto"/>
          <w:kern w:val="0"/>
          <w:highlight w:val="none"/>
        </w:rPr>
      </w:pPr>
      <w:r>
        <w:rPr>
          <w:rFonts w:hint="eastAsia" w:cs="宋体"/>
          <w:color w:val="auto"/>
          <w:highlight w:val="none"/>
        </w:rPr>
        <w:t>注：</w:t>
      </w:r>
      <w:r>
        <w:rPr>
          <w:rFonts w:hint="eastAsia" w:hAnsi="宋体" w:cs="宋体"/>
          <w:color w:val="auto"/>
          <w:kern w:val="0"/>
          <w:highlight w:val="none"/>
        </w:rPr>
        <w:t>因2021年《广西壮族自治区园林绿化及仿古建筑工程费用定额》采用全费用综合单价形式，故园林绿化及仿古建筑工程的已标价工程量清单</w:t>
      </w:r>
      <w:r>
        <w:rPr>
          <w:rFonts w:hint="eastAsia" w:cs="黑体"/>
          <w:color w:val="auto"/>
          <w:highlight w:val="none"/>
        </w:rPr>
        <w:t>采用</w:t>
      </w:r>
      <w:r>
        <w:rPr>
          <w:rFonts w:hint="eastAsia" w:hAnsi="宋体" w:cs="宋体"/>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13061E9C">
      <w:pPr>
        <w:spacing w:line="360" w:lineRule="auto"/>
        <w:ind w:right="420"/>
        <w:contextualSpacing/>
        <w:jc w:val="center"/>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CD0FA85">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827B4D5">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651143E">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F823F3A">
      <w:pPr>
        <w:snapToGrid w:val="0"/>
        <w:spacing w:before="156" w:beforeLines="50" w:after="50"/>
        <w:rPr>
          <w:rFonts w:ascii="宋体" w:hAnsi="宋体"/>
          <w:color w:val="auto"/>
          <w:sz w:val="24"/>
          <w:szCs w:val="20"/>
          <w:highlight w:val="none"/>
        </w:rPr>
      </w:pPr>
    </w:p>
    <w:p w14:paraId="02C07076">
      <w:pPr>
        <w:snapToGrid w:val="0"/>
        <w:spacing w:before="156" w:beforeLines="50" w:after="50"/>
        <w:rPr>
          <w:rFonts w:ascii="宋体" w:hAnsi="宋体"/>
          <w:color w:val="auto"/>
          <w:sz w:val="24"/>
          <w:szCs w:val="20"/>
          <w:highlight w:val="none"/>
        </w:rPr>
      </w:pPr>
    </w:p>
    <w:p w14:paraId="2BA710E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340EE1A">
      <w:pPr>
        <w:snapToGrid w:val="0"/>
        <w:spacing w:before="156" w:beforeLines="50" w:after="50"/>
        <w:rPr>
          <w:rFonts w:ascii="宋体" w:hAnsi="宋体"/>
          <w:bCs/>
          <w:color w:val="auto"/>
          <w:sz w:val="24"/>
          <w:szCs w:val="20"/>
          <w:highlight w:val="none"/>
        </w:rPr>
      </w:pPr>
    </w:p>
    <w:p w14:paraId="2CFB270D">
      <w:pPr>
        <w:snapToGrid w:val="0"/>
        <w:spacing w:before="156" w:beforeLines="50" w:after="50"/>
        <w:rPr>
          <w:rFonts w:ascii="宋体" w:hAnsi="宋体"/>
          <w:bCs/>
          <w:color w:val="auto"/>
          <w:sz w:val="24"/>
          <w:szCs w:val="20"/>
          <w:highlight w:val="none"/>
        </w:rPr>
      </w:pPr>
    </w:p>
    <w:p w14:paraId="3A15DBC4">
      <w:pPr>
        <w:snapToGrid w:val="0"/>
        <w:spacing w:before="156" w:beforeLines="50" w:after="50"/>
        <w:rPr>
          <w:rFonts w:ascii="宋体" w:hAnsi="宋体"/>
          <w:bCs/>
          <w:color w:val="auto"/>
          <w:sz w:val="24"/>
          <w:szCs w:val="20"/>
          <w:highlight w:val="none"/>
        </w:rPr>
      </w:pPr>
    </w:p>
    <w:p w14:paraId="739CB0F6">
      <w:pPr>
        <w:snapToGrid w:val="0"/>
        <w:spacing w:before="156" w:beforeLines="50" w:after="50"/>
        <w:rPr>
          <w:rFonts w:ascii="宋体" w:hAnsi="宋体"/>
          <w:bCs/>
          <w:color w:val="auto"/>
          <w:sz w:val="24"/>
          <w:szCs w:val="20"/>
          <w:highlight w:val="none"/>
        </w:rPr>
      </w:pPr>
    </w:p>
    <w:p w14:paraId="5D3DC780">
      <w:pPr>
        <w:snapToGrid w:val="0"/>
        <w:spacing w:before="156" w:beforeLines="50" w:after="50"/>
        <w:rPr>
          <w:rFonts w:ascii="宋体" w:hAnsi="宋体"/>
          <w:bCs/>
          <w:color w:val="auto"/>
          <w:sz w:val="24"/>
          <w:szCs w:val="20"/>
          <w:highlight w:val="none"/>
        </w:rPr>
      </w:pPr>
    </w:p>
    <w:p w14:paraId="261B565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1CBFD1C">
      <w:pPr>
        <w:snapToGrid w:val="0"/>
        <w:spacing w:before="156" w:beforeLines="50" w:after="50"/>
        <w:ind w:firstLine="720" w:firstLineChars="225"/>
        <w:rPr>
          <w:rFonts w:ascii="宋体" w:hAnsi="宋体" w:cs="仿宋_GB2312"/>
          <w:bCs/>
          <w:color w:val="auto"/>
          <w:sz w:val="32"/>
          <w:szCs w:val="32"/>
          <w:highlight w:val="none"/>
        </w:rPr>
      </w:pPr>
    </w:p>
    <w:p w14:paraId="09B9C2D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6735C6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2AD177C">
      <w:pPr>
        <w:snapToGrid w:val="0"/>
        <w:spacing w:before="156" w:beforeLines="50" w:after="50"/>
        <w:ind w:firstLine="720" w:firstLineChars="225"/>
        <w:rPr>
          <w:rFonts w:ascii="宋体" w:hAnsi="宋体" w:cs="仿宋_GB2312"/>
          <w:bCs/>
          <w:color w:val="auto"/>
          <w:sz w:val="32"/>
          <w:szCs w:val="32"/>
          <w:highlight w:val="none"/>
        </w:rPr>
      </w:pPr>
    </w:p>
    <w:p w14:paraId="456A9117">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44CFD2C">
      <w:pPr>
        <w:pStyle w:val="7"/>
        <w:snapToGrid w:val="0"/>
        <w:spacing w:before="50" w:after="50"/>
        <w:ind w:firstLine="640" w:firstLineChars="200"/>
        <w:rPr>
          <w:rFonts w:ascii="宋体" w:hAnsi="宋体" w:cs="仿宋_GB2312"/>
          <w:bCs/>
          <w:color w:val="auto"/>
          <w:sz w:val="32"/>
          <w:szCs w:val="32"/>
          <w:highlight w:val="none"/>
        </w:rPr>
      </w:pPr>
    </w:p>
    <w:p w14:paraId="389934FC">
      <w:pPr>
        <w:pStyle w:val="7"/>
        <w:snapToGrid w:val="0"/>
        <w:spacing w:before="50" w:after="50"/>
        <w:ind w:firstLine="720" w:firstLineChars="225"/>
        <w:rPr>
          <w:rFonts w:ascii="宋体" w:hAnsi="宋体" w:cs="仿宋_GB2312"/>
          <w:bCs/>
          <w:color w:val="auto"/>
          <w:sz w:val="32"/>
          <w:szCs w:val="32"/>
          <w:highlight w:val="none"/>
        </w:rPr>
      </w:pPr>
    </w:p>
    <w:p w14:paraId="689283A2">
      <w:pPr>
        <w:pStyle w:val="7"/>
        <w:snapToGrid w:val="0"/>
        <w:spacing w:before="50" w:after="50"/>
        <w:ind w:firstLine="0"/>
        <w:rPr>
          <w:rFonts w:ascii="宋体" w:hAnsi="宋体" w:cs="仿宋_GB2312"/>
          <w:bCs/>
          <w:color w:val="auto"/>
          <w:sz w:val="32"/>
          <w:szCs w:val="32"/>
          <w:highlight w:val="none"/>
        </w:rPr>
      </w:pPr>
    </w:p>
    <w:p w14:paraId="57D0C0C1">
      <w:pPr>
        <w:pStyle w:val="7"/>
        <w:snapToGrid w:val="0"/>
        <w:spacing w:before="50" w:after="50"/>
        <w:ind w:firstLine="1280" w:firstLineChars="400"/>
        <w:rPr>
          <w:rFonts w:ascii="宋体" w:hAnsi="宋体" w:cs="仿宋_GB2312"/>
          <w:bCs/>
          <w:color w:val="auto"/>
          <w:sz w:val="32"/>
          <w:szCs w:val="32"/>
          <w:highlight w:val="none"/>
        </w:rPr>
      </w:pPr>
    </w:p>
    <w:p w14:paraId="7E7FA352">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1A9809F">
      <w:pP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EB802BD">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44E0898">
      <w:pPr>
        <w:spacing w:line="400" w:lineRule="exact"/>
        <w:rPr>
          <w:rFonts w:ascii="仿宋_GB2312" w:hAnsi="仿宋_GB2312" w:eastAsia="仿宋_GB2312" w:cs="仿宋_GB2312"/>
          <w:color w:val="auto"/>
          <w:sz w:val="32"/>
          <w:szCs w:val="32"/>
          <w:highlight w:val="none"/>
        </w:rPr>
      </w:pPr>
    </w:p>
    <w:p w14:paraId="50AC7ECB">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48907D8">
      <w:pPr>
        <w:spacing w:line="360" w:lineRule="auto"/>
        <w:ind w:firstLine="640" w:firstLineChars="200"/>
        <w:contextualSpacing/>
        <w:rPr>
          <w:rFonts w:ascii="仿宋_GB2312" w:hAnsi="仿宋_GB2312" w:eastAsia="仿宋_GB2312" w:cs="仿宋_GB2312"/>
          <w:color w:val="auto"/>
          <w:sz w:val="32"/>
          <w:szCs w:val="32"/>
          <w:highlight w:val="none"/>
        </w:rPr>
      </w:pPr>
    </w:p>
    <w:p w14:paraId="17FE91A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C25B5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DA1FB6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A360DB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6B8C5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w:t>
      </w:r>
      <w:r>
        <w:rPr>
          <w:rFonts w:hint="eastAsia" w:ascii="宋体" w:hAnsi="宋体" w:cs="仿宋_GB2312"/>
          <w:color w:val="auto"/>
          <w:spacing w:val="-6"/>
          <w:sz w:val="24"/>
          <w:highlight w:val="none"/>
          <w:lang w:eastAsia="zh-CN"/>
        </w:rPr>
        <w:t>磋商报价</w:t>
      </w:r>
      <w:r>
        <w:rPr>
          <w:rFonts w:hint="eastAsia" w:ascii="宋体" w:hAnsi="宋体" w:cs="仿宋_GB2312"/>
          <w:color w:val="auto"/>
          <w:spacing w:val="-6"/>
          <w:sz w:val="24"/>
          <w:highlight w:val="none"/>
        </w:rPr>
        <w:t>呈规律性差异；</w:t>
      </w:r>
    </w:p>
    <w:p w14:paraId="7982621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9FAEE5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A9575F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2DB44B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0E825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4ECE3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ED60E7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4F7039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w:t>
      </w:r>
      <w:r>
        <w:rPr>
          <w:rFonts w:hint="eastAsia" w:ascii="宋体" w:hAnsi="宋体" w:cs="仿宋_GB2312"/>
          <w:color w:val="auto"/>
          <w:sz w:val="24"/>
          <w:highlight w:val="none"/>
          <w:lang w:eastAsia="zh-CN"/>
        </w:rPr>
        <w:t>磋商报价</w:t>
      </w:r>
      <w:r>
        <w:rPr>
          <w:rFonts w:hint="eastAsia" w:ascii="宋体" w:hAnsi="宋体" w:cs="仿宋_GB2312"/>
          <w:color w:val="auto"/>
          <w:sz w:val="24"/>
          <w:highlight w:val="none"/>
        </w:rPr>
        <w:t>，或者在竞争性磋商项目中事先约定轮流以高价位或者低价位成交，或者事先约定由某一特定供应商成交，然后再参加竞标；</w:t>
      </w:r>
    </w:p>
    <w:p w14:paraId="43518F9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AFEAF0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8DA691">
      <w:pPr>
        <w:spacing w:line="360" w:lineRule="auto"/>
        <w:ind w:firstLine="480" w:firstLineChars="200"/>
        <w:contextualSpacing/>
        <w:rPr>
          <w:rFonts w:ascii="宋体" w:hAnsi="宋体" w:cs="仿宋_GB2312"/>
          <w:color w:val="auto"/>
          <w:sz w:val="24"/>
          <w:highlight w:val="none"/>
        </w:rPr>
      </w:pPr>
    </w:p>
    <w:p w14:paraId="603BC84A">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07FA0E3">
      <w:pPr>
        <w:spacing w:line="360" w:lineRule="auto"/>
        <w:contextualSpacing/>
        <w:rPr>
          <w:rFonts w:ascii="宋体" w:hAnsi="宋体" w:cs="仿宋_GB2312"/>
          <w:color w:val="auto"/>
          <w:sz w:val="24"/>
          <w:highlight w:val="none"/>
        </w:rPr>
      </w:pPr>
    </w:p>
    <w:p w14:paraId="6B4C14C8">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0C62149">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BF7C543">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5B5769B7">
      <w:pPr>
        <w:spacing w:line="360" w:lineRule="auto"/>
        <w:ind w:left="540"/>
        <w:contextualSpacing/>
        <w:rPr>
          <w:rFonts w:ascii="仿宋_GB2312" w:hAnsi="仿宋_GB2312" w:eastAsia="仿宋_GB2312" w:cs="仿宋_GB2312"/>
          <w:color w:val="auto"/>
          <w:sz w:val="32"/>
          <w:szCs w:val="32"/>
          <w:highlight w:val="none"/>
        </w:rPr>
      </w:pPr>
    </w:p>
    <w:p w14:paraId="437F6B2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A3F3AB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6BC867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97FC3CB">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5873BE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012022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DEA82D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58A9592D">
      <w:pPr>
        <w:spacing w:line="360" w:lineRule="auto"/>
        <w:ind w:left="540"/>
        <w:contextualSpacing/>
        <w:rPr>
          <w:rFonts w:ascii="宋体" w:hAnsi="宋体" w:cs="仿宋_GB2312"/>
          <w:color w:val="auto"/>
          <w:sz w:val="24"/>
          <w:highlight w:val="none"/>
        </w:rPr>
      </w:pPr>
    </w:p>
    <w:p w14:paraId="73CEF7AC">
      <w:pPr>
        <w:spacing w:line="360" w:lineRule="auto"/>
        <w:ind w:left="540"/>
        <w:contextualSpacing/>
        <w:rPr>
          <w:rFonts w:ascii="宋体" w:hAnsi="宋体" w:cs="仿宋_GB2312"/>
          <w:color w:val="auto"/>
          <w:sz w:val="24"/>
          <w:highlight w:val="none"/>
        </w:rPr>
      </w:pPr>
    </w:p>
    <w:p w14:paraId="66008A00">
      <w:pPr>
        <w:spacing w:line="360" w:lineRule="auto"/>
        <w:ind w:left="540"/>
        <w:contextualSpacing/>
        <w:rPr>
          <w:rFonts w:ascii="宋体" w:hAnsi="宋体" w:cs="仿宋_GB2312"/>
          <w:color w:val="auto"/>
          <w:sz w:val="24"/>
          <w:highlight w:val="none"/>
        </w:rPr>
      </w:pPr>
    </w:p>
    <w:p w14:paraId="3DBB206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ED6F9AA">
      <w:pPr>
        <w:spacing w:line="360" w:lineRule="auto"/>
        <w:ind w:left="540"/>
        <w:contextualSpacing/>
        <w:rPr>
          <w:rFonts w:ascii="宋体" w:hAnsi="宋体" w:cs="仿宋_GB2312"/>
          <w:color w:val="auto"/>
          <w:sz w:val="24"/>
          <w:highlight w:val="none"/>
        </w:rPr>
      </w:pPr>
    </w:p>
    <w:p w14:paraId="2834DE54">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F4201C1">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249F64B">
      <w:pPr>
        <w:spacing w:line="360" w:lineRule="auto"/>
        <w:contextualSpacing/>
        <w:jc w:val="center"/>
        <w:rPr>
          <w:rFonts w:ascii="宋体" w:hAnsi="宋体" w:cs="仿宋_GB2312"/>
          <w:b/>
          <w:color w:val="auto"/>
          <w:sz w:val="24"/>
          <w:highlight w:val="none"/>
        </w:rPr>
      </w:pPr>
    </w:p>
    <w:p w14:paraId="1A7A8965">
      <w:pPr>
        <w:spacing w:line="360" w:lineRule="auto"/>
        <w:contextualSpacing/>
        <w:jc w:val="left"/>
        <w:rPr>
          <w:rFonts w:ascii="宋体" w:hAnsi="宋体" w:cs="仿宋_GB2312"/>
          <w:color w:val="auto"/>
          <w:sz w:val="24"/>
          <w:highlight w:val="none"/>
        </w:rPr>
      </w:pPr>
    </w:p>
    <w:p w14:paraId="69F59BC4">
      <w:pPr>
        <w:spacing w:line="360" w:lineRule="auto"/>
        <w:contextualSpacing/>
        <w:jc w:val="left"/>
        <w:rPr>
          <w:rFonts w:ascii="宋体" w:hAnsi="宋体" w:cs="仿宋_GB2312"/>
          <w:color w:val="auto"/>
          <w:sz w:val="24"/>
          <w:highlight w:val="none"/>
        </w:rPr>
      </w:pPr>
    </w:p>
    <w:p w14:paraId="0E659143">
      <w:pPr>
        <w:adjustRightInd w:val="0"/>
        <w:snapToGrid w:val="0"/>
        <w:spacing w:line="300" w:lineRule="auto"/>
        <w:jc w:val="left"/>
        <w:rPr>
          <w:rFonts w:ascii="宋体" w:hAnsi="宋体"/>
          <w:b/>
          <w:color w:val="auto"/>
          <w:szCs w:val="21"/>
          <w:highlight w:val="none"/>
        </w:rPr>
      </w:pPr>
    </w:p>
    <w:p w14:paraId="69826FC2">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bookmarkStart w:id="97" w:name="_Hlk65853643"/>
      <w:r>
        <w:rPr>
          <w:rFonts w:hint="eastAsia" w:ascii="方正小标宋简体" w:hAnsi="方正小标宋简体" w:eastAsia="方正小标宋简体" w:cs="方正小标宋简体"/>
          <w:color w:val="auto"/>
          <w:sz w:val="44"/>
          <w:szCs w:val="44"/>
          <w:highlight w:val="none"/>
        </w:rPr>
        <w:t>授权委托书</w:t>
      </w:r>
    </w:p>
    <w:p w14:paraId="4C065D10">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B2D04C2">
      <w:pPr>
        <w:spacing w:line="520" w:lineRule="exact"/>
        <w:rPr>
          <w:rFonts w:ascii="仿宋_GB2312" w:hAnsi="仿宋_GB2312" w:eastAsia="仿宋_GB2312" w:cs="仿宋_GB2312"/>
          <w:color w:val="auto"/>
          <w:sz w:val="32"/>
          <w:szCs w:val="32"/>
          <w:highlight w:val="none"/>
        </w:rPr>
      </w:pPr>
    </w:p>
    <w:p w14:paraId="791C4710">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CDF20A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6F594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64AB0B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A6A6E5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018D8B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43F237A">
      <w:pPr>
        <w:spacing w:line="360" w:lineRule="auto"/>
        <w:rPr>
          <w:rFonts w:ascii="宋体" w:hAnsi="宋体" w:cs="仿宋_GB2312"/>
          <w:color w:val="auto"/>
          <w:sz w:val="24"/>
          <w:highlight w:val="none"/>
        </w:rPr>
      </w:pPr>
    </w:p>
    <w:p w14:paraId="2540B2D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E1AEDA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1BF4F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0D9069C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7837329C">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789D8EC4">
      <w:pPr>
        <w:spacing w:line="360" w:lineRule="auto"/>
        <w:rPr>
          <w:rFonts w:ascii="宋体" w:hAnsi="宋体" w:cs="仿宋_GB2312"/>
          <w:color w:val="auto"/>
          <w:sz w:val="24"/>
          <w:highlight w:val="none"/>
        </w:rPr>
      </w:pPr>
    </w:p>
    <w:p w14:paraId="4F7AFE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C7E5902">
      <w:pPr>
        <w:spacing w:line="360" w:lineRule="auto"/>
        <w:ind w:firstLine="420" w:firstLineChars="200"/>
        <w:jc w:val="left"/>
        <w:rPr>
          <w:rFonts w:ascii="仿宋_GB2312" w:hAnsi="仿宋_GB2312" w:eastAsia="仿宋_GB2312" w:cs="仿宋_GB2312"/>
          <w:color w:val="auto"/>
          <w:szCs w:val="21"/>
          <w:highlight w:val="none"/>
        </w:rPr>
      </w:pPr>
    </w:p>
    <w:p w14:paraId="56298648">
      <w:pPr>
        <w:spacing w:line="500" w:lineRule="exact"/>
        <w:jc w:val="center"/>
        <w:rPr>
          <w:b/>
          <w:bCs/>
          <w:color w:val="auto"/>
          <w:sz w:val="44"/>
          <w:szCs w:val="44"/>
          <w:highlight w:val="none"/>
        </w:rPr>
      </w:pPr>
      <w:r>
        <w:rPr>
          <w:rFonts w:ascii="仿宋_GB2312" w:hAnsi="仿宋_GB2312" w:eastAsia="仿宋_GB2312" w:cs="仿宋_GB2312"/>
          <w:color w:val="auto"/>
          <w:szCs w:val="21"/>
          <w:highlight w:val="none"/>
        </w:rPr>
        <w:br w:type="page"/>
      </w:r>
      <w:bookmarkEnd w:id="97"/>
      <w:r>
        <w:rPr>
          <w:rFonts w:hint="eastAsia"/>
          <w:b/>
          <w:bCs/>
          <w:color w:val="auto"/>
          <w:sz w:val="44"/>
          <w:szCs w:val="44"/>
          <w:highlight w:val="none"/>
        </w:rPr>
        <w:t>技术及其他要求、商务要求响应承诺表格式</w:t>
      </w:r>
    </w:p>
    <w:p w14:paraId="121148DB">
      <w:pPr>
        <w:pStyle w:val="7"/>
        <w:rPr>
          <w:color w:val="auto"/>
          <w:highlight w:val="none"/>
        </w:rPr>
      </w:pPr>
    </w:p>
    <w:tbl>
      <w:tblPr>
        <w:tblStyle w:val="46"/>
        <w:tblW w:w="96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65"/>
        <w:gridCol w:w="5904"/>
      </w:tblGrid>
      <w:tr w14:paraId="2F61D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3765" w:type="dxa"/>
            <w:tcBorders>
              <w:top w:val="single" w:color="auto" w:sz="4" w:space="0"/>
              <w:left w:val="single" w:color="auto" w:sz="4" w:space="0"/>
              <w:bottom w:val="single" w:color="auto" w:sz="4" w:space="0"/>
              <w:right w:val="single" w:color="auto" w:sz="4" w:space="0"/>
            </w:tcBorders>
            <w:vAlign w:val="center"/>
          </w:tcPr>
          <w:p w14:paraId="3C24C516">
            <w:pPr>
              <w:snapToGrid w:val="0"/>
              <w:spacing w:before="156" w:beforeLines="50" w:line="300" w:lineRule="exact"/>
              <w:jc w:val="center"/>
              <w:rPr>
                <w:color w:val="auto"/>
                <w:sz w:val="24"/>
                <w:highlight w:val="none"/>
              </w:rPr>
            </w:pPr>
            <w:r>
              <w:rPr>
                <w:rFonts w:hint="eastAsia"/>
                <w:color w:val="auto"/>
                <w:sz w:val="24"/>
                <w:highlight w:val="none"/>
              </w:rPr>
              <w:t>项目</w:t>
            </w:r>
          </w:p>
        </w:tc>
        <w:tc>
          <w:tcPr>
            <w:tcW w:w="5904" w:type="dxa"/>
            <w:tcBorders>
              <w:top w:val="single" w:color="auto" w:sz="4" w:space="0"/>
              <w:left w:val="single" w:color="auto" w:sz="4" w:space="0"/>
              <w:bottom w:val="single" w:color="auto" w:sz="4" w:space="0"/>
              <w:right w:val="single" w:color="auto" w:sz="4" w:space="0"/>
            </w:tcBorders>
            <w:vAlign w:val="center"/>
          </w:tcPr>
          <w:p w14:paraId="69A9BA6D">
            <w:pPr>
              <w:snapToGrid w:val="0"/>
              <w:spacing w:before="156" w:beforeLines="50" w:line="300" w:lineRule="exact"/>
              <w:jc w:val="center"/>
              <w:rPr>
                <w:color w:val="auto"/>
                <w:sz w:val="24"/>
                <w:highlight w:val="none"/>
              </w:rPr>
            </w:pPr>
            <w:r>
              <w:rPr>
                <w:rFonts w:hint="eastAsia"/>
                <w:color w:val="auto"/>
                <w:sz w:val="24"/>
                <w:highlight w:val="none"/>
              </w:rPr>
              <w:t>对应第三章</w:t>
            </w:r>
            <w:r>
              <w:rPr>
                <w:color w:val="auto"/>
                <w:sz w:val="24"/>
                <w:highlight w:val="none"/>
              </w:rPr>
              <w:t xml:space="preserve"> </w:t>
            </w:r>
            <w:r>
              <w:rPr>
                <w:rFonts w:hint="eastAsia"/>
                <w:color w:val="auto"/>
                <w:sz w:val="24"/>
                <w:highlight w:val="none"/>
              </w:rPr>
              <w:t>采购需求“技术及其他要求”及</w:t>
            </w:r>
            <w:r>
              <w:rPr>
                <w:color w:val="auto"/>
                <w:sz w:val="24"/>
                <w:highlight w:val="none"/>
              </w:rPr>
              <w:t>“</w:t>
            </w:r>
            <w:r>
              <w:rPr>
                <w:rFonts w:hint="eastAsia"/>
                <w:color w:val="auto"/>
                <w:sz w:val="24"/>
                <w:highlight w:val="none"/>
              </w:rPr>
              <w:t>商务要求</w:t>
            </w:r>
            <w:r>
              <w:rPr>
                <w:color w:val="auto"/>
                <w:sz w:val="24"/>
                <w:highlight w:val="none"/>
              </w:rPr>
              <w:t>”</w:t>
            </w:r>
            <w:r>
              <w:rPr>
                <w:rFonts w:hint="eastAsia"/>
                <w:color w:val="auto"/>
                <w:sz w:val="24"/>
                <w:highlight w:val="none"/>
              </w:rPr>
              <w:t>，</w:t>
            </w:r>
            <w:r>
              <w:rPr>
                <w:color w:val="auto"/>
                <w:sz w:val="24"/>
                <w:highlight w:val="none"/>
              </w:rPr>
              <w:t xml:space="preserve"> </w:t>
            </w:r>
            <w:r>
              <w:rPr>
                <w:rFonts w:hint="eastAsia"/>
                <w:color w:val="auto"/>
                <w:sz w:val="24"/>
                <w:highlight w:val="none"/>
              </w:rPr>
              <w:t>供应商的响应承诺情况</w:t>
            </w:r>
          </w:p>
        </w:tc>
      </w:tr>
      <w:tr w14:paraId="49323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14:paraId="572F35DD">
            <w:pPr>
              <w:snapToGrid w:val="0"/>
              <w:spacing w:before="156" w:beforeLines="50" w:line="300" w:lineRule="exact"/>
              <w:jc w:val="left"/>
              <w:rPr>
                <w:b/>
                <w:color w:val="auto"/>
                <w:sz w:val="24"/>
                <w:highlight w:val="none"/>
              </w:rPr>
            </w:pPr>
            <w:r>
              <w:rPr>
                <w:rFonts w:hint="eastAsia"/>
                <w:b/>
                <w:color w:val="auto"/>
                <w:sz w:val="24"/>
                <w:highlight w:val="none"/>
              </w:rPr>
              <w:t>一、</w:t>
            </w:r>
            <w:r>
              <w:rPr>
                <w:rFonts w:hint="eastAsia"/>
                <w:b/>
                <w:color w:val="auto"/>
                <w:highlight w:val="none"/>
              </w:rPr>
              <w:t>技术及其他要求</w:t>
            </w:r>
          </w:p>
        </w:tc>
      </w:tr>
      <w:tr w14:paraId="2E7FF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27BAA74E">
            <w:pPr>
              <w:spacing w:line="300" w:lineRule="exact"/>
              <w:jc w:val="center"/>
              <w:rPr>
                <w:b/>
                <w:color w:val="auto"/>
                <w:szCs w:val="21"/>
                <w:highlight w:val="none"/>
              </w:rPr>
            </w:pPr>
            <w:r>
              <w:rPr>
                <w:rFonts w:hint="eastAsia" w:ascii="宋体" w:hAnsi="宋体"/>
                <w:b/>
                <w:bCs/>
                <w:color w:val="auto"/>
                <w:szCs w:val="21"/>
                <w:highlight w:val="none"/>
              </w:rPr>
              <w:t>1.项目概况</w:t>
            </w:r>
          </w:p>
        </w:tc>
        <w:tc>
          <w:tcPr>
            <w:tcW w:w="5904" w:type="dxa"/>
            <w:tcBorders>
              <w:top w:val="single" w:color="auto" w:sz="4" w:space="0"/>
              <w:left w:val="single" w:color="auto" w:sz="4" w:space="0"/>
              <w:bottom w:val="single" w:color="auto" w:sz="4" w:space="0"/>
              <w:right w:val="single" w:color="auto" w:sz="4" w:space="0"/>
            </w:tcBorders>
          </w:tcPr>
          <w:p w14:paraId="3EB12FB5">
            <w:pPr>
              <w:spacing w:line="300" w:lineRule="exact"/>
              <w:jc w:val="left"/>
              <w:rPr>
                <w:b/>
                <w:color w:val="auto"/>
                <w:szCs w:val="21"/>
                <w:highlight w:val="none"/>
              </w:rPr>
            </w:pPr>
          </w:p>
        </w:tc>
      </w:tr>
      <w:tr w14:paraId="2BA86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7EB8542F">
            <w:pPr>
              <w:spacing w:line="300" w:lineRule="exact"/>
              <w:jc w:val="center"/>
              <w:rPr>
                <w:b/>
                <w:color w:val="auto"/>
                <w:szCs w:val="21"/>
                <w:highlight w:val="none"/>
              </w:rPr>
            </w:pPr>
            <w:r>
              <w:rPr>
                <w:rFonts w:hint="eastAsia" w:ascii="宋体" w:hAnsi="宋体"/>
                <w:b/>
                <w:color w:val="auto"/>
                <w:highlight w:val="none"/>
              </w:rPr>
              <w:t>2.质量等级要求</w:t>
            </w:r>
          </w:p>
        </w:tc>
        <w:tc>
          <w:tcPr>
            <w:tcW w:w="5904" w:type="dxa"/>
            <w:tcBorders>
              <w:top w:val="single" w:color="auto" w:sz="4" w:space="0"/>
              <w:left w:val="single" w:color="auto" w:sz="4" w:space="0"/>
              <w:bottom w:val="single" w:color="auto" w:sz="4" w:space="0"/>
              <w:right w:val="single" w:color="auto" w:sz="4" w:space="0"/>
            </w:tcBorders>
            <w:vAlign w:val="center"/>
          </w:tcPr>
          <w:p w14:paraId="00828EAE">
            <w:pPr>
              <w:spacing w:line="300" w:lineRule="exact"/>
              <w:rPr>
                <w:b/>
                <w:color w:val="auto"/>
                <w:szCs w:val="21"/>
                <w:highlight w:val="none"/>
              </w:rPr>
            </w:pPr>
          </w:p>
        </w:tc>
      </w:tr>
      <w:tr w14:paraId="16EFA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76E7075D">
            <w:pPr>
              <w:spacing w:line="300" w:lineRule="exact"/>
              <w:jc w:val="center"/>
              <w:rPr>
                <w:rFonts w:hint="default" w:eastAsia="宋体"/>
                <w:b/>
                <w:color w:val="auto"/>
                <w:szCs w:val="21"/>
                <w:highlight w:val="none"/>
                <w:lang w:val="en-US" w:eastAsia="zh-CN"/>
              </w:rPr>
            </w:pPr>
            <w:r>
              <w:rPr>
                <w:rFonts w:hint="eastAsia" w:ascii="宋体" w:hAnsi="宋体"/>
                <w:b/>
                <w:color w:val="auto"/>
                <w:highlight w:val="none"/>
                <w:lang w:val="en-US" w:eastAsia="zh-CN"/>
              </w:rPr>
              <w:t>......</w:t>
            </w:r>
          </w:p>
        </w:tc>
        <w:tc>
          <w:tcPr>
            <w:tcW w:w="5904" w:type="dxa"/>
            <w:tcBorders>
              <w:top w:val="single" w:color="auto" w:sz="4" w:space="0"/>
              <w:left w:val="single" w:color="auto" w:sz="4" w:space="0"/>
              <w:bottom w:val="single" w:color="auto" w:sz="4" w:space="0"/>
              <w:right w:val="single" w:color="auto" w:sz="4" w:space="0"/>
            </w:tcBorders>
          </w:tcPr>
          <w:p w14:paraId="181273C2">
            <w:pPr>
              <w:spacing w:line="300" w:lineRule="exact"/>
              <w:rPr>
                <w:b/>
                <w:color w:val="auto"/>
                <w:szCs w:val="21"/>
                <w:highlight w:val="none"/>
              </w:rPr>
            </w:pPr>
          </w:p>
        </w:tc>
      </w:tr>
      <w:tr w14:paraId="70FB6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14:paraId="3B381145">
            <w:pPr>
              <w:spacing w:line="300" w:lineRule="exact"/>
              <w:jc w:val="left"/>
              <w:rPr>
                <w:b/>
                <w:color w:val="auto"/>
                <w:szCs w:val="21"/>
                <w:highlight w:val="none"/>
              </w:rPr>
            </w:pPr>
            <w:r>
              <w:rPr>
                <w:rFonts w:hint="eastAsia"/>
                <w:b/>
                <w:color w:val="auto"/>
                <w:szCs w:val="21"/>
                <w:highlight w:val="none"/>
              </w:rPr>
              <w:t>二、</w:t>
            </w:r>
            <w:r>
              <w:rPr>
                <w:rFonts w:hint="eastAsia" w:ascii="宋体" w:hAnsi="宋体"/>
                <w:b/>
                <w:color w:val="auto"/>
                <w:szCs w:val="21"/>
                <w:highlight w:val="none"/>
              </w:rPr>
              <w:t>商务要求</w:t>
            </w:r>
          </w:p>
        </w:tc>
      </w:tr>
      <w:tr w14:paraId="33EBC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772E94DD">
            <w:pPr>
              <w:spacing w:line="300" w:lineRule="exact"/>
              <w:jc w:val="center"/>
              <w:rPr>
                <w:rFonts w:ascii="宋体" w:hAnsi="宋体"/>
                <w:b/>
                <w:color w:val="auto"/>
                <w:szCs w:val="21"/>
                <w:highlight w:val="none"/>
              </w:rPr>
            </w:pPr>
            <w:r>
              <w:rPr>
                <w:rFonts w:hint="eastAsia" w:ascii="宋体" w:hAnsi="宋体" w:cs="宋体"/>
                <w:b/>
                <w:color w:val="auto"/>
                <w:szCs w:val="21"/>
                <w:highlight w:val="none"/>
              </w:rPr>
              <w:t>1.计划工期</w:t>
            </w:r>
          </w:p>
        </w:tc>
        <w:tc>
          <w:tcPr>
            <w:tcW w:w="5904" w:type="dxa"/>
            <w:tcBorders>
              <w:top w:val="single" w:color="auto" w:sz="4" w:space="0"/>
              <w:left w:val="single" w:color="auto" w:sz="4" w:space="0"/>
              <w:bottom w:val="single" w:color="auto" w:sz="4" w:space="0"/>
              <w:right w:val="single" w:color="auto" w:sz="4" w:space="0"/>
            </w:tcBorders>
          </w:tcPr>
          <w:p w14:paraId="5111D380">
            <w:pPr>
              <w:spacing w:line="300" w:lineRule="exact"/>
              <w:jc w:val="left"/>
              <w:rPr>
                <w:b/>
                <w:color w:val="auto"/>
                <w:szCs w:val="21"/>
                <w:highlight w:val="none"/>
              </w:rPr>
            </w:pPr>
          </w:p>
        </w:tc>
      </w:tr>
      <w:tr w14:paraId="1DD29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7658CFC1">
            <w:pPr>
              <w:spacing w:line="300" w:lineRule="exact"/>
              <w:jc w:val="center"/>
              <w:rPr>
                <w:rFonts w:ascii="宋体" w:hAnsi="宋体"/>
                <w:b/>
                <w:color w:val="auto"/>
                <w:szCs w:val="21"/>
                <w:highlight w:val="none"/>
              </w:rPr>
            </w:pPr>
            <w:r>
              <w:rPr>
                <w:rFonts w:hint="eastAsia" w:ascii="宋体" w:hAnsi="宋体"/>
                <w:b/>
                <w:color w:val="auto"/>
                <w:szCs w:val="21"/>
                <w:highlight w:val="none"/>
              </w:rPr>
              <w:t>2.建设地点</w:t>
            </w:r>
          </w:p>
        </w:tc>
        <w:tc>
          <w:tcPr>
            <w:tcW w:w="5904" w:type="dxa"/>
            <w:tcBorders>
              <w:top w:val="single" w:color="auto" w:sz="4" w:space="0"/>
              <w:left w:val="single" w:color="auto" w:sz="4" w:space="0"/>
              <w:bottom w:val="single" w:color="auto" w:sz="4" w:space="0"/>
              <w:right w:val="single" w:color="auto" w:sz="4" w:space="0"/>
            </w:tcBorders>
          </w:tcPr>
          <w:p w14:paraId="48271161">
            <w:pPr>
              <w:spacing w:line="300" w:lineRule="exact"/>
              <w:jc w:val="left"/>
              <w:rPr>
                <w:b/>
                <w:color w:val="auto"/>
                <w:szCs w:val="21"/>
                <w:highlight w:val="none"/>
              </w:rPr>
            </w:pPr>
          </w:p>
        </w:tc>
      </w:tr>
      <w:tr w14:paraId="22EE4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765" w:type="dxa"/>
            <w:tcBorders>
              <w:top w:val="single" w:color="auto" w:sz="4" w:space="0"/>
              <w:left w:val="single" w:color="auto" w:sz="4" w:space="0"/>
              <w:bottom w:val="single" w:color="auto" w:sz="4" w:space="0"/>
              <w:right w:val="single" w:color="auto" w:sz="4" w:space="0"/>
            </w:tcBorders>
            <w:vAlign w:val="center"/>
          </w:tcPr>
          <w:p w14:paraId="31F3E0AE">
            <w:pPr>
              <w:spacing w:line="30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w:t>
            </w:r>
          </w:p>
        </w:tc>
        <w:tc>
          <w:tcPr>
            <w:tcW w:w="5904" w:type="dxa"/>
            <w:tcBorders>
              <w:top w:val="single" w:color="auto" w:sz="4" w:space="0"/>
              <w:left w:val="single" w:color="auto" w:sz="4" w:space="0"/>
              <w:bottom w:val="single" w:color="auto" w:sz="4" w:space="0"/>
              <w:right w:val="single" w:color="auto" w:sz="4" w:space="0"/>
            </w:tcBorders>
          </w:tcPr>
          <w:p w14:paraId="73FF445B">
            <w:pPr>
              <w:spacing w:line="300" w:lineRule="exact"/>
              <w:jc w:val="left"/>
              <w:rPr>
                <w:b/>
                <w:color w:val="auto"/>
                <w:szCs w:val="21"/>
                <w:highlight w:val="none"/>
              </w:rPr>
            </w:pPr>
          </w:p>
        </w:tc>
      </w:tr>
    </w:tbl>
    <w:p w14:paraId="2F65E7FA">
      <w:pPr>
        <w:pStyle w:val="18"/>
        <w:spacing w:after="0" w:line="340" w:lineRule="exact"/>
        <w:contextualSpacing/>
        <w:rPr>
          <w:color w:val="auto"/>
          <w:kern w:val="0"/>
          <w:sz w:val="24"/>
          <w:szCs w:val="24"/>
          <w:highlight w:val="none"/>
        </w:rPr>
      </w:pPr>
      <w:r>
        <w:rPr>
          <w:rFonts w:hint="eastAsia"/>
          <w:color w:val="auto"/>
          <w:kern w:val="0"/>
          <w:sz w:val="24"/>
          <w:szCs w:val="24"/>
          <w:highlight w:val="none"/>
        </w:rPr>
        <w:t>注：</w:t>
      </w:r>
    </w:p>
    <w:p w14:paraId="73812CAC">
      <w:pPr>
        <w:pStyle w:val="18"/>
        <w:spacing w:after="0" w:line="340" w:lineRule="exact"/>
        <w:contextualSpacing/>
        <w:rPr>
          <w:color w:val="auto"/>
          <w:kern w:val="0"/>
          <w:sz w:val="24"/>
          <w:szCs w:val="24"/>
          <w:highlight w:val="none"/>
        </w:rPr>
      </w:pPr>
      <w:r>
        <w:rPr>
          <w:color w:val="auto"/>
          <w:kern w:val="0"/>
          <w:sz w:val="24"/>
          <w:szCs w:val="24"/>
          <w:highlight w:val="none"/>
        </w:rPr>
        <w:t xml:space="preserve">  </w:t>
      </w:r>
      <w:r>
        <w:rPr>
          <w:rFonts w:hint="eastAsia"/>
          <w:color w:val="auto"/>
          <w:kern w:val="0"/>
          <w:sz w:val="24"/>
          <w:szCs w:val="24"/>
          <w:highlight w:val="none"/>
        </w:rPr>
        <w:t>说明：应对照磋商文件</w:t>
      </w:r>
      <w:r>
        <w:rPr>
          <w:color w:val="auto"/>
          <w:kern w:val="0"/>
          <w:sz w:val="24"/>
          <w:szCs w:val="24"/>
          <w:highlight w:val="none"/>
        </w:rPr>
        <w:t>“</w:t>
      </w:r>
      <w:r>
        <w:rPr>
          <w:rFonts w:hint="eastAsia"/>
          <w:color w:val="auto"/>
          <w:kern w:val="0"/>
          <w:sz w:val="24"/>
          <w:szCs w:val="24"/>
          <w:highlight w:val="none"/>
        </w:rPr>
        <w:t>第三章</w:t>
      </w:r>
      <w:r>
        <w:rPr>
          <w:color w:val="auto"/>
          <w:kern w:val="0"/>
          <w:sz w:val="24"/>
          <w:szCs w:val="24"/>
          <w:highlight w:val="none"/>
        </w:rPr>
        <w:t xml:space="preserve"> </w:t>
      </w:r>
      <w:r>
        <w:rPr>
          <w:rFonts w:hint="eastAsia"/>
          <w:color w:val="auto"/>
          <w:kern w:val="0"/>
          <w:sz w:val="24"/>
          <w:szCs w:val="24"/>
          <w:highlight w:val="none"/>
        </w:rPr>
        <w:t>采购需求</w:t>
      </w:r>
      <w:r>
        <w:rPr>
          <w:color w:val="auto"/>
          <w:kern w:val="0"/>
          <w:sz w:val="24"/>
          <w:szCs w:val="24"/>
          <w:highlight w:val="none"/>
        </w:rPr>
        <w:t>”</w:t>
      </w:r>
      <w:r>
        <w:rPr>
          <w:rFonts w:hint="eastAsia"/>
          <w:color w:val="auto"/>
          <w:kern w:val="0"/>
          <w:sz w:val="24"/>
          <w:szCs w:val="24"/>
          <w:highlight w:val="none"/>
        </w:rPr>
        <w:t>中的“技术及其他要求”及“商务要求”逐条明确响应承诺。</w:t>
      </w:r>
    </w:p>
    <w:p w14:paraId="3D9BADEF">
      <w:pPr>
        <w:spacing w:line="340" w:lineRule="exact"/>
        <w:ind w:right="-817" w:rightChars="-389"/>
        <w:contextualSpacing/>
        <w:jc w:val="center"/>
        <w:rPr>
          <w:color w:val="auto"/>
          <w:sz w:val="24"/>
          <w:highlight w:val="none"/>
        </w:rPr>
      </w:pPr>
      <w:r>
        <w:rPr>
          <w:rFonts w:hint="eastAsia"/>
          <w:color w:val="auto"/>
          <w:sz w:val="24"/>
          <w:highlight w:val="none"/>
        </w:rPr>
        <w:t>法定代表人或者委托代理人（签字或者电子签名）：</w:t>
      </w:r>
    </w:p>
    <w:p w14:paraId="186C6F96">
      <w:pPr>
        <w:spacing w:line="340" w:lineRule="exact"/>
        <w:ind w:right="-817" w:rightChars="-389" w:firstLine="2880" w:firstLineChars="1200"/>
        <w:contextualSpacing/>
        <w:rPr>
          <w:color w:val="auto"/>
          <w:sz w:val="24"/>
          <w:highlight w:val="none"/>
        </w:rPr>
      </w:pPr>
      <w:r>
        <w:rPr>
          <w:rFonts w:hint="eastAsia"/>
          <w:color w:val="auto"/>
          <w:sz w:val="24"/>
          <w:highlight w:val="none"/>
        </w:rPr>
        <w:t>供应商（电子签章）：</w:t>
      </w:r>
      <w:r>
        <w:rPr>
          <w:color w:val="auto"/>
          <w:sz w:val="24"/>
          <w:highlight w:val="none"/>
        </w:rPr>
        <w:t xml:space="preserve">      </w:t>
      </w:r>
    </w:p>
    <w:p w14:paraId="13018518">
      <w:pPr>
        <w:spacing w:line="340" w:lineRule="exact"/>
        <w:ind w:right="-817" w:rightChars="-389" w:firstLine="2880" w:firstLineChars="1200"/>
        <w:contextualSpacing/>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0158FA78">
      <w:pPr>
        <w:snapToGrid w:val="0"/>
        <w:spacing w:before="156" w:beforeLines="50" w:after="50"/>
        <w:jc w:val="center"/>
        <w:rPr>
          <w:rFonts w:hint="eastAsia" w:ascii="宋体" w:hAnsi="宋体"/>
          <w:b/>
          <w:color w:val="auto"/>
          <w:sz w:val="32"/>
          <w:szCs w:val="32"/>
          <w:highlight w:val="none"/>
        </w:rPr>
      </w:pPr>
    </w:p>
    <w:p w14:paraId="7BB93B89">
      <w:pPr>
        <w:snapToGrid w:val="0"/>
        <w:spacing w:before="156" w:beforeLines="50" w:after="50"/>
        <w:jc w:val="center"/>
        <w:rPr>
          <w:rFonts w:hint="eastAsia" w:ascii="宋体" w:hAnsi="宋体"/>
          <w:b/>
          <w:color w:val="auto"/>
          <w:sz w:val="32"/>
          <w:szCs w:val="32"/>
          <w:highlight w:val="none"/>
        </w:rPr>
      </w:pPr>
    </w:p>
    <w:p w14:paraId="2E0DF776">
      <w:pPr>
        <w:snapToGrid w:val="0"/>
        <w:spacing w:before="156" w:beforeLines="50" w:after="50"/>
        <w:jc w:val="center"/>
        <w:rPr>
          <w:rFonts w:hint="eastAsia" w:ascii="宋体" w:hAnsi="宋体"/>
          <w:b/>
          <w:color w:val="auto"/>
          <w:sz w:val="32"/>
          <w:szCs w:val="32"/>
          <w:highlight w:val="none"/>
        </w:rPr>
      </w:pPr>
    </w:p>
    <w:p w14:paraId="4BEE3BD3">
      <w:pPr>
        <w:snapToGrid w:val="0"/>
        <w:spacing w:before="156" w:beforeLines="50" w:after="50"/>
        <w:jc w:val="center"/>
        <w:rPr>
          <w:rFonts w:hint="eastAsia" w:ascii="宋体" w:hAnsi="宋体"/>
          <w:b/>
          <w:color w:val="auto"/>
          <w:sz w:val="32"/>
          <w:szCs w:val="32"/>
          <w:highlight w:val="none"/>
        </w:rPr>
      </w:pPr>
    </w:p>
    <w:p w14:paraId="4DEF3AC6">
      <w:pPr>
        <w:snapToGrid w:val="0"/>
        <w:spacing w:before="156" w:beforeLines="50" w:after="50"/>
        <w:jc w:val="center"/>
        <w:rPr>
          <w:rFonts w:hint="eastAsia" w:ascii="宋体" w:hAnsi="宋体"/>
          <w:b/>
          <w:color w:val="auto"/>
          <w:sz w:val="32"/>
          <w:szCs w:val="32"/>
          <w:highlight w:val="none"/>
        </w:rPr>
      </w:pPr>
    </w:p>
    <w:p w14:paraId="5E749C36">
      <w:pPr>
        <w:snapToGrid w:val="0"/>
        <w:spacing w:before="156" w:beforeLines="50" w:after="50"/>
        <w:jc w:val="center"/>
        <w:rPr>
          <w:rFonts w:hint="eastAsia" w:ascii="宋体" w:hAnsi="宋体"/>
          <w:b/>
          <w:color w:val="auto"/>
          <w:sz w:val="32"/>
          <w:szCs w:val="32"/>
          <w:highlight w:val="none"/>
        </w:rPr>
      </w:pPr>
    </w:p>
    <w:p w14:paraId="0A4B38AE">
      <w:pPr>
        <w:snapToGrid w:val="0"/>
        <w:spacing w:before="156" w:beforeLines="50" w:after="50"/>
        <w:jc w:val="center"/>
        <w:rPr>
          <w:rFonts w:hint="eastAsia" w:ascii="宋体" w:hAnsi="宋体"/>
          <w:b/>
          <w:color w:val="auto"/>
          <w:sz w:val="32"/>
          <w:szCs w:val="32"/>
          <w:highlight w:val="none"/>
        </w:rPr>
      </w:pPr>
    </w:p>
    <w:p w14:paraId="2969B404">
      <w:pPr>
        <w:snapToGrid w:val="0"/>
        <w:spacing w:before="156" w:beforeLines="50" w:after="50"/>
        <w:jc w:val="center"/>
        <w:rPr>
          <w:rFonts w:hint="eastAsia" w:ascii="宋体" w:hAnsi="宋体"/>
          <w:b/>
          <w:color w:val="auto"/>
          <w:sz w:val="32"/>
          <w:szCs w:val="32"/>
          <w:highlight w:val="none"/>
        </w:rPr>
      </w:pPr>
    </w:p>
    <w:p w14:paraId="007F11B9">
      <w:pPr>
        <w:snapToGrid w:val="0"/>
        <w:spacing w:before="156" w:beforeLines="50" w:after="50"/>
        <w:jc w:val="center"/>
        <w:rPr>
          <w:rFonts w:hint="eastAsia" w:ascii="宋体" w:hAnsi="宋体"/>
          <w:b/>
          <w:color w:val="auto"/>
          <w:sz w:val="32"/>
          <w:szCs w:val="32"/>
          <w:highlight w:val="none"/>
        </w:rPr>
      </w:pPr>
    </w:p>
    <w:p w14:paraId="6F21A96B">
      <w:pPr>
        <w:snapToGrid w:val="0"/>
        <w:spacing w:before="156" w:beforeLines="50" w:after="50"/>
        <w:jc w:val="center"/>
        <w:rPr>
          <w:rFonts w:hint="eastAsia" w:ascii="宋体" w:hAnsi="宋体"/>
          <w:b/>
          <w:color w:val="auto"/>
          <w:sz w:val="32"/>
          <w:szCs w:val="32"/>
          <w:highlight w:val="none"/>
        </w:rPr>
      </w:pPr>
    </w:p>
    <w:p w14:paraId="3C5B94A7">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项目管理机构配备情况表</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0F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2062A795">
            <w:pPr>
              <w:ind w:left="223" w:hanging="222" w:hangingChars="106"/>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03C3BB9A">
            <w:pPr>
              <w:ind w:left="223" w:hanging="222" w:hangingChars="106"/>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0700A677">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EFEDA74">
            <w:pPr>
              <w:ind w:left="223" w:hanging="222" w:hangingChars="106"/>
              <w:jc w:val="center"/>
              <w:rPr>
                <w:color w:val="auto"/>
                <w:highlight w:val="none"/>
              </w:rPr>
            </w:pPr>
            <w:r>
              <w:rPr>
                <w:rFonts w:hint="eastAsia"/>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520F68F5">
            <w:pPr>
              <w:ind w:left="223" w:hanging="222" w:hangingChars="106"/>
              <w:jc w:val="center"/>
              <w:rPr>
                <w:color w:val="auto"/>
                <w:highlight w:val="none"/>
              </w:rPr>
            </w:pPr>
            <w:r>
              <w:rPr>
                <w:rFonts w:hint="eastAsia"/>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343A7085">
            <w:pPr>
              <w:jc w:val="left"/>
              <w:rPr>
                <w:color w:val="auto"/>
                <w:highlight w:val="none"/>
              </w:rPr>
            </w:pPr>
            <w:r>
              <w:rPr>
                <w:rFonts w:hint="eastAsia"/>
                <w:color w:val="auto"/>
                <w:highlight w:val="none"/>
              </w:rPr>
              <w:t>承担完工、在建工程情况</w:t>
            </w:r>
          </w:p>
        </w:tc>
      </w:tr>
      <w:tr w14:paraId="0A45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0B4E7BEC">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5CF4B7E4">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333F97A5">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9A96B69">
            <w:pPr>
              <w:widowControl/>
              <w:jc w:val="left"/>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38A6625">
            <w:pPr>
              <w:ind w:left="223" w:hanging="222" w:hangingChars="106"/>
              <w:jc w:val="center"/>
              <w:rPr>
                <w:color w:val="auto"/>
                <w:highlight w:val="none"/>
              </w:rPr>
            </w:pPr>
            <w:r>
              <w:rPr>
                <w:rFonts w:hint="eastAsia"/>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4F7D92D3">
            <w:pPr>
              <w:ind w:left="223" w:hanging="222" w:hangingChars="106"/>
              <w:jc w:val="center"/>
              <w:rPr>
                <w:color w:val="auto"/>
                <w:highlight w:val="none"/>
              </w:rPr>
            </w:pPr>
            <w:r>
              <w:rPr>
                <w:rFonts w:hint="eastAsia"/>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1F768C62">
            <w:pPr>
              <w:ind w:left="223" w:hanging="222" w:hangingChars="106"/>
              <w:jc w:val="center"/>
              <w:rPr>
                <w:color w:val="auto"/>
                <w:highlight w:val="none"/>
              </w:rPr>
            </w:pPr>
            <w:r>
              <w:rPr>
                <w:rFonts w:hint="eastAsia"/>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21F45C60">
            <w:pPr>
              <w:ind w:left="223" w:hanging="222" w:hangingChars="106"/>
              <w:jc w:val="center"/>
              <w:rPr>
                <w:color w:val="auto"/>
                <w:highlight w:val="none"/>
              </w:rPr>
            </w:pPr>
            <w:r>
              <w:rPr>
                <w:rFonts w:hint="eastAsia"/>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3688A15F">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276" w:type="dxa"/>
            <w:tcBorders>
              <w:top w:val="single" w:color="auto" w:sz="4" w:space="0"/>
              <w:left w:val="single" w:color="auto" w:sz="4" w:space="0"/>
              <w:bottom w:val="single" w:color="auto" w:sz="4" w:space="0"/>
              <w:right w:val="single" w:color="auto" w:sz="4" w:space="0"/>
            </w:tcBorders>
            <w:vAlign w:val="center"/>
          </w:tcPr>
          <w:p w14:paraId="32A392D4">
            <w:pPr>
              <w:jc w:val="center"/>
              <w:rPr>
                <w:color w:val="auto"/>
                <w:highlight w:val="none"/>
              </w:rPr>
            </w:pPr>
            <w:r>
              <w:rPr>
                <w:rFonts w:hint="eastAsia"/>
                <w:color w:val="auto"/>
                <w:highlight w:val="none"/>
              </w:rPr>
              <w:t>主要项目</w:t>
            </w:r>
          </w:p>
          <w:p w14:paraId="48449646">
            <w:pPr>
              <w:jc w:val="center"/>
              <w:rPr>
                <w:color w:val="auto"/>
                <w:highlight w:val="none"/>
              </w:rPr>
            </w:pPr>
            <w:r>
              <w:rPr>
                <w:rFonts w:hint="eastAsia"/>
                <w:color w:val="auto"/>
                <w:highlight w:val="none"/>
              </w:rPr>
              <w:t>名称</w:t>
            </w:r>
          </w:p>
        </w:tc>
      </w:tr>
      <w:tr w14:paraId="0C9C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2953AF1">
            <w:pPr>
              <w:pStyle w:val="141"/>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eastAsia="en-US" w:bidi="en-US"/>
              </w:rPr>
              <w:t>1.</w:t>
            </w:r>
            <w:r>
              <w:rPr>
                <w:rFonts w:hint="eastAsia"/>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2202ED98">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561A2F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B64AF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5664F5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0FE1784">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D90029">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5E8239A">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5AA846B">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9A6BC8F">
            <w:pPr>
              <w:ind w:left="223" w:hanging="222" w:hangingChars="106"/>
              <w:jc w:val="center"/>
              <w:rPr>
                <w:color w:val="auto"/>
                <w:szCs w:val="21"/>
                <w:highlight w:val="none"/>
              </w:rPr>
            </w:pPr>
          </w:p>
        </w:tc>
      </w:tr>
      <w:tr w14:paraId="235A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0232401">
            <w:pPr>
              <w:pStyle w:val="141"/>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bidi="en-US"/>
              </w:rPr>
              <w:t>2.</w:t>
            </w:r>
            <w:r>
              <w:rPr>
                <w:rFonts w:hint="eastAsia"/>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0F292643">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8ADA165">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8157D5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B76C17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5E9792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8D9B58B">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316704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EDF663B">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B61D5F9">
            <w:pPr>
              <w:ind w:left="223" w:hanging="222" w:hangingChars="106"/>
              <w:jc w:val="center"/>
              <w:rPr>
                <w:color w:val="auto"/>
                <w:szCs w:val="21"/>
                <w:highlight w:val="none"/>
              </w:rPr>
            </w:pPr>
          </w:p>
        </w:tc>
      </w:tr>
      <w:tr w14:paraId="771D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85BBDC7">
            <w:pPr>
              <w:pStyle w:val="141"/>
              <w:spacing w:line="240" w:lineRule="auto"/>
              <w:ind w:firstLine="0"/>
              <w:rPr>
                <w:rFonts w:ascii="Times New Roman" w:hAnsi="Times New Roman" w:eastAsia="Times New Roman" w:cs="Times New Roman"/>
                <w:color w:val="auto"/>
                <w:kern w:val="2"/>
                <w:sz w:val="21"/>
                <w:szCs w:val="21"/>
                <w:highlight w:val="none"/>
                <w:lang w:val="en-US" w:bidi="en-US"/>
              </w:rPr>
            </w:pPr>
            <w:r>
              <w:rPr>
                <w:rFonts w:ascii="Times New Roman" w:hAnsi="Times New Roman" w:eastAsia="Times New Roman" w:cs="Times New Roman"/>
                <w:color w:val="auto"/>
                <w:kern w:val="2"/>
                <w:sz w:val="21"/>
                <w:szCs w:val="21"/>
                <w:highlight w:val="none"/>
                <w:lang w:val="en-US" w:bidi="en-US"/>
              </w:rPr>
              <w:t>4.</w:t>
            </w:r>
            <w:r>
              <w:rPr>
                <w:rFonts w:hint="eastAsia"/>
                <w:color w:val="auto"/>
                <w:highlight w:val="none"/>
              </w:rPr>
              <w:t xml:space="preserve"> </w:t>
            </w:r>
            <w:r>
              <w:rPr>
                <w:rFonts w:hint="eastAsia"/>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228C7547">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17BF38C">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B3AF1A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F55DC4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BEF724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BFF1888">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45CE8FB">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B62BB47">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5B76151">
            <w:pPr>
              <w:ind w:left="223" w:hanging="222" w:hangingChars="106"/>
              <w:jc w:val="center"/>
              <w:rPr>
                <w:color w:val="auto"/>
                <w:szCs w:val="21"/>
                <w:highlight w:val="none"/>
              </w:rPr>
            </w:pPr>
          </w:p>
        </w:tc>
      </w:tr>
      <w:tr w14:paraId="46C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961FC94">
            <w:pPr>
              <w:pStyle w:val="141"/>
              <w:spacing w:line="240" w:lineRule="auto"/>
              <w:ind w:firstLine="0"/>
              <w:rPr>
                <w:color w:val="auto"/>
                <w:kern w:val="2"/>
                <w:sz w:val="21"/>
                <w:szCs w:val="21"/>
                <w:highlight w:val="none"/>
              </w:rPr>
            </w:pPr>
            <w:r>
              <w:rPr>
                <w:rFonts w:ascii="Times New Roman" w:hAnsi="Times New Roman" w:eastAsia="Times New Roman" w:cs="Times New Roman"/>
                <w:color w:val="auto"/>
                <w:kern w:val="2"/>
                <w:sz w:val="21"/>
                <w:szCs w:val="21"/>
                <w:highlight w:val="none"/>
                <w:lang w:val="en-US" w:eastAsia="en-US" w:bidi="en-US"/>
              </w:rPr>
              <w:t>3.</w:t>
            </w:r>
            <w:r>
              <w:rPr>
                <w:rFonts w:hint="eastAsia"/>
                <w:color w:val="auto"/>
                <w:kern w:val="2"/>
                <w:sz w:val="21"/>
                <w:szCs w:val="21"/>
                <w:highlight w:val="none"/>
                <w:lang w:val="en-US"/>
              </w:rPr>
              <w:t xml:space="preserve"> </w:t>
            </w:r>
            <w:r>
              <w:rPr>
                <w:rFonts w:hint="eastAsia"/>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7F239C4B">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42FE3FB">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49DC0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88B4CE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31197D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4FA610E">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46A230B">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76CEFF03">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E1A01C2">
            <w:pPr>
              <w:ind w:left="223" w:hanging="222" w:hangingChars="106"/>
              <w:jc w:val="center"/>
              <w:rPr>
                <w:color w:val="auto"/>
                <w:szCs w:val="21"/>
                <w:highlight w:val="none"/>
              </w:rPr>
            </w:pPr>
          </w:p>
        </w:tc>
      </w:tr>
      <w:tr w14:paraId="01AC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C5FF6AA">
            <w:pPr>
              <w:jc w:val="left"/>
              <w:rPr>
                <w:color w:val="auto"/>
                <w:szCs w:val="21"/>
                <w:highlight w:val="none"/>
              </w:rPr>
            </w:pPr>
            <w:r>
              <w:rPr>
                <w:color w:val="auto"/>
                <w:szCs w:val="21"/>
                <w:highlight w:val="none"/>
              </w:rPr>
              <w:t xml:space="preserve">5. </w:t>
            </w:r>
            <w:r>
              <w:rPr>
                <w:rFonts w:hint="eastAsia"/>
                <w:color w:val="auto"/>
                <w:szCs w:val="21"/>
                <w:highlight w:val="none"/>
              </w:rPr>
              <w:t>质量员</w:t>
            </w:r>
          </w:p>
        </w:tc>
        <w:tc>
          <w:tcPr>
            <w:tcW w:w="670" w:type="dxa"/>
            <w:tcBorders>
              <w:top w:val="single" w:color="auto" w:sz="4" w:space="0"/>
              <w:left w:val="single" w:color="auto" w:sz="4" w:space="0"/>
              <w:bottom w:val="single" w:color="auto" w:sz="4" w:space="0"/>
              <w:right w:val="single" w:color="auto" w:sz="4" w:space="0"/>
            </w:tcBorders>
            <w:vAlign w:val="center"/>
          </w:tcPr>
          <w:p w14:paraId="7886B544">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2E4E5E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25537B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A477566">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26F7E9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A57F145">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ACFC76C">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0224E88">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F2B7825">
            <w:pPr>
              <w:ind w:left="223" w:hanging="222" w:hangingChars="106"/>
              <w:jc w:val="center"/>
              <w:rPr>
                <w:color w:val="auto"/>
                <w:szCs w:val="21"/>
                <w:highlight w:val="none"/>
              </w:rPr>
            </w:pPr>
          </w:p>
        </w:tc>
      </w:tr>
      <w:tr w14:paraId="58DF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21975A">
            <w:pPr>
              <w:jc w:val="left"/>
              <w:rPr>
                <w:color w:val="auto"/>
                <w:szCs w:val="21"/>
                <w:highlight w:val="none"/>
              </w:rPr>
            </w:pPr>
            <w:r>
              <w:rPr>
                <w:color w:val="auto"/>
                <w:szCs w:val="21"/>
                <w:highlight w:val="none"/>
              </w:rPr>
              <w:t>6.</w:t>
            </w:r>
            <w:r>
              <w:rPr>
                <w:rFonts w:hint="eastAsia"/>
                <w:color w:val="auto"/>
                <w:szCs w:val="21"/>
                <w:highlight w:val="none"/>
              </w:rPr>
              <w:t>材料员</w:t>
            </w:r>
          </w:p>
        </w:tc>
        <w:tc>
          <w:tcPr>
            <w:tcW w:w="670" w:type="dxa"/>
            <w:tcBorders>
              <w:top w:val="single" w:color="auto" w:sz="4" w:space="0"/>
              <w:left w:val="single" w:color="auto" w:sz="4" w:space="0"/>
              <w:bottom w:val="single" w:color="auto" w:sz="4" w:space="0"/>
              <w:right w:val="single" w:color="auto" w:sz="4" w:space="0"/>
            </w:tcBorders>
            <w:vAlign w:val="center"/>
          </w:tcPr>
          <w:p w14:paraId="77B83D13">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20BE98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E0AC1F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DC056E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6D1E56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D59ACCD">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4472A42">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92D147F">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17822E7">
            <w:pPr>
              <w:ind w:left="223" w:hanging="222" w:hangingChars="106"/>
              <w:jc w:val="center"/>
              <w:rPr>
                <w:color w:val="auto"/>
                <w:szCs w:val="21"/>
                <w:highlight w:val="none"/>
              </w:rPr>
            </w:pPr>
          </w:p>
        </w:tc>
      </w:tr>
      <w:tr w14:paraId="415E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F72FAA6">
            <w:pPr>
              <w:jc w:val="left"/>
              <w:rPr>
                <w:color w:val="auto"/>
                <w:szCs w:val="21"/>
                <w:highlight w:val="none"/>
              </w:rPr>
            </w:pPr>
            <w:r>
              <w:rPr>
                <w:rFonts w:hint="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1906712C">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73067AC">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705FE4A">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BF9175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00BF1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DAEC8F1">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55F9068">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E33AADD">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2ECC41">
            <w:pPr>
              <w:ind w:left="223" w:hanging="222" w:hangingChars="106"/>
              <w:jc w:val="center"/>
              <w:rPr>
                <w:color w:val="auto"/>
                <w:szCs w:val="21"/>
                <w:highlight w:val="none"/>
              </w:rPr>
            </w:pPr>
          </w:p>
        </w:tc>
      </w:tr>
      <w:tr w14:paraId="5A0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6D5E6989">
            <w:pPr>
              <w:ind w:left="223" w:hanging="222" w:hangingChars="106"/>
              <w:jc w:val="left"/>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A68BA45">
      <w:pPr>
        <w:spacing w:line="360" w:lineRule="auto"/>
        <w:jc w:val="left"/>
        <w:rPr>
          <w:rFonts w:ascii="宋体" w:hAnsi="宋体"/>
          <w:b/>
          <w:color w:val="auto"/>
          <w:szCs w:val="21"/>
          <w:highlight w:val="none"/>
        </w:rPr>
      </w:pPr>
      <w:r>
        <w:rPr>
          <w:rFonts w:hint="eastAsia" w:ascii="宋体" w:hAnsi="宋体"/>
          <w:b/>
          <w:color w:val="auto"/>
          <w:szCs w:val="21"/>
          <w:highlight w:val="none"/>
        </w:rPr>
        <w:t>备注：</w:t>
      </w:r>
    </w:p>
    <w:p w14:paraId="7EBEC3BA">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1.本表所列岗位的所有管理人员的情况均应如实填写。可按以上格式扩展为多页填写。</w:t>
      </w:r>
    </w:p>
    <w:p w14:paraId="7767AE87">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b/>
          <w:color w:val="auto"/>
          <w:szCs w:val="21"/>
          <w:highlight w:val="none"/>
        </w:rPr>
        <w:t>附以下证明材料：①项目经理提供建筑工程专业二级以上（含二级）注册建造师执业资格证书复印件及有效的安全生产考核合格证书复印件（B类），加盖供应商电子签章；②技术负责人提供</w:t>
      </w:r>
      <w:r>
        <w:rPr>
          <w:rFonts w:hint="eastAsia" w:ascii="宋体" w:hAnsi="宋体" w:cs="宋体"/>
          <w:b/>
          <w:bCs/>
          <w:color w:val="auto"/>
          <w:szCs w:val="21"/>
          <w:highlight w:val="none"/>
        </w:rPr>
        <w:t>与本项目相关专业的</w:t>
      </w:r>
      <w:r>
        <w:rPr>
          <w:rFonts w:hint="eastAsia" w:asciiTheme="majorEastAsia" w:hAnsiTheme="majorEastAsia" w:eastAsiaTheme="majorEastAsia"/>
          <w:b/>
          <w:bCs/>
          <w:color w:val="auto"/>
          <w:highlight w:val="none"/>
        </w:rPr>
        <w:t>工程师</w:t>
      </w:r>
      <w:r>
        <w:rPr>
          <w:rFonts w:hint="eastAsia" w:ascii="宋体" w:hAnsi="宋体" w:cs="宋体"/>
          <w:b/>
          <w:color w:val="auto"/>
          <w:szCs w:val="21"/>
          <w:highlight w:val="none"/>
        </w:rPr>
        <w:t>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缴纳的社保证明</w:t>
      </w:r>
      <w:r>
        <w:rPr>
          <w:rFonts w:hint="eastAsia" w:ascii="宋体" w:hAnsi="宋体" w:cs="宋体"/>
          <w:b/>
          <w:color w:val="auto"/>
          <w:szCs w:val="21"/>
          <w:highlight w:val="none"/>
        </w:rPr>
        <w:t>复印件</w:t>
      </w:r>
      <w:r>
        <w:rPr>
          <w:rFonts w:hint="eastAsia"/>
          <w:b/>
          <w:color w:val="auto"/>
          <w:highlight w:val="none"/>
        </w:rPr>
        <w:t>或者劳动合同</w:t>
      </w:r>
      <w:r>
        <w:rPr>
          <w:rFonts w:hint="eastAsia" w:ascii="宋体" w:hAnsi="宋体" w:cs="宋体"/>
          <w:b/>
          <w:color w:val="auto"/>
          <w:szCs w:val="21"/>
          <w:highlight w:val="none"/>
        </w:rPr>
        <w:t>复印件</w:t>
      </w:r>
      <w:r>
        <w:rPr>
          <w:rFonts w:hint="eastAsia" w:ascii="宋体" w:hAnsi="宋体" w:cs="宋体"/>
          <w:b/>
          <w:color w:val="auto"/>
          <w:szCs w:val="21"/>
          <w:highlight w:val="none"/>
        </w:rPr>
        <w:t>，加盖供应商电子签章</w:t>
      </w:r>
      <w:r>
        <w:rPr>
          <w:rFonts w:hint="eastAsia" w:ascii="宋体" w:hAnsi="宋体"/>
          <w:b/>
          <w:color w:val="auto"/>
          <w:szCs w:val="21"/>
          <w:highlight w:val="none"/>
        </w:rPr>
        <w:t>。</w:t>
      </w:r>
    </w:p>
    <w:p w14:paraId="5F9F69E7">
      <w:pPr>
        <w:spacing w:line="360" w:lineRule="auto"/>
        <w:ind w:firstLine="480" w:firstLineChars="200"/>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01AE9C50">
      <w:pPr>
        <w:spacing w:line="360" w:lineRule="auto"/>
        <w:ind w:firstLine="560" w:firstLineChars="200"/>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2AF50ED">
      <w:pPr>
        <w:spacing w:line="500" w:lineRule="exact"/>
        <w:jc w:val="center"/>
        <w:rPr>
          <w:rFonts w:cs="宋体"/>
          <w:b/>
          <w:bCs/>
          <w:color w:val="auto"/>
          <w:sz w:val="28"/>
          <w:szCs w:val="28"/>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供应商关于拟派项目经理的承诺函</w:t>
      </w:r>
    </w:p>
    <w:p w14:paraId="3AC05FDA">
      <w:pPr>
        <w:spacing w:line="520" w:lineRule="exact"/>
        <w:ind w:left="-10" w:firstLine="520" w:firstLineChars="217"/>
        <w:jc w:val="left"/>
        <w:rPr>
          <w:rFonts w:cs="宋体"/>
          <w:bCs/>
          <w:color w:val="auto"/>
          <w:sz w:val="24"/>
          <w:highlight w:val="none"/>
        </w:rPr>
      </w:pPr>
    </w:p>
    <w:p w14:paraId="012A112E">
      <w:pPr>
        <w:pStyle w:val="17"/>
        <w:spacing w:line="560" w:lineRule="exact"/>
        <w:ind w:firstLine="480" w:firstLineChars="200"/>
        <w:rPr>
          <w:rFonts w:cs="宋体"/>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不存在其他在建、已中标（或成交）未开工或已列为其他项目中标（或成交）候选人第一名的建造师（符合桂建管【2013】17号文除外及桂建管【2016】70号）。</w:t>
      </w:r>
    </w:p>
    <w:p w14:paraId="45E1C32A">
      <w:pPr>
        <w:spacing w:line="560" w:lineRule="exact"/>
        <w:ind w:left="-10" w:firstLine="520" w:firstLineChars="217"/>
        <w:jc w:val="left"/>
        <w:rPr>
          <w:rFonts w:cs="宋体"/>
          <w:bCs/>
          <w:color w:val="auto"/>
          <w:sz w:val="24"/>
          <w:highlight w:val="none"/>
        </w:rPr>
      </w:pPr>
      <w:r>
        <w:rPr>
          <w:rFonts w:hint="eastAsia" w:cs="宋体"/>
          <w:bCs/>
          <w:color w:val="auto"/>
          <w:sz w:val="24"/>
          <w:highlight w:val="none"/>
        </w:rPr>
        <w:t>本单位对上述承诺的真实性负责。如有虚假，将依法承担相应责任。</w:t>
      </w:r>
    </w:p>
    <w:p w14:paraId="0108F79B">
      <w:pPr>
        <w:spacing w:line="560" w:lineRule="exact"/>
        <w:ind w:left="-10" w:firstLine="455" w:firstLineChars="217"/>
        <w:jc w:val="left"/>
        <w:rPr>
          <w:color w:val="auto"/>
          <w:szCs w:val="21"/>
          <w:highlight w:val="none"/>
        </w:rPr>
      </w:pPr>
    </w:p>
    <w:p w14:paraId="500FAFFA">
      <w:pPr>
        <w:spacing w:line="520" w:lineRule="exact"/>
        <w:jc w:val="left"/>
        <w:rPr>
          <w:color w:val="auto"/>
          <w:highlight w:val="none"/>
        </w:rPr>
      </w:pPr>
    </w:p>
    <w:p w14:paraId="04DEEC48">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771B38A8">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6A596F34">
      <w:pPr>
        <w:spacing w:line="360" w:lineRule="auto"/>
        <w:ind w:firstLine="2730" w:firstLineChars="130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040C0692">
      <w:pPr>
        <w:spacing w:line="500" w:lineRule="exact"/>
        <w:jc w:val="center"/>
        <w:rPr>
          <w:rFonts w:ascii="宋体" w:hAnsi="宋体"/>
          <w:b/>
          <w:color w:val="auto"/>
          <w:sz w:val="32"/>
          <w:szCs w:val="32"/>
          <w:highlight w:val="none"/>
        </w:rPr>
      </w:pPr>
    </w:p>
    <w:p w14:paraId="5C64B8FF">
      <w:pPr>
        <w:spacing w:line="500" w:lineRule="exact"/>
        <w:jc w:val="center"/>
        <w:rPr>
          <w:rFonts w:ascii="宋体" w:hAnsi="宋体"/>
          <w:b/>
          <w:color w:val="auto"/>
          <w:sz w:val="32"/>
          <w:szCs w:val="32"/>
          <w:highlight w:val="none"/>
        </w:rPr>
      </w:pPr>
    </w:p>
    <w:p w14:paraId="1F1A040D">
      <w:pPr>
        <w:spacing w:line="500" w:lineRule="exact"/>
        <w:jc w:val="center"/>
        <w:rPr>
          <w:rFonts w:ascii="宋体" w:hAnsi="宋体"/>
          <w:b/>
          <w:color w:val="auto"/>
          <w:sz w:val="32"/>
          <w:szCs w:val="32"/>
          <w:highlight w:val="none"/>
        </w:rPr>
      </w:pPr>
    </w:p>
    <w:p w14:paraId="441A3266">
      <w:pPr>
        <w:spacing w:line="500" w:lineRule="exact"/>
        <w:jc w:val="center"/>
        <w:rPr>
          <w:rFonts w:ascii="宋体" w:hAnsi="宋体"/>
          <w:b/>
          <w:color w:val="auto"/>
          <w:sz w:val="32"/>
          <w:szCs w:val="32"/>
          <w:highlight w:val="none"/>
        </w:rPr>
      </w:pPr>
    </w:p>
    <w:p w14:paraId="3C0C5E6D">
      <w:pPr>
        <w:spacing w:line="500" w:lineRule="exact"/>
        <w:jc w:val="center"/>
        <w:rPr>
          <w:rFonts w:ascii="宋体" w:hAnsi="宋体"/>
          <w:b/>
          <w:color w:val="auto"/>
          <w:sz w:val="32"/>
          <w:szCs w:val="32"/>
          <w:highlight w:val="none"/>
        </w:rPr>
      </w:pPr>
    </w:p>
    <w:p w14:paraId="418F609A">
      <w:pPr>
        <w:spacing w:line="500" w:lineRule="exact"/>
        <w:jc w:val="center"/>
        <w:rPr>
          <w:rFonts w:ascii="宋体" w:hAnsi="宋体"/>
          <w:b/>
          <w:color w:val="auto"/>
          <w:sz w:val="32"/>
          <w:szCs w:val="32"/>
          <w:highlight w:val="none"/>
        </w:rPr>
      </w:pPr>
    </w:p>
    <w:p w14:paraId="3479C817">
      <w:pPr>
        <w:spacing w:line="500" w:lineRule="exact"/>
        <w:jc w:val="center"/>
        <w:rPr>
          <w:rFonts w:ascii="宋体" w:hAnsi="宋体"/>
          <w:b/>
          <w:color w:val="auto"/>
          <w:sz w:val="32"/>
          <w:szCs w:val="32"/>
          <w:highlight w:val="none"/>
        </w:rPr>
      </w:pPr>
    </w:p>
    <w:p w14:paraId="3EFDF385">
      <w:pPr>
        <w:spacing w:line="500" w:lineRule="exact"/>
        <w:jc w:val="center"/>
        <w:rPr>
          <w:rFonts w:ascii="宋体" w:hAnsi="宋体"/>
          <w:b/>
          <w:color w:val="auto"/>
          <w:sz w:val="32"/>
          <w:szCs w:val="32"/>
          <w:highlight w:val="none"/>
        </w:rPr>
      </w:pPr>
    </w:p>
    <w:p w14:paraId="2F741500">
      <w:pPr>
        <w:spacing w:line="500" w:lineRule="exact"/>
        <w:jc w:val="center"/>
        <w:rPr>
          <w:rFonts w:ascii="宋体" w:hAnsi="宋体"/>
          <w:b/>
          <w:color w:val="auto"/>
          <w:sz w:val="32"/>
          <w:szCs w:val="32"/>
          <w:highlight w:val="none"/>
        </w:rPr>
      </w:pPr>
    </w:p>
    <w:p w14:paraId="1356791E">
      <w:pPr>
        <w:spacing w:line="500" w:lineRule="exact"/>
        <w:jc w:val="center"/>
        <w:rPr>
          <w:rFonts w:ascii="宋体" w:hAnsi="宋体"/>
          <w:b/>
          <w:color w:val="auto"/>
          <w:sz w:val="32"/>
          <w:szCs w:val="32"/>
          <w:highlight w:val="none"/>
        </w:rPr>
      </w:pPr>
    </w:p>
    <w:p w14:paraId="77713EC0">
      <w:pPr>
        <w:spacing w:line="500" w:lineRule="exact"/>
        <w:jc w:val="center"/>
        <w:rPr>
          <w:rFonts w:ascii="宋体" w:hAnsi="宋体"/>
          <w:b/>
          <w:color w:val="auto"/>
          <w:sz w:val="32"/>
          <w:szCs w:val="32"/>
          <w:highlight w:val="none"/>
        </w:rPr>
      </w:pPr>
    </w:p>
    <w:p w14:paraId="4E813732">
      <w:pPr>
        <w:spacing w:line="500" w:lineRule="exact"/>
        <w:jc w:val="center"/>
        <w:rPr>
          <w:rFonts w:ascii="宋体" w:hAnsi="宋体"/>
          <w:b/>
          <w:color w:val="auto"/>
          <w:sz w:val="32"/>
          <w:szCs w:val="32"/>
          <w:highlight w:val="none"/>
        </w:rPr>
      </w:pPr>
    </w:p>
    <w:p w14:paraId="4E2F6549">
      <w:pPr>
        <w:spacing w:line="500" w:lineRule="exact"/>
        <w:jc w:val="center"/>
        <w:rPr>
          <w:rFonts w:ascii="宋体" w:hAnsi="宋体"/>
          <w:b/>
          <w:color w:val="auto"/>
          <w:sz w:val="32"/>
          <w:szCs w:val="32"/>
          <w:highlight w:val="none"/>
        </w:rPr>
      </w:pPr>
    </w:p>
    <w:p w14:paraId="0B4D7F7C">
      <w:pPr>
        <w:spacing w:line="500" w:lineRule="exact"/>
        <w:jc w:val="center"/>
        <w:rPr>
          <w:rFonts w:ascii="宋体" w:hAnsi="宋体"/>
          <w:b/>
          <w:color w:val="auto"/>
          <w:sz w:val="32"/>
          <w:szCs w:val="32"/>
          <w:highlight w:val="none"/>
        </w:rPr>
      </w:pPr>
    </w:p>
    <w:p w14:paraId="372062FB">
      <w:pPr>
        <w:spacing w:line="500" w:lineRule="exact"/>
        <w:jc w:val="center"/>
        <w:rPr>
          <w:rFonts w:ascii="宋体" w:hAnsi="宋体"/>
          <w:b/>
          <w:color w:val="auto"/>
          <w:sz w:val="32"/>
          <w:szCs w:val="32"/>
          <w:highlight w:val="none"/>
        </w:rPr>
      </w:pPr>
    </w:p>
    <w:p w14:paraId="70821418">
      <w:pPr>
        <w:spacing w:line="500" w:lineRule="exact"/>
        <w:jc w:val="center"/>
        <w:rPr>
          <w:rFonts w:ascii="方正小标宋简体" w:hAnsi="方正小标宋简体" w:eastAsia="方正小标宋简体" w:cs="方正小标宋简体"/>
          <w:bCs/>
          <w:color w:val="auto"/>
          <w:sz w:val="44"/>
          <w:szCs w:val="44"/>
          <w:highlight w:val="none"/>
        </w:rPr>
      </w:pPr>
    </w:p>
    <w:p w14:paraId="4949BF8D">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2D464E2E">
      <w:pPr>
        <w:spacing w:line="360" w:lineRule="auto"/>
        <w:ind w:firstLine="420" w:firstLineChars="200"/>
        <w:rPr>
          <w:color w:val="auto"/>
          <w:highlight w:val="none"/>
        </w:rPr>
      </w:pPr>
    </w:p>
    <w:p w14:paraId="7D31F8E6">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设计按以下内容顺序编制，可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0126869F">
      <w:pPr>
        <w:spacing w:line="360" w:lineRule="exact"/>
        <w:ind w:firstLine="420" w:firstLineChars="200"/>
        <w:rPr>
          <w:color w:val="auto"/>
          <w:highlight w:val="none"/>
        </w:rPr>
      </w:pPr>
      <w:r>
        <w:rPr>
          <w:rFonts w:hint="eastAsia"/>
          <w:color w:val="auto"/>
          <w:highlight w:val="none"/>
        </w:rPr>
        <w:t>（1）</w:t>
      </w:r>
      <w:r>
        <w:rPr>
          <w:rFonts w:hint="eastAsia" w:ascii="宋体" w:hAnsi="宋体" w:cs="宋体"/>
          <w:color w:val="auto"/>
          <w:highlight w:val="none"/>
        </w:rPr>
        <w:t>总体概述</w:t>
      </w:r>
      <w:r>
        <w:rPr>
          <w:rFonts w:hint="eastAsia" w:ascii="宋体" w:hAnsi="宋体"/>
          <w:bCs/>
          <w:color w:val="auto"/>
          <w:kern w:val="0"/>
          <w:highlight w:val="none"/>
        </w:rPr>
        <w:t>；</w:t>
      </w:r>
    </w:p>
    <w:p w14:paraId="3E072700">
      <w:pPr>
        <w:spacing w:line="360" w:lineRule="exact"/>
        <w:ind w:firstLine="420" w:firstLineChars="200"/>
        <w:rPr>
          <w:color w:val="auto"/>
          <w:highlight w:val="none"/>
        </w:rPr>
      </w:pPr>
      <w:r>
        <w:rPr>
          <w:rFonts w:hint="eastAsia"/>
          <w:color w:val="auto"/>
          <w:highlight w:val="none"/>
        </w:rPr>
        <w:t>（2）</w:t>
      </w:r>
      <w:r>
        <w:rPr>
          <w:rFonts w:hint="eastAsia" w:ascii="宋体" w:hAnsi="宋体" w:cs="宋体"/>
          <w:color w:val="auto"/>
          <w:highlight w:val="none"/>
        </w:rPr>
        <w:t>主要施工方法</w:t>
      </w:r>
      <w:r>
        <w:rPr>
          <w:rFonts w:hint="eastAsia"/>
          <w:color w:val="auto"/>
          <w:highlight w:val="none"/>
        </w:rPr>
        <w:t>；</w:t>
      </w:r>
    </w:p>
    <w:p w14:paraId="33700F68">
      <w:pPr>
        <w:spacing w:line="360" w:lineRule="exact"/>
        <w:ind w:firstLine="420" w:firstLineChars="200"/>
        <w:rPr>
          <w:color w:val="auto"/>
          <w:highlight w:val="none"/>
        </w:rPr>
      </w:pPr>
      <w:r>
        <w:rPr>
          <w:rFonts w:hint="eastAsia"/>
          <w:color w:val="auto"/>
          <w:highlight w:val="none"/>
        </w:rPr>
        <w:t>（3）</w:t>
      </w:r>
      <w:r>
        <w:rPr>
          <w:rFonts w:hint="eastAsia" w:ascii="宋体" w:hAnsi="宋体" w:cs="宋体"/>
          <w:color w:val="auto"/>
          <w:highlight w:val="none"/>
        </w:rPr>
        <w:t>施工进度、施工进度计划和各阶段进度的保证措施</w:t>
      </w:r>
      <w:r>
        <w:rPr>
          <w:rFonts w:hint="eastAsia" w:ascii="宋体" w:hAnsi="宋体" w:cs="宋体"/>
          <w:color w:val="auto"/>
          <w:spacing w:val="5"/>
          <w:highlight w:val="none"/>
        </w:rPr>
        <w:t>；</w:t>
      </w:r>
    </w:p>
    <w:p w14:paraId="6D0BD701">
      <w:pPr>
        <w:spacing w:line="360" w:lineRule="exact"/>
        <w:ind w:firstLine="420" w:firstLineChars="200"/>
        <w:rPr>
          <w:color w:val="auto"/>
          <w:highlight w:val="none"/>
        </w:rPr>
      </w:pPr>
      <w:r>
        <w:rPr>
          <w:rFonts w:hint="eastAsia"/>
          <w:color w:val="auto"/>
          <w:highlight w:val="none"/>
        </w:rPr>
        <w:t>（4）</w:t>
      </w:r>
      <w:r>
        <w:rPr>
          <w:rFonts w:hint="eastAsia" w:ascii="宋体" w:hAnsi="宋体" w:cs="宋体"/>
          <w:color w:val="auto"/>
          <w:highlight w:val="none"/>
        </w:rPr>
        <w:t>关键施工技术、工艺及工程实施的重点、难点和解决方案</w:t>
      </w:r>
      <w:r>
        <w:rPr>
          <w:rFonts w:hint="eastAsia"/>
          <w:color w:val="auto"/>
          <w:highlight w:val="none"/>
        </w:rPr>
        <w:t>；</w:t>
      </w:r>
    </w:p>
    <w:p w14:paraId="7A44337A">
      <w:pPr>
        <w:spacing w:line="360" w:lineRule="exact"/>
        <w:ind w:firstLine="420" w:firstLineChars="200"/>
        <w:jc w:val="left"/>
        <w:rPr>
          <w:color w:val="auto"/>
          <w:highlight w:val="none"/>
        </w:rPr>
      </w:pPr>
      <w:r>
        <w:rPr>
          <w:rFonts w:hint="eastAsia"/>
          <w:color w:val="auto"/>
          <w:highlight w:val="none"/>
        </w:rPr>
        <w:t>（5）</w:t>
      </w:r>
      <w:r>
        <w:rPr>
          <w:rFonts w:hint="eastAsia" w:ascii="宋体" w:hAnsi="宋体" w:cs="宋体"/>
          <w:color w:val="auto"/>
          <w:highlight w:val="none"/>
        </w:rPr>
        <w:t>安全文明施工措施</w:t>
      </w:r>
      <w:r>
        <w:rPr>
          <w:rFonts w:hint="eastAsia"/>
          <w:color w:val="auto"/>
          <w:highlight w:val="none"/>
        </w:rPr>
        <w:t>；</w:t>
      </w:r>
    </w:p>
    <w:p w14:paraId="2577C1BD">
      <w:pPr>
        <w:spacing w:line="360" w:lineRule="exact"/>
        <w:ind w:firstLine="420" w:firstLineChars="200"/>
        <w:rPr>
          <w:color w:val="auto"/>
          <w:highlight w:val="none"/>
        </w:rPr>
      </w:pPr>
      <w:r>
        <w:rPr>
          <w:rFonts w:hint="eastAsia"/>
          <w:color w:val="auto"/>
          <w:highlight w:val="none"/>
        </w:rPr>
        <w:t>（6）</w:t>
      </w:r>
      <w:r>
        <w:rPr>
          <w:rFonts w:hint="eastAsia" w:ascii="宋体" w:hAnsi="宋体" w:cs="宋体"/>
          <w:color w:val="auto"/>
          <w:highlight w:val="none"/>
        </w:rPr>
        <w:t>质量保证与承诺</w:t>
      </w:r>
      <w:r>
        <w:rPr>
          <w:rFonts w:hint="eastAsia"/>
          <w:color w:val="auto"/>
          <w:highlight w:val="none"/>
        </w:rPr>
        <w:t>；</w:t>
      </w:r>
    </w:p>
    <w:p w14:paraId="7E503138">
      <w:pPr>
        <w:spacing w:line="360" w:lineRule="exact"/>
        <w:ind w:firstLine="420" w:firstLineChars="200"/>
        <w:rPr>
          <w:rFonts w:ascii="宋体" w:hAnsi="宋体" w:cs="宋体"/>
          <w:color w:val="auto"/>
          <w:highlight w:val="none"/>
        </w:rPr>
      </w:pPr>
      <w:r>
        <w:rPr>
          <w:rFonts w:hint="eastAsia"/>
          <w:color w:val="auto"/>
          <w:highlight w:val="none"/>
        </w:rPr>
        <w:t>（7）</w:t>
      </w:r>
      <w:r>
        <w:rPr>
          <w:rFonts w:hint="eastAsia" w:ascii="宋体" w:hAnsi="宋体" w:cs="宋体"/>
          <w:color w:val="auto"/>
          <w:highlight w:val="none"/>
        </w:rPr>
        <w:t>新技术应用与承诺。</w:t>
      </w:r>
    </w:p>
    <w:p w14:paraId="657D2F12">
      <w:pPr>
        <w:spacing w:line="360" w:lineRule="auto"/>
        <w:ind w:firstLine="420" w:firstLineChars="200"/>
        <w:rPr>
          <w:color w:val="auto"/>
          <w:highlight w:val="none"/>
        </w:rPr>
      </w:pPr>
    </w:p>
    <w:p w14:paraId="0E83BDF4">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6F1AE925">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766F106C">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1DD5F34D">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33E39263">
      <w:pPr>
        <w:spacing w:line="360" w:lineRule="auto"/>
        <w:ind w:firstLine="420" w:firstLineChars="20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3C73A965">
      <w:pPr>
        <w:spacing w:line="360" w:lineRule="auto"/>
        <w:ind w:firstLine="420" w:firstLineChars="200"/>
        <w:rPr>
          <w:color w:val="auto"/>
          <w:highlight w:val="none"/>
        </w:rPr>
      </w:pPr>
    </w:p>
    <w:p w14:paraId="3C3661D5">
      <w:pPr>
        <w:rPr>
          <w:color w:val="auto"/>
          <w:highlight w:val="none"/>
        </w:rPr>
      </w:pPr>
      <w:r>
        <w:rPr>
          <w:rFonts w:hint="eastAsia" w:cs="宋体"/>
          <w:color w:val="auto"/>
          <w:highlight w:val="none"/>
        </w:rPr>
        <w:t>附表一：劳动力计划表</w:t>
      </w:r>
    </w:p>
    <w:p w14:paraId="0D53EF90">
      <w:pPr>
        <w:ind w:firstLine="7245" w:firstLineChars="3450"/>
        <w:rPr>
          <w:color w:val="auto"/>
          <w:highlight w:val="none"/>
        </w:rPr>
      </w:pPr>
      <w:r>
        <w:rPr>
          <w:color w:val="auto"/>
          <w:highlight w:val="none"/>
        </w:rPr>
        <w:t xml:space="preserve">    </w:t>
      </w:r>
      <w:r>
        <w:rPr>
          <w:rFonts w:hint="eastAsia" w:cs="宋体"/>
          <w:color w:val="auto"/>
          <w:highlight w:val="none"/>
        </w:rPr>
        <w:t>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97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81A3037">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4FB8A411">
            <w:pPr>
              <w:spacing w:line="360" w:lineRule="auto"/>
              <w:jc w:val="center"/>
              <w:rPr>
                <w:color w:val="auto"/>
                <w:highlight w:val="none"/>
              </w:rPr>
            </w:pPr>
            <w:r>
              <w:rPr>
                <w:rFonts w:hint="eastAsia" w:cs="宋体"/>
                <w:color w:val="auto"/>
                <w:highlight w:val="none"/>
              </w:rPr>
              <w:t>按工程施工阶段投入劳动力情况</w:t>
            </w:r>
          </w:p>
        </w:tc>
      </w:tr>
      <w:tr w14:paraId="2EA3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5D2B88">
            <w:pPr>
              <w:spacing w:line="360" w:lineRule="auto"/>
              <w:jc w:val="center"/>
              <w:rPr>
                <w:color w:val="auto"/>
                <w:highlight w:val="none"/>
              </w:rPr>
            </w:pPr>
          </w:p>
        </w:tc>
        <w:tc>
          <w:tcPr>
            <w:tcW w:w="961" w:type="dxa"/>
            <w:vAlign w:val="center"/>
          </w:tcPr>
          <w:p w14:paraId="345C0F4C">
            <w:pPr>
              <w:spacing w:line="360" w:lineRule="auto"/>
              <w:jc w:val="center"/>
              <w:rPr>
                <w:color w:val="auto"/>
                <w:highlight w:val="none"/>
              </w:rPr>
            </w:pPr>
          </w:p>
        </w:tc>
        <w:tc>
          <w:tcPr>
            <w:tcW w:w="1257" w:type="dxa"/>
            <w:vAlign w:val="center"/>
          </w:tcPr>
          <w:p w14:paraId="4AC39912">
            <w:pPr>
              <w:spacing w:line="360" w:lineRule="auto"/>
              <w:jc w:val="center"/>
              <w:rPr>
                <w:color w:val="auto"/>
                <w:highlight w:val="none"/>
              </w:rPr>
            </w:pPr>
          </w:p>
        </w:tc>
        <w:tc>
          <w:tcPr>
            <w:tcW w:w="1257" w:type="dxa"/>
            <w:vAlign w:val="center"/>
          </w:tcPr>
          <w:p w14:paraId="4CD425CC">
            <w:pPr>
              <w:spacing w:line="360" w:lineRule="auto"/>
              <w:jc w:val="center"/>
              <w:rPr>
                <w:color w:val="auto"/>
                <w:highlight w:val="none"/>
              </w:rPr>
            </w:pPr>
          </w:p>
        </w:tc>
        <w:tc>
          <w:tcPr>
            <w:tcW w:w="1258" w:type="dxa"/>
            <w:vAlign w:val="center"/>
          </w:tcPr>
          <w:p w14:paraId="01BAF049">
            <w:pPr>
              <w:spacing w:line="360" w:lineRule="auto"/>
              <w:jc w:val="center"/>
              <w:rPr>
                <w:color w:val="auto"/>
                <w:highlight w:val="none"/>
              </w:rPr>
            </w:pPr>
          </w:p>
        </w:tc>
        <w:tc>
          <w:tcPr>
            <w:tcW w:w="1257" w:type="dxa"/>
            <w:vAlign w:val="center"/>
          </w:tcPr>
          <w:p w14:paraId="7BA0C694">
            <w:pPr>
              <w:spacing w:line="360" w:lineRule="auto"/>
              <w:jc w:val="center"/>
              <w:rPr>
                <w:color w:val="auto"/>
                <w:highlight w:val="none"/>
              </w:rPr>
            </w:pPr>
          </w:p>
        </w:tc>
        <w:tc>
          <w:tcPr>
            <w:tcW w:w="1258" w:type="dxa"/>
            <w:vAlign w:val="center"/>
          </w:tcPr>
          <w:p w14:paraId="61EF2675">
            <w:pPr>
              <w:spacing w:line="360" w:lineRule="auto"/>
              <w:jc w:val="center"/>
              <w:rPr>
                <w:color w:val="auto"/>
                <w:highlight w:val="none"/>
              </w:rPr>
            </w:pPr>
          </w:p>
        </w:tc>
      </w:tr>
      <w:tr w14:paraId="31BD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A33FB95">
            <w:pPr>
              <w:spacing w:line="360" w:lineRule="auto"/>
              <w:jc w:val="center"/>
              <w:rPr>
                <w:color w:val="auto"/>
                <w:highlight w:val="none"/>
              </w:rPr>
            </w:pPr>
          </w:p>
        </w:tc>
        <w:tc>
          <w:tcPr>
            <w:tcW w:w="961" w:type="dxa"/>
            <w:vAlign w:val="center"/>
          </w:tcPr>
          <w:p w14:paraId="47476044">
            <w:pPr>
              <w:spacing w:line="360" w:lineRule="auto"/>
              <w:jc w:val="center"/>
              <w:rPr>
                <w:color w:val="auto"/>
                <w:highlight w:val="none"/>
              </w:rPr>
            </w:pPr>
          </w:p>
        </w:tc>
        <w:tc>
          <w:tcPr>
            <w:tcW w:w="1257" w:type="dxa"/>
            <w:vAlign w:val="center"/>
          </w:tcPr>
          <w:p w14:paraId="1844E214">
            <w:pPr>
              <w:spacing w:line="360" w:lineRule="auto"/>
              <w:jc w:val="center"/>
              <w:rPr>
                <w:color w:val="auto"/>
                <w:highlight w:val="none"/>
              </w:rPr>
            </w:pPr>
          </w:p>
        </w:tc>
        <w:tc>
          <w:tcPr>
            <w:tcW w:w="1257" w:type="dxa"/>
            <w:vAlign w:val="center"/>
          </w:tcPr>
          <w:p w14:paraId="25A1D6C9">
            <w:pPr>
              <w:spacing w:line="360" w:lineRule="auto"/>
              <w:jc w:val="center"/>
              <w:rPr>
                <w:color w:val="auto"/>
                <w:highlight w:val="none"/>
              </w:rPr>
            </w:pPr>
          </w:p>
        </w:tc>
        <w:tc>
          <w:tcPr>
            <w:tcW w:w="1258" w:type="dxa"/>
            <w:vAlign w:val="center"/>
          </w:tcPr>
          <w:p w14:paraId="4CB9955D">
            <w:pPr>
              <w:spacing w:line="360" w:lineRule="auto"/>
              <w:jc w:val="center"/>
              <w:rPr>
                <w:color w:val="auto"/>
                <w:highlight w:val="none"/>
              </w:rPr>
            </w:pPr>
          </w:p>
        </w:tc>
        <w:tc>
          <w:tcPr>
            <w:tcW w:w="1257" w:type="dxa"/>
            <w:vAlign w:val="center"/>
          </w:tcPr>
          <w:p w14:paraId="06A40168">
            <w:pPr>
              <w:spacing w:line="360" w:lineRule="auto"/>
              <w:jc w:val="center"/>
              <w:rPr>
                <w:color w:val="auto"/>
                <w:highlight w:val="none"/>
              </w:rPr>
            </w:pPr>
          </w:p>
        </w:tc>
        <w:tc>
          <w:tcPr>
            <w:tcW w:w="1258" w:type="dxa"/>
            <w:vAlign w:val="center"/>
          </w:tcPr>
          <w:p w14:paraId="5CD6A67B">
            <w:pPr>
              <w:spacing w:line="360" w:lineRule="auto"/>
              <w:jc w:val="center"/>
              <w:rPr>
                <w:color w:val="auto"/>
                <w:highlight w:val="none"/>
              </w:rPr>
            </w:pPr>
          </w:p>
        </w:tc>
      </w:tr>
      <w:tr w14:paraId="5E1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32D0E5E">
            <w:pPr>
              <w:spacing w:line="360" w:lineRule="auto"/>
              <w:jc w:val="center"/>
              <w:rPr>
                <w:color w:val="auto"/>
                <w:highlight w:val="none"/>
              </w:rPr>
            </w:pPr>
          </w:p>
        </w:tc>
        <w:tc>
          <w:tcPr>
            <w:tcW w:w="961" w:type="dxa"/>
            <w:vAlign w:val="center"/>
          </w:tcPr>
          <w:p w14:paraId="028CFB80">
            <w:pPr>
              <w:spacing w:line="360" w:lineRule="auto"/>
              <w:jc w:val="center"/>
              <w:rPr>
                <w:color w:val="auto"/>
                <w:highlight w:val="none"/>
              </w:rPr>
            </w:pPr>
          </w:p>
        </w:tc>
        <w:tc>
          <w:tcPr>
            <w:tcW w:w="1257" w:type="dxa"/>
            <w:vAlign w:val="center"/>
          </w:tcPr>
          <w:p w14:paraId="75991EAF">
            <w:pPr>
              <w:spacing w:line="360" w:lineRule="auto"/>
              <w:jc w:val="center"/>
              <w:rPr>
                <w:color w:val="auto"/>
                <w:highlight w:val="none"/>
              </w:rPr>
            </w:pPr>
          </w:p>
        </w:tc>
        <w:tc>
          <w:tcPr>
            <w:tcW w:w="1257" w:type="dxa"/>
            <w:vAlign w:val="center"/>
          </w:tcPr>
          <w:p w14:paraId="0E3B20D5">
            <w:pPr>
              <w:spacing w:line="360" w:lineRule="auto"/>
              <w:jc w:val="center"/>
              <w:rPr>
                <w:color w:val="auto"/>
                <w:highlight w:val="none"/>
              </w:rPr>
            </w:pPr>
          </w:p>
        </w:tc>
        <w:tc>
          <w:tcPr>
            <w:tcW w:w="1258" w:type="dxa"/>
            <w:vAlign w:val="center"/>
          </w:tcPr>
          <w:p w14:paraId="0D673C29">
            <w:pPr>
              <w:spacing w:line="360" w:lineRule="auto"/>
              <w:jc w:val="center"/>
              <w:rPr>
                <w:color w:val="auto"/>
                <w:highlight w:val="none"/>
              </w:rPr>
            </w:pPr>
          </w:p>
        </w:tc>
        <w:tc>
          <w:tcPr>
            <w:tcW w:w="1257" w:type="dxa"/>
            <w:vAlign w:val="center"/>
          </w:tcPr>
          <w:p w14:paraId="4C7BADE3">
            <w:pPr>
              <w:spacing w:line="360" w:lineRule="auto"/>
              <w:jc w:val="center"/>
              <w:rPr>
                <w:color w:val="auto"/>
                <w:highlight w:val="none"/>
              </w:rPr>
            </w:pPr>
          </w:p>
        </w:tc>
        <w:tc>
          <w:tcPr>
            <w:tcW w:w="1258" w:type="dxa"/>
            <w:vAlign w:val="center"/>
          </w:tcPr>
          <w:p w14:paraId="3FCAB1C2">
            <w:pPr>
              <w:spacing w:line="360" w:lineRule="auto"/>
              <w:jc w:val="center"/>
              <w:rPr>
                <w:color w:val="auto"/>
                <w:highlight w:val="none"/>
              </w:rPr>
            </w:pPr>
          </w:p>
        </w:tc>
      </w:tr>
      <w:tr w14:paraId="1D0D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E2A7334">
            <w:pPr>
              <w:spacing w:line="360" w:lineRule="auto"/>
              <w:jc w:val="center"/>
              <w:rPr>
                <w:color w:val="auto"/>
                <w:highlight w:val="none"/>
              </w:rPr>
            </w:pPr>
          </w:p>
        </w:tc>
        <w:tc>
          <w:tcPr>
            <w:tcW w:w="961" w:type="dxa"/>
            <w:vAlign w:val="center"/>
          </w:tcPr>
          <w:p w14:paraId="3D92911F">
            <w:pPr>
              <w:spacing w:line="360" w:lineRule="auto"/>
              <w:jc w:val="center"/>
              <w:rPr>
                <w:color w:val="auto"/>
                <w:highlight w:val="none"/>
              </w:rPr>
            </w:pPr>
          </w:p>
        </w:tc>
        <w:tc>
          <w:tcPr>
            <w:tcW w:w="1257" w:type="dxa"/>
            <w:vAlign w:val="center"/>
          </w:tcPr>
          <w:p w14:paraId="3AD61639">
            <w:pPr>
              <w:spacing w:line="360" w:lineRule="auto"/>
              <w:jc w:val="center"/>
              <w:rPr>
                <w:color w:val="auto"/>
                <w:highlight w:val="none"/>
              </w:rPr>
            </w:pPr>
          </w:p>
        </w:tc>
        <w:tc>
          <w:tcPr>
            <w:tcW w:w="1257" w:type="dxa"/>
            <w:vAlign w:val="center"/>
          </w:tcPr>
          <w:p w14:paraId="421F58E1">
            <w:pPr>
              <w:spacing w:line="360" w:lineRule="auto"/>
              <w:jc w:val="center"/>
              <w:rPr>
                <w:color w:val="auto"/>
                <w:highlight w:val="none"/>
              </w:rPr>
            </w:pPr>
          </w:p>
        </w:tc>
        <w:tc>
          <w:tcPr>
            <w:tcW w:w="1258" w:type="dxa"/>
            <w:vAlign w:val="center"/>
          </w:tcPr>
          <w:p w14:paraId="47A19737">
            <w:pPr>
              <w:spacing w:line="360" w:lineRule="auto"/>
              <w:jc w:val="center"/>
              <w:rPr>
                <w:color w:val="auto"/>
                <w:highlight w:val="none"/>
              </w:rPr>
            </w:pPr>
          </w:p>
        </w:tc>
        <w:tc>
          <w:tcPr>
            <w:tcW w:w="1257" w:type="dxa"/>
            <w:vAlign w:val="center"/>
          </w:tcPr>
          <w:p w14:paraId="1D32ECE7">
            <w:pPr>
              <w:spacing w:line="360" w:lineRule="auto"/>
              <w:jc w:val="center"/>
              <w:rPr>
                <w:color w:val="auto"/>
                <w:highlight w:val="none"/>
              </w:rPr>
            </w:pPr>
          </w:p>
        </w:tc>
        <w:tc>
          <w:tcPr>
            <w:tcW w:w="1258" w:type="dxa"/>
            <w:vAlign w:val="center"/>
          </w:tcPr>
          <w:p w14:paraId="45B71E2D">
            <w:pPr>
              <w:spacing w:line="360" w:lineRule="auto"/>
              <w:jc w:val="center"/>
              <w:rPr>
                <w:color w:val="auto"/>
                <w:highlight w:val="none"/>
              </w:rPr>
            </w:pPr>
          </w:p>
        </w:tc>
      </w:tr>
      <w:tr w14:paraId="5324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6949AF">
            <w:pPr>
              <w:spacing w:line="360" w:lineRule="auto"/>
              <w:jc w:val="center"/>
              <w:rPr>
                <w:color w:val="auto"/>
                <w:highlight w:val="none"/>
              </w:rPr>
            </w:pPr>
          </w:p>
        </w:tc>
        <w:tc>
          <w:tcPr>
            <w:tcW w:w="961" w:type="dxa"/>
            <w:vAlign w:val="center"/>
          </w:tcPr>
          <w:p w14:paraId="5E3C93FE">
            <w:pPr>
              <w:spacing w:line="360" w:lineRule="auto"/>
              <w:jc w:val="center"/>
              <w:rPr>
                <w:color w:val="auto"/>
                <w:highlight w:val="none"/>
              </w:rPr>
            </w:pPr>
          </w:p>
        </w:tc>
        <w:tc>
          <w:tcPr>
            <w:tcW w:w="1257" w:type="dxa"/>
            <w:vAlign w:val="center"/>
          </w:tcPr>
          <w:p w14:paraId="550653CF">
            <w:pPr>
              <w:spacing w:line="360" w:lineRule="auto"/>
              <w:jc w:val="center"/>
              <w:rPr>
                <w:color w:val="auto"/>
                <w:highlight w:val="none"/>
              </w:rPr>
            </w:pPr>
          </w:p>
        </w:tc>
        <w:tc>
          <w:tcPr>
            <w:tcW w:w="1257" w:type="dxa"/>
            <w:vAlign w:val="center"/>
          </w:tcPr>
          <w:p w14:paraId="6ECA128C">
            <w:pPr>
              <w:spacing w:line="360" w:lineRule="auto"/>
              <w:jc w:val="center"/>
              <w:rPr>
                <w:color w:val="auto"/>
                <w:highlight w:val="none"/>
              </w:rPr>
            </w:pPr>
          </w:p>
        </w:tc>
        <w:tc>
          <w:tcPr>
            <w:tcW w:w="1258" w:type="dxa"/>
            <w:vAlign w:val="center"/>
          </w:tcPr>
          <w:p w14:paraId="593689B5">
            <w:pPr>
              <w:spacing w:line="360" w:lineRule="auto"/>
              <w:jc w:val="center"/>
              <w:rPr>
                <w:color w:val="auto"/>
                <w:highlight w:val="none"/>
              </w:rPr>
            </w:pPr>
          </w:p>
        </w:tc>
        <w:tc>
          <w:tcPr>
            <w:tcW w:w="1257" w:type="dxa"/>
            <w:vAlign w:val="center"/>
          </w:tcPr>
          <w:p w14:paraId="1C4DC08B">
            <w:pPr>
              <w:spacing w:line="360" w:lineRule="auto"/>
              <w:jc w:val="center"/>
              <w:rPr>
                <w:color w:val="auto"/>
                <w:highlight w:val="none"/>
              </w:rPr>
            </w:pPr>
          </w:p>
        </w:tc>
        <w:tc>
          <w:tcPr>
            <w:tcW w:w="1258" w:type="dxa"/>
            <w:vAlign w:val="center"/>
          </w:tcPr>
          <w:p w14:paraId="6DE05B87">
            <w:pPr>
              <w:spacing w:line="360" w:lineRule="auto"/>
              <w:jc w:val="center"/>
              <w:rPr>
                <w:color w:val="auto"/>
                <w:highlight w:val="none"/>
              </w:rPr>
            </w:pPr>
          </w:p>
        </w:tc>
      </w:tr>
      <w:tr w14:paraId="5CF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DA0D9EB">
            <w:pPr>
              <w:spacing w:line="360" w:lineRule="auto"/>
              <w:jc w:val="center"/>
              <w:rPr>
                <w:color w:val="auto"/>
                <w:highlight w:val="none"/>
              </w:rPr>
            </w:pPr>
          </w:p>
        </w:tc>
        <w:tc>
          <w:tcPr>
            <w:tcW w:w="961" w:type="dxa"/>
            <w:vAlign w:val="center"/>
          </w:tcPr>
          <w:p w14:paraId="0ED4D042">
            <w:pPr>
              <w:spacing w:line="360" w:lineRule="auto"/>
              <w:jc w:val="center"/>
              <w:rPr>
                <w:color w:val="auto"/>
                <w:highlight w:val="none"/>
              </w:rPr>
            </w:pPr>
          </w:p>
        </w:tc>
        <w:tc>
          <w:tcPr>
            <w:tcW w:w="1257" w:type="dxa"/>
            <w:vAlign w:val="center"/>
          </w:tcPr>
          <w:p w14:paraId="15463D2F">
            <w:pPr>
              <w:spacing w:line="360" w:lineRule="auto"/>
              <w:jc w:val="center"/>
              <w:rPr>
                <w:color w:val="auto"/>
                <w:highlight w:val="none"/>
              </w:rPr>
            </w:pPr>
          </w:p>
        </w:tc>
        <w:tc>
          <w:tcPr>
            <w:tcW w:w="1257" w:type="dxa"/>
            <w:vAlign w:val="center"/>
          </w:tcPr>
          <w:p w14:paraId="42A5F94F">
            <w:pPr>
              <w:spacing w:line="360" w:lineRule="auto"/>
              <w:jc w:val="center"/>
              <w:rPr>
                <w:color w:val="auto"/>
                <w:highlight w:val="none"/>
              </w:rPr>
            </w:pPr>
          </w:p>
        </w:tc>
        <w:tc>
          <w:tcPr>
            <w:tcW w:w="1258" w:type="dxa"/>
            <w:vAlign w:val="center"/>
          </w:tcPr>
          <w:p w14:paraId="745A1F3E">
            <w:pPr>
              <w:spacing w:line="360" w:lineRule="auto"/>
              <w:jc w:val="center"/>
              <w:rPr>
                <w:color w:val="auto"/>
                <w:highlight w:val="none"/>
              </w:rPr>
            </w:pPr>
          </w:p>
        </w:tc>
        <w:tc>
          <w:tcPr>
            <w:tcW w:w="1257" w:type="dxa"/>
            <w:vAlign w:val="center"/>
          </w:tcPr>
          <w:p w14:paraId="406D7BAB">
            <w:pPr>
              <w:spacing w:line="360" w:lineRule="auto"/>
              <w:jc w:val="center"/>
              <w:rPr>
                <w:color w:val="auto"/>
                <w:highlight w:val="none"/>
              </w:rPr>
            </w:pPr>
          </w:p>
        </w:tc>
        <w:tc>
          <w:tcPr>
            <w:tcW w:w="1258" w:type="dxa"/>
            <w:vAlign w:val="center"/>
          </w:tcPr>
          <w:p w14:paraId="432E298F">
            <w:pPr>
              <w:spacing w:line="360" w:lineRule="auto"/>
              <w:jc w:val="center"/>
              <w:rPr>
                <w:color w:val="auto"/>
                <w:highlight w:val="none"/>
              </w:rPr>
            </w:pPr>
          </w:p>
        </w:tc>
      </w:tr>
    </w:tbl>
    <w:p w14:paraId="790DA325">
      <w:pPr>
        <w:rPr>
          <w:color w:val="auto"/>
          <w:highlight w:val="none"/>
        </w:rPr>
      </w:pPr>
    </w:p>
    <w:p w14:paraId="1B38BA08">
      <w:pPr>
        <w:rPr>
          <w:b/>
          <w:bCs/>
          <w:color w:val="auto"/>
          <w:highlight w:val="none"/>
        </w:rPr>
      </w:pPr>
    </w:p>
    <w:p w14:paraId="6A45747C">
      <w:pPr>
        <w:rPr>
          <w:rFonts w:cs="宋体"/>
          <w:color w:val="auto"/>
          <w:highlight w:val="none"/>
        </w:rPr>
      </w:pPr>
    </w:p>
    <w:p w14:paraId="0592A001">
      <w:pPr>
        <w:rPr>
          <w:color w:val="auto"/>
          <w:highlight w:val="none"/>
        </w:rPr>
      </w:pPr>
      <w:r>
        <w:rPr>
          <w:rFonts w:hint="eastAsia" w:cs="宋体"/>
          <w:color w:val="auto"/>
          <w:highlight w:val="none"/>
        </w:rPr>
        <w:t>附表二：计划开、竣工日期和施工进度计划（网络图或横道图）</w:t>
      </w:r>
    </w:p>
    <w:p w14:paraId="6510E981">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54DADAF8">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6B0F4584">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43EAC899">
      <w:pPr>
        <w:spacing w:line="360" w:lineRule="auto"/>
        <w:ind w:left="-6" w:firstLine="420"/>
        <w:rPr>
          <w:color w:val="auto"/>
          <w:highlight w:val="none"/>
        </w:rPr>
      </w:pPr>
    </w:p>
    <w:p w14:paraId="211E61F0">
      <w:pPr>
        <w:rPr>
          <w:color w:val="auto"/>
          <w:highlight w:val="none"/>
        </w:rPr>
      </w:pPr>
    </w:p>
    <w:p w14:paraId="259FEB30">
      <w:pPr>
        <w:rPr>
          <w:rFonts w:cs="宋体"/>
          <w:color w:val="auto"/>
          <w:highlight w:val="none"/>
        </w:rPr>
      </w:pPr>
    </w:p>
    <w:p w14:paraId="030E505B">
      <w:pPr>
        <w:rPr>
          <w:color w:val="auto"/>
          <w:highlight w:val="none"/>
        </w:rPr>
      </w:pPr>
      <w:r>
        <w:rPr>
          <w:rFonts w:hint="eastAsia" w:cs="宋体"/>
          <w:color w:val="auto"/>
          <w:highlight w:val="none"/>
        </w:rPr>
        <w:t>附表三：施工总平面图</w:t>
      </w:r>
    </w:p>
    <w:p w14:paraId="572D6436">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036A4B75">
      <w:pPr>
        <w:rPr>
          <w:color w:val="auto"/>
          <w:highlight w:val="none"/>
        </w:rPr>
      </w:pPr>
    </w:p>
    <w:p w14:paraId="1FDD77D6">
      <w:pPr>
        <w:rPr>
          <w:color w:val="auto"/>
          <w:highlight w:val="none"/>
        </w:rPr>
      </w:pPr>
    </w:p>
    <w:p w14:paraId="0E4B064A">
      <w:pPr>
        <w:rPr>
          <w:color w:val="auto"/>
          <w:highlight w:val="none"/>
        </w:rPr>
      </w:pPr>
      <w:r>
        <w:rPr>
          <w:rFonts w:hint="eastAsia" w:cs="宋体"/>
          <w:color w:val="auto"/>
          <w:highlight w:val="none"/>
        </w:rPr>
        <w:t>附表四：临时用地表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4FE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F3D0B8A">
            <w:pPr>
              <w:jc w:val="center"/>
              <w:rPr>
                <w:color w:val="auto"/>
                <w:highlight w:val="none"/>
              </w:rPr>
            </w:pPr>
            <w:r>
              <w:rPr>
                <w:rFonts w:hint="eastAsia" w:cs="宋体"/>
                <w:color w:val="auto"/>
                <w:highlight w:val="none"/>
              </w:rPr>
              <w:t>用途</w:t>
            </w:r>
          </w:p>
        </w:tc>
        <w:tc>
          <w:tcPr>
            <w:tcW w:w="2357" w:type="dxa"/>
            <w:vAlign w:val="center"/>
          </w:tcPr>
          <w:p w14:paraId="13F091FD">
            <w:pPr>
              <w:jc w:val="center"/>
              <w:rPr>
                <w:color w:val="auto"/>
                <w:highlight w:val="none"/>
              </w:rPr>
            </w:pPr>
            <w:r>
              <w:rPr>
                <w:rFonts w:hint="eastAsia" w:cs="宋体"/>
                <w:color w:val="auto"/>
                <w:highlight w:val="none"/>
              </w:rPr>
              <w:t>面积（平方米）</w:t>
            </w:r>
          </w:p>
        </w:tc>
        <w:tc>
          <w:tcPr>
            <w:tcW w:w="2356" w:type="dxa"/>
            <w:vAlign w:val="center"/>
          </w:tcPr>
          <w:p w14:paraId="0F1D5D45">
            <w:pPr>
              <w:jc w:val="center"/>
              <w:rPr>
                <w:color w:val="auto"/>
                <w:highlight w:val="none"/>
              </w:rPr>
            </w:pPr>
            <w:r>
              <w:rPr>
                <w:rFonts w:hint="eastAsia" w:cs="宋体"/>
                <w:color w:val="auto"/>
                <w:highlight w:val="none"/>
              </w:rPr>
              <w:t>位置</w:t>
            </w:r>
          </w:p>
        </w:tc>
        <w:tc>
          <w:tcPr>
            <w:tcW w:w="2136" w:type="dxa"/>
            <w:vAlign w:val="center"/>
          </w:tcPr>
          <w:p w14:paraId="748FE90B">
            <w:pPr>
              <w:jc w:val="center"/>
              <w:rPr>
                <w:color w:val="auto"/>
                <w:highlight w:val="none"/>
              </w:rPr>
            </w:pPr>
            <w:r>
              <w:rPr>
                <w:rFonts w:hint="eastAsia" w:cs="宋体"/>
                <w:color w:val="auto"/>
                <w:highlight w:val="none"/>
              </w:rPr>
              <w:t>需用时间</w:t>
            </w:r>
          </w:p>
        </w:tc>
      </w:tr>
      <w:tr w14:paraId="17DA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694FAB5">
            <w:pPr>
              <w:rPr>
                <w:color w:val="auto"/>
                <w:highlight w:val="none"/>
              </w:rPr>
            </w:pPr>
          </w:p>
        </w:tc>
        <w:tc>
          <w:tcPr>
            <w:tcW w:w="2357" w:type="dxa"/>
          </w:tcPr>
          <w:p w14:paraId="0C62BF62">
            <w:pPr>
              <w:rPr>
                <w:color w:val="auto"/>
                <w:highlight w:val="none"/>
              </w:rPr>
            </w:pPr>
          </w:p>
        </w:tc>
        <w:tc>
          <w:tcPr>
            <w:tcW w:w="2356" w:type="dxa"/>
          </w:tcPr>
          <w:p w14:paraId="4354CCF9">
            <w:pPr>
              <w:rPr>
                <w:color w:val="auto"/>
                <w:highlight w:val="none"/>
              </w:rPr>
            </w:pPr>
          </w:p>
        </w:tc>
        <w:tc>
          <w:tcPr>
            <w:tcW w:w="2136" w:type="dxa"/>
          </w:tcPr>
          <w:p w14:paraId="2748330B">
            <w:pPr>
              <w:rPr>
                <w:color w:val="auto"/>
                <w:highlight w:val="none"/>
              </w:rPr>
            </w:pPr>
          </w:p>
        </w:tc>
      </w:tr>
      <w:tr w14:paraId="40A6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7D8CA5">
            <w:pPr>
              <w:rPr>
                <w:color w:val="auto"/>
                <w:highlight w:val="none"/>
              </w:rPr>
            </w:pPr>
          </w:p>
        </w:tc>
        <w:tc>
          <w:tcPr>
            <w:tcW w:w="2357" w:type="dxa"/>
          </w:tcPr>
          <w:p w14:paraId="428976F9">
            <w:pPr>
              <w:rPr>
                <w:color w:val="auto"/>
                <w:highlight w:val="none"/>
              </w:rPr>
            </w:pPr>
          </w:p>
        </w:tc>
        <w:tc>
          <w:tcPr>
            <w:tcW w:w="2356" w:type="dxa"/>
          </w:tcPr>
          <w:p w14:paraId="2EA610EA">
            <w:pPr>
              <w:rPr>
                <w:color w:val="auto"/>
                <w:highlight w:val="none"/>
              </w:rPr>
            </w:pPr>
          </w:p>
        </w:tc>
        <w:tc>
          <w:tcPr>
            <w:tcW w:w="2136" w:type="dxa"/>
          </w:tcPr>
          <w:p w14:paraId="33E3AE69">
            <w:pPr>
              <w:rPr>
                <w:color w:val="auto"/>
                <w:highlight w:val="none"/>
              </w:rPr>
            </w:pPr>
          </w:p>
        </w:tc>
      </w:tr>
      <w:tr w14:paraId="742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57D2CC67">
            <w:pPr>
              <w:rPr>
                <w:color w:val="auto"/>
                <w:highlight w:val="none"/>
              </w:rPr>
            </w:pPr>
          </w:p>
        </w:tc>
        <w:tc>
          <w:tcPr>
            <w:tcW w:w="2357" w:type="dxa"/>
          </w:tcPr>
          <w:p w14:paraId="4CF8682E">
            <w:pPr>
              <w:rPr>
                <w:color w:val="auto"/>
                <w:highlight w:val="none"/>
              </w:rPr>
            </w:pPr>
          </w:p>
        </w:tc>
        <w:tc>
          <w:tcPr>
            <w:tcW w:w="2356" w:type="dxa"/>
          </w:tcPr>
          <w:p w14:paraId="70C1819A">
            <w:pPr>
              <w:rPr>
                <w:color w:val="auto"/>
                <w:highlight w:val="none"/>
              </w:rPr>
            </w:pPr>
          </w:p>
        </w:tc>
        <w:tc>
          <w:tcPr>
            <w:tcW w:w="2136" w:type="dxa"/>
          </w:tcPr>
          <w:p w14:paraId="4A95E96E">
            <w:pPr>
              <w:rPr>
                <w:color w:val="auto"/>
                <w:highlight w:val="none"/>
              </w:rPr>
            </w:pPr>
          </w:p>
        </w:tc>
      </w:tr>
      <w:tr w14:paraId="5A63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39D56F8">
            <w:pPr>
              <w:rPr>
                <w:color w:val="auto"/>
                <w:highlight w:val="none"/>
              </w:rPr>
            </w:pPr>
          </w:p>
        </w:tc>
        <w:tc>
          <w:tcPr>
            <w:tcW w:w="2357" w:type="dxa"/>
          </w:tcPr>
          <w:p w14:paraId="261E5C9C">
            <w:pPr>
              <w:rPr>
                <w:color w:val="auto"/>
                <w:highlight w:val="none"/>
              </w:rPr>
            </w:pPr>
          </w:p>
        </w:tc>
        <w:tc>
          <w:tcPr>
            <w:tcW w:w="2356" w:type="dxa"/>
          </w:tcPr>
          <w:p w14:paraId="75D39174">
            <w:pPr>
              <w:rPr>
                <w:color w:val="auto"/>
                <w:highlight w:val="none"/>
              </w:rPr>
            </w:pPr>
          </w:p>
        </w:tc>
        <w:tc>
          <w:tcPr>
            <w:tcW w:w="2136" w:type="dxa"/>
          </w:tcPr>
          <w:p w14:paraId="5080059A">
            <w:pPr>
              <w:rPr>
                <w:color w:val="auto"/>
                <w:highlight w:val="none"/>
              </w:rPr>
            </w:pPr>
          </w:p>
        </w:tc>
      </w:tr>
    </w:tbl>
    <w:p w14:paraId="409DAB0D">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7BB7F7D9">
      <w:pPr>
        <w:spacing w:line="360" w:lineRule="auto"/>
        <w:jc w:val="center"/>
        <w:rPr>
          <w:rFonts w:ascii="宋体" w:hAnsi="宋体" w:cs="宋体"/>
          <w:b/>
          <w:color w:val="auto"/>
          <w:sz w:val="28"/>
          <w:szCs w:val="28"/>
          <w:highlight w:val="none"/>
        </w:rPr>
      </w:pPr>
      <w:r>
        <w:rPr>
          <w:rFonts w:ascii="方正小标宋简体" w:hAnsi="方正小标宋简体" w:eastAsia="方正小标宋简体" w:cs="方正小标宋简体"/>
          <w:bCs/>
          <w:color w:val="auto"/>
          <w:sz w:val="44"/>
          <w:szCs w:val="44"/>
          <w:highlight w:val="none"/>
        </w:rPr>
        <w:br w:type="page"/>
      </w:r>
      <w:bookmarkStart w:id="98" w:name="bookmark2229"/>
      <w:bookmarkStart w:id="99" w:name="bookmark2230"/>
      <w:bookmarkStart w:id="100" w:name="bookmark2228"/>
    </w:p>
    <w:bookmarkEnd w:id="98"/>
    <w:bookmarkEnd w:id="99"/>
    <w:bookmarkEnd w:id="100"/>
    <w:p w14:paraId="5BAC2FC6">
      <w:pPr>
        <w:spacing w:line="360" w:lineRule="auto"/>
        <w:rPr>
          <w:rFonts w:ascii="宋体" w:hAnsi="宋体"/>
          <w:color w:val="auto"/>
          <w:szCs w:val="21"/>
          <w:highlight w:val="none"/>
        </w:rPr>
      </w:pPr>
      <w:r>
        <w:rPr>
          <w:rFonts w:hint="eastAsia" w:ascii="宋体" w:hAnsi="宋体"/>
          <w:b/>
          <w:bCs/>
          <w:color w:val="auto"/>
          <w:sz w:val="24"/>
          <w:highlight w:val="none"/>
        </w:rPr>
        <w:t>其他文书、文件格式</w:t>
      </w:r>
    </w:p>
    <w:p w14:paraId="77B1A727">
      <w:pPr>
        <w:jc w:val="center"/>
        <w:rPr>
          <w:rFonts w:ascii="方正小标宋简体" w:hAnsi="方正小标宋简体" w:eastAsia="方正小标宋简体" w:cs="方正小标宋简体"/>
          <w:color w:val="auto"/>
          <w:sz w:val="44"/>
          <w:szCs w:val="44"/>
          <w:highlight w:val="none"/>
        </w:rPr>
      </w:pPr>
      <w:bookmarkStart w:id="101" w:name="_Toc71365926"/>
      <w:r>
        <w:rPr>
          <w:rFonts w:hint="eastAsia" w:ascii="方正小标宋简体" w:hAnsi="方正小标宋简体" w:eastAsia="方正小标宋简体" w:cs="方正小标宋简体"/>
          <w:color w:val="auto"/>
          <w:sz w:val="44"/>
          <w:szCs w:val="44"/>
          <w:highlight w:val="none"/>
        </w:rPr>
        <w:t>中小企业声明函（工程）</w:t>
      </w:r>
      <w:bookmarkEnd w:id="101"/>
    </w:p>
    <w:p w14:paraId="75667668">
      <w:pPr>
        <w:spacing w:before="2" w:line="500" w:lineRule="exact"/>
        <w:ind w:firstLine="708" w:firstLineChars="294"/>
        <w:rPr>
          <w:rFonts w:ascii="宋体" w:hAnsi="宋体" w:cs="宋体"/>
          <w:b/>
          <w:bCs/>
          <w:color w:val="auto"/>
          <w:sz w:val="24"/>
          <w:highlight w:val="none"/>
        </w:rPr>
      </w:pPr>
    </w:p>
    <w:p w14:paraId="76D95BB4">
      <w:pPr>
        <w:pStyle w:val="19"/>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本公司郑重声明，根据《政府采购促进中小企业发展管理办法》（财库﹝2020﹞46号）的规定，本公司参加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工程的施工单位全部为符合政策要求的中小企业。相关企业的具体情况如下：</w:t>
      </w:r>
    </w:p>
    <w:p w14:paraId="0BA00633">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hint="eastAsia" w:ascii="宋体" w:hAnsi="宋体"/>
          <w:color w:val="auto"/>
          <w:sz w:val="24"/>
          <w:highlight w:val="none"/>
          <w:u w:val="single"/>
        </w:rPr>
        <w:t>桂林医科大学细胞基因治疗研发与临床转化联合实验室平台</w:t>
      </w:r>
      <w:r>
        <w:rPr>
          <w:rFonts w:ascii="宋体" w:hAnsi="宋体"/>
          <w:color w:val="auto"/>
          <w:sz w:val="24"/>
          <w:highlight w:val="none"/>
        </w:rPr>
        <w:t>，属于</w:t>
      </w:r>
      <w:r>
        <w:rPr>
          <w:rFonts w:hint="eastAsia" w:ascii="宋体" w:hAnsi="宋体"/>
          <w:color w:val="auto"/>
          <w:sz w:val="24"/>
          <w:highlight w:val="none"/>
          <w:u w:val="single"/>
        </w:rPr>
        <w:t>建筑业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51A851B">
      <w:pPr>
        <w:pStyle w:val="1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5712797">
      <w:pPr>
        <w:pStyle w:val="19"/>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10889F8">
      <w:pPr>
        <w:pStyle w:val="19"/>
        <w:spacing w:before="56" w:line="500" w:lineRule="exact"/>
        <w:ind w:right="1808" w:firstLine="705" w:firstLineChars="294"/>
        <w:rPr>
          <w:rFonts w:ascii="宋体" w:hAnsi="宋体"/>
          <w:color w:val="auto"/>
          <w:sz w:val="24"/>
          <w:highlight w:val="none"/>
        </w:rPr>
      </w:pPr>
    </w:p>
    <w:p w14:paraId="4FA1DF30">
      <w:pPr>
        <w:pStyle w:val="19"/>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0FFC0417">
      <w:pPr>
        <w:pStyle w:val="19"/>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2359D0D">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人的《中小企业声明函》。从业人员、营业收入、资产总额填报上一年度数据，无上一年度数据的新成立企业可不填报。</w:t>
      </w:r>
    </w:p>
    <w:p w14:paraId="6DD6EC7D">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93B5F69">
      <w:pPr>
        <w:spacing w:line="360" w:lineRule="auto"/>
        <w:contextualSpacing/>
        <w:rPr>
          <w:rFonts w:ascii="仿宋_GB2312" w:hAnsi="仿宋_GB2312" w:eastAsia="仿宋_GB2312" w:cs="仿宋_GB2312"/>
          <w:color w:val="auto"/>
          <w:sz w:val="32"/>
          <w:szCs w:val="32"/>
          <w:highlight w:val="none"/>
        </w:rPr>
      </w:pPr>
    </w:p>
    <w:p w14:paraId="25C81D7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91FC57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2E7082D">
      <w:pPr>
        <w:spacing w:line="360" w:lineRule="auto"/>
        <w:contextualSpacing/>
        <w:rPr>
          <w:rFonts w:ascii="宋体" w:hAnsi="宋体" w:cs="仿宋_GB2312"/>
          <w:color w:val="auto"/>
          <w:sz w:val="24"/>
          <w:highlight w:val="none"/>
        </w:rPr>
      </w:pPr>
    </w:p>
    <w:p w14:paraId="143164B1">
      <w:pPr>
        <w:spacing w:line="360" w:lineRule="auto"/>
        <w:contextualSpacing/>
        <w:rPr>
          <w:rFonts w:ascii="宋体" w:hAnsi="宋体" w:cs="仿宋_GB2312"/>
          <w:color w:val="auto"/>
          <w:sz w:val="24"/>
          <w:highlight w:val="none"/>
        </w:rPr>
      </w:pPr>
    </w:p>
    <w:p w14:paraId="45F09292">
      <w:pPr>
        <w:spacing w:line="360" w:lineRule="auto"/>
        <w:contextualSpacing/>
        <w:rPr>
          <w:rFonts w:ascii="宋体" w:hAnsi="宋体" w:cs="仿宋_GB2312"/>
          <w:color w:val="auto"/>
          <w:sz w:val="24"/>
          <w:highlight w:val="none"/>
        </w:rPr>
      </w:pPr>
    </w:p>
    <w:p w14:paraId="3933D4B0">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14734220">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24BC8577">
      <w:pPr>
        <w:spacing w:line="360" w:lineRule="auto"/>
        <w:contextualSpacing/>
        <w:rPr>
          <w:rFonts w:ascii="宋体" w:hAnsi="宋体" w:cs="仿宋_GB2312"/>
          <w:color w:val="auto"/>
          <w:sz w:val="24"/>
          <w:highlight w:val="none"/>
        </w:rPr>
      </w:pPr>
    </w:p>
    <w:p w14:paraId="6F58F6C7">
      <w:pPr>
        <w:spacing w:line="360" w:lineRule="auto"/>
        <w:contextualSpacing/>
        <w:rPr>
          <w:rFonts w:ascii="宋体" w:hAnsi="宋体" w:cs="仿宋_GB2312"/>
          <w:color w:val="auto"/>
          <w:sz w:val="24"/>
          <w:highlight w:val="none"/>
        </w:rPr>
      </w:pPr>
    </w:p>
    <w:p w14:paraId="4300143F">
      <w:pPr>
        <w:spacing w:line="360" w:lineRule="auto"/>
        <w:contextualSpacing/>
        <w:rPr>
          <w:rFonts w:ascii="宋体" w:hAnsi="宋体" w:cs="仿宋_GB2312"/>
          <w:color w:val="auto"/>
          <w:sz w:val="24"/>
          <w:highlight w:val="none"/>
        </w:rPr>
      </w:pPr>
    </w:p>
    <w:p w14:paraId="75159AB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8DD328D">
      <w:pPr>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38E91D92">
      <w:pPr>
        <w:pStyle w:val="2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220356A">
      <w:pPr>
        <w:pStyle w:val="2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8AE1960">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1020A3">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C0DFDC">
      <w:pPr>
        <w:pStyle w:val="2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D58E22C">
      <w:pPr>
        <w:pStyle w:val="2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5E99784">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665B26">
      <w:pPr>
        <w:pStyle w:val="2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AC3A37D">
      <w:pPr>
        <w:pStyle w:val="2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E63AE5A">
      <w:pPr>
        <w:pStyle w:val="2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1249886">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3FC20BF">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A8137F2">
      <w:pPr>
        <w:pStyle w:val="2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A4C22B8">
      <w:pPr>
        <w:pStyle w:val="2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5DCC496">
      <w:pPr>
        <w:pStyle w:val="2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16E7CDE">
      <w:pPr>
        <w:pStyle w:val="2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46B92A56">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89A0F57">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94B5E3C">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B6B17A3">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16769B03">
      <w:pPr>
        <w:pStyle w:val="2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F2590EA">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3F353E25">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89DE2CF">
      <w:pPr>
        <w:pStyle w:val="26"/>
        <w:spacing w:line="360" w:lineRule="auto"/>
        <w:ind w:left="25" w:leftChars="12" w:firstLine="352" w:firstLineChars="147"/>
        <w:contextualSpacing/>
        <w:rPr>
          <w:rFonts w:hAnsi="宋体"/>
          <w:color w:val="auto"/>
          <w:sz w:val="24"/>
          <w:szCs w:val="24"/>
          <w:highlight w:val="none"/>
        </w:rPr>
      </w:pPr>
    </w:p>
    <w:p w14:paraId="5C132971">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6629B2D5">
      <w:pPr>
        <w:pStyle w:val="26"/>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68BE8CF6">
      <w:pPr>
        <w:pStyle w:val="2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7132B5AC">
      <w:pPr>
        <w:pStyle w:val="2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1706E70">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498858">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D0060A6">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2288A17D">
      <w:pPr>
        <w:pStyle w:val="2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EA80270">
      <w:pPr>
        <w:pStyle w:val="26"/>
        <w:snapToGrid w:val="0"/>
        <w:rPr>
          <w:b/>
          <w:color w:val="auto"/>
          <w:sz w:val="24"/>
          <w:szCs w:val="24"/>
          <w:highlight w:val="none"/>
        </w:rPr>
      </w:pPr>
    </w:p>
    <w:p w14:paraId="3E726E36">
      <w:pPr>
        <w:rPr>
          <w:color w:val="auto"/>
          <w:sz w:val="32"/>
          <w:szCs w:val="40"/>
          <w:highlight w:val="none"/>
        </w:rPr>
      </w:pPr>
    </w:p>
    <w:p w14:paraId="46FADA45">
      <w:pPr>
        <w:rPr>
          <w:color w:val="auto"/>
          <w:sz w:val="32"/>
          <w:szCs w:val="40"/>
          <w:highlight w:val="none"/>
        </w:rPr>
      </w:pPr>
    </w:p>
    <w:p w14:paraId="20945BF0">
      <w:pPr>
        <w:rPr>
          <w:color w:val="auto"/>
          <w:sz w:val="32"/>
          <w:szCs w:val="40"/>
          <w:highlight w:val="none"/>
        </w:rPr>
      </w:pPr>
    </w:p>
    <w:p w14:paraId="7697DBFA">
      <w:pPr>
        <w:rPr>
          <w:color w:val="auto"/>
          <w:sz w:val="32"/>
          <w:szCs w:val="40"/>
          <w:highlight w:val="none"/>
        </w:rPr>
      </w:pPr>
    </w:p>
    <w:p w14:paraId="3ADF0533">
      <w:pPr>
        <w:rPr>
          <w:color w:val="auto"/>
          <w:sz w:val="32"/>
          <w:szCs w:val="40"/>
          <w:highlight w:val="none"/>
        </w:rPr>
      </w:pPr>
    </w:p>
    <w:p w14:paraId="18D74747">
      <w:pPr>
        <w:rPr>
          <w:color w:val="auto"/>
          <w:sz w:val="32"/>
          <w:szCs w:val="40"/>
          <w:highlight w:val="none"/>
        </w:rPr>
      </w:pPr>
    </w:p>
    <w:p w14:paraId="15D628CA">
      <w:pPr>
        <w:rPr>
          <w:color w:val="auto"/>
          <w:sz w:val="32"/>
          <w:szCs w:val="40"/>
          <w:highlight w:val="none"/>
        </w:rPr>
      </w:pPr>
    </w:p>
    <w:p w14:paraId="53E7977C">
      <w:pPr>
        <w:rPr>
          <w:color w:val="auto"/>
          <w:sz w:val="32"/>
          <w:szCs w:val="40"/>
          <w:highlight w:val="none"/>
        </w:rPr>
      </w:pPr>
    </w:p>
    <w:p w14:paraId="76AB6289">
      <w:pPr>
        <w:rPr>
          <w:color w:val="auto"/>
          <w:sz w:val="32"/>
          <w:szCs w:val="40"/>
          <w:highlight w:val="none"/>
        </w:rPr>
      </w:pPr>
    </w:p>
    <w:p w14:paraId="27F01097">
      <w:pPr>
        <w:rPr>
          <w:color w:val="auto"/>
          <w:sz w:val="32"/>
          <w:szCs w:val="40"/>
          <w:highlight w:val="none"/>
        </w:rPr>
      </w:pPr>
    </w:p>
    <w:p w14:paraId="3FB93D35">
      <w:pPr>
        <w:rPr>
          <w:color w:val="auto"/>
          <w:sz w:val="32"/>
          <w:szCs w:val="40"/>
          <w:highlight w:val="none"/>
        </w:rPr>
      </w:pPr>
    </w:p>
    <w:p w14:paraId="406DF79D">
      <w:pPr>
        <w:rPr>
          <w:color w:val="auto"/>
          <w:sz w:val="32"/>
          <w:szCs w:val="40"/>
          <w:highlight w:val="none"/>
        </w:rPr>
      </w:pPr>
    </w:p>
    <w:p w14:paraId="55C12850">
      <w:pPr>
        <w:rPr>
          <w:color w:val="auto"/>
          <w:sz w:val="32"/>
          <w:szCs w:val="40"/>
          <w:highlight w:val="none"/>
        </w:rPr>
      </w:pPr>
    </w:p>
    <w:p w14:paraId="6E345C94">
      <w:pPr>
        <w:pStyle w:val="7"/>
        <w:rPr>
          <w:color w:val="auto"/>
          <w:highlight w:val="none"/>
        </w:rPr>
      </w:pPr>
    </w:p>
    <w:p w14:paraId="69D07999">
      <w:pPr>
        <w:pStyle w:val="7"/>
        <w:rPr>
          <w:color w:val="auto"/>
          <w:highlight w:val="none"/>
        </w:rPr>
      </w:pPr>
    </w:p>
    <w:p w14:paraId="7DD5C8B5">
      <w:pPr>
        <w:pStyle w:val="7"/>
        <w:rPr>
          <w:color w:val="auto"/>
          <w:highlight w:val="none"/>
        </w:rPr>
      </w:pPr>
    </w:p>
    <w:p w14:paraId="0D81B7B3">
      <w:pPr>
        <w:pStyle w:val="7"/>
        <w:rPr>
          <w:color w:val="auto"/>
          <w:highlight w:val="none"/>
        </w:rPr>
      </w:pPr>
    </w:p>
    <w:p w14:paraId="44710FE4">
      <w:pPr>
        <w:pStyle w:val="7"/>
        <w:rPr>
          <w:color w:val="auto"/>
          <w:highlight w:val="none"/>
        </w:rPr>
      </w:pPr>
    </w:p>
    <w:p w14:paraId="407B6AB4">
      <w:pPr>
        <w:spacing w:line="360" w:lineRule="auto"/>
        <w:jc w:val="center"/>
        <w:rPr>
          <w:rFonts w:ascii="方正小标宋简体" w:hAnsi="方正小标宋简体" w:eastAsia="方正小标宋简体" w:cs="方正小标宋简体"/>
          <w:color w:val="auto"/>
          <w:sz w:val="44"/>
          <w:szCs w:val="44"/>
          <w:highlight w:val="none"/>
        </w:rPr>
      </w:pPr>
    </w:p>
    <w:p w14:paraId="17E405EE">
      <w:pPr>
        <w:spacing w:line="360" w:lineRule="auto"/>
        <w:jc w:val="center"/>
        <w:rPr>
          <w:rFonts w:hint="eastAsia" w:ascii="方正小标宋简体" w:hAnsi="方正小标宋简体" w:eastAsia="方正小标宋简体" w:cs="方正小标宋简体"/>
          <w:color w:val="auto"/>
          <w:sz w:val="44"/>
          <w:szCs w:val="44"/>
          <w:highlight w:val="none"/>
        </w:rPr>
      </w:pPr>
    </w:p>
    <w:p w14:paraId="4D0FE9D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32"/>
          <w:szCs w:val="32"/>
          <w:highlight w:val="none"/>
          <w:lang w:val="en-US" w:eastAsia="zh-CN" w:bidi="ar"/>
        </w:rPr>
      </w:pPr>
    </w:p>
    <w:p w14:paraId="2022FFDA">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质疑授权委托书（格式）</w:t>
      </w:r>
    </w:p>
    <w:p w14:paraId="5E262C6B">
      <w:pPr>
        <w:keepNext w:val="0"/>
        <w:keepLines w:val="0"/>
        <w:widowControl w:val="0"/>
        <w:suppressLineNumbers w:val="0"/>
        <w:snapToGrid w:val="0"/>
        <w:spacing w:before="0" w:beforeAutospacing="0" w:after="0" w:afterAutospacing="0" w:line="400" w:lineRule="exact"/>
        <w:ind w:left="0" w:right="0"/>
        <w:jc w:val="both"/>
        <w:outlineLvl w:val="4"/>
        <w:rPr>
          <w:rFonts w:hint="eastAsia" w:ascii="宋体" w:hAnsi="宋体"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致</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Times New Roman"/>
          <w:color w:val="auto"/>
          <w:kern w:val="2"/>
          <w:sz w:val="21"/>
          <w:szCs w:val="21"/>
          <w:highlight w:val="none"/>
          <w:u w:val="single"/>
          <w:lang w:val="en-US" w:eastAsia="zh-CN" w:bidi="ar"/>
        </w:rPr>
        <w:t xml:space="preserve">                  </w:t>
      </w:r>
    </w:p>
    <w:p w14:paraId="1EDD5259">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7A4A709">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我</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（姓名）系</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（投标人名称）的法定代表人，现授权委托本单位在职职工</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（姓名）以我公司名义办理</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（项目名称及项目编号）</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项目的质疑事项，代表我方全权办理针对上述项目的质疑具体事务和签署相关文件。</w:t>
      </w:r>
    </w:p>
    <w:p w14:paraId="04B7E5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我方对被授权人的签字事项负全部责任。</w:t>
      </w:r>
    </w:p>
    <w:p w14:paraId="7E2FFB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授权委托代理期限：自即日起至该项目政府采购活动结束。</w:t>
      </w:r>
      <w:r>
        <w:rPr>
          <w:rFonts w:hint="eastAsia" w:ascii="宋体" w:hAnsi="宋体" w:eastAsia="宋体" w:cs="Times New Roman"/>
          <w:color w:val="auto"/>
          <w:kern w:val="2"/>
          <w:sz w:val="21"/>
          <w:szCs w:val="21"/>
          <w:highlight w:val="none"/>
          <w:lang w:val="en-US" w:eastAsia="zh-CN" w:bidi="ar"/>
        </w:rPr>
        <w:t xml:space="preserve">                                                                                         </w:t>
      </w:r>
    </w:p>
    <w:p w14:paraId="095A45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代理人无转委托权，特此委托。</w:t>
      </w:r>
      <w:r>
        <w:rPr>
          <w:rFonts w:hint="eastAsia" w:ascii="宋体" w:hAnsi="宋体" w:eastAsia="宋体" w:cs="Times New Roman"/>
          <w:color w:val="auto"/>
          <w:kern w:val="0"/>
          <w:sz w:val="21"/>
          <w:szCs w:val="21"/>
          <w:highlight w:val="none"/>
          <w:lang w:val="en-US" w:eastAsia="zh-CN" w:bidi="ar"/>
        </w:rPr>
        <w:t xml:space="preserve"> </w:t>
      </w:r>
    </w:p>
    <w:p w14:paraId="4B1B9CEB">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我已在下面签字，以资证明。</w:t>
      </w:r>
    </w:p>
    <w:p w14:paraId="7345C8B0">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委托代理人身份证号：</w:t>
      </w:r>
      <w:r>
        <w:rPr>
          <w:rFonts w:hint="eastAsia" w:ascii="宋体" w:hAnsi="宋体" w:eastAsia="宋体" w:cs="Times New Roman"/>
          <w:color w:val="auto"/>
          <w:kern w:val="2"/>
          <w:sz w:val="21"/>
          <w:szCs w:val="21"/>
          <w:highlight w:val="none"/>
          <w:u w:val="single"/>
          <w:lang w:val="en-US" w:eastAsia="zh-CN" w:bidi="ar"/>
        </w:rPr>
        <w:t xml:space="preserve">                                   </w:t>
      </w:r>
    </w:p>
    <w:p w14:paraId="4A676991">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投标人（公章）：</w:t>
      </w:r>
      <w:r>
        <w:rPr>
          <w:rFonts w:hint="eastAsia" w:ascii="宋体" w:hAnsi="宋体" w:eastAsia="宋体" w:cs="Times New Roman"/>
          <w:color w:val="auto"/>
          <w:kern w:val="2"/>
          <w:sz w:val="21"/>
          <w:szCs w:val="21"/>
          <w:highlight w:val="none"/>
          <w:u w:val="single"/>
          <w:lang w:val="en-US" w:eastAsia="zh-CN" w:bidi="ar"/>
        </w:rPr>
        <w:t xml:space="preserve">                                   </w:t>
      </w:r>
    </w:p>
    <w:p w14:paraId="682BD5CE">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2BA2378B">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法定代表人签字：</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159EC28A">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2DEF462F">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F4A3AEF">
      <w:pPr>
        <w:keepNext w:val="0"/>
        <w:keepLines w:val="0"/>
        <w:widowControl w:val="0"/>
        <w:suppressLineNumbers w:val="0"/>
        <w:snapToGrid w:val="0"/>
        <w:spacing w:before="0" w:beforeAutospacing="0" w:after="0" w:afterAutospacing="0" w:line="400" w:lineRule="exact"/>
        <w:ind w:left="0" w:right="0" w:firstLine="420"/>
        <w:jc w:val="both"/>
        <w:outlineLvl w:val="4"/>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17DA1629">
      <w:pPr>
        <w:keepNext w:val="0"/>
        <w:keepLines w:val="0"/>
        <w:widowControl w:val="0"/>
        <w:suppressLineNumbers w:val="0"/>
        <w:tabs>
          <w:tab w:val="left" w:pos="1305"/>
        </w:tabs>
        <w:spacing w:before="0" w:beforeAutospacing="0" w:after="0" w:afterAutospacing="0" w:line="520" w:lineRule="exact"/>
        <w:ind w:left="0" w:right="0"/>
        <w:jc w:val="both"/>
        <w:rPr>
          <w:rFonts w:hint="default" w:ascii="Times New Roman"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附：委托代理人身份证正反面复印件。</w:t>
      </w:r>
    </w:p>
    <w:p w14:paraId="26F19D6E">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 xml:space="preserve"> </w:t>
      </w:r>
    </w:p>
    <w:p w14:paraId="0E2F3BE2">
      <w:pPr>
        <w:spacing w:line="360" w:lineRule="auto"/>
        <w:jc w:val="center"/>
        <w:rPr>
          <w:rFonts w:hint="eastAsia" w:ascii="方正小标宋简体" w:hAnsi="方正小标宋简体" w:eastAsia="方正小标宋简体" w:cs="方正小标宋简体"/>
          <w:color w:val="auto"/>
          <w:sz w:val="44"/>
          <w:szCs w:val="44"/>
          <w:highlight w:val="none"/>
        </w:rPr>
      </w:pPr>
    </w:p>
    <w:p w14:paraId="7AE31973">
      <w:pPr>
        <w:spacing w:line="360" w:lineRule="auto"/>
        <w:jc w:val="center"/>
        <w:rPr>
          <w:rFonts w:hint="eastAsia" w:ascii="方正小标宋简体" w:hAnsi="方正小标宋简体" w:eastAsia="方正小标宋简体" w:cs="方正小标宋简体"/>
          <w:color w:val="auto"/>
          <w:sz w:val="44"/>
          <w:szCs w:val="44"/>
          <w:highlight w:val="none"/>
        </w:rPr>
      </w:pPr>
    </w:p>
    <w:p w14:paraId="19C81408">
      <w:pPr>
        <w:spacing w:line="360" w:lineRule="auto"/>
        <w:jc w:val="center"/>
        <w:rPr>
          <w:rFonts w:hint="eastAsia" w:ascii="方正小标宋简体" w:hAnsi="方正小标宋简体" w:eastAsia="方正小标宋简体" w:cs="方正小标宋简体"/>
          <w:color w:val="auto"/>
          <w:sz w:val="44"/>
          <w:szCs w:val="44"/>
          <w:highlight w:val="none"/>
        </w:rPr>
      </w:pPr>
    </w:p>
    <w:p w14:paraId="4D05042F">
      <w:pPr>
        <w:spacing w:line="360" w:lineRule="auto"/>
        <w:jc w:val="center"/>
        <w:rPr>
          <w:rFonts w:hint="eastAsia" w:ascii="方正小标宋简体" w:hAnsi="方正小标宋简体" w:eastAsia="方正小标宋简体" w:cs="方正小标宋简体"/>
          <w:color w:val="auto"/>
          <w:sz w:val="44"/>
          <w:szCs w:val="44"/>
          <w:highlight w:val="none"/>
        </w:rPr>
      </w:pPr>
    </w:p>
    <w:p w14:paraId="0185B59F">
      <w:pPr>
        <w:spacing w:line="360" w:lineRule="auto"/>
        <w:jc w:val="center"/>
        <w:rPr>
          <w:rFonts w:hint="eastAsia" w:ascii="方正小标宋简体" w:hAnsi="方正小标宋简体" w:eastAsia="方正小标宋简体" w:cs="方正小标宋简体"/>
          <w:color w:val="auto"/>
          <w:sz w:val="44"/>
          <w:szCs w:val="44"/>
          <w:highlight w:val="none"/>
        </w:rPr>
      </w:pPr>
    </w:p>
    <w:p w14:paraId="59B9632A">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81E320D">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972F6DC">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754377">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AA1BA7">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BF38CF8">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73BB85">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7EDA45A">
      <w:pPr>
        <w:pStyle w:val="2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2C6CBAA">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F8010B9">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F0E6C7D">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764C4BC">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DC4B84">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14A0475">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F99DFEF">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D30AF2A">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FBCA1D8">
      <w:pPr>
        <w:pStyle w:val="2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299AF2A">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CE1B3F9">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79C24FDD">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E7ECD98">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1A200E2">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F08AE93">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B1E1A64">
      <w:pPr>
        <w:pStyle w:val="2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CE731C3">
      <w:pPr>
        <w:pStyle w:val="2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C6CF1F5">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8B4866">
      <w:pPr>
        <w:pStyle w:val="26"/>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C656FC2">
      <w:pPr>
        <w:pStyle w:val="26"/>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7D454F">
      <w:pPr>
        <w:pStyle w:val="26"/>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2D8CDC0">
      <w:pPr>
        <w:pStyle w:val="2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25A27BA">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7B2D067">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1F1E459">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7D1F783">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3D111383">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32667E6">
      <w:pPr>
        <w:pStyle w:val="26"/>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36CBE32">
      <w:pPr>
        <w:pStyle w:val="2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DC93D42">
      <w:pPr>
        <w:pStyle w:val="2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C3FF68D">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2CE25684">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21DD0E3">
      <w:pPr>
        <w:pStyle w:val="26"/>
        <w:spacing w:line="360" w:lineRule="auto"/>
        <w:ind w:left="25" w:leftChars="12" w:firstLine="352" w:firstLineChars="147"/>
        <w:rPr>
          <w:rFonts w:hAnsi="宋体"/>
          <w:color w:val="auto"/>
          <w:sz w:val="24"/>
          <w:szCs w:val="24"/>
          <w:highlight w:val="none"/>
        </w:rPr>
      </w:pPr>
    </w:p>
    <w:p w14:paraId="4CE33A27">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43AD205">
      <w:pPr>
        <w:pStyle w:val="26"/>
        <w:spacing w:line="360" w:lineRule="auto"/>
        <w:ind w:left="25" w:leftChars="12" w:firstLine="352" w:firstLineChars="147"/>
        <w:rPr>
          <w:rFonts w:hAnsi="宋体"/>
          <w:color w:val="auto"/>
          <w:sz w:val="24"/>
          <w:szCs w:val="24"/>
          <w:highlight w:val="none"/>
        </w:rPr>
      </w:pPr>
    </w:p>
    <w:p w14:paraId="1F97F138">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30DBE4C">
      <w:pPr>
        <w:pStyle w:val="2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614A31FD">
      <w:pPr>
        <w:pStyle w:val="2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66CA294">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0A608A4">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CA6659A">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6949F9C">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EBBF545">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2BBD2A7D">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313CFC2">
      <w:pPr>
        <w:rPr>
          <w:color w:val="auto"/>
          <w:highlight w:val="none"/>
        </w:rPr>
      </w:pPr>
      <w:bookmarkStart w:id="102" w:name="_Toc74323461"/>
    </w:p>
    <w:p w14:paraId="5FED5404">
      <w:pPr>
        <w:autoSpaceDE w:val="0"/>
        <w:autoSpaceDN w:val="0"/>
        <w:adjustRightInd w:val="0"/>
        <w:snapToGrid w:val="0"/>
        <w:spacing w:line="300" w:lineRule="auto"/>
        <w:jc w:val="center"/>
        <w:rPr>
          <w:rFonts w:hint="eastAsia" w:ascii="仿宋_GB2312" w:hAnsi="宋体" w:eastAsia="仿宋_GB2312"/>
          <w:b/>
          <w:color w:val="auto"/>
          <w:kern w:val="0"/>
          <w:sz w:val="44"/>
          <w:szCs w:val="44"/>
          <w:highlight w:val="none"/>
        </w:rPr>
      </w:pPr>
      <w:bookmarkStart w:id="103" w:name="_Hlk202199668"/>
    </w:p>
    <w:p w14:paraId="226E2F2A">
      <w:pPr>
        <w:autoSpaceDE w:val="0"/>
        <w:autoSpaceDN w:val="0"/>
        <w:adjustRightInd w:val="0"/>
        <w:snapToGrid w:val="0"/>
        <w:spacing w:line="300" w:lineRule="auto"/>
        <w:jc w:val="center"/>
        <w:rPr>
          <w:rFonts w:hint="eastAsia" w:ascii="仿宋_GB2312" w:hAnsi="宋体" w:eastAsia="仿宋_GB2312"/>
          <w:b/>
          <w:color w:val="auto"/>
          <w:kern w:val="0"/>
          <w:sz w:val="44"/>
          <w:szCs w:val="44"/>
          <w:highlight w:val="none"/>
        </w:rPr>
      </w:pPr>
    </w:p>
    <w:p w14:paraId="614E66F2">
      <w:pPr>
        <w:autoSpaceDE w:val="0"/>
        <w:autoSpaceDN w:val="0"/>
        <w:adjustRightInd w:val="0"/>
        <w:snapToGrid w:val="0"/>
        <w:spacing w:line="300" w:lineRule="auto"/>
        <w:jc w:val="center"/>
        <w:rPr>
          <w:rFonts w:hint="eastAsia" w:ascii="仿宋_GB2312" w:hAnsi="宋体" w:eastAsia="仿宋_GB2312"/>
          <w:b/>
          <w:color w:val="auto"/>
          <w:kern w:val="0"/>
          <w:sz w:val="44"/>
          <w:szCs w:val="44"/>
          <w:highlight w:val="none"/>
        </w:rPr>
      </w:pPr>
    </w:p>
    <w:p w14:paraId="7A1610DA">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r>
        <w:rPr>
          <w:rFonts w:hint="eastAsia" w:ascii="仿宋_GB2312" w:hAnsi="宋体" w:eastAsia="仿宋_GB2312"/>
          <w:b/>
          <w:color w:val="auto"/>
          <w:kern w:val="0"/>
          <w:sz w:val="44"/>
          <w:szCs w:val="44"/>
          <w:highlight w:val="none"/>
        </w:rPr>
        <w:t xml:space="preserve">第七章 </w:t>
      </w:r>
      <w:bookmarkEnd w:id="102"/>
      <w:bookmarkStart w:id="104" w:name="_Toc296890982"/>
      <w:bookmarkStart w:id="105" w:name="_Toc407135191"/>
      <w:bookmarkStart w:id="106" w:name="_Toc256000127"/>
      <w:bookmarkStart w:id="107" w:name="_Toc351203480"/>
      <w:bookmarkStart w:id="108" w:name="_Toc373227552"/>
      <w:bookmarkStart w:id="109" w:name="_Toc83895638"/>
      <w:bookmarkStart w:id="110" w:name="_Toc296503025"/>
      <w:bookmarkStart w:id="111" w:name="_Toc373478199"/>
      <w:bookmarkStart w:id="112" w:name="_Toc389065255"/>
      <w:r>
        <w:rPr>
          <w:rFonts w:hint="eastAsia" w:ascii="仿宋_GB2312" w:hAnsi="宋体" w:eastAsia="仿宋_GB2312"/>
          <w:b/>
          <w:color w:val="auto"/>
          <w:kern w:val="0"/>
          <w:sz w:val="44"/>
          <w:szCs w:val="44"/>
          <w:highlight w:val="none"/>
        </w:rPr>
        <w:t xml:space="preserve"> 合同条款及格式</w:t>
      </w:r>
    </w:p>
    <w:p w14:paraId="3B91710F">
      <w:pPr>
        <w:autoSpaceDE w:val="0"/>
        <w:autoSpaceDN w:val="0"/>
        <w:adjustRightInd w:val="0"/>
        <w:snapToGrid w:val="0"/>
        <w:spacing w:line="300" w:lineRule="auto"/>
        <w:jc w:val="center"/>
        <w:rPr>
          <w:rFonts w:ascii="仿宋_GB2312" w:hAnsi="宋体" w:eastAsia="仿宋_GB2312"/>
          <w:b/>
          <w:color w:val="auto"/>
          <w:kern w:val="0"/>
          <w:sz w:val="44"/>
          <w:szCs w:val="44"/>
          <w:highlight w:val="none"/>
        </w:rPr>
      </w:pPr>
    </w:p>
    <w:p w14:paraId="55AB1BA6">
      <w:pPr>
        <w:jc w:val="left"/>
        <w:rPr>
          <w:rFonts w:ascii="宋体" w:hAnsi="宋体"/>
          <w:b/>
          <w:color w:val="auto"/>
          <w:sz w:val="52"/>
          <w:szCs w:val="52"/>
          <w:highlight w:val="none"/>
        </w:rPr>
      </w:pPr>
      <w:r>
        <w:rPr>
          <w:rFonts w:hint="eastAsia" w:ascii="宋体" w:hAnsi="宋体"/>
          <w:bCs/>
          <w:color w:val="auto"/>
          <w:sz w:val="32"/>
          <w:szCs w:val="32"/>
          <w:highlight w:val="none"/>
        </w:rPr>
        <w:t>(</w:t>
      </w:r>
      <w:r>
        <w:rPr>
          <w:rFonts w:ascii="宋体" w:hAnsi="宋体"/>
          <w:bCs/>
          <w:color w:val="auto"/>
          <w:sz w:val="32"/>
          <w:szCs w:val="32"/>
          <w:highlight w:val="none"/>
        </w:rPr>
        <w:t>GF—201</w:t>
      </w:r>
      <w:r>
        <w:rPr>
          <w:rFonts w:hint="eastAsia" w:ascii="宋体" w:hAnsi="宋体"/>
          <w:bCs/>
          <w:color w:val="auto"/>
          <w:sz w:val="32"/>
          <w:szCs w:val="32"/>
          <w:highlight w:val="none"/>
        </w:rPr>
        <w:t>7</w:t>
      </w:r>
      <w:r>
        <w:rPr>
          <w:rFonts w:ascii="宋体" w:hAnsi="宋体"/>
          <w:bCs/>
          <w:color w:val="auto"/>
          <w:sz w:val="32"/>
          <w:szCs w:val="32"/>
          <w:highlight w:val="none"/>
        </w:rPr>
        <w:t>—</w:t>
      </w:r>
      <w:r>
        <w:rPr>
          <w:rFonts w:hint="eastAsia" w:ascii="宋体" w:hAnsi="宋体"/>
          <w:bCs/>
          <w:color w:val="auto"/>
          <w:sz w:val="32"/>
          <w:szCs w:val="32"/>
          <w:highlight w:val="none"/>
        </w:rPr>
        <w:t>0201)</w:t>
      </w:r>
    </w:p>
    <w:p w14:paraId="205088EC">
      <w:pPr>
        <w:jc w:val="center"/>
        <w:rPr>
          <w:rFonts w:ascii="宋体" w:hAnsi="宋体"/>
          <w:b/>
          <w:color w:val="auto"/>
          <w:sz w:val="52"/>
          <w:szCs w:val="52"/>
          <w:highlight w:val="none"/>
        </w:rPr>
      </w:pPr>
    </w:p>
    <w:p w14:paraId="4CA18280">
      <w:pPr>
        <w:jc w:val="center"/>
        <w:rPr>
          <w:rFonts w:ascii="宋体" w:hAnsi="宋体"/>
          <w:b/>
          <w:color w:val="auto"/>
          <w:sz w:val="72"/>
          <w:szCs w:val="52"/>
          <w:highlight w:val="none"/>
        </w:rPr>
      </w:pPr>
      <w:r>
        <w:rPr>
          <w:rFonts w:ascii="宋体" w:hAnsi="宋体"/>
          <w:b/>
          <w:color w:val="auto"/>
          <w:sz w:val="72"/>
          <w:szCs w:val="52"/>
          <w:highlight w:val="none"/>
        </w:rPr>
        <w:t>建设工程施工合同</w:t>
      </w:r>
    </w:p>
    <w:p w14:paraId="6B184E40">
      <w:pPr>
        <w:jc w:val="center"/>
        <w:rPr>
          <w:b/>
          <w:color w:val="auto"/>
          <w:sz w:val="32"/>
          <w:szCs w:val="32"/>
          <w:highlight w:val="none"/>
        </w:rPr>
      </w:pPr>
      <w:r>
        <w:rPr>
          <w:rFonts w:hint="eastAsia"/>
          <w:b/>
          <w:color w:val="auto"/>
          <w:sz w:val="32"/>
          <w:szCs w:val="32"/>
          <w:highlight w:val="none"/>
        </w:rPr>
        <w:t xml:space="preserve">                    </w:t>
      </w:r>
    </w:p>
    <w:p w14:paraId="1E7EE0B8">
      <w:pPr>
        <w:ind w:firstLine="2249" w:firstLineChars="700"/>
        <w:rPr>
          <w:rFonts w:ascii="宋体" w:hAnsi="宋体"/>
          <w:b/>
          <w:color w:val="auto"/>
          <w:sz w:val="52"/>
          <w:szCs w:val="52"/>
          <w:highlight w:val="none"/>
        </w:rPr>
      </w:pPr>
      <w:r>
        <w:rPr>
          <w:rFonts w:hint="eastAsia" w:ascii="宋体" w:hAnsi="宋体" w:cs="宋体"/>
          <w:b/>
          <w:color w:val="auto"/>
          <w:sz w:val="32"/>
          <w:szCs w:val="32"/>
          <w:highlight w:val="none"/>
          <w:u w:val="single"/>
        </w:rPr>
        <w:t xml:space="preserve">                              工程</w:t>
      </w:r>
    </w:p>
    <w:p w14:paraId="047FA2E0">
      <w:pPr>
        <w:widowControl/>
        <w:autoSpaceDE w:val="0"/>
        <w:autoSpaceDN w:val="0"/>
        <w:adjustRightInd w:val="0"/>
        <w:snapToGrid w:val="0"/>
        <w:spacing w:line="360" w:lineRule="auto"/>
        <w:ind w:firstLine="1044" w:firstLineChars="200"/>
        <w:rPr>
          <w:rFonts w:ascii="宋体" w:hAnsi="宋体"/>
          <w:b/>
          <w:color w:val="auto"/>
          <w:kern w:val="0"/>
          <w:sz w:val="52"/>
          <w:szCs w:val="52"/>
          <w:highlight w:val="none"/>
        </w:rPr>
      </w:pPr>
    </w:p>
    <w:p w14:paraId="2F982F69">
      <w:pPr>
        <w:rPr>
          <w:color w:val="auto"/>
          <w:highlight w:val="none"/>
        </w:rPr>
      </w:pPr>
    </w:p>
    <w:p w14:paraId="7C5FA648">
      <w:pPr>
        <w:rPr>
          <w:rFonts w:ascii="宋体" w:hAnsi="宋体"/>
          <w:color w:val="auto"/>
          <w:highlight w:val="none"/>
        </w:rPr>
      </w:pPr>
    </w:p>
    <w:p w14:paraId="7C7B21DF">
      <w:pPr>
        <w:pStyle w:val="279"/>
        <w:adjustRightInd w:val="0"/>
        <w:snapToGrid w:val="0"/>
        <w:spacing w:line="360" w:lineRule="auto"/>
        <w:ind w:firstLine="472" w:firstLineChars="147"/>
        <w:rPr>
          <w:b/>
          <w:color w:val="auto"/>
          <w:sz w:val="32"/>
          <w:szCs w:val="32"/>
          <w:highlight w:val="none"/>
        </w:rPr>
      </w:pPr>
      <w:r>
        <w:rPr>
          <w:rFonts w:hint="eastAsia"/>
          <w:b/>
          <w:color w:val="auto"/>
          <w:sz w:val="32"/>
          <w:szCs w:val="32"/>
          <w:highlight w:val="none"/>
        </w:rPr>
        <w:t xml:space="preserve"> </w:t>
      </w:r>
    </w:p>
    <w:p w14:paraId="1ACF62D2">
      <w:pPr>
        <w:pStyle w:val="279"/>
        <w:adjustRightInd w:val="0"/>
        <w:snapToGrid w:val="0"/>
        <w:spacing w:line="360" w:lineRule="auto"/>
        <w:ind w:firstLine="472" w:firstLineChars="147"/>
        <w:rPr>
          <w:b/>
          <w:color w:val="auto"/>
          <w:sz w:val="32"/>
          <w:szCs w:val="32"/>
          <w:highlight w:val="none"/>
        </w:rPr>
      </w:pPr>
    </w:p>
    <w:p w14:paraId="210EE10A">
      <w:pPr>
        <w:pStyle w:val="279"/>
        <w:adjustRightInd w:val="0"/>
        <w:snapToGrid w:val="0"/>
        <w:spacing w:line="360" w:lineRule="auto"/>
        <w:ind w:firstLine="472" w:firstLineChars="147"/>
        <w:rPr>
          <w:b/>
          <w:color w:val="auto"/>
          <w:sz w:val="32"/>
          <w:szCs w:val="32"/>
          <w:highlight w:val="none"/>
        </w:rPr>
      </w:pPr>
    </w:p>
    <w:p w14:paraId="52DC12CD">
      <w:pPr>
        <w:pStyle w:val="279"/>
        <w:adjustRightInd w:val="0"/>
        <w:snapToGrid w:val="0"/>
        <w:spacing w:line="360" w:lineRule="auto"/>
        <w:ind w:firstLine="472" w:firstLineChars="147"/>
        <w:rPr>
          <w:b/>
          <w:color w:val="auto"/>
          <w:sz w:val="32"/>
          <w:szCs w:val="32"/>
          <w:highlight w:val="none"/>
        </w:rPr>
      </w:pPr>
    </w:p>
    <w:p w14:paraId="5FCA17F7">
      <w:pPr>
        <w:pStyle w:val="279"/>
        <w:adjustRightInd w:val="0"/>
        <w:snapToGrid w:val="0"/>
        <w:spacing w:line="360" w:lineRule="auto"/>
        <w:ind w:firstLine="472" w:firstLineChars="147"/>
        <w:rPr>
          <w:b/>
          <w:color w:val="auto"/>
          <w:sz w:val="32"/>
          <w:szCs w:val="32"/>
          <w:highlight w:val="none"/>
        </w:rPr>
      </w:pPr>
    </w:p>
    <w:p w14:paraId="6706423C">
      <w:pPr>
        <w:pStyle w:val="279"/>
        <w:adjustRightInd w:val="0"/>
        <w:snapToGrid w:val="0"/>
        <w:spacing w:line="800" w:lineRule="exact"/>
        <w:ind w:firstLine="472" w:firstLineChars="147"/>
        <w:rPr>
          <w:rFonts w:ascii="宋体" w:hAnsi="宋体"/>
          <w:b/>
          <w:color w:val="auto"/>
          <w:sz w:val="32"/>
          <w:szCs w:val="32"/>
          <w:highlight w:val="none"/>
          <w:u w:val="single"/>
        </w:rPr>
      </w:pPr>
      <w:r>
        <w:rPr>
          <w:rFonts w:hint="eastAsia"/>
          <w:b/>
          <w:color w:val="auto"/>
          <w:sz w:val="32"/>
          <w:szCs w:val="32"/>
          <w:highlight w:val="none"/>
        </w:rPr>
        <w:t>发 包 人：</w:t>
      </w:r>
      <w:r>
        <w:rPr>
          <w:rFonts w:hint="eastAsia" w:ascii="宋体" w:hAnsi="宋体" w:cs="宋体"/>
          <w:b/>
          <w:color w:val="auto"/>
          <w:sz w:val="32"/>
          <w:szCs w:val="32"/>
          <w:highlight w:val="none"/>
          <w:u w:val="single"/>
        </w:rPr>
        <w:t xml:space="preserve">                              </w:t>
      </w:r>
    </w:p>
    <w:p w14:paraId="7627DA06">
      <w:pPr>
        <w:spacing w:line="800" w:lineRule="exact"/>
        <w:ind w:firstLine="475" w:firstLineChars="148"/>
        <w:rPr>
          <w:rFonts w:ascii="宋体" w:hAnsi="宋体"/>
          <w:b/>
          <w:color w:val="auto"/>
          <w:sz w:val="32"/>
          <w:szCs w:val="32"/>
          <w:highlight w:val="none"/>
          <w:u w:val="single"/>
        </w:rPr>
      </w:pPr>
      <w:r>
        <w:rPr>
          <w:rFonts w:hint="eastAsia" w:ascii="宋体" w:hAnsi="宋体"/>
          <w:b/>
          <w:color w:val="auto"/>
          <w:sz w:val="32"/>
          <w:szCs w:val="32"/>
          <w:highlight w:val="none"/>
        </w:rPr>
        <w:t>承 包 人：</w:t>
      </w:r>
      <w:r>
        <w:rPr>
          <w:rFonts w:hint="eastAsia" w:ascii="宋体" w:hAnsi="宋体"/>
          <w:b/>
          <w:color w:val="auto"/>
          <w:sz w:val="32"/>
          <w:szCs w:val="32"/>
          <w:highlight w:val="none"/>
          <w:u w:val="single"/>
        </w:rPr>
        <w:t xml:space="preserve">                              </w:t>
      </w:r>
    </w:p>
    <w:p w14:paraId="71E41D66">
      <w:pPr>
        <w:spacing w:line="800" w:lineRule="exact"/>
        <w:ind w:firstLine="482" w:firstLineChars="150"/>
        <w:rPr>
          <w:rFonts w:ascii="宋体" w:hAnsi="宋体"/>
          <w:b/>
          <w:bCs/>
          <w:color w:val="auto"/>
          <w:sz w:val="32"/>
          <w:szCs w:val="32"/>
          <w:highlight w:val="none"/>
        </w:rPr>
      </w:pPr>
      <w:r>
        <w:rPr>
          <w:rFonts w:hint="eastAsia" w:ascii="宋体" w:hAnsi="宋体" w:cs="宋体"/>
          <w:b/>
          <w:bCs/>
          <w:color w:val="auto"/>
          <w:sz w:val="32"/>
          <w:szCs w:val="32"/>
          <w:highlight w:val="none"/>
        </w:rPr>
        <w:t>签订日期：</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5748D0C2">
      <w:pPr>
        <w:spacing w:line="800" w:lineRule="exact"/>
        <w:ind w:firstLine="475" w:firstLineChars="148"/>
        <w:rPr>
          <w:b/>
          <w:color w:val="auto"/>
          <w:sz w:val="32"/>
          <w:szCs w:val="32"/>
          <w:highlight w:val="none"/>
          <w:u w:val="single"/>
        </w:rPr>
      </w:pPr>
    </w:p>
    <w:p w14:paraId="1F7D8250">
      <w:pPr>
        <w:pStyle w:val="2"/>
        <w:jc w:val="center"/>
        <w:rPr>
          <w:rFonts w:ascii="宋体" w:hAnsi="宋体"/>
          <w:color w:val="auto"/>
          <w:sz w:val="30"/>
          <w:szCs w:val="30"/>
          <w:highlight w:val="none"/>
        </w:rPr>
      </w:pPr>
      <w:r>
        <w:rPr>
          <w:color w:val="auto"/>
          <w:sz w:val="32"/>
          <w:szCs w:val="32"/>
          <w:highlight w:val="none"/>
        </w:rPr>
        <w:br w:type="page"/>
      </w:r>
      <w:r>
        <w:rPr>
          <w:rFonts w:hint="eastAsia" w:cs="黑体"/>
          <w:color w:val="auto"/>
          <w:highlight w:val="none"/>
        </w:rPr>
        <w:t>第一部分</w:t>
      </w:r>
      <w:r>
        <w:rPr>
          <w:rFonts w:cs="黑体"/>
          <w:color w:val="auto"/>
          <w:highlight w:val="none"/>
        </w:rPr>
        <w:t xml:space="preserve"> </w:t>
      </w:r>
      <w:r>
        <w:rPr>
          <w:rFonts w:hint="eastAsia" w:cs="黑体"/>
          <w:color w:val="auto"/>
          <w:highlight w:val="none"/>
        </w:rPr>
        <w:t>合同协议书</w:t>
      </w:r>
      <w:bookmarkEnd w:id="104"/>
      <w:bookmarkEnd w:id="105"/>
      <w:bookmarkEnd w:id="106"/>
      <w:bookmarkEnd w:id="107"/>
      <w:bookmarkEnd w:id="108"/>
      <w:bookmarkEnd w:id="109"/>
      <w:bookmarkEnd w:id="110"/>
      <w:bookmarkEnd w:id="111"/>
      <w:bookmarkEnd w:id="112"/>
    </w:p>
    <w:p w14:paraId="2CFCF6C1">
      <w:pPr>
        <w:spacing w:line="400" w:lineRule="exact"/>
        <w:rPr>
          <w:rFonts w:ascii="宋体" w:hAnsi="宋体" w:cs="宋体"/>
          <w:b/>
          <w:color w:val="auto"/>
          <w:sz w:val="24"/>
          <w:highlight w:val="none"/>
        </w:rPr>
      </w:pPr>
      <w:bookmarkStart w:id="113" w:name="EBf5d8882b67eb450294403d6d9eac2034"/>
    </w:p>
    <w:p w14:paraId="7F930CB9">
      <w:pPr>
        <w:spacing w:line="400" w:lineRule="exact"/>
        <w:rPr>
          <w:rFonts w:ascii="宋体" w:cs="宋体"/>
          <w:b/>
          <w:color w:val="auto"/>
          <w:sz w:val="24"/>
          <w:highlight w:val="none"/>
          <w:u w:val="single"/>
        </w:rPr>
      </w:pPr>
      <w:r>
        <w:rPr>
          <w:rFonts w:hint="eastAsia" w:ascii="宋体" w:hAnsi="宋体" w:cs="宋体"/>
          <w:b/>
          <w:color w:val="auto"/>
          <w:sz w:val="24"/>
          <w:highlight w:val="none"/>
        </w:rPr>
        <w:t>发包人（全称）：</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r>
        <w:rPr>
          <w:rFonts w:ascii="宋体" w:hAnsi="宋体" w:cs="宋体"/>
          <w:b/>
          <w:color w:val="auto"/>
          <w:sz w:val="24"/>
          <w:highlight w:val="none"/>
          <w:u w:val="single"/>
        </w:rPr>
        <w:t xml:space="preserve">     </w:t>
      </w:r>
    </w:p>
    <w:p w14:paraId="475C0167">
      <w:pPr>
        <w:spacing w:line="400" w:lineRule="exact"/>
        <w:rPr>
          <w:rFonts w:ascii="宋体" w:cs="宋体"/>
          <w:b/>
          <w:color w:val="auto"/>
          <w:sz w:val="24"/>
          <w:highlight w:val="none"/>
          <w:u w:val="single"/>
        </w:rPr>
      </w:pPr>
      <w:r>
        <w:rPr>
          <w:rFonts w:hint="eastAsia" w:ascii="宋体" w:hAnsi="宋体" w:cs="宋体"/>
          <w:b/>
          <w:color w:val="auto"/>
          <w:sz w:val="24"/>
          <w:highlight w:val="none"/>
        </w:rPr>
        <w:t>承包人（全称）：</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p>
    <w:p w14:paraId="2FAEB159">
      <w:pPr>
        <w:pStyle w:val="279"/>
        <w:spacing w:line="400" w:lineRule="exact"/>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桂林</w:t>
      </w:r>
      <w:r>
        <w:rPr>
          <w:rFonts w:hint="eastAsia" w:ascii="宋体" w:hAnsi="宋体" w:cs="宋体"/>
          <w:color w:val="auto"/>
          <w:szCs w:val="21"/>
          <w:highlight w:val="none"/>
          <w:u w:val="single"/>
        </w:rPr>
        <w:t>医科大学细胞基因治疗研发与临床转化联合实验室平台</w:t>
      </w:r>
      <w:r>
        <w:rPr>
          <w:rFonts w:hint="eastAsia" w:ascii="宋体" w:hAnsi="宋体" w:cs="宋体"/>
          <w:color w:val="auto"/>
          <w:highlight w:val="none"/>
        </w:rPr>
        <w:t>施工及有关事项协商一致，共同达成如下协议：</w:t>
      </w:r>
    </w:p>
    <w:p w14:paraId="5BD67082">
      <w:pPr>
        <w:pStyle w:val="279"/>
        <w:spacing w:line="400" w:lineRule="exact"/>
        <w:rPr>
          <w:rFonts w:ascii="宋体" w:hAnsi="宋体" w:cs="宋体"/>
          <w:b/>
          <w:color w:val="auto"/>
          <w:highlight w:val="none"/>
        </w:rPr>
      </w:pPr>
      <w:r>
        <w:rPr>
          <w:rFonts w:hint="eastAsia" w:ascii="宋体" w:hAnsi="宋体" w:cs="宋体"/>
          <w:bCs/>
          <w:color w:val="auto"/>
          <w:highlight w:val="none"/>
        </w:rPr>
        <w:t xml:space="preserve">    </w:t>
      </w:r>
      <w:r>
        <w:rPr>
          <w:rFonts w:hint="eastAsia" w:ascii="宋体" w:hAnsi="宋体" w:cs="宋体"/>
          <w:b/>
          <w:color w:val="auto"/>
          <w:highlight w:val="none"/>
        </w:rPr>
        <w:t>一、工程概况</w:t>
      </w:r>
    </w:p>
    <w:p w14:paraId="4CA70883">
      <w:pPr>
        <w:pStyle w:val="279"/>
        <w:spacing w:line="400" w:lineRule="exact"/>
        <w:ind w:firstLine="411" w:firstLineChars="196"/>
        <w:rPr>
          <w:rFonts w:ascii="宋体" w:hAnsi="宋体" w:cs="宋体"/>
          <w:color w:val="auto"/>
          <w:highlight w:val="none"/>
        </w:rPr>
      </w:pPr>
      <w:r>
        <w:rPr>
          <w:rFonts w:hint="eastAsia" w:ascii="宋体" w:hAnsi="宋体" w:cs="宋体"/>
          <w:bCs/>
          <w:color w:val="auto"/>
          <w:highlight w:val="none"/>
        </w:rPr>
        <w:t>1.工程名称</w:t>
      </w:r>
      <w:r>
        <w:rPr>
          <w:rFonts w:hint="eastAsia" w:ascii="宋体" w:hAnsi="宋体" w:cs="宋体"/>
          <w:color w:val="auto"/>
          <w:highlight w:val="none"/>
        </w:rPr>
        <w:t>：</w:t>
      </w:r>
      <w:r>
        <w:rPr>
          <w:rFonts w:hint="eastAsia" w:ascii="宋体" w:hAnsi="宋体"/>
          <w:color w:val="auto"/>
          <w:szCs w:val="21"/>
          <w:highlight w:val="none"/>
          <w:u w:val="single"/>
        </w:rPr>
        <w:t>桂林</w:t>
      </w:r>
      <w:r>
        <w:rPr>
          <w:rFonts w:hint="eastAsia" w:ascii="宋体" w:hAnsi="宋体" w:cs="宋体"/>
          <w:color w:val="auto"/>
          <w:szCs w:val="21"/>
          <w:highlight w:val="none"/>
          <w:u w:val="single"/>
        </w:rPr>
        <w:t>医科大学细胞基因治疗研发与临床转化联合实验室平台</w:t>
      </w:r>
    </w:p>
    <w:p w14:paraId="3EFE68E6">
      <w:pPr>
        <w:pStyle w:val="279"/>
        <w:spacing w:line="400" w:lineRule="exact"/>
        <w:ind w:firstLine="411" w:firstLineChars="196"/>
        <w:rPr>
          <w:rFonts w:ascii="宋体" w:hAnsi="宋体" w:cs="宋体"/>
          <w:bCs/>
          <w:color w:val="auto"/>
          <w:highlight w:val="none"/>
          <w:u w:val="single"/>
        </w:rPr>
      </w:pPr>
      <w:r>
        <w:rPr>
          <w:rFonts w:hint="eastAsia" w:ascii="宋体" w:hAnsi="宋体" w:cs="宋体"/>
          <w:bCs/>
          <w:color w:val="auto"/>
          <w:highlight w:val="none"/>
        </w:rPr>
        <w:t>2.工程地点：</w:t>
      </w:r>
      <w:r>
        <w:rPr>
          <w:rFonts w:hint="eastAsia" w:ascii="宋体" w:hAnsi="宋体" w:cs="宋体"/>
          <w:bCs/>
          <w:color w:val="auto"/>
          <w:highlight w:val="none"/>
          <w:u w:val="single"/>
        </w:rPr>
        <w:t>桂林医科大学临桂校区</w:t>
      </w:r>
    </w:p>
    <w:p w14:paraId="410B1B31">
      <w:pPr>
        <w:pStyle w:val="279"/>
        <w:spacing w:line="400" w:lineRule="exact"/>
        <w:ind w:firstLine="411" w:firstLineChars="196"/>
        <w:rPr>
          <w:rFonts w:ascii="宋体" w:hAnsi="宋体" w:cs="宋体"/>
          <w:color w:val="auto"/>
          <w:highlight w:val="none"/>
          <w:u w:val="single"/>
        </w:rPr>
      </w:pPr>
      <w:r>
        <w:rPr>
          <w:rFonts w:hint="eastAsia" w:ascii="宋体" w:hAnsi="宋体" w:cs="宋体"/>
          <w:bCs/>
          <w:color w:val="auto"/>
          <w:highlight w:val="none"/>
        </w:rPr>
        <w:t>3.工程立项批准文号：</w:t>
      </w:r>
      <w:r>
        <w:rPr>
          <w:rFonts w:hint="eastAsia" w:ascii="宋体" w:hAnsi="宋体" w:cs="宋体"/>
          <w:color w:val="auto"/>
          <w:spacing w:val="-5"/>
          <w:highlight w:val="none"/>
          <w:u w:val="single"/>
        </w:rPr>
        <w:t xml:space="preserve">     </w:t>
      </w:r>
      <w:r>
        <w:rPr>
          <w:rFonts w:hint="eastAsia" w:ascii="宋体" w:hAnsi="宋体" w:cs="宋体"/>
          <w:color w:val="auto"/>
          <w:spacing w:val="-4"/>
          <w:highlight w:val="none"/>
          <w:u w:val="single"/>
        </w:rPr>
        <w:t>/</w:t>
      </w:r>
      <w:r>
        <w:rPr>
          <w:rFonts w:hint="eastAsia" w:ascii="宋体" w:hAnsi="宋体" w:cs="宋体"/>
          <w:color w:val="auto"/>
          <w:spacing w:val="-5"/>
          <w:highlight w:val="none"/>
          <w:u w:val="single"/>
        </w:rPr>
        <w:t xml:space="preserve">   </w:t>
      </w:r>
    </w:p>
    <w:p w14:paraId="621F0642">
      <w:pPr>
        <w:pStyle w:val="279"/>
        <w:spacing w:line="400" w:lineRule="exact"/>
        <w:ind w:firstLine="411" w:firstLineChars="196"/>
        <w:rPr>
          <w:rFonts w:ascii="宋体" w:hAnsi="宋体" w:cs="宋体"/>
          <w:bCs/>
          <w:color w:val="auto"/>
          <w:highlight w:val="none"/>
        </w:rPr>
      </w:pPr>
      <w:r>
        <w:rPr>
          <w:rFonts w:hint="eastAsia" w:ascii="宋体" w:hAnsi="宋体" w:cs="宋体"/>
          <w:bCs/>
          <w:color w:val="auto"/>
          <w:highlight w:val="none"/>
        </w:rPr>
        <w:t>4.资金来源：</w:t>
      </w:r>
      <w:r>
        <w:rPr>
          <w:rFonts w:hint="eastAsia" w:ascii="宋体" w:hAnsi="宋体" w:cs="宋体"/>
          <w:bCs/>
          <w:color w:val="auto"/>
          <w:highlight w:val="none"/>
          <w:u w:val="single"/>
        </w:rPr>
        <w:t xml:space="preserve">    </w:t>
      </w:r>
      <w:r>
        <w:rPr>
          <w:rFonts w:hint="eastAsia" w:hAnsi="宋体"/>
          <w:color w:val="auto"/>
          <w:szCs w:val="21"/>
          <w:highlight w:val="none"/>
          <w:u w:val="single"/>
        </w:rPr>
        <w:t xml:space="preserve">财政资金   </w:t>
      </w:r>
      <w:r>
        <w:rPr>
          <w:rFonts w:hint="eastAsia" w:ascii="宋体" w:hAnsi="宋体" w:cs="宋体"/>
          <w:bCs/>
          <w:color w:val="auto"/>
          <w:highlight w:val="none"/>
        </w:rPr>
        <w:t>。</w:t>
      </w:r>
    </w:p>
    <w:p w14:paraId="5B3FFB8D">
      <w:pPr>
        <w:pStyle w:val="279"/>
        <w:widowControl/>
        <w:spacing w:line="400" w:lineRule="exact"/>
        <w:ind w:firstLine="420" w:firstLineChars="200"/>
        <w:jc w:val="left"/>
        <w:rPr>
          <w:rFonts w:ascii="宋体" w:hAnsi="宋体" w:cs="宋体"/>
          <w:bCs/>
          <w:color w:val="auto"/>
          <w:highlight w:val="none"/>
          <w:u w:val="single"/>
        </w:rPr>
      </w:pPr>
      <w:r>
        <w:rPr>
          <w:rFonts w:hint="eastAsia" w:ascii="宋体" w:hAnsi="宋体" w:cs="宋体"/>
          <w:bCs/>
          <w:color w:val="auto"/>
          <w:highlight w:val="none"/>
        </w:rPr>
        <w:t>5.工程内容：</w:t>
      </w:r>
      <w:r>
        <w:rPr>
          <w:rFonts w:hint="eastAsia" w:ascii="宋体" w:hAnsi="宋体"/>
          <w:color w:val="auto"/>
          <w:szCs w:val="21"/>
          <w:highlight w:val="none"/>
          <w:u w:val="single"/>
        </w:rPr>
        <w:t>桂林</w:t>
      </w:r>
      <w:r>
        <w:rPr>
          <w:rFonts w:hint="eastAsia" w:ascii="宋体" w:hAnsi="宋体" w:cs="宋体"/>
          <w:color w:val="auto"/>
          <w:szCs w:val="21"/>
          <w:highlight w:val="none"/>
          <w:u w:val="single"/>
        </w:rPr>
        <w:t>医科大学细胞基因治疗研发与临床转化联合实验室平台</w:t>
      </w:r>
      <w:r>
        <w:rPr>
          <w:rFonts w:hint="eastAsia" w:ascii="宋体" w:hAnsi="宋体" w:cs="宋体"/>
          <w:bCs/>
          <w:color w:val="auto"/>
          <w:highlight w:val="none"/>
          <w:u w:val="single"/>
        </w:rPr>
        <w:t>1项；简要技术需求或者服务要求：</w:t>
      </w:r>
      <w:r>
        <w:rPr>
          <w:rFonts w:hint="eastAsia" w:ascii="宋体" w:hAnsi="宋体" w:cs="宋体"/>
          <w:color w:val="auto"/>
          <w:szCs w:val="21"/>
          <w:highlight w:val="none"/>
          <w:u w:val="single"/>
          <w:lang w:eastAsia="zh-CN"/>
        </w:rPr>
        <w:t>本</w:t>
      </w:r>
      <w:r>
        <w:rPr>
          <w:rFonts w:hint="eastAsia" w:ascii="宋体" w:hAnsi="宋体" w:cs="宋体"/>
          <w:color w:val="auto"/>
          <w:szCs w:val="21"/>
          <w:highlight w:val="none"/>
          <w:u w:val="single"/>
        </w:rPr>
        <w:t>项目位于广西壮族自治区桂林医科大学基础学院一层，原实验室、准备室、库房、走廊、卫生间改造为细胞基因治疗研发与临床转化联合实验室，实验室改造装修建筑面积约共计320㎡；施工内容主要为：拆除室内局部墙体、吊顶，拆除卫生间隔墙、地砖及水电设施；在原地面新铺自流平、同质透芯PVC地胶（局部新铺防滑地砖）；墙面主要新建机制岩棉玻镁彩钢板隔断（局部新增多孔页岩砖墙体面贴瓷砖）；天棚主要新建彩钢板吊顶（局部铝扣板吊顶）；门窗为钢质洁净门、电子感应门、玻璃视窗；安装部分包括给排水、暖通、消防、电气照明、气路等工程。具体详见工程量清单及图纸。</w:t>
      </w:r>
    </w:p>
    <w:p w14:paraId="40A22771">
      <w:pPr>
        <w:pStyle w:val="279"/>
        <w:widowControl/>
        <w:spacing w:line="400" w:lineRule="exact"/>
        <w:ind w:firstLine="420" w:firstLineChars="200"/>
        <w:jc w:val="left"/>
        <w:rPr>
          <w:rFonts w:ascii="宋体" w:hAnsi="宋体" w:cs="宋体"/>
          <w:bCs/>
          <w:color w:val="auto"/>
          <w:highlight w:val="none"/>
        </w:rPr>
      </w:pPr>
      <w:r>
        <w:rPr>
          <w:rFonts w:hint="eastAsia" w:ascii="宋体" w:hAnsi="宋体" w:cs="宋体"/>
          <w:bCs/>
          <w:color w:val="auto"/>
          <w:highlight w:val="none"/>
        </w:rPr>
        <w:t>群体工程应附《承包人承揽工程项目一览表》（附件1）。</w:t>
      </w:r>
    </w:p>
    <w:p w14:paraId="27CFDE03">
      <w:pPr>
        <w:pStyle w:val="279"/>
        <w:spacing w:line="400" w:lineRule="exact"/>
        <w:ind w:firstLine="411" w:firstLineChars="196"/>
        <w:rPr>
          <w:rFonts w:ascii="宋体" w:hAnsi="宋体" w:cs="宋体"/>
          <w:bCs/>
          <w:color w:val="auto"/>
          <w:highlight w:val="none"/>
        </w:rPr>
      </w:pPr>
      <w:r>
        <w:rPr>
          <w:rFonts w:hint="eastAsia" w:ascii="宋体" w:hAnsi="宋体" w:cs="宋体"/>
          <w:bCs/>
          <w:color w:val="auto"/>
          <w:highlight w:val="none"/>
        </w:rPr>
        <w:t>6.工程承包范围：</w:t>
      </w:r>
      <w:r>
        <w:rPr>
          <w:rFonts w:hint="eastAsia" w:ascii="宋体" w:hAnsi="宋体" w:cs="宋体"/>
          <w:color w:val="auto"/>
          <w:szCs w:val="21"/>
          <w:highlight w:val="none"/>
          <w:u w:val="single"/>
        </w:rPr>
        <w:t>施工图纸范围内的工程，具体情况详见施工图纸及工程量清单</w:t>
      </w:r>
      <w:r>
        <w:rPr>
          <w:rFonts w:hint="eastAsia" w:ascii="宋体" w:hAnsi="宋体" w:cs="宋体"/>
          <w:color w:val="auto"/>
          <w:highlight w:val="none"/>
        </w:rPr>
        <w:t>。</w:t>
      </w:r>
    </w:p>
    <w:p w14:paraId="6C84E943">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二、合同工期</w:t>
      </w:r>
    </w:p>
    <w:p w14:paraId="41F596D1">
      <w:pPr>
        <w:spacing w:line="400" w:lineRule="exact"/>
        <w:ind w:firstLine="459"/>
        <w:rPr>
          <w:rFonts w:ascii="宋体" w:cs="宋体"/>
          <w:color w:val="auto"/>
          <w:highlight w:val="none"/>
        </w:rPr>
      </w:pPr>
      <w:r>
        <w:rPr>
          <w:rFonts w:hint="eastAsia" w:ascii="宋体" w:hAnsi="宋体" w:cs="宋体"/>
          <w:color w:val="auto"/>
          <w:highlight w:val="none"/>
        </w:rPr>
        <w:t>计划开工日期：</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hAnsi="宋体" w:cs="宋体"/>
          <w:color w:val="auto"/>
          <w:highlight w:val="none"/>
        </w:rPr>
        <w:t>具体以发包人书面通知或</w:t>
      </w:r>
      <w:r>
        <w:rPr>
          <w:rFonts w:hint="eastAsia" w:ascii="宋体" w:hAnsi="宋体" w:cs="宋体"/>
          <w:color w:val="auto"/>
          <w:highlight w:val="none"/>
        </w:rPr>
        <w:t>监理下发开工令时间为准）</w:t>
      </w:r>
    </w:p>
    <w:p w14:paraId="05A7A3ED">
      <w:pPr>
        <w:pStyle w:val="279"/>
        <w:spacing w:line="400" w:lineRule="exact"/>
        <w:ind w:firstLine="459"/>
        <w:rPr>
          <w:rFonts w:ascii="宋体" w:hAnsi="宋体" w:cs="宋体"/>
          <w:color w:val="auto"/>
          <w:highlight w:val="none"/>
        </w:rPr>
      </w:pPr>
      <w:r>
        <w:rPr>
          <w:rFonts w:hint="eastAsia" w:ascii="宋体" w:hAnsi="宋体" w:cs="宋体"/>
          <w:color w:val="auto"/>
          <w:highlight w:val="none"/>
        </w:rPr>
        <w:t>计划竣工日期：</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B485FF7">
      <w:pPr>
        <w:pStyle w:val="279"/>
        <w:spacing w:line="400" w:lineRule="exact"/>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日历日。工期总日历天数与根据前述计划开竣工日期计算的工期天数不一致的，以工期总日历天数为准。</w:t>
      </w:r>
    </w:p>
    <w:p w14:paraId="7296484A">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三、质量标准</w:t>
      </w:r>
    </w:p>
    <w:p w14:paraId="0A603C9E">
      <w:pPr>
        <w:pStyle w:val="279"/>
        <w:spacing w:line="400" w:lineRule="exact"/>
        <w:ind w:firstLine="459"/>
        <w:rPr>
          <w:rFonts w:ascii="宋体" w:hAnsi="宋体" w:cs="宋体"/>
          <w:color w:val="auto"/>
          <w:highlight w:val="none"/>
        </w:rPr>
      </w:pPr>
      <w:r>
        <w:rPr>
          <w:rFonts w:hint="eastAsia" w:ascii="宋体" w:hAnsi="宋体" w:cs="宋体"/>
          <w:color w:val="auto"/>
          <w:highlight w:val="none"/>
        </w:rPr>
        <w:t>工程质量达到现行国家施工验收规范合格标准。</w:t>
      </w:r>
    </w:p>
    <w:p w14:paraId="29022515">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四、签约合同价与合同价格形式</w:t>
      </w:r>
      <w:r>
        <w:rPr>
          <w:rFonts w:hint="eastAsia" w:ascii="宋体" w:hAnsi="宋体" w:cs="宋体"/>
          <w:b/>
          <w:color w:val="auto"/>
          <w:highlight w:val="none"/>
        </w:rPr>
        <w:tab/>
      </w:r>
    </w:p>
    <w:p w14:paraId="52556C7F">
      <w:pPr>
        <w:pStyle w:val="279"/>
        <w:spacing w:line="400" w:lineRule="exact"/>
        <w:ind w:firstLine="420" w:firstLineChars="200"/>
        <w:rPr>
          <w:rFonts w:ascii="宋体" w:hAnsi="宋体" w:cs="宋体"/>
          <w:color w:val="auto"/>
          <w:highlight w:val="none"/>
        </w:rPr>
      </w:pPr>
      <w:r>
        <w:rPr>
          <w:rFonts w:hint="eastAsia" w:ascii="宋体" w:hAnsi="宋体" w:cs="宋体"/>
          <w:color w:val="auto"/>
          <w:highlight w:val="none"/>
        </w:rPr>
        <w:t>1.签约合同价为：</w:t>
      </w:r>
    </w:p>
    <w:p w14:paraId="3230241F">
      <w:pPr>
        <w:pStyle w:val="279"/>
        <w:spacing w:line="400" w:lineRule="exact"/>
        <w:ind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olor w:val="auto"/>
          <w:spacing w:val="5"/>
          <w:highlight w:val="none"/>
          <w:u w:val="single"/>
        </w:rPr>
        <w:t xml:space="preserve">          </w:t>
      </w:r>
      <w:r>
        <w:rPr>
          <w:rFonts w:ascii="宋体" w:hAnsi="宋体" w:cs="宋体"/>
          <w:color w:val="auto"/>
          <w:highlight w:val="none"/>
        </w:rPr>
        <w:t>（</w:t>
      </w:r>
      <w:r>
        <w:rPr>
          <w:rFonts w:ascii="宋体" w:cs="宋体"/>
          <w:color w:val="auto"/>
          <w:highlight w:val="none"/>
        </w:rPr>
        <w:t>¥</w:t>
      </w:r>
      <w:r>
        <w:rPr>
          <w:rFonts w:hint="eastAsia" w:ascii="宋体" w:hAnsi="宋体"/>
          <w:color w:val="auto"/>
          <w:spacing w:val="9"/>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元</w:t>
      </w:r>
      <w:r>
        <w:rPr>
          <w:rFonts w:ascii="宋体" w:hAnsi="宋体" w:cs="宋体"/>
          <w:color w:val="auto"/>
          <w:highlight w:val="none"/>
        </w:rPr>
        <w:t>）</w:t>
      </w:r>
      <w:r>
        <w:rPr>
          <w:rFonts w:hint="eastAsia" w:ascii="宋体" w:hAnsi="宋体" w:cs="宋体"/>
          <w:color w:val="auto"/>
          <w:highlight w:val="none"/>
        </w:rPr>
        <w:t>；</w:t>
      </w:r>
    </w:p>
    <w:p w14:paraId="7BE686E2">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其中：</w:t>
      </w:r>
    </w:p>
    <w:p w14:paraId="55D19332">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（1）安全文明施工费：</w:t>
      </w:r>
    </w:p>
    <w:p w14:paraId="6408D22F">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人民币（大写）</w:t>
      </w:r>
      <w:r>
        <w:rPr>
          <w:rFonts w:hint="eastAsia" w:ascii="宋体" w:hAnsi="宋体"/>
          <w:color w:val="auto"/>
          <w:spacing w:val="5"/>
          <w:szCs w:val="22"/>
          <w:highlight w:val="none"/>
          <w:u w:val="single"/>
        </w:rPr>
        <w:t xml:space="preserve">          </w:t>
      </w:r>
      <w:r>
        <w:rPr>
          <w:rFonts w:ascii="宋体" w:hAnsi="宋体" w:cs="宋体"/>
          <w:color w:val="auto"/>
          <w:szCs w:val="22"/>
          <w:highlight w:val="none"/>
        </w:rPr>
        <w:t>（</w:t>
      </w:r>
      <w:r>
        <w:rPr>
          <w:rFonts w:ascii="宋体" w:hAnsi="Calibri" w:cs="宋体"/>
          <w:color w:val="auto"/>
          <w:szCs w:val="22"/>
          <w:highlight w:val="none"/>
        </w:rPr>
        <w:t>¥</w:t>
      </w:r>
      <w:r>
        <w:rPr>
          <w:rFonts w:hint="eastAsia" w:ascii="宋体" w:hAnsi="宋体"/>
          <w:color w:val="auto"/>
          <w:spacing w:val="9"/>
          <w:szCs w:val="22"/>
          <w:highlight w:val="none"/>
          <w:u w:val="single"/>
        </w:rPr>
        <w:t xml:space="preserve">       </w:t>
      </w:r>
      <w:r>
        <w:rPr>
          <w:rFonts w:ascii="宋体" w:hAnsi="宋体" w:cs="宋体"/>
          <w:color w:val="auto"/>
          <w:szCs w:val="22"/>
          <w:highlight w:val="none"/>
          <w:u w:val="single"/>
        </w:rPr>
        <w:t xml:space="preserve"> </w:t>
      </w:r>
      <w:r>
        <w:rPr>
          <w:rFonts w:hint="eastAsia" w:ascii="宋体" w:hAnsi="宋体" w:cs="宋体"/>
          <w:color w:val="auto"/>
          <w:szCs w:val="22"/>
          <w:highlight w:val="none"/>
        </w:rPr>
        <w:t>元</w:t>
      </w:r>
      <w:r>
        <w:rPr>
          <w:rFonts w:ascii="宋体" w:hAnsi="宋体" w:cs="宋体"/>
          <w:color w:val="auto"/>
          <w:szCs w:val="22"/>
          <w:highlight w:val="none"/>
        </w:rPr>
        <w:t>）</w:t>
      </w:r>
      <w:r>
        <w:rPr>
          <w:rFonts w:ascii="宋体" w:hAnsi="宋体" w:cs="宋体"/>
          <w:color w:val="auto"/>
          <w:szCs w:val="22"/>
          <w:highlight w:val="none"/>
        </w:rPr>
        <w:t>；</w:t>
      </w:r>
    </w:p>
    <w:p w14:paraId="417439EE">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（2）材料和工程设备暂估价金额：</w:t>
      </w:r>
    </w:p>
    <w:p w14:paraId="22DF25AC">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人民币（大写）</w:t>
      </w:r>
      <w:r>
        <w:rPr>
          <w:rFonts w:hint="eastAsia" w:ascii="宋体" w:hAnsi="宋体"/>
          <w:color w:val="auto"/>
          <w:spacing w:val="5"/>
          <w:szCs w:val="22"/>
          <w:highlight w:val="none"/>
          <w:u w:val="single"/>
        </w:rPr>
        <w:t xml:space="preserve">          </w:t>
      </w:r>
      <w:r>
        <w:rPr>
          <w:rFonts w:ascii="宋体" w:hAnsi="宋体" w:cs="宋体"/>
          <w:color w:val="auto"/>
          <w:szCs w:val="22"/>
          <w:highlight w:val="none"/>
        </w:rPr>
        <w:t>（</w:t>
      </w:r>
      <w:r>
        <w:rPr>
          <w:rFonts w:ascii="宋体" w:hAnsi="Calibri" w:cs="宋体"/>
          <w:color w:val="auto"/>
          <w:szCs w:val="22"/>
          <w:highlight w:val="none"/>
        </w:rPr>
        <w:t>¥</w:t>
      </w:r>
      <w:r>
        <w:rPr>
          <w:rFonts w:hint="eastAsia" w:ascii="宋体" w:hAnsi="宋体"/>
          <w:color w:val="auto"/>
          <w:spacing w:val="9"/>
          <w:szCs w:val="22"/>
          <w:highlight w:val="none"/>
          <w:u w:val="single"/>
        </w:rPr>
        <w:t xml:space="preserve">       </w:t>
      </w:r>
      <w:r>
        <w:rPr>
          <w:rFonts w:ascii="宋体" w:hAnsi="宋体" w:cs="宋体"/>
          <w:color w:val="auto"/>
          <w:szCs w:val="22"/>
          <w:highlight w:val="none"/>
          <w:u w:val="single"/>
        </w:rPr>
        <w:t xml:space="preserve"> </w:t>
      </w:r>
      <w:r>
        <w:rPr>
          <w:rFonts w:hint="eastAsia" w:ascii="宋体" w:hAnsi="宋体" w:cs="宋体"/>
          <w:color w:val="auto"/>
          <w:szCs w:val="22"/>
          <w:highlight w:val="none"/>
        </w:rPr>
        <w:t>元</w:t>
      </w:r>
      <w:r>
        <w:rPr>
          <w:rFonts w:ascii="宋体" w:hAnsi="宋体" w:cs="宋体"/>
          <w:color w:val="auto"/>
          <w:szCs w:val="22"/>
          <w:highlight w:val="none"/>
        </w:rPr>
        <w:t>）</w:t>
      </w:r>
      <w:r>
        <w:rPr>
          <w:rFonts w:ascii="宋体" w:hAnsi="宋体" w:cs="宋体"/>
          <w:color w:val="auto"/>
          <w:szCs w:val="22"/>
          <w:highlight w:val="none"/>
        </w:rPr>
        <w:t>；</w:t>
      </w:r>
    </w:p>
    <w:p w14:paraId="65B4F287">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（3）专业工程暂估价金额：</w:t>
      </w:r>
    </w:p>
    <w:p w14:paraId="69C903FA">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人民币（大写）</w:t>
      </w:r>
      <w:r>
        <w:rPr>
          <w:rFonts w:hint="eastAsia" w:ascii="宋体" w:hAnsi="宋体"/>
          <w:color w:val="auto"/>
          <w:spacing w:val="5"/>
          <w:szCs w:val="22"/>
          <w:highlight w:val="none"/>
          <w:u w:val="single"/>
        </w:rPr>
        <w:t xml:space="preserve">          </w:t>
      </w:r>
      <w:r>
        <w:rPr>
          <w:rFonts w:ascii="宋体" w:hAnsi="宋体" w:cs="宋体"/>
          <w:color w:val="auto"/>
          <w:szCs w:val="22"/>
          <w:highlight w:val="none"/>
        </w:rPr>
        <w:t>（</w:t>
      </w:r>
      <w:r>
        <w:rPr>
          <w:rFonts w:ascii="宋体" w:hAnsi="Calibri" w:cs="宋体"/>
          <w:color w:val="auto"/>
          <w:szCs w:val="22"/>
          <w:highlight w:val="none"/>
        </w:rPr>
        <w:t>¥</w:t>
      </w:r>
      <w:r>
        <w:rPr>
          <w:rFonts w:hint="eastAsia" w:ascii="宋体" w:hAnsi="宋体"/>
          <w:color w:val="auto"/>
          <w:spacing w:val="9"/>
          <w:szCs w:val="22"/>
          <w:highlight w:val="none"/>
          <w:u w:val="single"/>
        </w:rPr>
        <w:t xml:space="preserve">       </w:t>
      </w:r>
      <w:r>
        <w:rPr>
          <w:rFonts w:ascii="宋体" w:hAnsi="宋体" w:cs="宋体"/>
          <w:color w:val="auto"/>
          <w:szCs w:val="22"/>
          <w:highlight w:val="none"/>
          <w:u w:val="single"/>
        </w:rPr>
        <w:t xml:space="preserve"> </w:t>
      </w:r>
      <w:r>
        <w:rPr>
          <w:rFonts w:hint="eastAsia" w:ascii="宋体" w:hAnsi="宋体" w:cs="宋体"/>
          <w:color w:val="auto"/>
          <w:szCs w:val="22"/>
          <w:highlight w:val="none"/>
        </w:rPr>
        <w:t>元</w:t>
      </w:r>
      <w:r>
        <w:rPr>
          <w:rFonts w:ascii="宋体" w:hAnsi="宋体" w:cs="宋体"/>
          <w:color w:val="auto"/>
          <w:szCs w:val="22"/>
          <w:highlight w:val="none"/>
        </w:rPr>
        <w:t>）；</w:t>
      </w:r>
    </w:p>
    <w:p w14:paraId="5FAA6CFA">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w:t>
      </w:r>
      <w:r>
        <w:rPr>
          <w:rFonts w:hint="eastAsia" w:ascii="宋体" w:hAnsi="宋体" w:cs="宋体"/>
          <w:color w:val="auto"/>
          <w:szCs w:val="22"/>
          <w:highlight w:val="none"/>
        </w:rPr>
        <w:t>4</w:t>
      </w:r>
      <w:r>
        <w:rPr>
          <w:rFonts w:ascii="宋体" w:hAnsi="宋体" w:cs="宋体"/>
          <w:color w:val="auto"/>
          <w:szCs w:val="22"/>
          <w:highlight w:val="none"/>
        </w:rPr>
        <w:t>）</w:t>
      </w:r>
      <w:r>
        <w:rPr>
          <w:rFonts w:hint="eastAsia" w:ascii="宋体" w:hAnsi="宋体" w:cs="宋体"/>
          <w:color w:val="auto"/>
          <w:szCs w:val="22"/>
          <w:highlight w:val="none"/>
        </w:rPr>
        <w:t>安全生产责任保险费暂估价</w:t>
      </w:r>
      <w:r>
        <w:rPr>
          <w:rFonts w:ascii="宋体" w:hAnsi="宋体" w:cs="宋体"/>
          <w:color w:val="auto"/>
          <w:szCs w:val="22"/>
          <w:highlight w:val="none"/>
        </w:rPr>
        <w:t>金额：</w:t>
      </w:r>
    </w:p>
    <w:p w14:paraId="2823A6E3">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人民币（大写）</w:t>
      </w:r>
      <w:r>
        <w:rPr>
          <w:rFonts w:hint="eastAsia" w:ascii="宋体" w:hAnsi="宋体"/>
          <w:color w:val="auto"/>
          <w:spacing w:val="5"/>
          <w:szCs w:val="22"/>
          <w:highlight w:val="none"/>
          <w:u w:val="single"/>
        </w:rPr>
        <w:t xml:space="preserve">          </w:t>
      </w:r>
      <w:r>
        <w:rPr>
          <w:rFonts w:ascii="宋体" w:hAnsi="宋体" w:cs="宋体"/>
          <w:color w:val="auto"/>
          <w:szCs w:val="22"/>
          <w:highlight w:val="none"/>
        </w:rPr>
        <w:t>（</w:t>
      </w:r>
      <w:r>
        <w:rPr>
          <w:rFonts w:ascii="宋体" w:hAnsi="Calibri" w:cs="宋体"/>
          <w:color w:val="auto"/>
          <w:szCs w:val="22"/>
          <w:highlight w:val="none"/>
        </w:rPr>
        <w:t>¥</w:t>
      </w:r>
      <w:r>
        <w:rPr>
          <w:rFonts w:hint="eastAsia" w:ascii="宋体" w:hAnsi="宋体"/>
          <w:color w:val="auto"/>
          <w:spacing w:val="9"/>
          <w:szCs w:val="22"/>
          <w:highlight w:val="none"/>
          <w:u w:val="single"/>
        </w:rPr>
        <w:t xml:space="preserve">       </w:t>
      </w:r>
      <w:r>
        <w:rPr>
          <w:rFonts w:ascii="宋体" w:hAnsi="宋体" w:cs="宋体"/>
          <w:color w:val="auto"/>
          <w:szCs w:val="22"/>
          <w:highlight w:val="none"/>
          <w:u w:val="single"/>
        </w:rPr>
        <w:t xml:space="preserve"> </w:t>
      </w:r>
      <w:r>
        <w:rPr>
          <w:rFonts w:hint="eastAsia" w:ascii="宋体" w:hAnsi="宋体" w:cs="宋体"/>
          <w:color w:val="auto"/>
          <w:szCs w:val="22"/>
          <w:highlight w:val="none"/>
        </w:rPr>
        <w:t>元</w:t>
      </w:r>
      <w:r>
        <w:rPr>
          <w:rFonts w:ascii="宋体" w:hAnsi="宋体" w:cs="宋体"/>
          <w:color w:val="auto"/>
          <w:szCs w:val="22"/>
          <w:highlight w:val="none"/>
        </w:rPr>
        <w:t>）</w:t>
      </w:r>
    </w:p>
    <w:p w14:paraId="7AC613CD">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w:t>
      </w:r>
      <w:r>
        <w:rPr>
          <w:rFonts w:hint="eastAsia" w:ascii="宋体" w:hAnsi="宋体" w:cs="宋体"/>
          <w:color w:val="auto"/>
          <w:szCs w:val="22"/>
          <w:highlight w:val="none"/>
        </w:rPr>
        <w:t>5）</w:t>
      </w:r>
      <w:r>
        <w:rPr>
          <w:rFonts w:ascii="宋体" w:hAnsi="宋体" w:cs="宋体"/>
          <w:color w:val="auto"/>
          <w:szCs w:val="22"/>
          <w:highlight w:val="none"/>
        </w:rPr>
        <w:t>暂列金额：</w:t>
      </w:r>
    </w:p>
    <w:p w14:paraId="1BF2884D">
      <w:pPr>
        <w:spacing w:line="400" w:lineRule="exact"/>
        <w:ind w:firstLine="420" w:firstLineChars="200"/>
        <w:rPr>
          <w:rFonts w:ascii="宋体" w:hAnsi="宋体" w:cs="宋体"/>
          <w:color w:val="auto"/>
          <w:szCs w:val="22"/>
          <w:highlight w:val="none"/>
        </w:rPr>
      </w:pPr>
      <w:r>
        <w:rPr>
          <w:rFonts w:ascii="宋体" w:hAnsi="宋体" w:cs="宋体"/>
          <w:color w:val="auto"/>
          <w:szCs w:val="22"/>
          <w:highlight w:val="none"/>
        </w:rPr>
        <w:t>人民币</w:t>
      </w:r>
      <w:r>
        <w:rPr>
          <w:rFonts w:hint="eastAsia" w:ascii="宋体" w:hAnsi="宋体" w:cs="宋体"/>
          <w:color w:val="auto"/>
          <w:szCs w:val="22"/>
          <w:highlight w:val="none"/>
        </w:rPr>
        <w:t>（</w:t>
      </w:r>
      <w:r>
        <w:rPr>
          <w:rFonts w:ascii="宋体" w:hAnsi="宋体" w:cs="宋体"/>
          <w:color w:val="auto"/>
          <w:szCs w:val="22"/>
          <w:highlight w:val="none"/>
        </w:rPr>
        <w:t>大写</w:t>
      </w:r>
      <w:r>
        <w:rPr>
          <w:rFonts w:hint="eastAsia" w:ascii="宋体" w:hAnsi="宋体" w:cs="宋体"/>
          <w:color w:val="auto"/>
          <w:szCs w:val="22"/>
          <w:highlight w:val="none"/>
        </w:rPr>
        <w:t>）</w:t>
      </w:r>
      <w:r>
        <w:rPr>
          <w:rFonts w:hint="eastAsia" w:ascii="宋体" w:hAnsi="宋体"/>
          <w:color w:val="auto"/>
          <w:spacing w:val="5"/>
          <w:szCs w:val="22"/>
          <w:highlight w:val="none"/>
          <w:u w:val="single"/>
        </w:rPr>
        <w:t xml:space="preserve">          </w:t>
      </w:r>
      <w:r>
        <w:rPr>
          <w:rFonts w:ascii="宋体" w:hAnsi="宋体" w:cs="宋体"/>
          <w:color w:val="auto"/>
          <w:szCs w:val="22"/>
          <w:highlight w:val="none"/>
        </w:rPr>
        <w:t>（</w:t>
      </w:r>
      <w:r>
        <w:rPr>
          <w:rFonts w:ascii="宋体" w:hAnsi="Calibri" w:cs="宋体"/>
          <w:color w:val="auto"/>
          <w:szCs w:val="22"/>
          <w:highlight w:val="none"/>
        </w:rPr>
        <w:t>¥</w:t>
      </w:r>
      <w:r>
        <w:rPr>
          <w:rFonts w:hint="eastAsia" w:ascii="宋体" w:hAnsi="宋体"/>
          <w:color w:val="auto"/>
          <w:spacing w:val="9"/>
          <w:szCs w:val="22"/>
          <w:highlight w:val="none"/>
          <w:u w:val="single"/>
        </w:rPr>
        <w:t xml:space="preserve">       </w:t>
      </w:r>
      <w:r>
        <w:rPr>
          <w:rFonts w:ascii="宋体" w:hAnsi="宋体" w:cs="宋体"/>
          <w:color w:val="auto"/>
          <w:szCs w:val="22"/>
          <w:highlight w:val="none"/>
          <w:u w:val="single"/>
        </w:rPr>
        <w:t xml:space="preserve"> </w:t>
      </w:r>
      <w:r>
        <w:rPr>
          <w:rFonts w:hint="eastAsia" w:ascii="宋体" w:hAnsi="宋体" w:cs="宋体"/>
          <w:color w:val="auto"/>
          <w:szCs w:val="22"/>
          <w:highlight w:val="none"/>
        </w:rPr>
        <w:t>元</w:t>
      </w:r>
      <w:r>
        <w:rPr>
          <w:rFonts w:ascii="宋体" w:hAnsi="宋体" w:cs="宋体"/>
          <w:color w:val="auto"/>
          <w:szCs w:val="22"/>
          <w:highlight w:val="none"/>
        </w:rPr>
        <w:t>）。</w:t>
      </w:r>
    </w:p>
    <w:p w14:paraId="4263A9F2">
      <w:pPr>
        <w:pStyle w:val="279"/>
        <w:spacing w:line="400" w:lineRule="exact"/>
        <w:ind w:firstLine="420" w:firstLineChars="200"/>
        <w:rPr>
          <w:rFonts w:ascii="宋体" w:hAnsi="宋体" w:cs="宋体"/>
          <w:color w:val="auto"/>
          <w:highlight w:val="none"/>
        </w:rPr>
      </w:pPr>
      <w:r>
        <w:rPr>
          <w:rFonts w:hint="eastAsia" w:ascii="宋体" w:hAnsi="宋体" w:cs="宋体"/>
          <w:color w:val="auto"/>
          <w:highlight w:val="none"/>
        </w:rPr>
        <w:t>2.合同价格形式：</w:t>
      </w:r>
      <w:r>
        <w:rPr>
          <w:rFonts w:hint="eastAsia" w:ascii="宋体" w:hAnsi="宋体" w:cs="宋体"/>
          <w:color w:val="auto"/>
          <w:highlight w:val="none"/>
          <w:u w:val="single"/>
        </w:rPr>
        <w:t xml:space="preserve">固定综合单价合同 </w:t>
      </w:r>
      <w:r>
        <w:rPr>
          <w:rFonts w:hint="eastAsia" w:ascii="宋体" w:hAnsi="宋体" w:cs="宋体"/>
          <w:color w:val="auto"/>
          <w:highlight w:val="none"/>
        </w:rPr>
        <w:t>。</w:t>
      </w:r>
    </w:p>
    <w:p w14:paraId="047B76B2">
      <w:pPr>
        <w:pStyle w:val="279"/>
        <w:spacing w:line="400" w:lineRule="exact"/>
        <w:rPr>
          <w:rFonts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五、项目经理</w:t>
      </w:r>
    </w:p>
    <w:p w14:paraId="0F852C9C">
      <w:pPr>
        <w:pStyle w:val="279"/>
        <w:spacing w:line="400" w:lineRule="exact"/>
        <w:ind w:firstLine="420" w:firstLineChars="200"/>
        <w:rPr>
          <w:rFonts w:ascii="宋体" w:hAnsi="宋体" w:cs="宋体"/>
          <w:color w:val="auto"/>
          <w:highlight w:val="none"/>
        </w:rPr>
      </w:pPr>
      <w:r>
        <w:rPr>
          <w:rFonts w:hint="eastAsia" w:ascii="宋体" w:hAnsi="宋体" w:cs="宋体"/>
          <w:color w:val="auto"/>
          <w:highlight w:val="none"/>
        </w:rPr>
        <w:t>承包人项目经理：</w:t>
      </w:r>
      <w:r>
        <w:rPr>
          <w:rFonts w:hint="eastAsia" w:ascii="宋体" w:hAnsi="宋体"/>
          <w:color w:val="auto"/>
          <w:spacing w:val="-1"/>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30D1B04">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六、合同文件构成 </w:t>
      </w:r>
    </w:p>
    <w:p w14:paraId="28D220BA">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本协议书与下列文件一起构成合同文件：</w:t>
      </w:r>
    </w:p>
    <w:p w14:paraId="203E42DC">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（1）成交通知书（如果有）；</w:t>
      </w:r>
    </w:p>
    <w:p w14:paraId="0F97C0C0">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 xml:space="preserve">（2）竞标函及其附录（如果有）； </w:t>
      </w:r>
    </w:p>
    <w:p w14:paraId="4BCA3C86">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（3）专用合同条款及其附件；</w:t>
      </w:r>
    </w:p>
    <w:p w14:paraId="2880B20E">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（4）通用合同条款；</w:t>
      </w:r>
    </w:p>
    <w:p w14:paraId="6C3B809A">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（5）技术标准和要求；</w:t>
      </w:r>
    </w:p>
    <w:p w14:paraId="41C172A8">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（6）图纸；</w:t>
      </w:r>
    </w:p>
    <w:p w14:paraId="35586149">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（7）已标价工程量清单或预算书；</w:t>
      </w:r>
    </w:p>
    <w:p w14:paraId="1A990796">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（8）其他合同文件。</w:t>
      </w:r>
    </w:p>
    <w:p w14:paraId="7BC4C5B4">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46E17DC8">
      <w:pPr>
        <w:pStyle w:val="279"/>
        <w:autoSpaceDE w:val="0"/>
        <w:autoSpaceDN w:val="0"/>
        <w:adjustRightInd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上述各项合同文件包括合同当事人就该项合同文件所作出的补充和修改，属于同一类内容的文件，应以最新签署的为准（违反竞争性磋商文件实质性</w:t>
      </w:r>
      <w:r>
        <w:rPr>
          <w:rFonts w:hint="eastAsia" w:ascii="宋体" w:hAnsi="宋体" w:cs="宋体"/>
          <w:color w:val="auto"/>
          <w:highlight w:val="none"/>
        </w:rPr>
        <w:t>内容的约定除外）。专用合同条款及其附件须经合同当事人签字或盖章。</w:t>
      </w:r>
    </w:p>
    <w:p w14:paraId="53A33101">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七、承诺</w:t>
      </w:r>
    </w:p>
    <w:p w14:paraId="369BDAEA">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1.发包人承诺按照法律规定履行项目审批手续、筹集工程建设资金并按照合同约定的期限和方式支付合同价款。</w:t>
      </w:r>
    </w:p>
    <w:p w14:paraId="142A1DE6">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2.承包人承诺按照法律规定及合同约定组织完成工程施工，确保工程质量和安全，不进行转包及违法分包，并在缺陷责任期及保修期内承担相应的工程维修责任。</w:t>
      </w:r>
    </w:p>
    <w:p w14:paraId="2EC9C0B2">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3.发包人和承包人通过招投标形式签订合同的，双方理解并承诺不再就同一工程另行签订与合同实质性内容相背离的协议。</w:t>
      </w:r>
    </w:p>
    <w:p w14:paraId="0CF232BA">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八、词语含义</w:t>
      </w:r>
    </w:p>
    <w:p w14:paraId="4290B6AD">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本协议书中词语含义与第二部分通用合同条款中赋予的含义相同。</w:t>
      </w:r>
    </w:p>
    <w:p w14:paraId="44BCF206">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九、签订时间</w:t>
      </w:r>
    </w:p>
    <w:p w14:paraId="1F9DAE97">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本合同于</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日签订。</w:t>
      </w:r>
    </w:p>
    <w:p w14:paraId="7F3FAB99">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十、签订地点</w:t>
      </w:r>
    </w:p>
    <w:p w14:paraId="48A6F721">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本合同在</w:t>
      </w:r>
      <w:r>
        <w:rPr>
          <w:rFonts w:hint="eastAsia" w:ascii="宋体" w:hAnsi="宋体" w:cs="宋体"/>
          <w:bCs/>
          <w:color w:val="auto"/>
          <w:highlight w:val="none"/>
          <w:u w:val="single"/>
        </w:rPr>
        <w:t xml:space="preserve">                </w:t>
      </w:r>
      <w:r>
        <w:rPr>
          <w:rFonts w:hint="eastAsia" w:ascii="宋体" w:hAnsi="宋体" w:cs="宋体"/>
          <w:bCs/>
          <w:color w:val="auto"/>
          <w:highlight w:val="none"/>
        </w:rPr>
        <w:t>签订。</w:t>
      </w:r>
    </w:p>
    <w:p w14:paraId="48639237">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十一、补充协议</w:t>
      </w:r>
    </w:p>
    <w:p w14:paraId="2EED3108">
      <w:pPr>
        <w:pStyle w:val="279"/>
        <w:spacing w:line="400" w:lineRule="exact"/>
        <w:ind w:firstLine="420" w:firstLineChars="200"/>
        <w:rPr>
          <w:rFonts w:ascii="宋体" w:hAnsi="宋体" w:cs="宋体"/>
          <w:b/>
          <w:bCs/>
          <w:color w:val="auto"/>
          <w:highlight w:val="none"/>
        </w:rPr>
      </w:pPr>
      <w:r>
        <w:rPr>
          <w:rFonts w:hint="eastAsia" w:ascii="宋体" w:hAnsi="宋体" w:cs="宋体"/>
          <w:bCs/>
          <w:color w:val="auto"/>
          <w:highlight w:val="none"/>
        </w:rPr>
        <w:t>合同未尽事宜，合同当事人另行签订补充协议，补充协议是合同的组成部分。</w:t>
      </w:r>
    </w:p>
    <w:p w14:paraId="5C7ECCB5">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十二、合同生效</w:t>
      </w:r>
    </w:p>
    <w:p w14:paraId="07801C91">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本合同自</w:t>
      </w:r>
      <w:r>
        <w:rPr>
          <w:rFonts w:hint="eastAsia" w:ascii="宋体" w:hAnsi="宋体" w:cs="宋体"/>
          <w:color w:val="auto"/>
          <w:highlight w:val="none"/>
          <w:u w:val="single"/>
        </w:rPr>
        <w:t>双方法定代表人签字并加盖单位公章后</w:t>
      </w:r>
      <w:r>
        <w:rPr>
          <w:rFonts w:hint="eastAsia" w:ascii="宋体" w:hAnsi="宋体" w:cs="宋体"/>
          <w:bCs/>
          <w:color w:val="auto"/>
          <w:highlight w:val="none"/>
        </w:rPr>
        <w:t>生效。</w:t>
      </w:r>
    </w:p>
    <w:p w14:paraId="58D48DDD">
      <w:pPr>
        <w:pStyle w:val="279"/>
        <w:spacing w:line="400" w:lineRule="exact"/>
        <w:rPr>
          <w:rFonts w:ascii="宋体" w:hAnsi="宋体" w:cs="宋体"/>
          <w:b/>
          <w:color w:val="auto"/>
          <w:highlight w:val="none"/>
        </w:rPr>
      </w:pPr>
      <w:r>
        <w:rPr>
          <w:rFonts w:hint="eastAsia" w:ascii="宋体" w:hAnsi="宋体" w:cs="宋体"/>
          <w:b/>
          <w:color w:val="auto"/>
          <w:highlight w:val="none"/>
        </w:rPr>
        <w:t xml:space="preserve">    十三、合同份数</w:t>
      </w:r>
    </w:p>
    <w:p w14:paraId="6D53310C">
      <w:pPr>
        <w:pStyle w:val="279"/>
        <w:spacing w:line="4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本合同一式</w:t>
      </w:r>
      <w:r>
        <w:rPr>
          <w:rFonts w:hint="eastAsia" w:ascii="宋体" w:hAnsi="宋体" w:cs="宋体"/>
          <w:bCs/>
          <w:color w:val="auto"/>
          <w:highlight w:val="none"/>
          <w:u w:val="single"/>
        </w:rPr>
        <w:t xml:space="preserve"> 捌 </w:t>
      </w:r>
      <w:r>
        <w:rPr>
          <w:rFonts w:hint="eastAsia" w:ascii="宋体" w:hAnsi="宋体" w:cs="宋体"/>
          <w:bCs/>
          <w:color w:val="auto"/>
          <w:highlight w:val="none"/>
        </w:rPr>
        <w:t>份，均具有同等法律效力，发包人执</w:t>
      </w:r>
      <w:r>
        <w:rPr>
          <w:rFonts w:hint="eastAsia" w:ascii="宋体" w:hAnsi="宋体" w:cs="宋体"/>
          <w:bCs/>
          <w:color w:val="auto"/>
          <w:highlight w:val="none"/>
          <w:u w:val="single"/>
        </w:rPr>
        <w:t xml:space="preserve"> 伍 </w:t>
      </w:r>
      <w:r>
        <w:rPr>
          <w:rFonts w:hint="eastAsia" w:ascii="宋体" w:hAnsi="宋体" w:cs="宋体"/>
          <w:bCs/>
          <w:color w:val="auto"/>
          <w:highlight w:val="none"/>
        </w:rPr>
        <w:t>份，承包人执</w:t>
      </w:r>
      <w:r>
        <w:rPr>
          <w:rFonts w:hint="eastAsia" w:ascii="宋体" w:hAnsi="宋体" w:cs="宋体"/>
          <w:bCs/>
          <w:color w:val="auto"/>
          <w:highlight w:val="none"/>
          <w:u w:val="single"/>
        </w:rPr>
        <w:t xml:space="preserve"> 叁 </w:t>
      </w:r>
      <w:r>
        <w:rPr>
          <w:rFonts w:hint="eastAsia" w:ascii="宋体" w:hAnsi="宋体" w:cs="宋体"/>
          <w:bCs/>
          <w:color w:val="auto"/>
          <w:highlight w:val="none"/>
        </w:rPr>
        <w:t>份。</w:t>
      </w:r>
    </w:p>
    <w:p w14:paraId="2B8D8A6E">
      <w:pPr>
        <w:pStyle w:val="279"/>
        <w:spacing w:line="400" w:lineRule="exact"/>
        <w:rPr>
          <w:rFonts w:ascii="宋体" w:hAnsi="宋体" w:cs="宋体"/>
          <w:color w:val="auto"/>
          <w:highlight w:val="none"/>
        </w:rPr>
      </w:pPr>
    </w:p>
    <w:bookmarkEnd w:id="113"/>
    <w:p w14:paraId="7004552E">
      <w:pPr>
        <w:spacing w:line="400" w:lineRule="exact"/>
        <w:rPr>
          <w:rFonts w:ascii="宋体" w:cs="宋体"/>
          <w:color w:val="auto"/>
          <w:highlight w:val="none"/>
          <w:u w:val="single"/>
        </w:rPr>
      </w:pPr>
      <w:r>
        <w:rPr>
          <w:rFonts w:hint="eastAsia" w:ascii="宋体" w:hAnsi="宋体" w:cs="宋体"/>
          <w:color w:val="auto"/>
          <w:highlight w:val="none"/>
        </w:rPr>
        <w:t>发包人：</w:t>
      </w:r>
      <w:r>
        <w:rPr>
          <w:rFonts w:ascii="宋体" w:hAnsi="宋体" w:cs="宋体"/>
          <w:color w:val="auto"/>
          <w:highlight w:val="none"/>
        </w:rPr>
        <w:t xml:space="preserve"> （</w:t>
      </w:r>
      <w:r>
        <w:rPr>
          <w:rFonts w:hint="eastAsia" w:ascii="宋体" w:hAnsi="宋体" w:cs="宋体"/>
          <w:color w:val="auto"/>
          <w:highlight w:val="none"/>
        </w:rPr>
        <w:t>公章</w:t>
      </w:r>
      <w:r>
        <w:rPr>
          <w:rFonts w:ascii="宋体" w:hAnsi="宋体" w:cs="宋体"/>
          <w:color w:val="auto"/>
          <w:highlight w:val="none"/>
        </w:rPr>
        <w:t>）</w:t>
      </w:r>
      <w:r>
        <w:rPr>
          <w:rFonts w:hint="eastAsia" w:ascii="宋体" w:hAnsi="宋体" w:cs="宋体"/>
          <w:color w:val="auto"/>
          <w:highlight w:val="none"/>
          <w:u w:val="single"/>
        </w:rPr>
        <w:t>桂林医科大学</w:t>
      </w:r>
      <w:r>
        <w:rPr>
          <w:rFonts w:ascii="宋体" w:hAnsi="宋体" w:cs="宋体"/>
          <w:color w:val="auto"/>
          <w:highlight w:val="non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承包人：</w:t>
      </w:r>
      <w:r>
        <w:rPr>
          <w:rFonts w:ascii="宋体" w:hAnsi="宋体" w:cs="宋体"/>
          <w:color w:val="auto"/>
          <w:highlight w:val="none"/>
        </w:rPr>
        <w:t xml:space="preserve"> （</w:t>
      </w:r>
      <w:r>
        <w:rPr>
          <w:rFonts w:hint="eastAsia" w:ascii="宋体" w:hAnsi="宋体" w:cs="宋体"/>
          <w:color w:val="auto"/>
          <w:highlight w:val="none"/>
        </w:rPr>
        <w:t>公章</w:t>
      </w:r>
      <w:r>
        <w:rPr>
          <w:rFonts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ascii="宋体" w:hAnsi="宋体" w:cs="宋体"/>
          <w:bCs/>
          <w:color w:val="auto"/>
          <w:highlight w:val="none"/>
        </w:rPr>
        <w:t xml:space="preserve">           </w:t>
      </w:r>
      <w:r>
        <w:rPr>
          <w:rFonts w:ascii="宋体" w:hAnsi="宋体" w:cs="宋体"/>
          <w:color w:val="auto"/>
          <w:highlight w:val="none"/>
        </w:rPr>
        <w:t xml:space="preserve">                                </w:t>
      </w:r>
    </w:p>
    <w:p w14:paraId="7144C0E4">
      <w:pPr>
        <w:spacing w:line="400" w:lineRule="exact"/>
        <w:rPr>
          <w:rFonts w:ascii="宋体" w:cs="宋体"/>
          <w:color w:val="auto"/>
          <w:highlight w:val="none"/>
        </w:rPr>
      </w:pPr>
    </w:p>
    <w:p w14:paraId="75A8DC57">
      <w:pPr>
        <w:spacing w:line="400" w:lineRule="exact"/>
        <w:rPr>
          <w:rFonts w:ascii="宋体" w:cs="宋体"/>
          <w:color w:val="auto"/>
          <w:highlight w:val="none"/>
        </w:rPr>
      </w:pPr>
    </w:p>
    <w:p w14:paraId="6A19FD00">
      <w:pPr>
        <w:spacing w:line="400" w:lineRule="exact"/>
        <w:rPr>
          <w:rFonts w:ascii="宋体" w:cs="宋体"/>
          <w:color w:val="auto"/>
          <w:highlight w:val="none"/>
          <w:u w:val="single"/>
        </w:rPr>
      </w:pPr>
      <w:r>
        <w:rPr>
          <w:rFonts w:hint="eastAsia" w:ascii="宋体" w:hAnsi="宋体" w:cs="宋体"/>
          <w:color w:val="auto"/>
          <w:highlight w:val="none"/>
        </w:rPr>
        <w:t>法定代表人：（签字或盖章）</w:t>
      </w:r>
      <w:r>
        <w:rPr>
          <w:rFonts w:ascii="宋体" w:hAnsi="宋体" w:cs="宋体"/>
          <w:color w:val="auto"/>
          <w:highlight w:val="non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法定代表人：（签字或盖章）</w:t>
      </w:r>
    </w:p>
    <w:p w14:paraId="020BCB89">
      <w:pPr>
        <w:tabs>
          <w:tab w:val="left" w:pos="4410"/>
        </w:tabs>
        <w:spacing w:line="400" w:lineRule="exact"/>
        <w:rPr>
          <w:rFonts w:ascii="宋体" w:cs="宋体"/>
          <w:color w:val="auto"/>
          <w:highlight w:val="none"/>
        </w:rPr>
      </w:pPr>
    </w:p>
    <w:p w14:paraId="198BF4C7">
      <w:pPr>
        <w:tabs>
          <w:tab w:val="left" w:pos="4410"/>
        </w:tabs>
        <w:spacing w:line="400" w:lineRule="exact"/>
        <w:rPr>
          <w:rFonts w:ascii="宋体" w:hAnsi="宋体" w:cs="宋体"/>
          <w:bCs/>
          <w:color w:val="auto"/>
          <w:highlight w:val="none"/>
          <w:u w:val="single"/>
        </w:rPr>
      </w:pPr>
      <w:r>
        <w:rPr>
          <w:rFonts w:hint="eastAsia" w:ascii="宋体" w:hAnsi="宋体" w:cs="宋体"/>
          <w:color w:val="auto"/>
          <w:highlight w:val="none"/>
        </w:rPr>
        <w:t>社会信用代码：</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 xml:space="preserve">  社会信用代码：</w:t>
      </w:r>
      <w:r>
        <w:rPr>
          <w:rFonts w:hint="eastAsia"/>
          <w:color w:val="auto"/>
          <w:highlight w:val="none"/>
          <w:u w:val="single"/>
        </w:rPr>
        <w:t xml:space="preserve">                  </w:t>
      </w:r>
      <w:r>
        <w:rPr>
          <w:color w:val="auto"/>
          <w:highlight w:val="none"/>
          <w:u w:val="single"/>
        </w:rPr>
        <w:t xml:space="preserve"> </w:t>
      </w:r>
      <w:r>
        <w:rPr>
          <w:rFonts w:ascii="宋体" w:hAnsi="宋体" w:cs="宋体"/>
          <w:bCs/>
          <w:color w:val="auto"/>
          <w:highlight w:val="none"/>
          <w:u w:val="single"/>
        </w:rPr>
        <w:t xml:space="preserve"> </w:t>
      </w:r>
    </w:p>
    <w:p w14:paraId="293A3E01">
      <w:pPr>
        <w:snapToGrid w:val="0"/>
        <w:spacing w:line="400" w:lineRule="exact"/>
        <w:rPr>
          <w:rFonts w:ascii="宋体" w:cs="宋体"/>
          <w:color w:val="auto"/>
          <w:highlight w:val="none"/>
        </w:rPr>
      </w:pPr>
      <w:r>
        <w:rPr>
          <w:rFonts w:hint="eastAsia" w:ascii="宋体" w:hAnsi="宋体" w:cs="宋体"/>
          <w:bCs/>
          <w:color w:val="auto"/>
          <w:highlight w:val="none"/>
        </w:rPr>
        <w:t>地</w:t>
      </w:r>
      <w:r>
        <w:rPr>
          <w:rFonts w:ascii="宋体" w:hAnsi="宋体" w:cs="宋体"/>
          <w:bCs/>
          <w:color w:val="auto"/>
          <w:highlight w:val="none"/>
        </w:rPr>
        <w:t xml:space="preserve">  </w:t>
      </w:r>
      <w:r>
        <w:rPr>
          <w:rFonts w:hint="eastAsia" w:ascii="宋体" w:hAnsi="宋体" w:cs="宋体"/>
          <w:bCs/>
          <w:color w:val="auto"/>
          <w:highlight w:val="none"/>
        </w:rPr>
        <w:t>址：</w:t>
      </w:r>
      <w:r>
        <w:rPr>
          <w:rFonts w:hint="eastAsia" w:ascii="宋体" w:hAnsi="宋体" w:cs="宋体"/>
          <w:bCs/>
          <w:color w:val="auto"/>
          <w:highlight w:val="none"/>
          <w:u w:val="single"/>
        </w:rPr>
        <w:t xml:space="preserve">                 </w:t>
      </w:r>
      <w:r>
        <w:rPr>
          <w:rFonts w:ascii="宋体" w:hAnsi="宋体" w:cs="宋体"/>
          <w:bCs/>
          <w:color w:val="auto"/>
          <w:highlight w:val="none"/>
          <w:u w:val="single"/>
        </w:rPr>
        <w:t xml:space="preserve">  </w:t>
      </w:r>
      <w:r>
        <w:rPr>
          <w:rFonts w:hint="eastAsia" w:ascii="宋体" w:hAnsi="宋体" w:cs="宋体"/>
          <w:bCs/>
          <w:color w:val="auto"/>
          <w:highlight w:val="none"/>
          <w:u w:val="single"/>
        </w:rPr>
        <w:t xml:space="preserve">       </w:t>
      </w:r>
      <w:r>
        <w:rPr>
          <w:rFonts w:ascii="宋体" w:hAnsi="宋体" w:cs="宋体"/>
          <w:bCs/>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color w:val="auto"/>
          <w:highlight w:val="none"/>
          <w:u w:val="single"/>
        </w:rPr>
        <w:t xml:space="preserve">                    </w:t>
      </w:r>
      <w:r>
        <w:rPr>
          <w:rFonts w:ascii="宋体" w:hAnsi="宋体" w:cs="宋体"/>
          <w:bCs/>
          <w:color w:val="auto"/>
          <w:highlight w:val="none"/>
          <w:u w:val="single"/>
        </w:rPr>
        <w:t xml:space="preserve">      </w:t>
      </w:r>
    </w:p>
    <w:p w14:paraId="3A697053">
      <w:pPr>
        <w:spacing w:line="400" w:lineRule="exact"/>
        <w:rPr>
          <w:rFonts w:ascii="宋体" w:cs="宋体"/>
          <w:color w:val="auto"/>
          <w:highlight w:val="none"/>
        </w:rPr>
      </w:pPr>
      <w:r>
        <w:rPr>
          <w:rFonts w:hint="eastAsia" w:ascii="宋体" w:hAnsi="宋体" w:cs="宋体"/>
          <w:color w:val="auto"/>
          <w:highlight w:val="none"/>
        </w:rPr>
        <w:t>邮政编码：</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邮政编码：</w:t>
      </w:r>
      <w:r>
        <w:rPr>
          <w:rFonts w:hint="eastAsia" w:ascii="宋体" w:hAnsi="宋体" w:cs="宋体"/>
          <w:color w:val="auto"/>
          <w:highlight w:val="none"/>
          <w:u w:val="single"/>
        </w:rPr>
        <w:t>     </w:t>
      </w:r>
      <w:r>
        <w:rPr>
          <w:rFonts w:ascii="宋体" w:hAnsi="宋体" w:cs="宋体"/>
          <w:color w:val="auto"/>
          <w:highlight w:val="none"/>
          <w:u w:val="single"/>
        </w:rPr>
        <w:t xml:space="preserve">               </w:t>
      </w:r>
    </w:p>
    <w:p w14:paraId="7A06F053">
      <w:pPr>
        <w:spacing w:line="400" w:lineRule="exact"/>
        <w:rPr>
          <w:rFonts w:asci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p>
    <w:p w14:paraId="773E87A0">
      <w:pPr>
        <w:spacing w:line="400" w:lineRule="exact"/>
        <w:rPr>
          <w:rFonts w:ascii="宋体" w:cs="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   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p>
    <w:p w14:paraId="34E5FF7C">
      <w:pPr>
        <w:snapToGrid w:val="0"/>
        <w:spacing w:line="400" w:lineRule="exact"/>
        <w:ind w:left="5565" w:hanging="5565" w:hangingChars="2650"/>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ascii="宋体" w:hAnsi="宋体" w:cs="宋体"/>
          <w:color w:val="auto"/>
          <w:kern w:val="0"/>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开户银行：</w:t>
      </w:r>
      <w:r>
        <w:rPr>
          <w:rFonts w:hint="eastAsia"/>
          <w:color w:val="auto"/>
          <w:highlight w:val="none"/>
          <w:u w:val="single"/>
        </w:rPr>
        <w:t xml:space="preserve">                         </w:t>
      </w:r>
    </w:p>
    <w:p w14:paraId="76870359">
      <w:pPr>
        <w:widowControl/>
        <w:spacing w:line="400" w:lineRule="exact"/>
        <w:jc w:val="left"/>
        <w:rPr>
          <w:color w:val="auto"/>
          <w:highlight w:val="none"/>
          <w:u w:val="single"/>
        </w:rPr>
      </w:pP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hint="eastAsia" w:ascii="宋体" w:hAnsi="宋体" w:cs="宋体"/>
          <w:color w:val="auto"/>
          <w:highlight w:val="none"/>
          <w:u w:val="single"/>
        </w:rPr>
        <w:t></w:t>
      </w:r>
      <w:r>
        <w:rPr>
          <w:rFonts w:hint="eastAsia"/>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ascii="宋体" w:cs="宋体"/>
          <w:color w:val="auto"/>
          <w:highlight w:val="none"/>
        </w:rPr>
        <w:br w:type="page"/>
      </w:r>
    </w:p>
    <w:p w14:paraId="34985C3A">
      <w:pPr>
        <w:pStyle w:val="2"/>
        <w:jc w:val="center"/>
        <w:rPr>
          <w:color w:val="auto"/>
          <w:highlight w:val="none"/>
        </w:rPr>
      </w:pPr>
      <w:bookmarkStart w:id="114" w:name="_Toc83895639"/>
      <w:bookmarkStart w:id="115" w:name="_Toc256000128"/>
      <w:bookmarkStart w:id="116" w:name="_Toc389065256"/>
      <w:bookmarkStart w:id="117" w:name="_Toc407135192"/>
      <w:bookmarkStart w:id="118" w:name="_Toc351203632"/>
      <w:bookmarkStart w:id="119" w:name="_Toc373227691"/>
      <w:bookmarkStart w:id="120" w:name="_Toc373478338"/>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14"/>
      <w:bookmarkEnd w:id="115"/>
      <w:bookmarkEnd w:id="116"/>
      <w:bookmarkEnd w:id="117"/>
    </w:p>
    <w:p w14:paraId="5416F051">
      <w:pPr>
        <w:spacing w:line="360" w:lineRule="auto"/>
        <w:ind w:firstLine="422" w:firstLineChars="200"/>
        <w:rPr>
          <w:rFonts w:hAnsi="宋体" w:cs="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0F0E25B3">
      <w:pPr>
        <w:spacing w:line="360" w:lineRule="auto"/>
        <w:ind w:firstLine="422" w:firstLineChars="200"/>
        <w:rPr>
          <w:rFonts w:hAnsi="宋体"/>
          <w:b/>
          <w:bCs/>
          <w:color w:val="auto"/>
          <w:kern w:val="0"/>
          <w:highlight w:val="none"/>
        </w:rPr>
      </w:pPr>
    </w:p>
    <w:p w14:paraId="2CC90870">
      <w:pPr>
        <w:pStyle w:val="2"/>
        <w:keepNext w:val="0"/>
        <w:keepLines w:val="0"/>
        <w:jc w:val="center"/>
        <w:rPr>
          <w:rFonts w:cs="黑体"/>
          <w:color w:val="auto"/>
          <w:highlight w:val="none"/>
        </w:rPr>
      </w:pPr>
      <w:bookmarkStart w:id="121" w:name="_Toc256000129"/>
      <w:bookmarkStart w:id="122" w:name="_Toc389065257"/>
      <w:bookmarkStart w:id="123" w:name="_Toc407135193"/>
      <w:bookmarkStart w:id="124" w:name="_Toc83895640"/>
      <w:r>
        <w:rPr>
          <w:rFonts w:hint="eastAsia" w:cs="黑体"/>
          <w:color w:val="auto"/>
          <w:highlight w:val="none"/>
        </w:rPr>
        <w:t>第三部分</w:t>
      </w:r>
      <w:r>
        <w:rPr>
          <w:rFonts w:cs="黑体"/>
          <w:color w:val="auto"/>
          <w:highlight w:val="none"/>
        </w:rPr>
        <w:t xml:space="preserve"> </w:t>
      </w:r>
      <w:r>
        <w:rPr>
          <w:rFonts w:hint="eastAsia" w:cs="黑体"/>
          <w:color w:val="auto"/>
          <w:highlight w:val="none"/>
        </w:rPr>
        <w:t>专用合同条款</w:t>
      </w:r>
      <w:bookmarkEnd w:id="118"/>
      <w:bookmarkEnd w:id="119"/>
      <w:bookmarkEnd w:id="120"/>
      <w:bookmarkEnd w:id="121"/>
      <w:bookmarkEnd w:id="122"/>
      <w:bookmarkEnd w:id="123"/>
      <w:bookmarkEnd w:id="124"/>
    </w:p>
    <w:p w14:paraId="3755844F">
      <w:pPr>
        <w:spacing w:line="360" w:lineRule="auto"/>
        <w:jc w:val="center"/>
        <w:rPr>
          <w:rFonts w:hAnsi="宋体" w:cs="宋体"/>
          <w:b/>
          <w:bCs/>
          <w:color w:val="auto"/>
          <w:kern w:val="0"/>
          <w:highlight w:val="none"/>
        </w:rPr>
      </w:pPr>
      <w:r>
        <w:rPr>
          <w:rFonts w:hint="eastAsia" w:hAnsi="宋体" w:cs="宋体"/>
          <w:b/>
          <w:bCs/>
          <w:color w:val="auto"/>
          <w:kern w:val="0"/>
          <w:highlight w:val="none"/>
        </w:rPr>
        <w:t>（注：专用合同条款每一条均应填写完整！）</w:t>
      </w:r>
    </w:p>
    <w:p w14:paraId="66C19972">
      <w:pPr>
        <w:rPr>
          <w:color w:val="auto"/>
          <w:sz w:val="20"/>
          <w:highlight w:val="none"/>
        </w:rPr>
      </w:pPr>
    </w:p>
    <w:p w14:paraId="2C28A6F2">
      <w:pPr>
        <w:pStyle w:val="291"/>
        <w:ind w:firstLine="422"/>
        <w:rPr>
          <w:color w:val="auto"/>
          <w:highlight w:val="none"/>
        </w:rPr>
      </w:pPr>
      <w:bookmarkStart w:id="125" w:name="_Toc55373961"/>
      <w:bookmarkStart w:id="126" w:name="_Toc69641858"/>
      <w:bookmarkStart w:id="127" w:name="_Toc140098551"/>
      <w:r>
        <w:rPr>
          <w:rFonts w:hint="eastAsia"/>
          <w:color w:val="auto"/>
          <w:highlight w:val="none"/>
        </w:rPr>
        <w:t>1. 一般约定</w:t>
      </w:r>
      <w:bookmarkEnd w:id="125"/>
      <w:bookmarkEnd w:id="126"/>
      <w:bookmarkEnd w:id="127"/>
    </w:p>
    <w:p w14:paraId="2E996769">
      <w:pPr>
        <w:pStyle w:val="278"/>
        <w:rPr>
          <w:color w:val="auto"/>
          <w:highlight w:val="none"/>
        </w:rPr>
      </w:pPr>
      <w:bookmarkStart w:id="128" w:name="_Toc140098552"/>
      <w:bookmarkStart w:id="129" w:name="_Toc55373962"/>
      <w:bookmarkStart w:id="130" w:name="_Toc69641859"/>
      <w:r>
        <w:rPr>
          <w:rFonts w:hint="eastAsia"/>
          <w:color w:val="auto"/>
          <w:highlight w:val="none"/>
        </w:rPr>
        <w:t>1.1 词语定义</w:t>
      </w:r>
      <w:bookmarkEnd w:id="128"/>
      <w:bookmarkEnd w:id="129"/>
      <w:bookmarkEnd w:id="130"/>
    </w:p>
    <w:p w14:paraId="4E20E449">
      <w:pPr>
        <w:pStyle w:val="229"/>
        <w:rPr>
          <w:color w:val="auto"/>
          <w:highlight w:val="none"/>
        </w:rPr>
      </w:pPr>
      <w:r>
        <w:rPr>
          <w:rFonts w:hint="eastAsia"/>
          <w:color w:val="auto"/>
          <w:highlight w:val="none"/>
        </w:rPr>
        <w:t>1.1.1合同</w:t>
      </w:r>
    </w:p>
    <w:p w14:paraId="5EE2A6C0">
      <w:pPr>
        <w:pStyle w:val="229"/>
        <w:rPr>
          <w:color w:val="auto"/>
          <w:highlight w:val="none"/>
        </w:rPr>
      </w:pPr>
      <w:r>
        <w:rPr>
          <w:rFonts w:hint="eastAsia"/>
          <w:color w:val="auto"/>
          <w:kern w:val="0"/>
          <w:highlight w:val="none"/>
        </w:rPr>
        <w:t>1.1.1.10其他合同文件包括：</w:t>
      </w:r>
      <w:r>
        <w:rPr>
          <w:rFonts w:hint="eastAsia"/>
          <w:color w:val="auto"/>
          <w:highlight w:val="none"/>
        </w:rPr>
        <w:t>合同当事人约定的与工程施工有关的具有合同约束力的文件或书面协议。</w:t>
      </w:r>
    </w:p>
    <w:p w14:paraId="3823F29C">
      <w:pPr>
        <w:pStyle w:val="229"/>
        <w:rPr>
          <w:color w:val="auto"/>
          <w:highlight w:val="none"/>
        </w:rPr>
      </w:pPr>
      <w:r>
        <w:rPr>
          <w:rFonts w:hint="eastAsia"/>
          <w:color w:val="auto"/>
          <w:highlight w:val="none"/>
        </w:rPr>
        <w:t>1.1.2 合同当事人及其他相关方</w:t>
      </w:r>
    </w:p>
    <w:p w14:paraId="561F22DD">
      <w:pPr>
        <w:pStyle w:val="229"/>
        <w:rPr>
          <w:color w:val="auto"/>
          <w:highlight w:val="none"/>
        </w:rPr>
      </w:pPr>
      <w:r>
        <w:rPr>
          <w:rFonts w:hint="eastAsia"/>
          <w:color w:val="auto"/>
          <w:highlight w:val="none"/>
        </w:rPr>
        <w:t>1.1.2.4监理人：</w:t>
      </w:r>
    </w:p>
    <w:p w14:paraId="03894A1C">
      <w:pPr>
        <w:spacing w:line="400" w:lineRule="exact"/>
        <w:ind w:firstLine="420" w:firstLineChars="200"/>
        <w:rPr>
          <w:rFonts w:ascii="宋体" w:cs="宋体"/>
          <w:color w:val="auto"/>
          <w:highlight w:val="none"/>
        </w:rPr>
      </w:pPr>
      <w:r>
        <w:rPr>
          <w:rFonts w:hint="eastAsia" w:ascii="宋体" w:hAnsi="宋体" w:cs="宋体"/>
          <w:color w:val="auto"/>
          <w:highlight w:val="none"/>
        </w:rPr>
        <w:t>名</w:t>
      </w:r>
      <w:r>
        <w:rPr>
          <w:rFonts w:ascii="宋体" w:hAnsi="宋体" w:cs="宋体"/>
          <w:color w:val="auto"/>
          <w:highlight w:val="none"/>
        </w:rPr>
        <w:t xml:space="preserve">    </w:t>
      </w:r>
      <w:r>
        <w:rPr>
          <w:rFonts w:hint="eastAsia" w:ascii="宋体" w:hAnsi="宋体" w:cs="宋体"/>
          <w:color w:val="auto"/>
          <w:highlight w:val="none"/>
        </w:rPr>
        <w:t>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44ECD52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w:t>
      </w:r>
      <w:r>
        <w:rPr>
          <w:rFonts w:hint="eastAsia"/>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rPr>
        <w:t>；</w:t>
      </w:r>
    </w:p>
    <w:p w14:paraId="4CB965B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F7F5087">
      <w:pPr>
        <w:spacing w:line="400" w:lineRule="exact"/>
        <w:ind w:firstLine="420" w:firstLineChars="200"/>
        <w:rPr>
          <w:rFonts w:ascii="宋体" w:cs="宋体"/>
          <w:color w:val="auto"/>
          <w:highlight w:val="none"/>
        </w:rPr>
      </w:pPr>
      <w:r>
        <w:rPr>
          <w:rFonts w:ascii="宋体" w:hAnsi="宋体" w:cs="宋体"/>
          <w:color w:val="auto"/>
          <w:highlight w:val="none"/>
        </w:rPr>
        <w:t xml:space="preserve">1.1.2.5 </w:t>
      </w:r>
      <w:r>
        <w:rPr>
          <w:rFonts w:hint="eastAsia" w:ascii="宋体" w:hAnsi="宋体" w:cs="宋体"/>
          <w:color w:val="auto"/>
          <w:highlight w:val="none"/>
        </w:rPr>
        <w:t>设计人：</w:t>
      </w:r>
    </w:p>
    <w:p w14:paraId="52413657">
      <w:pPr>
        <w:spacing w:line="400" w:lineRule="exact"/>
        <w:ind w:firstLine="420" w:firstLineChars="200"/>
        <w:rPr>
          <w:rFonts w:ascii="宋体" w:cs="宋体"/>
          <w:color w:val="auto"/>
          <w:highlight w:val="none"/>
        </w:rPr>
      </w:pPr>
      <w:r>
        <w:rPr>
          <w:rFonts w:hint="eastAsia" w:ascii="宋体" w:hAnsi="宋体" w:cs="宋体"/>
          <w:color w:val="auto"/>
          <w:highlight w:val="none"/>
        </w:rPr>
        <w:t>名</w:t>
      </w:r>
      <w:r>
        <w:rPr>
          <w:rFonts w:ascii="宋体" w:hAnsi="宋体" w:cs="宋体"/>
          <w:color w:val="auto"/>
          <w:highlight w:val="none"/>
        </w:rPr>
        <w:t xml:space="preserve">    </w:t>
      </w:r>
      <w:r>
        <w:rPr>
          <w:rFonts w:hint="eastAsia" w:ascii="宋体" w:hAnsi="宋体" w:cs="宋体"/>
          <w:color w:val="auto"/>
          <w:highlight w:val="none"/>
        </w:rPr>
        <w:t>称：</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2ACE85A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w:t>
      </w:r>
      <w:r>
        <w:rPr>
          <w:rFonts w:hint="eastAsia" w:ascii="宋体" w:hAnsi="宋体" w:cs="宋体"/>
          <w:color w:val="auto"/>
          <w:highlight w:val="none"/>
        </w:rPr>
        <w:t>；</w:t>
      </w:r>
    </w:p>
    <w:p w14:paraId="4FE9BCD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4FE8342">
      <w:pPr>
        <w:pStyle w:val="229"/>
        <w:rPr>
          <w:color w:val="auto"/>
          <w:highlight w:val="none"/>
        </w:rPr>
      </w:pPr>
      <w:r>
        <w:rPr>
          <w:rFonts w:hint="eastAsia"/>
          <w:color w:val="auto"/>
          <w:highlight w:val="none"/>
        </w:rPr>
        <w:t>1.1.3 工程和设备</w:t>
      </w:r>
    </w:p>
    <w:p w14:paraId="42FE5E2F">
      <w:pPr>
        <w:pStyle w:val="229"/>
        <w:rPr>
          <w:color w:val="auto"/>
          <w:highlight w:val="none"/>
        </w:rPr>
      </w:pPr>
      <w:r>
        <w:rPr>
          <w:rFonts w:hint="eastAsia"/>
          <w:color w:val="auto"/>
          <w:highlight w:val="none"/>
        </w:rPr>
        <w:t xml:space="preserve">1.1.3.2 永久工程：本工程图纸范围内的建筑、安装、装饰等工程。 </w:t>
      </w:r>
    </w:p>
    <w:p w14:paraId="336FF76F">
      <w:pPr>
        <w:pStyle w:val="229"/>
        <w:rPr>
          <w:color w:val="auto"/>
          <w:highlight w:val="none"/>
        </w:rPr>
      </w:pPr>
      <w:r>
        <w:rPr>
          <w:rFonts w:hint="eastAsia"/>
          <w:color w:val="auto"/>
          <w:highlight w:val="none"/>
        </w:rPr>
        <w:t>1.1.3.3 临时工程：发包人仅负责在项目场区围墙内提供临时用水、用电接入点，承包人负责临时用房、场地硬化、施工场地内临时道路及维护、施工围墙、大门、临时排水设施、临时绿化设施、施工现场消防设施、标准化标牌标语以及自指定的水、电接口至施工现场的水电管线埋设（或架设）和计量表的安装等施工临时设施，费用已含在合同总价内。</w:t>
      </w:r>
    </w:p>
    <w:p w14:paraId="6974264D">
      <w:pPr>
        <w:pStyle w:val="229"/>
        <w:rPr>
          <w:color w:val="auto"/>
          <w:highlight w:val="none"/>
        </w:rPr>
      </w:pPr>
      <w:r>
        <w:rPr>
          <w:rFonts w:hint="eastAsia"/>
          <w:color w:val="auto"/>
          <w:highlight w:val="none"/>
        </w:rPr>
        <w:t>1.1.3.7 作为施工现场组成部分的其他场所包括：</w:t>
      </w:r>
      <w:r>
        <w:rPr>
          <w:rFonts w:hint="eastAsia"/>
          <w:color w:val="auto"/>
          <w:highlight w:val="none"/>
          <w:u w:val="single"/>
        </w:rPr>
        <w:t xml:space="preserve">   /    </w:t>
      </w:r>
      <w:r>
        <w:rPr>
          <w:rFonts w:hint="eastAsia"/>
          <w:color w:val="auto"/>
          <w:highlight w:val="none"/>
        </w:rPr>
        <w:t>。</w:t>
      </w:r>
    </w:p>
    <w:p w14:paraId="27EE5508">
      <w:pPr>
        <w:pStyle w:val="229"/>
        <w:rPr>
          <w:color w:val="auto"/>
          <w:kern w:val="0"/>
          <w:highlight w:val="none"/>
        </w:rPr>
      </w:pPr>
      <w:r>
        <w:rPr>
          <w:rFonts w:hint="eastAsia"/>
          <w:color w:val="auto"/>
          <w:kern w:val="0"/>
          <w:highlight w:val="none"/>
        </w:rPr>
        <w:t>1.1.3.9 永久占地包括：</w:t>
      </w:r>
      <w:r>
        <w:rPr>
          <w:rFonts w:hint="eastAsia"/>
          <w:color w:val="auto"/>
          <w:highlight w:val="none"/>
        </w:rPr>
        <w:t>本工程施工图纸范围内的建筑用地范围 。</w:t>
      </w:r>
    </w:p>
    <w:p w14:paraId="7D40CD73">
      <w:pPr>
        <w:pStyle w:val="229"/>
        <w:rPr>
          <w:color w:val="auto"/>
          <w:highlight w:val="none"/>
        </w:rPr>
      </w:pPr>
      <w:r>
        <w:rPr>
          <w:rFonts w:hint="eastAsia"/>
          <w:color w:val="auto"/>
          <w:kern w:val="0"/>
          <w:highlight w:val="none"/>
        </w:rPr>
        <w:t>1.1.3.10 临时占地包括：</w:t>
      </w:r>
      <w:r>
        <w:rPr>
          <w:rFonts w:hint="eastAsia"/>
          <w:color w:val="auto"/>
          <w:highlight w:val="none"/>
        </w:rPr>
        <w:t>施工招标范围内工程需占用的该工程周边的临时用地，以发包人划定的范围为准。</w:t>
      </w:r>
    </w:p>
    <w:p w14:paraId="3A16A1CC">
      <w:pPr>
        <w:pStyle w:val="278"/>
        <w:rPr>
          <w:color w:val="auto"/>
          <w:highlight w:val="none"/>
        </w:rPr>
      </w:pPr>
      <w:bookmarkStart w:id="131" w:name="_Toc69641860"/>
      <w:bookmarkStart w:id="132" w:name="_Toc55373963"/>
      <w:bookmarkStart w:id="133" w:name="_Toc140098553"/>
      <w:r>
        <w:rPr>
          <w:rFonts w:hint="eastAsia"/>
          <w:color w:val="auto"/>
          <w:highlight w:val="none"/>
        </w:rPr>
        <w:t>1.3法律</w:t>
      </w:r>
      <w:bookmarkEnd w:id="131"/>
      <w:bookmarkEnd w:id="132"/>
      <w:bookmarkEnd w:id="133"/>
      <w:r>
        <w:rPr>
          <w:rFonts w:hint="eastAsia"/>
          <w:color w:val="auto"/>
          <w:highlight w:val="none"/>
        </w:rPr>
        <w:t xml:space="preserve"> </w:t>
      </w:r>
    </w:p>
    <w:p w14:paraId="1149F40A">
      <w:pPr>
        <w:pStyle w:val="229"/>
        <w:rPr>
          <w:color w:val="auto"/>
          <w:highlight w:val="none"/>
        </w:rPr>
      </w:pPr>
      <w:r>
        <w:rPr>
          <w:rFonts w:hint="eastAsia"/>
          <w:color w:val="auto"/>
          <w:highlight w:val="none"/>
        </w:rPr>
        <w:t>适用于合同的其他规范性文件：国家、广西壮族自治区和桂林市颁布的与本工程实施有关的法规、规章及规定。</w:t>
      </w:r>
    </w:p>
    <w:p w14:paraId="5D23F0CF">
      <w:pPr>
        <w:pStyle w:val="278"/>
        <w:rPr>
          <w:color w:val="auto"/>
          <w:highlight w:val="none"/>
        </w:rPr>
      </w:pPr>
      <w:bookmarkStart w:id="134" w:name="_Toc55373964"/>
      <w:bookmarkStart w:id="135" w:name="_Toc69641861"/>
      <w:bookmarkStart w:id="136" w:name="_Toc140098554"/>
      <w:r>
        <w:rPr>
          <w:rFonts w:hint="eastAsia"/>
          <w:color w:val="auto"/>
          <w:highlight w:val="none"/>
        </w:rPr>
        <w:t>1.4 标准和规范</w:t>
      </w:r>
      <w:bookmarkEnd w:id="134"/>
      <w:bookmarkEnd w:id="135"/>
      <w:bookmarkEnd w:id="136"/>
    </w:p>
    <w:p w14:paraId="46DA127C">
      <w:pPr>
        <w:pStyle w:val="229"/>
        <w:rPr>
          <w:color w:val="auto"/>
          <w:highlight w:val="none"/>
        </w:rPr>
      </w:pPr>
      <w:r>
        <w:rPr>
          <w:rFonts w:hint="eastAsia"/>
          <w:color w:val="auto"/>
          <w:highlight w:val="none"/>
        </w:rPr>
        <w:t>1.4.1适用于工程的标准规范包括：国家、部门、省、市及行业颁布的有关规范、标准、规程和图纸要求的其他标准和规范等，所有规范、标准和规程等必须是最新版本；在合同履行期间，本工程所采用的标准或规范若有修改或新颁，应按修改或新颁的内容执行；其他按通用条款执行。</w:t>
      </w:r>
    </w:p>
    <w:p w14:paraId="3703FE5B">
      <w:pPr>
        <w:pStyle w:val="229"/>
        <w:rPr>
          <w:color w:val="auto"/>
          <w:highlight w:val="none"/>
        </w:rPr>
      </w:pPr>
      <w:r>
        <w:rPr>
          <w:rFonts w:hint="eastAsia"/>
          <w:color w:val="auto"/>
          <w:highlight w:val="none"/>
        </w:rPr>
        <w:t>1.4.2 发包人提供国外标准、规范的名称：</w:t>
      </w:r>
      <w:r>
        <w:rPr>
          <w:rFonts w:hint="eastAsia"/>
          <w:color w:val="auto"/>
          <w:highlight w:val="none"/>
          <w:u w:val="single"/>
        </w:rPr>
        <w:t xml:space="preserve">     /          </w:t>
      </w:r>
      <w:r>
        <w:rPr>
          <w:rFonts w:hint="eastAsia"/>
          <w:color w:val="auto"/>
          <w:highlight w:val="none"/>
        </w:rPr>
        <w:t xml:space="preserve"> ；</w:t>
      </w:r>
    </w:p>
    <w:p w14:paraId="2F41C4B2">
      <w:pPr>
        <w:pStyle w:val="229"/>
        <w:rPr>
          <w:color w:val="auto"/>
          <w:highlight w:val="none"/>
        </w:rPr>
      </w:pPr>
      <w:r>
        <w:rPr>
          <w:rFonts w:hint="eastAsia"/>
          <w:color w:val="auto"/>
          <w:highlight w:val="none"/>
        </w:rPr>
        <w:t xml:space="preserve">发包人提供国外标准、规范的份数： </w:t>
      </w:r>
      <w:r>
        <w:rPr>
          <w:rFonts w:hint="eastAsia"/>
          <w:color w:val="auto"/>
          <w:highlight w:val="none"/>
          <w:u w:val="single"/>
        </w:rPr>
        <w:t xml:space="preserve">         /           </w:t>
      </w:r>
      <w:r>
        <w:rPr>
          <w:rFonts w:hint="eastAsia"/>
          <w:color w:val="auto"/>
          <w:highlight w:val="none"/>
        </w:rPr>
        <w:t xml:space="preserve"> ；</w:t>
      </w:r>
    </w:p>
    <w:p w14:paraId="0923C020">
      <w:pPr>
        <w:pStyle w:val="229"/>
        <w:rPr>
          <w:color w:val="auto"/>
          <w:highlight w:val="none"/>
        </w:rPr>
      </w:pPr>
      <w:r>
        <w:rPr>
          <w:rFonts w:hint="eastAsia"/>
          <w:color w:val="auto"/>
          <w:highlight w:val="none"/>
        </w:rPr>
        <w:t xml:space="preserve">发包人提供国外标准、规范的名称： </w:t>
      </w:r>
      <w:r>
        <w:rPr>
          <w:rFonts w:hint="eastAsia"/>
          <w:color w:val="auto"/>
          <w:highlight w:val="none"/>
          <w:u w:val="single"/>
        </w:rPr>
        <w:t xml:space="preserve">        /            </w:t>
      </w:r>
      <w:r>
        <w:rPr>
          <w:rFonts w:hint="eastAsia"/>
          <w:color w:val="auto"/>
          <w:highlight w:val="none"/>
        </w:rPr>
        <w:t xml:space="preserve"> 。</w:t>
      </w:r>
    </w:p>
    <w:p w14:paraId="3B8E4ED6">
      <w:pPr>
        <w:pStyle w:val="229"/>
        <w:rPr>
          <w:color w:val="auto"/>
          <w:highlight w:val="none"/>
          <w:u w:val="single"/>
        </w:rPr>
      </w:pPr>
      <w:r>
        <w:rPr>
          <w:rFonts w:hint="eastAsia"/>
          <w:color w:val="auto"/>
          <w:highlight w:val="none"/>
        </w:rPr>
        <w:t>1.4.3发包人对工程的技术标准和功能要求的特殊要求：</w:t>
      </w:r>
      <w:r>
        <w:rPr>
          <w:rFonts w:hint="eastAsia"/>
          <w:color w:val="auto"/>
          <w:highlight w:val="none"/>
          <w:u w:val="single"/>
        </w:rPr>
        <w:t>同通用条款，无特殊约定。</w:t>
      </w:r>
    </w:p>
    <w:p w14:paraId="5D733EF5">
      <w:pPr>
        <w:pStyle w:val="278"/>
        <w:rPr>
          <w:color w:val="auto"/>
          <w:highlight w:val="none"/>
        </w:rPr>
      </w:pPr>
      <w:bookmarkStart w:id="137" w:name="_Toc69641862"/>
      <w:bookmarkStart w:id="138" w:name="_Toc55373965"/>
      <w:bookmarkStart w:id="139" w:name="_Toc140098555"/>
      <w:r>
        <w:rPr>
          <w:rFonts w:hint="eastAsia"/>
          <w:color w:val="auto"/>
          <w:highlight w:val="none"/>
        </w:rPr>
        <w:t>1.5 合同文件的优先顺序</w:t>
      </w:r>
      <w:bookmarkEnd w:id="137"/>
      <w:bookmarkEnd w:id="138"/>
      <w:bookmarkEnd w:id="139"/>
    </w:p>
    <w:p w14:paraId="29432754">
      <w:pPr>
        <w:pStyle w:val="229"/>
        <w:rPr>
          <w:color w:val="auto"/>
          <w:highlight w:val="none"/>
        </w:rPr>
      </w:pPr>
      <w:r>
        <w:rPr>
          <w:rFonts w:hint="eastAsia"/>
          <w:color w:val="auto"/>
          <w:highlight w:val="none"/>
        </w:rPr>
        <w:t>合同文件组成及优先顺序为：</w:t>
      </w:r>
    </w:p>
    <w:p w14:paraId="104891B1">
      <w:pPr>
        <w:pStyle w:val="229"/>
        <w:rPr>
          <w:color w:val="auto"/>
          <w:highlight w:val="none"/>
        </w:rPr>
      </w:pPr>
      <w:r>
        <w:rPr>
          <w:rFonts w:hint="eastAsia"/>
          <w:color w:val="auto"/>
          <w:highlight w:val="none"/>
        </w:rPr>
        <w:t xml:space="preserve">（1）合同协议书； </w:t>
      </w:r>
    </w:p>
    <w:p w14:paraId="4B09F46A">
      <w:pPr>
        <w:pStyle w:val="229"/>
        <w:rPr>
          <w:color w:val="auto"/>
          <w:highlight w:val="none"/>
        </w:rPr>
      </w:pPr>
      <w:r>
        <w:rPr>
          <w:rFonts w:hint="eastAsia"/>
          <w:color w:val="auto"/>
          <w:highlight w:val="none"/>
        </w:rPr>
        <w:t xml:space="preserve">（2）成交通知书； </w:t>
      </w:r>
    </w:p>
    <w:p w14:paraId="57F25A6D">
      <w:pPr>
        <w:pStyle w:val="229"/>
        <w:rPr>
          <w:color w:val="auto"/>
          <w:highlight w:val="none"/>
        </w:rPr>
      </w:pPr>
      <w:r>
        <w:rPr>
          <w:rFonts w:hint="eastAsia"/>
          <w:color w:val="auto"/>
          <w:highlight w:val="none"/>
        </w:rPr>
        <w:t xml:space="preserve">（3）竞标函及竞标函附录； </w:t>
      </w:r>
    </w:p>
    <w:p w14:paraId="0783F239">
      <w:pPr>
        <w:pStyle w:val="229"/>
        <w:rPr>
          <w:color w:val="auto"/>
          <w:highlight w:val="none"/>
        </w:rPr>
      </w:pPr>
      <w:r>
        <w:rPr>
          <w:rFonts w:hint="eastAsia"/>
          <w:color w:val="auto"/>
          <w:highlight w:val="none"/>
        </w:rPr>
        <w:t xml:space="preserve">（4）专用合同条款及其附件； </w:t>
      </w:r>
    </w:p>
    <w:p w14:paraId="6BF03A63">
      <w:pPr>
        <w:pStyle w:val="229"/>
        <w:rPr>
          <w:color w:val="auto"/>
          <w:highlight w:val="none"/>
        </w:rPr>
      </w:pPr>
      <w:r>
        <w:rPr>
          <w:rFonts w:hint="eastAsia"/>
          <w:color w:val="auto"/>
          <w:highlight w:val="none"/>
        </w:rPr>
        <w:t xml:space="preserve">（5）通用合同条款； </w:t>
      </w:r>
    </w:p>
    <w:p w14:paraId="79FCE551">
      <w:pPr>
        <w:pStyle w:val="229"/>
        <w:rPr>
          <w:color w:val="auto"/>
          <w:highlight w:val="none"/>
        </w:rPr>
      </w:pPr>
      <w:r>
        <w:rPr>
          <w:rFonts w:hint="eastAsia"/>
          <w:color w:val="auto"/>
          <w:highlight w:val="none"/>
        </w:rPr>
        <w:t xml:space="preserve">（6）技术标准和要求、规范及有关技术文件； </w:t>
      </w:r>
    </w:p>
    <w:p w14:paraId="75F65047">
      <w:pPr>
        <w:pStyle w:val="229"/>
        <w:rPr>
          <w:color w:val="auto"/>
          <w:highlight w:val="none"/>
        </w:rPr>
      </w:pPr>
      <w:r>
        <w:rPr>
          <w:rFonts w:hint="eastAsia"/>
          <w:color w:val="auto"/>
          <w:highlight w:val="none"/>
        </w:rPr>
        <w:t xml:space="preserve">（7）图纸（含图纸修改通知单及图纸设计变更文件）； </w:t>
      </w:r>
    </w:p>
    <w:p w14:paraId="0572BDBD">
      <w:pPr>
        <w:pStyle w:val="229"/>
        <w:rPr>
          <w:color w:val="auto"/>
          <w:highlight w:val="none"/>
        </w:rPr>
      </w:pPr>
      <w:r>
        <w:rPr>
          <w:rFonts w:hint="eastAsia"/>
          <w:color w:val="auto"/>
          <w:highlight w:val="none"/>
        </w:rPr>
        <w:t xml:space="preserve">（8）已标价工程量清单、竞争性磋商文件（含附件与所有补充通知）及其他合同文件； </w:t>
      </w:r>
    </w:p>
    <w:p w14:paraId="1DE5BE93">
      <w:pPr>
        <w:pStyle w:val="229"/>
        <w:rPr>
          <w:color w:val="auto"/>
          <w:highlight w:val="none"/>
        </w:rPr>
      </w:pPr>
      <w:r>
        <w:rPr>
          <w:rFonts w:hint="eastAsia"/>
          <w:color w:val="auto"/>
          <w:highlight w:val="none"/>
        </w:rPr>
        <w:t>（9）本工程招标控制价造价成果文件、响应文件及其他有关文</w:t>
      </w:r>
      <w:r>
        <w:rPr>
          <w:rFonts w:hint="eastAsia"/>
          <w:color w:val="auto"/>
          <w:highlight w:val="none"/>
        </w:rPr>
        <w:t xml:space="preserve">件； </w:t>
      </w:r>
    </w:p>
    <w:p w14:paraId="11CCC8C0">
      <w:pPr>
        <w:pStyle w:val="229"/>
        <w:rPr>
          <w:color w:val="auto"/>
          <w:highlight w:val="none"/>
        </w:rPr>
      </w:pPr>
      <w:r>
        <w:rPr>
          <w:rFonts w:hint="eastAsia"/>
          <w:color w:val="auto"/>
          <w:highlight w:val="none"/>
        </w:rPr>
        <w:t xml:space="preserve">图纸与技术标准和要求之间有矛盾或者不一致的，以其中要求较严格的标准为准。 </w:t>
      </w:r>
    </w:p>
    <w:p w14:paraId="783E1BD4">
      <w:pPr>
        <w:pStyle w:val="229"/>
        <w:rPr>
          <w:color w:val="auto"/>
          <w:highlight w:val="none"/>
        </w:rPr>
      </w:pPr>
      <w:r>
        <w:rPr>
          <w:rFonts w:hint="eastAsia"/>
          <w:color w:val="auto"/>
          <w:highlight w:val="none"/>
        </w:rPr>
        <w:t xml:space="preserve">合同双方在合同履行过程中签订的补充协议亦构成合同文件的组成部分，其解释顺序视其内容与其他合同文件的相互关系而定。 </w:t>
      </w:r>
    </w:p>
    <w:p w14:paraId="01BE890F">
      <w:pPr>
        <w:pStyle w:val="278"/>
        <w:rPr>
          <w:color w:val="auto"/>
          <w:highlight w:val="none"/>
        </w:rPr>
      </w:pPr>
      <w:bookmarkStart w:id="140" w:name="_Toc140098556"/>
      <w:bookmarkStart w:id="141" w:name="_Toc55373966"/>
      <w:bookmarkStart w:id="142" w:name="_Toc69641863"/>
      <w:r>
        <w:rPr>
          <w:rFonts w:hint="eastAsia"/>
          <w:color w:val="auto"/>
          <w:highlight w:val="none"/>
        </w:rPr>
        <w:t>1.6 图纸和承包人文件</w:t>
      </w:r>
      <w:bookmarkEnd w:id="140"/>
      <w:bookmarkEnd w:id="141"/>
      <w:bookmarkEnd w:id="142"/>
      <w:r>
        <w:rPr>
          <w:rFonts w:hint="eastAsia"/>
          <w:color w:val="auto"/>
          <w:highlight w:val="none"/>
        </w:rPr>
        <w:tab/>
      </w:r>
    </w:p>
    <w:p w14:paraId="059CAD70">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66B662E0">
      <w:pPr>
        <w:pStyle w:val="229"/>
        <w:rPr>
          <w:color w:val="auto"/>
          <w:highlight w:val="none"/>
        </w:rPr>
      </w:pPr>
      <w:r>
        <w:rPr>
          <w:rFonts w:hint="eastAsia"/>
          <w:color w:val="auto"/>
          <w:highlight w:val="none"/>
        </w:rPr>
        <w:t>发包人向承包人提供图纸的期限：</w:t>
      </w:r>
      <w:r>
        <w:rPr>
          <w:rFonts w:hint="eastAsia"/>
          <w:color w:val="auto"/>
          <w:highlight w:val="none"/>
          <w:u w:val="single"/>
        </w:rPr>
        <w:t>合同签订生效后7日内</w:t>
      </w:r>
      <w:r>
        <w:rPr>
          <w:rFonts w:hint="eastAsia"/>
          <w:color w:val="auto"/>
          <w:highlight w:val="none"/>
        </w:rPr>
        <w:t>；</w:t>
      </w:r>
    </w:p>
    <w:p w14:paraId="7DFC1D41">
      <w:pPr>
        <w:pStyle w:val="229"/>
        <w:rPr>
          <w:color w:val="auto"/>
          <w:highlight w:val="none"/>
        </w:rPr>
      </w:pPr>
      <w:r>
        <w:rPr>
          <w:rFonts w:hint="eastAsia"/>
          <w:color w:val="auto"/>
          <w:highlight w:val="none"/>
        </w:rPr>
        <w:t>发包人向承包人提供图纸的数量：图纸2套，承包人需要更多份数时，自费复制；</w:t>
      </w:r>
    </w:p>
    <w:p w14:paraId="4BFB3B20">
      <w:pPr>
        <w:pStyle w:val="229"/>
        <w:rPr>
          <w:color w:val="auto"/>
          <w:highlight w:val="none"/>
        </w:rPr>
      </w:pPr>
      <w:r>
        <w:rPr>
          <w:rFonts w:hint="eastAsia"/>
          <w:color w:val="auto"/>
          <w:highlight w:val="none"/>
        </w:rPr>
        <w:t>发包人向承包人提供图纸的内容：合同范围内的工程建筑、结构、水电安装、附属道路、管线等施工图纸。</w:t>
      </w:r>
    </w:p>
    <w:p w14:paraId="001825DA">
      <w:pPr>
        <w:pStyle w:val="229"/>
        <w:rPr>
          <w:color w:val="auto"/>
          <w:highlight w:val="none"/>
        </w:rPr>
      </w:pPr>
      <w:r>
        <w:rPr>
          <w:rFonts w:hint="eastAsia"/>
          <w:color w:val="auto"/>
          <w:highlight w:val="none"/>
        </w:rPr>
        <w:t>1.6.4 承包人文件</w:t>
      </w:r>
    </w:p>
    <w:p w14:paraId="3970CCE6">
      <w:pPr>
        <w:pStyle w:val="229"/>
        <w:rPr>
          <w:color w:val="auto"/>
          <w:highlight w:val="none"/>
        </w:rPr>
      </w:pPr>
      <w:r>
        <w:rPr>
          <w:rFonts w:hint="eastAsia"/>
          <w:color w:val="auto"/>
          <w:highlight w:val="none"/>
        </w:rPr>
        <w:t>需要由承包人提供的文件，包括：合同签订后一日内向监理工程师和发包人提交：管理人员名单、职称、职务、上岗证等。合同签订后七日内向监理工程师和发包人提交：1、施工组织设计；2、工程进度计划；3、安全文明施工措施；4、质量保证体系。施工图以外的大样图、加工图、标准图等在合同签订14天内向监理工程师和发包人提交；</w:t>
      </w:r>
    </w:p>
    <w:p w14:paraId="37716FF2">
      <w:pPr>
        <w:pStyle w:val="229"/>
        <w:rPr>
          <w:color w:val="auto"/>
          <w:highlight w:val="none"/>
        </w:rPr>
      </w:pPr>
      <w:r>
        <w:rPr>
          <w:rFonts w:hint="eastAsia"/>
          <w:color w:val="auto"/>
          <w:highlight w:val="none"/>
        </w:rPr>
        <w:t>承包人提供的文件的期限为：不少于该项工作施工前14天；</w:t>
      </w:r>
    </w:p>
    <w:p w14:paraId="15E0569B">
      <w:pPr>
        <w:pStyle w:val="229"/>
        <w:rPr>
          <w:color w:val="auto"/>
          <w:highlight w:val="none"/>
        </w:rPr>
      </w:pPr>
      <w:r>
        <w:rPr>
          <w:rFonts w:hint="eastAsia"/>
          <w:color w:val="auto"/>
          <w:highlight w:val="none"/>
        </w:rPr>
        <w:t>承包人提供的文件的数量为：</w:t>
      </w:r>
      <w:r>
        <w:rPr>
          <w:rFonts w:hint="eastAsia"/>
          <w:color w:val="auto"/>
          <w:highlight w:val="none"/>
          <w:u w:val="single"/>
        </w:rPr>
        <w:t>根据发包人或监理人要求；</w:t>
      </w:r>
    </w:p>
    <w:p w14:paraId="5A673AEB">
      <w:pPr>
        <w:pStyle w:val="229"/>
        <w:rPr>
          <w:color w:val="auto"/>
          <w:highlight w:val="none"/>
          <w:u w:val="single"/>
        </w:rPr>
      </w:pPr>
      <w:r>
        <w:rPr>
          <w:rFonts w:hint="eastAsia"/>
          <w:color w:val="auto"/>
          <w:highlight w:val="none"/>
        </w:rPr>
        <w:t>承包人提供的文件的形式为：</w:t>
      </w:r>
      <w:r>
        <w:rPr>
          <w:rFonts w:hint="eastAsia"/>
          <w:color w:val="auto"/>
          <w:highlight w:val="none"/>
          <w:u w:val="single"/>
        </w:rPr>
        <w:t>纸质书面形式；</w:t>
      </w:r>
    </w:p>
    <w:p w14:paraId="454C3591">
      <w:pPr>
        <w:pStyle w:val="229"/>
        <w:rPr>
          <w:color w:val="auto"/>
          <w:highlight w:val="none"/>
        </w:rPr>
      </w:pPr>
      <w:r>
        <w:rPr>
          <w:rFonts w:hint="eastAsia"/>
          <w:color w:val="auto"/>
          <w:highlight w:val="none"/>
        </w:rPr>
        <w:t>发包人审批承包人文件的期限：收到承包人提供的文件后14天内 。</w:t>
      </w:r>
    </w:p>
    <w:p w14:paraId="17AFE09B">
      <w:pPr>
        <w:pStyle w:val="229"/>
        <w:rPr>
          <w:color w:val="auto"/>
          <w:highlight w:val="none"/>
        </w:rPr>
      </w:pPr>
      <w:r>
        <w:rPr>
          <w:rFonts w:hint="eastAsia"/>
          <w:color w:val="auto"/>
          <w:highlight w:val="none"/>
        </w:rPr>
        <w:t>其他约定：成交通知书发出后，承包人须在五个工作日内做好施工现场准备并提供办理施工许可证要求</w:t>
      </w:r>
      <w:r>
        <w:rPr>
          <w:rFonts w:hint="eastAsia"/>
          <w:color w:val="auto"/>
          <w:highlight w:val="none"/>
        </w:rPr>
        <w:t>（如有）的相关资料（以审批部门核准意见为准），如因承包人原因导致发包人不能及时办理施工许可证，所延误的时间计入施工工期，所造成的损失由承包人承担。</w:t>
      </w:r>
    </w:p>
    <w:p w14:paraId="5148677C">
      <w:pPr>
        <w:pStyle w:val="229"/>
        <w:rPr>
          <w:color w:val="auto"/>
          <w:highlight w:val="none"/>
        </w:rPr>
      </w:pPr>
      <w:r>
        <w:rPr>
          <w:rFonts w:hint="eastAsia"/>
          <w:color w:val="auto"/>
          <w:highlight w:val="none"/>
        </w:rPr>
        <w:t>1.6.5 现场图纸准备</w:t>
      </w:r>
    </w:p>
    <w:p w14:paraId="61B6DD55">
      <w:pPr>
        <w:pStyle w:val="229"/>
        <w:rPr>
          <w:color w:val="auto"/>
          <w:highlight w:val="none"/>
        </w:rPr>
      </w:pPr>
      <w:r>
        <w:rPr>
          <w:rFonts w:hint="eastAsia"/>
          <w:color w:val="auto"/>
          <w:highlight w:val="none"/>
        </w:rPr>
        <w:t>关于现场图纸准备的约定：承包人应在施工现场另外保存一套完整的图纸和承包人文件，供发包人、监理人及有关人员进行工程检查时使用。</w:t>
      </w:r>
    </w:p>
    <w:p w14:paraId="3F55E530">
      <w:pPr>
        <w:pStyle w:val="278"/>
        <w:rPr>
          <w:color w:val="auto"/>
          <w:highlight w:val="none"/>
        </w:rPr>
      </w:pPr>
      <w:bookmarkStart w:id="143" w:name="_Toc140098557"/>
      <w:bookmarkStart w:id="144" w:name="_Toc69641864"/>
      <w:bookmarkStart w:id="145" w:name="_Toc55373967"/>
      <w:r>
        <w:rPr>
          <w:rFonts w:hint="eastAsia"/>
          <w:color w:val="auto"/>
          <w:highlight w:val="none"/>
        </w:rPr>
        <w:t>1.7 联络</w:t>
      </w:r>
      <w:bookmarkEnd w:id="143"/>
      <w:bookmarkEnd w:id="144"/>
      <w:bookmarkEnd w:id="145"/>
    </w:p>
    <w:p w14:paraId="5D463E13">
      <w:pPr>
        <w:pStyle w:val="229"/>
        <w:rPr>
          <w:color w:val="auto"/>
          <w:highlight w:val="none"/>
        </w:rPr>
      </w:pPr>
      <w:r>
        <w:rPr>
          <w:rFonts w:hint="eastAsia"/>
          <w:color w:val="auto"/>
          <w:highlight w:val="none"/>
        </w:rPr>
        <w:t>1.7.1发包人和承包人应当在</w:t>
      </w:r>
      <w:r>
        <w:rPr>
          <w:rFonts w:hint="eastAsia"/>
          <w:color w:val="auto"/>
          <w:highlight w:val="none"/>
          <w:u w:val="single"/>
        </w:rPr>
        <w:t xml:space="preserve"> 2 </w:t>
      </w:r>
      <w:r>
        <w:rPr>
          <w:rFonts w:hint="eastAsia"/>
          <w:color w:val="auto"/>
          <w:highlight w:val="none"/>
        </w:rPr>
        <w:t>天内将与合同有关的通知、批准、证明、证书、指示、指令、要求、请求、同意、意见、确定和决定等书面函件送达对方当事人。</w:t>
      </w:r>
    </w:p>
    <w:p w14:paraId="6AC83E5C">
      <w:pPr>
        <w:pStyle w:val="229"/>
        <w:rPr>
          <w:color w:val="auto"/>
          <w:highlight w:val="none"/>
        </w:rPr>
      </w:pPr>
      <w:r>
        <w:rPr>
          <w:rFonts w:hint="eastAsia"/>
          <w:color w:val="auto"/>
          <w:highlight w:val="none"/>
        </w:rPr>
        <w:t>1.7.2 发包人接收文件的地点：</w:t>
      </w:r>
      <w:r>
        <w:rPr>
          <w:rFonts w:hint="eastAsia"/>
          <w:color w:val="auto"/>
          <w:highlight w:val="none"/>
          <w:u w:val="single"/>
        </w:rPr>
        <w:t>发包人办公室；</w:t>
      </w:r>
    </w:p>
    <w:p w14:paraId="1F0D3900">
      <w:pPr>
        <w:pStyle w:val="229"/>
        <w:rPr>
          <w:color w:val="auto"/>
          <w:highlight w:val="none"/>
          <w:u w:val="single"/>
        </w:rPr>
      </w:pPr>
      <w:r>
        <w:rPr>
          <w:rFonts w:hint="eastAsia"/>
          <w:color w:val="auto"/>
          <w:highlight w:val="none"/>
        </w:rPr>
        <w:t xml:space="preserve">发包人指定的接收人为： </w:t>
      </w:r>
      <w:r>
        <w:rPr>
          <w:rFonts w:hint="eastAsia"/>
          <w:color w:val="auto"/>
          <w:highlight w:val="none"/>
          <w:u w:val="single"/>
        </w:rPr>
        <w:t>发包人代表。</w:t>
      </w:r>
    </w:p>
    <w:p w14:paraId="595065ED">
      <w:pPr>
        <w:pStyle w:val="229"/>
        <w:rPr>
          <w:color w:val="auto"/>
          <w:highlight w:val="none"/>
        </w:rPr>
      </w:pPr>
      <w:r>
        <w:rPr>
          <w:rFonts w:hint="eastAsia"/>
          <w:color w:val="auto"/>
          <w:highlight w:val="none"/>
        </w:rPr>
        <w:t>承包人接收文件的地点：承包人施工场地管理机构的办公地点；</w:t>
      </w:r>
    </w:p>
    <w:p w14:paraId="7C632663">
      <w:pPr>
        <w:pStyle w:val="229"/>
        <w:rPr>
          <w:color w:val="auto"/>
          <w:highlight w:val="none"/>
        </w:rPr>
      </w:pPr>
      <w:r>
        <w:rPr>
          <w:rFonts w:hint="eastAsia"/>
          <w:color w:val="auto"/>
          <w:highlight w:val="none"/>
        </w:rPr>
        <w:t>承包人指定的接收人为：</w:t>
      </w:r>
      <w:r>
        <w:rPr>
          <w:rFonts w:hint="eastAsia"/>
          <w:color w:val="auto"/>
          <w:highlight w:val="none"/>
          <w:u w:val="single"/>
        </w:rPr>
        <w:t>本工程项目经理。</w:t>
      </w:r>
    </w:p>
    <w:p w14:paraId="02C49662">
      <w:pPr>
        <w:pStyle w:val="229"/>
        <w:rPr>
          <w:color w:val="auto"/>
          <w:highlight w:val="none"/>
        </w:rPr>
      </w:pPr>
      <w:r>
        <w:rPr>
          <w:rFonts w:hint="eastAsia"/>
          <w:color w:val="auto"/>
          <w:highlight w:val="none"/>
        </w:rPr>
        <w:t>监理人接收文件的地点：</w:t>
      </w:r>
      <w:r>
        <w:rPr>
          <w:rFonts w:hint="eastAsia"/>
          <w:color w:val="auto"/>
          <w:highlight w:val="none"/>
          <w:u w:val="single"/>
        </w:rPr>
        <w:t>项目监理办公室；</w:t>
      </w:r>
    </w:p>
    <w:p w14:paraId="4AC9EF2A">
      <w:pPr>
        <w:pStyle w:val="229"/>
        <w:rPr>
          <w:color w:val="auto"/>
          <w:highlight w:val="none"/>
        </w:rPr>
      </w:pPr>
      <w:r>
        <w:rPr>
          <w:rFonts w:hint="eastAsia"/>
          <w:color w:val="auto"/>
          <w:highlight w:val="none"/>
        </w:rPr>
        <w:t>监理人指定的接收人为：项目总监理工程师（如有）。</w:t>
      </w:r>
    </w:p>
    <w:p w14:paraId="3FE8F5A0">
      <w:pPr>
        <w:pStyle w:val="229"/>
        <w:rPr>
          <w:color w:val="auto"/>
          <w:highlight w:val="none"/>
        </w:rPr>
      </w:pPr>
      <w:r>
        <w:rPr>
          <w:rFonts w:hint="eastAsia"/>
          <w:color w:val="auto"/>
          <w:highlight w:val="none"/>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6723E406">
      <w:pPr>
        <w:pStyle w:val="229"/>
        <w:rPr>
          <w:color w:val="auto"/>
          <w:highlight w:val="none"/>
        </w:rPr>
      </w:pPr>
      <w:r>
        <w:rPr>
          <w:rFonts w:hint="eastAsia"/>
          <w:color w:val="auto"/>
          <w:highlight w:val="none"/>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6EF9F68">
      <w:pPr>
        <w:pStyle w:val="278"/>
        <w:rPr>
          <w:color w:val="auto"/>
          <w:highlight w:val="none"/>
        </w:rPr>
      </w:pPr>
      <w:bookmarkStart w:id="146" w:name="_Toc69641865"/>
      <w:bookmarkStart w:id="147" w:name="_Toc55373968"/>
      <w:bookmarkStart w:id="148" w:name="_Toc140098558"/>
      <w:r>
        <w:rPr>
          <w:rFonts w:hint="eastAsia"/>
          <w:color w:val="auto"/>
          <w:highlight w:val="none"/>
        </w:rPr>
        <w:t>1.10 交通运输</w:t>
      </w:r>
      <w:bookmarkEnd w:id="146"/>
      <w:bookmarkEnd w:id="147"/>
      <w:bookmarkEnd w:id="148"/>
    </w:p>
    <w:p w14:paraId="11C341D5">
      <w:pPr>
        <w:pStyle w:val="229"/>
        <w:rPr>
          <w:color w:val="auto"/>
          <w:highlight w:val="none"/>
        </w:rPr>
      </w:pPr>
      <w:r>
        <w:rPr>
          <w:rFonts w:hint="eastAsia"/>
          <w:color w:val="auto"/>
          <w:highlight w:val="none"/>
        </w:rPr>
        <w:t>1.10.1 出入现场的权利</w:t>
      </w:r>
    </w:p>
    <w:p w14:paraId="0AC1552F">
      <w:pPr>
        <w:pStyle w:val="229"/>
        <w:rPr>
          <w:color w:val="auto"/>
          <w:highlight w:val="none"/>
        </w:rPr>
      </w:pPr>
      <w:r>
        <w:rPr>
          <w:rFonts w:hint="eastAsia"/>
          <w:color w:val="auto"/>
          <w:highlight w:val="none"/>
        </w:rPr>
        <w:t>关于出入现场的权利的约定：取得道路通行权办理人为承包人，其相关费用由承包人承担。</w:t>
      </w:r>
    </w:p>
    <w:p w14:paraId="35EDA685">
      <w:pPr>
        <w:pStyle w:val="229"/>
        <w:rPr>
          <w:color w:val="auto"/>
          <w:highlight w:val="none"/>
        </w:rPr>
      </w:pPr>
      <w:r>
        <w:rPr>
          <w:rFonts w:hint="eastAsia"/>
          <w:color w:val="auto"/>
          <w:highlight w:val="none"/>
        </w:rPr>
        <w:t>1.10.3 场内交通</w:t>
      </w:r>
    </w:p>
    <w:p w14:paraId="791A09DD">
      <w:pPr>
        <w:pStyle w:val="229"/>
        <w:rPr>
          <w:color w:val="auto"/>
          <w:highlight w:val="none"/>
        </w:rPr>
      </w:pPr>
      <w:r>
        <w:rPr>
          <w:rFonts w:hint="eastAsia"/>
          <w:color w:val="auto"/>
          <w:highlight w:val="none"/>
        </w:rPr>
        <w:t xml:space="preserve">关于场外交通和场内交通的边界的约定：项目用地红线，可到发包人处申请查阅。  </w:t>
      </w:r>
    </w:p>
    <w:p w14:paraId="76F96369">
      <w:pPr>
        <w:pStyle w:val="229"/>
        <w:rPr>
          <w:color w:val="auto"/>
          <w:highlight w:val="none"/>
          <w:u w:val="single"/>
        </w:rPr>
      </w:pPr>
      <w:r>
        <w:rPr>
          <w:rFonts w:hint="eastAsia"/>
          <w:color w:val="auto"/>
          <w:highlight w:val="none"/>
        </w:rPr>
        <w:t>关于发包人向承包人免费提供满足工程施工需要的场内道路和交通设施的约定：</w:t>
      </w:r>
      <w:r>
        <w:rPr>
          <w:rFonts w:hint="eastAsia"/>
          <w:color w:val="auto"/>
          <w:highlight w:val="none"/>
          <w:u w:val="single"/>
        </w:rPr>
        <w:t xml:space="preserve">以现场实际施工条件为准。 </w:t>
      </w:r>
    </w:p>
    <w:p w14:paraId="5867A45C">
      <w:pPr>
        <w:pStyle w:val="229"/>
        <w:rPr>
          <w:color w:val="auto"/>
          <w:highlight w:val="none"/>
        </w:rPr>
      </w:pPr>
      <w:r>
        <w:rPr>
          <w:rFonts w:hint="eastAsia"/>
          <w:color w:val="auto"/>
          <w:highlight w:val="none"/>
        </w:rPr>
        <w:t>1.10.4超大件和超重件的运输</w:t>
      </w:r>
    </w:p>
    <w:p w14:paraId="1B1948F2">
      <w:pPr>
        <w:pStyle w:val="229"/>
        <w:rPr>
          <w:color w:val="auto"/>
          <w:highlight w:val="none"/>
        </w:rPr>
      </w:pPr>
      <w:r>
        <w:rPr>
          <w:rFonts w:hint="eastAsia"/>
          <w:color w:val="auto"/>
          <w:highlight w:val="none"/>
        </w:rPr>
        <w:t>运输超大件或超重件所需的道路和桥梁临时加固改造费用和其他有关费用由</w:t>
      </w:r>
      <w:r>
        <w:rPr>
          <w:rFonts w:hint="eastAsia"/>
          <w:color w:val="auto"/>
          <w:highlight w:val="none"/>
          <w:u w:val="single"/>
        </w:rPr>
        <w:t>承包人</w:t>
      </w:r>
      <w:r>
        <w:rPr>
          <w:rFonts w:hint="eastAsia"/>
          <w:color w:val="auto"/>
          <w:highlight w:val="none"/>
        </w:rPr>
        <w:t>承担。</w:t>
      </w:r>
    </w:p>
    <w:p w14:paraId="3410387E">
      <w:pPr>
        <w:pStyle w:val="278"/>
        <w:rPr>
          <w:color w:val="auto"/>
          <w:highlight w:val="none"/>
        </w:rPr>
      </w:pPr>
      <w:bookmarkStart w:id="149" w:name="_Toc69641866"/>
      <w:bookmarkStart w:id="150" w:name="_Toc140098559"/>
      <w:bookmarkStart w:id="151" w:name="_Toc55373969"/>
      <w:r>
        <w:rPr>
          <w:rFonts w:hint="eastAsia"/>
          <w:color w:val="auto"/>
          <w:highlight w:val="none"/>
        </w:rPr>
        <w:t>1.11 知识产权</w:t>
      </w:r>
      <w:bookmarkEnd w:id="149"/>
      <w:bookmarkEnd w:id="150"/>
      <w:bookmarkEnd w:id="151"/>
    </w:p>
    <w:p w14:paraId="6D5405AC">
      <w:pPr>
        <w:pStyle w:val="229"/>
        <w:rPr>
          <w:color w:val="auto"/>
          <w:highlight w:val="none"/>
        </w:rPr>
      </w:pPr>
      <w:r>
        <w:rPr>
          <w:rFonts w:hint="eastAsia"/>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color w:val="auto"/>
          <w:highlight w:val="none"/>
          <w:u w:val="single"/>
        </w:rPr>
        <w:t xml:space="preserve"> 发包人 </w:t>
      </w:r>
      <w:r>
        <w:rPr>
          <w:rFonts w:hint="eastAsia"/>
          <w:color w:val="auto"/>
          <w:highlight w:val="none"/>
        </w:rPr>
        <w:t>。</w:t>
      </w:r>
    </w:p>
    <w:p w14:paraId="4B6A97C3">
      <w:pPr>
        <w:pStyle w:val="229"/>
        <w:rPr>
          <w:color w:val="auto"/>
          <w:highlight w:val="none"/>
        </w:rPr>
      </w:pPr>
      <w:r>
        <w:rPr>
          <w:rFonts w:hint="eastAsia"/>
          <w:color w:val="auto"/>
          <w:highlight w:val="none"/>
        </w:rPr>
        <w:t>关于发包人提供的上述文件的使用限制的要求：仅限在本合同工期内用于本承包范围内的工程。</w:t>
      </w:r>
    </w:p>
    <w:p w14:paraId="534CEC7B">
      <w:pPr>
        <w:pStyle w:val="229"/>
        <w:rPr>
          <w:color w:val="auto"/>
          <w:highlight w:val="none"/>
          <w:u w:val="single"/>
        </w:rPr>
      </w:pPr>
      <w:r>
        <w:rPr>
          <w:rFonts w:hint="eastAsia"/>
          <w:color w:val="auto"/>
          <w:highlight w:val="none"/>
        </w:rPr>
        <w:t>1.11.2 关于承包人为实施工程所编制文件的著作权的归属：</w:t>
      </w:r>
      <w:r>
        <w:rPr>
          <w:rFonts w:hint="eastAsia"/>
          <w:color w:val="auto"/>
          <w:highlight w:val="none"/>
          <w:u w:val="single"/>
        </w:rPr>
        <w:t>发包人。</w:t>
      </w:r>
    </w:p>
    <w:p w14:paraId="4918FFF4">
      <w:pPr>
        <w:pStyle w:val="229"/>
        <w:rPr>
          <w:color w:val="auto"/>
          <w:highlight w:val="none"/>
        </w:rPr>
      </w:pPr>
      <w:r>
        <w:rPr>
          <w:rFonts w:hint="eastAsia"/>
          <w:color w:val="auto"/>
          <w:highlight w:val="none"/>
        </w:rPr>
        <w:t>关于承包人提供的上述文件的使用限制的要求：</w:t>
      </w:r>
      <w:r>
        <w:rPr>
          <w:rFonts w:hint="eastAsia"/>
          <w:color w:val="auto"/>
          <w:highlight w:val="none"/>
          <w:u w:val="single"/>
        </w:rPr>
        <w:t>仅限用于本工程。</w:t>
      </w:r>
    </w:p>
    <w:p w14:paraId="5F20023D">
      <w:pPr>
        <w:pStyle w:val="229"/>
        <w:rPr>
          <w:color w:val="auto"/>
          <w:highlight w:val="none"/>
          <w:u w:val="single"/>
        </w:rPr>
      </w:pPr>
      <w:r>
        <w:rPr>
          <w:rFonts w:hint="eastAsia"/>
          <w:color w:val="auto"/>
          <w:highlight w:val="none"/>
        </w:rPr>
        <w:t>1.11.4 承包人在施工过程中所采用的专利、专有技术、技术秘密的使用费的承担方式：</w:t>
      </w:r>
      <w:r>
        <w:rPr>
          <w:rFonts w:hint="eastAsia"/>
          <w:color w:val="auto"/>
          <w:highlight w:val="none"/>
          <w:u w:val="single"/>
        </w:rPr>
        <w:t>由承包人承担。</w:t>
      </w:r>
    </w:p>
    <w:p w14:paraId="6A02CCC1">
      <w:pPr>
        <w:pStyle w:val="278"/>
        <w:rPr>
          <w:color w:val="auto"/>
          <w:highlight w:val="none"/>
        </w:rPr>
      </w:pPr>
      <w:bookmarkStart w:id="152" w:name="_Toc55373970"/>
      <w:bookmarkStart w:id="153" w:name="_Toc69641867"/>
      <w:bookmarkStart w:id="154" w:name="_Toc140098560"/>
      <w:r>
        <w:rPr>
          <w:rFonts w:hint="eastAsia"/>
          <w:color w:val="auto"/>
          <w:highlight w:val="none"/>
        </w:rPr>
        <w:t>1.13工程量清单错误的修正</w:t>
      </w:r>
      <w:bookmarkEnd w:id="152"/>
      <w:bookmarkEnd w:id="153"/>
      <w:bookmarkEnd w:id="154"/>
    </w:p>
    <w:p w14:paraId="0875E5DA">
      <w:pPr>
        <w:pStyle w:val="229"/>
        <w:rPr>
          <w:color w:val="auto"/>
          <w:highlight w:val="none"/>
        </w:rPr>
      </w:pPr>
      <w:r>
        <w:rPr>
          <w:rFonts w:hint="eastAsia"/>
          <w:color w:val="auto"/>
          <w:highlight w:val="none"/>
        </w:rPr>
        <w:t>出现工程量清单工程量偏差时，是否调整合同价格：调整，工程量清单存在缺项、漏项情况下予以调整。</w:t>
      </w:r>
    </w:p>
    <w:p w14:paraId="2DFF9897">
      <w:pPr>
        <w:pStyle w:val="229"/>
        <w:rPr>
          <w:color w:val="auto"/>
          <w:highlight w:val="none"/>
        </w:rPr>
      </w:pPr>
      <w:r>
        <w:rPr>
          <w:rFonts w:hint="eastAsia"/>
          <w:color w:val="auto"/>
          <w:highlight w:val="none"/>
        </w:rPr>
        <w:t>允许调整合同价格的工程量偏差范围及其调整办法：</w:t>
      </w:r>
      <w:r>
        <w:rPr>
          <w:rFonts w:hint="eastAsia"/>
          <w:color w:val="auto"/>
          <w:highlight w:val="none"/>
          <w:u w:val="single"/>
        </w:rPr>
        <w:t>按第12.1条款执行。</w:t>
      </w:r>
      <w:bookmarkStart w:id="155" w:name="_Toc69641868"/>
      <w:bookmarkStart w:id="156" w:name="_Toc55373971"/>
      <w:bookmarkStart w:id="157" w:name="_Toc140098561"/>
    </w:p>
    <w:p w14:paraId="418D9BC4">
      <w:pPr>
        <w:pStyle w:val="291"/>
        <w:ind w:firstLine="422"/>
        <w:rPr>
          <w:color w:val="auto"/>
          <w:highlight w:val="none"/>
        </w:rPr>
      </w:pPr>
      <w:r>
        <w:rPr>
          <w:rFonts w:hint="eastAsia"/>
          <w:color w:val="auto"/>
          <w:highlight w:val="none"/>
        </w:rPr>
        <w:t>2. 发包人</w:t>
      </w:r>
      <w:bookmarkEnd w:id="155"/>
      <w:bookmarkEnd w:id="156"/>
      <w:bookmarkEnd w:id="157"/>
    </w:p>
    <w:p w14:paraId="709D8FE8">
      <w:pPr>
        <w:pStyle w:val="278"/>
        <w:rPr>
          <w:color w:val="auto"/>
          <w:highlight w:val="none"/>
        </w:rPr>
      </w:pPr>
      <w:bookmarkStart w:id="158" w:name="_Toc69641869"/>
      <w:bookmarkStart w:id="159" w:name="_Toc55373972"/>
      <w:bookmarkStart w:id="160" w:name="_Toc140098562"/>
      <w:r>
        <w:rPr>
          <w:rFonts w:hint="eastAsia"/>
          <w:color w:val="auto"/>
          <w:highlight w:val="none"/>
        </w:rPr>
        <w:t>2.2 发包人代表</w:t>
      </w:r>
      <w:bookmarkEnd w:id="158"/>
      <w:bookmarkEnd w:id="159"/>
      <w:bookmarkEnd w:id="160"/>
    </w:p>
    <w:p w14:paraId="67A6B216">
      <w:pPr>
        <w:pStyle w:val="229"/>
        <w:rPr>
          <w:color w:val="auto"/>
          <w:highlight w:val="none"/>
        </w:rPr>
      </w:pPr>
      <w:r>
        <w:rPr>
          <w:rFonts w:hint="eastAsia"/>
          <w:color w:val="auto"/>
          <w:highlight w:val="none"/>
        </w:rPr>
        <w:t>发包人代表：</w:t>
      </w:r>
      <w:r>
        <w:rPr>
          <w:rFonts w:hint="eastAsia"/>
          <w:color w:val="auto"/>
          <w:highlight w:val="none"/>
          <w:u w:val="single"/>
        </w:rPr>
        <w:t xml:space="preserve">                       </w:t>
      </w:r>
      <w:r>
        <w:rPr>
          <w:rFonts w:hint="eastAsia"/>
          <w:color w:val="auto"/>
          <w:highlight w:val="none"/>
        </w:rPr>
        <w:t>；</w:t>
      </w:r>
    </w:p>
    <w:p w14:paraId="010AEB1C">
      <w:pPr>
        <w:pStyle w:val="229"/>
        <w:rPr>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color w:val="auto"/>
          <w:highlight w:val="none"/>
        </w:rPr>
        <w:t>；</w:t>
      </w:r>
    </w:p>
    <w:p w14:paraId="1AEA40FB">
      <w:pPr>
        <w:pStyle w:val="229"/>
        <w:rPr>
          <w:color w:val="auto"/>
          <w:highlight w:val="none"/>
        </w:rPr>
      </w:pPr>
      <w:r>
        <w:rPr>
          <w:rFonts w:hint="eastAsia"/>
          <w:color w:val="auto"/>
          <w:highlight w:val="none"/>
        </w:rPr>
        <w:t>通信地址：</w:t>
      </w:r>
      <w:r>
        <w:rPr>
          <w:rFonts w:hint="eastAsia"/>
          <w:color w:val="auto"/>
          <w:highlight w:val="none"/>
          <w:u w:val="single"/>
        </w:rPr>
        <w:t xml:space="preserve">                       </w:t>
      </w:r>
      <w:r>
        <w:rPr>
          <w:rFonts w:hint="eastAsia"/>
          <w:color w:val="auto"/>
          <w:highlight w:val="none"/>
        </w:rPr>
        <w:t>。</w:t>
      </w:r>
    </w:p>
    <w:p w14:paraId="27CB8C51">
      <w:pPr>
        <w:pStyle w:val="229"/>
        <w:rPr>
          <w:color w:val="auto"/>
          <w:highlight w:val="none"/>
        </w:rPr>
      </w:pPr>
      <w:r>
        <w:rPr>
          <w:rFonts w:hint="eastAsia"/>
          <w:color w:val="auto"/>
          <w:highlight w:val="none"/>
        </w:rPr>
        <w:t>发包人对发包人代表的授权范围如下：对工程安全、进度、质量进行监督，组织相关单位参加已完工程现场验收并办理验收手续，组织相关单位对变更工程量现场确认并会签草签单，负责对设计变更、现场签证、索赔等事项复核并上报，待审批后落实审批意见，负责核实承包人提交的竣工结算资料（工程量增减及变更、签证、索赔审批意见的真伪，资料的全面、完整等）并移交审计部门，解决由发包人授权处理的其他事宜。</w:t>
      </w:r>
    </w:p>
    <w:p w14:paraId="46D2C812">
      <w:pPr>
        <w:pStyle w:val="278"/>
        <w:rPr>
          <w:color w:val="auto"/>
          <w:highlight w:val="none"/>
        </w:rPr>
      </w:pPr>
      <w:bookmarkStart w:id="161" w:name="_Toc69641870"/>
      <w:bookmarkStart w:id="162" w:name="_Toc140098563"/>
      <w:bookmarkStart w:id="163" w:name="_Toc55373973"/>
      <w:r>
        <w:rPr>
          <w:rFonts w:hint="eastAsia"/>
          <w:color w:val="auto"/>
          <w:highlight w:val="none"/>
        </w:rPr>
        <w:t>2.4 施工现场、施工条件和基础资料的提供</w:t>
      </w:r>
      <w:bookmarkEnd w:id="161"/>
      <w:bookmarkEnd w:id="162"/>
      <w:bookmarkEnd w:id="163"/>
    </w:p>
    <w:p w14:paraId="1F52250F">
      <w:pPr>
        <w:pStyle w:val="229"/>
        <w:rPr>
          <w:color w:val="auto"/>
          <w:highlight w:val="none"/>
        </w:rPr>
      </w:pPr>
      <w:r>
        <w:rPr>
          <w:rFonts w:hint="eastAsia"/>
          <w:color w:val="auto"/>
          <w:highlight w:val="none"/>
        </w:rPr>
        <w:t>2.4.1 提供施工现场</w:t>
      </w:r>
    </w:p>
    <w:p w14:paraId="2D646965">
      <w:pPr>
        <w:pStyle w:val="229"/>
        <w:rPr>
          <w:color w:val="auto"/>
          <w:highlight w:val="none"/>
        </w:rPr>
      </w:pPr>
      <w:r>
        <w:rPr>
          <w:rFonts w:hint="eastAsia"/>
          <w:color w:val="auto"/>
          <w:highlight w:val="none"/>
        </w:rPr>
        <w:t>关于发包人移交施工现场的期限要求：</w:t>
      </w:r>
      <w:r>
        <w:rPr>
          <w:rFonts w:hint="eastAsia"/>
          <w:color w:val="auto"/>
          <w:highlight w:val="none"/>
          <w:u w:val="single"/>
        </w:rPr>
        <w:t>合同签订后7日内。</w:t>
      </w:r>
    </w:p>
    <w:p w14:paraId="002C2355">
      <w:pPr>
        <w:pStyle w:val="229"/>
        <w:rPr>
          <w:color w:val="auto"/>
          <w:highlight w:val="none"/>
        </w:rPr>
      </w:pPr>
      <w:r>
        <w:rPr>
          <w:rFonts w:hint="eastAsia"/>
          <w:color w:val="auto"/>
          <w:highlight w:val="none"/>
        </w:rPr>
        <w:t>2.4.2 提供施工条件</w:t>
      </w:r>
    </w:p>
    <w:p w14:paraId="38542CFA">
      <w:pPr>
        <w:pStyle w:val="229"/>
        <w:rPr>
          <w:color w:val="auto"/>
          <w:highlight w:val="none"/>
        </w:rPr>
      </w:pPr>
      <w:r>
        <w:rPr>
          <w:rFonts w:hint="eastAsia"/>
          <w:color w:val="auto"/>
          <w:highlight w:val="none"/>
        </w:rPr>
        <w:t>关于发包人应负责提供施工所需要的条件，包括：发包人在开工前7日将施工现场用水、用电引入项目场区围墙边，承包人负责按发包人的临时用水、用电场区整体规划从水、电接入点引入工程施工现场。</w:t>
      </w:r>
    </w:p>
    <w:p w14:paraId="104E3609">
      <w:pPr>
        <w:pStyle w:val="278"/>
        <w:rPr>
          <w:color w:val="auto"/>
          <w:highlight w:val="none"/>
        </w:rPr>
      </w:pPr>
      <w:bookmarkStart w:id="164" w:name="_Toc140098564"/>
      <w:bookmarkStart w:id="165" w:name="_Toc55373974"/>
      <w:bookmarkStart w:id="166" w:name="_Toc69641871"/>
      <w:r>
        <w:rPr>
          <w:rFonts w:hint="eastAsia"/>
          <w:color w:val="auto"/>
          <w:highlight w:val="none"/>
        </w:rPr>
        <w:t>2.5 资金来源证明及支付担保</w:t>
      </w:r>
      <w:bookmarkEnd w:id="164"/>
      <w:bookmarkEnd w:id="165"/>
      <w:bookmarkEnd w:id="166"/>
    </w:p>
    <w:p w14:paraId="237BB683">
      <w:pPr>
        <w:pStyle w:val="229"/>
        <w:rPr>
          <w:color w:val="auto"/>
          <w:highlight w:val="none"/>
        </w:rPr>
      </w:pPr>
      <w:r>
        <w:rPr>
          <w:rFonts w:hint="eastAsia"/>
          <w:color w:val="auto"/>
          <w:highlight w:val="none"/>
        </w:rPr>
        <w:t>发包人提供资金来源证明的期限要求：</w:t>
      </w:r>
      <w:r>
        <w:rPr>
          <w:rFonts w:hint="eastAsia"/>
          <w:color w:val="auto"/>
          <w:highlight w:val="none"/>
          <w:u w:val="single"/>
        </w:rPr>
        <w:t xml:space="preserve">   /           </w:t>
      </w:r>
      <w:r>
        <w:rPr>
          <w:rFonts w:hint="eastAsia"/>
          <w:color w:val="auto"/>
          <w:highlight w:val="none"/>
        </w:rPr>
        <w:t>。</w:t>
      </w:r>
    </w:p>
    <w:p w14:paraId="5C157EC1">
      <w:pPr>
        <w:pStyle w:val="229"/>
        <w:rPr>
          <w:color w:val="auto"/>
          <w:highlight w:val="none"/>
        </w:rPr>
      </w:pPr>
      <w:r>
        <w:rPr>
          <w:rFonts w:hint="eastAsia"/>
          <w:color w:val="auto"/>
          <w:highlight w:val="none"/>
        </w:rPr>
        <w:t>发包人是否提供支付担保：</w:t>
      </w:r>
      <w:r>
        <w:rPr>
          <w:rFonts w:hint="eastAsia"/>
          <w:color w:val="auto"/>
          <w:highlight w:val="none"/>
          <w:u w:val="single"/>
        </w:rPr>
        <w:t xml:space="preserve">       /           </w:t>
      </w:r>
      <w:r>
        <w:rPr>
          <w:rFonts w:hint="eastAsia"/>
          <w:color w:val="auto"/>
          <w:highlight w:val="none"/>
        </w:rPr>
        <w:t xml:space="preserve"> 。</w:t>
      </w:r>
    </w:p>
    <w:p w14:paraId="3FAC90AC">
      <w:pPr>
        <w:pStyle w:val="229"/>
        <w:rPr>
          <w:color w:val="auto"/>
          <w:highlight w:val="none"/>
        </w:rPr>
      </w:pPr>
      <w:r>
        <w:rPr>
          <w:rFonts w:hint="eastAsia"/>
          <w:color w:val="auto"/>
          <w:highlight w:val="none"/>
        </w:rPr>
        <w:t>发包人提供支付担保的形式：</w:t>
      </w:r>
      <w:r>
        <w:rPr>
          <w:rFonts w:hint="eastAsia"/>
          <w:color w:val="auto"/>
          <w:highlight w:val="none"/>
          <w:u w:val="single"/>
        </w:rPr>
        <w:t xml:space="preserve">      /           </w:t>
      </w:r>
      <w:r>
        <w:rPr>
          <w:rFonts w:hint="eastAsia"/>
          <w:color w:val="auto"/>
          <w:highlight w:val="none"/>
        </w:rPr>
        <w:t>。</w:t>
      </w:r>
    </w:p>
    <w:p w14:paraId="5A36F92A">
      <w:pPr>
        <w:pStyle w:val="291"/>
        <w:ind w:firstLine="422"/>
        <w:rPr>
          <w:color w:val="auto"/>
          <w:highlight w:val="none"/>
        </w:rPr>
      </w:pPr>
      <w:bookmarkStart w:id="167" w:name="_Toc140098565"/>
      <w:bookmarkStart w:id="168" w:name="_Toc55373975"/>
      <w:bookmarkStart w:id="169" w:name="_Toc69641872"/>
      <w:r>
        <w:rPr>
          <w:rFonts w:hint="eastAsia"/>
          <w:color w:val="auto"/>
          <w:highlight w:val="none"/>
        </w:rPr>
        <w:t>3. 承包人</w:t>
      </w:r>
      <w:bookmarkEnd w:id="167"/>
      <w:bookmarkEnd w:id="168"/>
      <w:bookmarkEnd w:id="169"/>
    </w:p>
    <w:p w14:paraId="0A01A291">
      <w:pPr>
        <w:pStyle w:val="278"/>
        <w:rPr>
          <w:color w:val="auto"/>
          <w:highlight w:val="none"/>
        </w:rPr>
      </w:pPr>
      <w:bookmarkStart w:id="170" w:name="_Toc69641873"/>
      <w:bookmarkStart w:id="171" w:name="_Toc55373976"/>
      <w:bookmarkStart w:id="172" w:name="_Toc140098566"/>
      <w:r>
        <w:rPr>
          <w:rFonts w:hint="eastAsia"/>
          <w:color w:val="auto"/>
          <w:highlight w:val="none"/>
        </w:rPr>
        <w:t>3.1 承包人的一般义务</w:t>
      </w:r>
      <w:bookmarkEnd w:id="170"/>
      <w:bookmarkEnd w:id="171"/>
      <w:bookmarkEnd w:id="172"/>
    </w:p>
    <w:p w14:paraId="7BC65423">
      <w:pPr>
        <w:spacing w:line="360" w:lineRule="auto"/>
        <w:ind w:firstLine="210"/>
        <w:jc w:val="left"/>
        <w:rPr>
          <w:rFonts w:ascii="宋体" w:hAnsi="宋体" w:cs="宋体"/>
          <w:color w:val="auto"/>
          <w:highlight w:val="none"/>
          <w:u w:val="single"/>
        </w:rPr>
      </w:pPr>
      <w:r>
        <w:rPr>
          <w:rFonts w:hint="eastAsia" w:ascii="宋体" w:hAnsi="宋体" w:cs="宋体"/>
          <w:color w:val="auto"/>
          <w:highlight w:val="none"/>
        </w:rPr>
        <w:t>（9）承包人提交的竣工资料的内容：</w:t>
      </w:r>
      <w:r>
        <w:rPr>
          <w:rFonts w:hint="eastAsia" w:ascii="宋体" w:hAnsi="宋体" w:cs="宋体"/>
          <w:color w:val="auto"/>
          <w:highlight w:val="none"/>
          <w:u w:val="single"/>
        </w:rPr>
        <w:t>①竣工图纸；②设计变更、洽商记录、现场签证；③施工资料：控制资料（含：材料检试验报告、施工记录、检验批质量、隐蔽工程记录、分项工程验收记录、分部工程验收记录）；④管理资料（含：开工报审表、施工日志、施工组织设计）；⑤提交上级建设主管部门的备案资料；⑥桂林市档案馆需要提供的其他资料。</w:t>
      </w:r>
    </w:p>
    <w:p w14:paraId="0296BD27">
      <w:pPr>
        <w:pStyle w:val="229"/>
        <w:rPr>
          <w:color w:val="auto"/>
          <w:highlight w:val="none"/>
        </w:rPr>
      </w:pPr>
      <w:r>
        <w:rPr>
          <w:rFonts w:hint="eastAsia"/>
          <w:color w:val="auto"/>
          <w:highlight w:val="none"/>
        </w:rPr>
        <w:t xml:space="preserve">承包人需要提交的竣工资料套数： </w:t>
      </w:r>
      <w:r>
        <w:rPr>
          <w:rFonts w:hint="eastAsia"/>
          <w:color w:val="auto"/>
          <w:highlight w:val="none"/>
        </w:rPr>
        <w:t>承包人向发包人提交纸质竣工图纸为一式三份（至少两份为原件）及完整的电子档案一份（含隐蔽工程影像资料），结算资料一式两份。</w:t>
      </w:r>
    </w:p>
    <w:p w14:paraId="6BE32D26">
      <w:pPr>
        <w:pStyle w:val="229"/>
        <w:rPr>
          <w:color w:val="auto"/>
          <w:highlight w:val="none"/>
        </w:rPr>
      </w:pPr>
      <w:r>
        <w:rPr>
          <w:rFonts w:hint="eastAsia"/>
          <w:color w:val="auto"/>
          <w:highlight w:val="none"/>
        </w:rPr>
        <w:t>承包人提交的竣工资料的费用承担：</w:t>
      </w:r>
      <w:r>
        <w:rPr>
          <w:rFonts w:hint="eastAsia"/>
          <w:color w:val="auto"/>
          <w:highlight w:val="none"/>
          <w:u w:val="single"/>
        </w:rPr>
        <w:t>承包人 。</w:t>
      </w:r>
    </w:p>
    <w:p w14:paraId="0547FC8D">
      <w:pPr>
        <w:pStyle w:val="229"/>
        <w:rPr>
          <w:color w:val="auto"/>
          <w:highlight w:val="none"/>
          <w:u w:val="single"/>
        </w:rPr>
      </w:pPr>
      <w:r>
        <w:rPr>
          <w:rFonts w:hint="eastAsia"/>
          <w:color w:val="auto"/>
          <w:highlight w:val="none"/>
        </w:rPr>
        <w:t>承包人提交的竣工资料移交时间：</w:t>
      </w:r>
      <w:r>
        <w:rPr>
          <w:rFonts w:hint="eastAsia"/>
          <w:color w:val="auto"/>
          <w:highlight w:val="none"/>
          <w:u w:val="single"/>
        </w:rPr>
        <w:t>竣工验收合格后30天内。</w:t>
      </w:r>
    </w:p>
    <w:p w14:paraId="35B06D70">
      <w:pPr>
        <w:pStyle w:val="229"/>
        <w:rPr>
          <w:color w:val="auto"/>
          <w:highlight w:val="none"/>
        </w:rPr>
      </w:pPr>
      <w:r>
        <w:rPr>
          <w:rFonts w:hint="eastAsia"/>
          <w:color w:val="auto"/>
          <w:highlight w:val="none"/>
        </w:rPr>
        <w:t>由于承包人原因未按专用条款3.1条约定提交竣工资料，每延迟一天，罚款2000元，直至承包人提交竣工资料为止。</w:t>
      </w:r>
    </w:p>
    <w:p w14:paraId="4C632EB7">
      <w:pPr>
        <w:spacing w:line="360" w:lineRule="auto"/>
        <w:ind w:firstLine="420"/>
        <w:jc w:val="left"/>
        <w:rPr>
          <w:rFonts w:ascii="宋体" w:hAnsi="宋体" w:cs="宋体"/>
          <w:color w:val="auto"/>
          <w:highlight w:val="none"/>
          <w:u w:val="single"/>
        </w:rPr>
      </w:pPr>
      <w:r>
        <w:rPr>
          <w:rFonts w:hint="eastAsia" w:ascii="宋体" w:hAnsi="宋体" w:cs="宋体"/>
          <w:color w:val="auto"/>
          <w:highlight w:val="none"/>
        </w:rPr>
        <w:t>承包人提交的竣工资料形式要求：</w:t>
      </w:r>
      <w:r>
        <w:rPr>
          <w:rFonts w:ascii="宋体" w:hAnsi="宋体" w:cs="宋体"/>
          <w:color w:val="auto"/>
          <w:highlight w:val="none"/>
          <w:u w:val="single"/>
        </w:rPr>
        <w:t>按竣工资料整理要求编制形成纸质资料并装订成册（达到市档案馆收件标准），并移交发包人。</w:t>
      </w:r>
    </w:p>
    <w:p w14:paraId="1403F1D5">
      <w:pPr>
        <w:pStyle w:val="229"/>
        <w:rPr>
          <w:color w:val="auto"/>
          <w:highlight w:val="none"/>
        </w:rPr>
      </w:pPr>
      <w:r>
        <w:rPr>
          <w:rFonts w:hint="eastAsia"/>
          <w:color w:val="auto"/>
          <w:highlight w:val="none"/>
        </w:rPr>
        <w:t>（10）承包人应履行的其他义务：</w:t>
      </w:r>
    </w:p>
    <w:p w14:paraId="76613990">
      <w:pPr>
        <w:pStyle w:val="229"/>
        <w:rPr>
          <w:color w:val="auto"/>
          <w:highlight w:val="none"/>
        </w:rPr>
      </w:pPr>
      <w:r>
        <w:rPr>
          <w:rFonts w:hint="eastAsia"/>
          <w:color w:val="auto"/>
          <w:highlight w:val="none"/>
        </w:rPr>
        <w:t>①施工用水、用电按表计量，费用由承包人承担，由承包人指派专人配合发包人的计量工作，水费及电费按发包人要求进行缴纳；单位工程内其他单位用水、用电由承包人与相关用水、用电单位协商解决。</w:t>
      </w:r>
    </w:p>
    <w:p w14:paraId="0AEA4A91">
      <w:pPr>
        <w:pStyle w:val="229"/>
        <w:rPr>
          <w:color w:val="auto"/>
          <w:highlight w:val="none"/>
        </w:rPr>
      </w:pPr>
      <w:r>
        <w:rPr>
          <w:rFonts w:hint="eastAsia"/>
          <w:color w:val="auto"/>
          <w:highlight w:val="none"/>
        </w:rPr>
        <w:t>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五个工作日书面提出，否则，由此所造成的损失由承包人承担。</w:t>
      </w:r>
    </w:p>
    <w:p w14:paraId="593B5CE3">
      <w:pPr>
        <w:pStyle w:val="229"/>
        <w:rPr>
          <w:color w:val="auto"/>
          <w:highlight w:val="none"/>
        </w:rPr>
      </w:pPr>
      <w:r>
        <w:rPr>
          <w:rFonts w:hint="eastAsia"/>
          <w:color w:val="auto"/>
          <w:highlight w:val="none"/>
        </w:rPr>
        <w:t>③承包人负责办理施工有关的环卫、环保和噪声等审批手续，并承担相关费用，如因承包人未缴纳相关费用，发包人有权从工程款中扣除用于支付相关费用并计入结算。承包人负责对施工场地内的化石、文物具有保护责任，并承担相应费用。承包人负责满足施工期间行政主管部门对工地消防设施有关要求，工程完工后，配合发包人完成相关消防管理制度上墙，并承担相关费用。</w:t>
      </w:r>
    </w:p>
    <w:p w14:paraId="556763DA">
      <w:pPr>
        <w:pStyle w:val="229"/>
        <w:rPr>
          <w:color w:val="auto"/>
          <w:highlight w:val="none"/>
        </w:rPr>
      </w:pPr>
      <w:r>
        <w:rPr>
          <w:rFonts w:hint="eastAsia"/>
          <w:color w:val="auto"/>
          <w:highlight w:val="none"/>
        </w:rPr>
        <w:t>④承包人应负责协调解决来自当地居民对工程施工的人为干扰，并承担相关费用。</w:t>
      </w:r>
    </w:p>
    <w:p w14:paraId="7A6E97E8">
      <w:pPr>
        <w:pStyle w:val="229"/>
        <w:rPr>
          <w:color w:val="auto"/>
          <w:highlight w:val="none"/>
        </w:rPr>
      </w:pPr>
      <w:r>
        <w:rPr>
          <w:rFonts w:hint="eastAsia"/>
          <w:color w:val="auto"/>
          <w:highlight w:val="none"/>
        </w:rPr>
        <w:t>⑤承包人应始终采取各种合理的预防措施，防止承包人员或其内部发生任何非法的、骚动的或无序的行为，以保持安定，保护现场及第三人的财产和人身安全。</w:t>
      </w:r>
    </w:p>
    <w:p w14:paraId="7FC686D4">
      <w:pPr>
        <w:pStyle w:val="229"/>
        <w:rPr>
          <w:color w:val="auto"/>
          <w:highlight w:val="none"/>
        </w:rPr>
      </w:pPr>
      <w:r>
        <w:rPr>
          <w:rFonts w:hint="eastAsia"/>
          <w:color w:val="auto"/>
          <w:highlight w:val="none"/>
        </w:rPr>
        <w:t>⑥为发包人依法发包的专业工程承包商提供总承包施工现场管理与协调服务、汇总整理竣工资料，并为专业工程承包商提供一切施工方便。为发包人和监理人在施工现场提供必要的办公室和办公桌椅等设备。</w:t>
      </w:r>
    </w:p>
    <w:p w14:paraId="7E2F746A">
      <w:pPr>
        <w:pStyle w:val="229"/>
        <w:rPr>
          <w:color w:val="auto"/>
          <w:highlight w:val="none"/>
        </w:rPr>
      </w:pPr>
      <w:r>
        <w:rPr>
          <w:rFonts w:hint="eastAsia"/>
          <w:color w:val="auto"/>
          <w:highlight w:val="none"/>
        </w:rPr>
        <w:t>⑦根据《广西壮族自治区工程建设领域农民工工资专用账户管理暂行办法实施细则的通知》（桂人社规[2022]5号）文件第八条规定，工程建设项目可以免于开立专用账户，由总包单位将农民工工资直接支付到农民工本人的银行账户。</w:t>
      </w:r>
    </w:p>
    <w:p w14:paraId="7D91FB05">
      <w:pPr>
        <w:pStyle w:val="229"/>
        <w:rPr>
          <w:color w:val="auto"/>
          <w:highlight w:val="none"/>
        </w:rPr>
      </w:pPr>
      <w:r>
        <w:rPr>
          <w:rFonts w:hint="eastAsia"/>
          <w:color w:val="auto"/>
          <w:highlight w:val="none"/>
        </w:rPr>
        <w:fldChar w:fldCharType="begin"/>
      </w:r>
      <w:r>
        <w:rPr>
          <w:rFonts w:hint="eastAsia"/>
          <w:color w:val="auto"/>
          <w:highlight w:val="none"/>
        </w:rPr>
        <w:instrText xml:space="preserve"> = 8 \* GB3 </w:instrText>
      </w:r>
      <w:r>
        <w:rPr>
          <w:rFonts w:hint="eastAsia"/>
          <w:color w:val="auto"/>
          <w:highlight w:val="none"/>
        </w:rPr>
        <w:fldChar w:fldCharType="separate"/>
      </w:r>
      <w:r>
        <w:rPr>
          <w:rFonts w:hint="eastAsia"/>
          <w:color w:val="auto"/>
          <w:highlight w:val="none"/>
        </w:rPr>
        <w:t>⑧</w:t>
      </w:r>
      <w:r>
        <w:rPr>
          <w:rFonts w:hint="eastAsia"/>
          <w:color w:val="auto"/>
          <w:highlight w:val="none"/>
        </w:rPr>
        <w:fldChar w:fldCharType="end"/>
      </w:r>
      <w:r>
        <w:rPr>
          <w:rFonts w:hint="eastAsia"/>
          <w:color w:val="auto"/>
          <w:highlight w:val="none"/>
        </w:rPr>
        <w:t>承包人为有经验的承包商，对发包人提供的交底资料应负责核验，资料存在差错的，及时向发包人提出，且不得依据错误的资料进行施工安装。</w:t>
      </w:r>
    </w:p>
    <w:p w14:paraId="6457DA09">
      <w:pPr>
        <w:pStyle w:val="229"/>
        <w:rPr>
          <w:color w:val="auto"/>
          <w:highlight w:val="none"/>
        </w:rPr>
      </w:pPr>
      <w:r>
        <w:rPr>
          <w:rFonts w:hint="eastAsia"/>
          <w:color w:val="auto"/>
          <w:highlight w:val="none"/>
        </w:rPr>
        <w:t>⑨承包人需维护校园环境干净、整洁，不得在校园内倾倒建筑垃圾；若有渣土洒漏，需及时清理干净。承包人需加强对发包人校园内已建成建筑物、构筑物、道路、管线、景观等的保护，如因承包人原因损坏，及时恢复原状，并承担相关费用。施工期间和施工完毕后，均应及时对施工场地和为其施工提供的公共道路进行保洁、维护以及维修，产生的垃圾和被破坏的场地，必须遵照监理工程师和发包人的指示进行清理、修复，并根据实际情况将场地恢复到原有状态，费用自理</w:t>
      </w:r>
      <w:r>
        <w:rPr>
          <w:color w:val="auto"/>
          <w:highlight w:val="none"/>
        </w:rPr>
        <w:t>。</w:t>
      </w:r>
    </w:p>
    <w:p w14:paraId="195488C7">
      <w:pPr>
        <w:pStyle w:val="229"/>
        <w:rPr>
          <w:color w:val="auto"/>
          <w:highlight w:val="none"/>
        </w:rPr>
      </w:pPr>
      <w:r>
        <w:rPr>
          <w:rFonts w:hint="eastAsia"/>
          <w:color w:val="auto"/>
          <w:highlight w:val="none"/>
        </w:rPr>
        <w:t>按建设行政主管部门有关规定配合发包人其他工程的施工等。安全生产、文明施工必须符合当地建设行政主管部门规定。</w:t>
      </w:r>
    </w:p>
    <w:p w14:paraId="5B0FF749">
      <w:pPr>
        <w:pStyle w:val="278"/>
        <w:rPr>
          <w:color w:val="auto"/>
          <w:highlight w:val="none"/>
        </w:rPr>
      </w:pPr>
      <w:bookmarkStart w:id="173" w:name="_Toc140098567"/>
      <w:bookmarkStart w:id="174" w:name="_Toc69641874"/>
      <w:bookmarkStart w:id="175" w:name="_Toc55373977"/>
      <w:r>
        <w:rPr>
          <w:rFonts w:hint="eastAsia"/>
          <w:color w:val="auto"/>
          <w:highlight w:val="none"/>
        </w:rPr>
        <w:t>3.2 项目经理</w:t>
      </w:r>
      <w:bookmarkEnd w:id="173"/>
      <w:bookmarkEnd w:id="174"/>
      <w:bookmarkEnd w:id="175"/>
    </w:p>
    <w:p w14:paraId="0E8E7FD1">
      <w:pPr>
        <w:pStyle w:val="229"/>
        <w:rPr>
          <w:color w:val="auto"/>
          <w:highlight w:val="none"/>
        </w:rPr>
      </w:pPr>
      <w:r>
        <w:rPr>
          <w:rFonts w:hint="eastAsia"/>
          <w:color w:val="auto"/>
          <w:highlight w:val="none"/>
        </w:rPr>
        <w:t>3.2.1 项目经理：</w:t>
      </w:r>
    </w:p>
    <w:p w14:paraId="0BCA35AB">
      <w:pPr>
        <w:spacing w:line="400" w:lineRule="exact"/>
        <w:ind w:firstLine="420" w:firstLineChars="200"/>
        <w:rPr>
          <w:rFonts w:asci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rPr>
        <w:t>；</w:t>
      </w:r>
    </w:p>
    <w:p w14:paraId="67799232">
      <w:pPr>
        <w:spacing w:line="400" w:lineRule="exact"/>
        <w:ind w:firstLine="420" w:firstLineChars="200"/>
        <w:rPr>
          <w:rFonts w:ascii="宋体" w:cs="宋体"/>
          <w:color w:val="auto"/>
          <w:highlight w:val="none"/>
        </w:rPr>
      </w:pPr>
      <w:r>
        <w:rPr>
          <w:rFonts w:hint="eastAsia" w:ascii="宋体" w:hAnsi="宋体" w:cs="宋体"/>
          <w:color w:val="auto"/>
          <w:highlight w:val="none"/>
        </w:rPr>
        <w:t>身份证号：</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3DEA8765">
      <w:pPr>
        <w:spacing w:line="400" w:lineRule="exact"/>
        <w:ind w:firstLine="420" w:firstLineChars="200"/>
        <w:rPr>
          <w:rFonts w:asci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6958F180">
      <w:pPr>
        <w:spacing w:line="400" w:lineRule="exact"/>
        <w:ind w:firstLine="420" w:firstLineChars="200"/>
        <w:rPr>
          <w:rFonts w:asci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w:t>
      </w:r>
      <w:r>
        <w:rPr>
          <w:rFonts w:hint="eastAsia" w:ascii="宋体" w:hAnsi="宋体" w:cs="宋体"/>
          <w:color w:val="auto"/>
          <w:highlight w:val="none"/>
        </w:rPr>
        <w:t>；</w:t>
      </w:r>
    </w:p>
    <w:p w14:paraId="1435A41A">
      <w:pPr>
        <w:spacing w:line="400" w:lineRule="exact"/>
        <w:ind w:firstLine="420" w:firstLineChars="200"/>
        <w:rPr>
          <w:rFonts w:asci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68E542CC">
      <w:pPr>
        <w:spacing w:line="400" w:lineRule="exact"/>
        <w:ind w:firstLine="420" w:firstLineChars="200"/>
        <w:rPr>
          <w:rFonts w:asci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E4085A5">
      <w:pPr>
        <w:spacing w:line="400" w:lineRule="exact"/>
        <w:ind w:firstLine="420" w:firstLineChars="200"/>
        <w:rPr>
          <w:rFonts w:asci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4C53D63E">
      <w:pPr>
        <w:pStyle w:val="229"/>
        <w:rPr>
          <w:color w:val="auto"/>
          <w:highlight w:val="none"/>
        </w:rPr>
      </w:pPr>
      <w:r>
        <w:rPr>
          <w:rFonts w:hint="eastAsia"/>
          <w:color w:val="auto"/>
          <w:highlight w:val="none"/>
        </w:rPr>
        <w:t>电子信箱：</w:t>
      </w:r>
      <w:r>
        <w:rPr>
          <w:rFonts w:hint="eastAsia"/>
          <w:color w:val="auto"/>
          <w:highlight w:val="none"/>
          <w:u w:val="single"/>
        </w:rPr>
        <w:t xml:space="preserve">     /    </w:t>
      </w:r>
      <w:r>
        <w:rPr>
          <w:rFonts w:hint="eastAsia"/>
          <w:color w:val="auto"/>
          <w:highlight w:val="none"/>
        </w:rPr>
        <w:t>；</w:t>
      </w:r>
    </w:p>
    <w:p w14:paraId="474EF76B">
      <w:pPr>
        <w:pStyle w:val="229"/>
        <w:rPr>
          <w:color w:val="auto"/>
          <w:highlight w:val="none"/>
        </w:rPr>
      </w:pPr>
      <w:r>
        <w:rPr>
          <w:rFonts w:hint="eastAsia"/>
          <w:color w:val="auto"/>
          <w:highlight w:val="none"/>
        </w:rPr>
        <w:t>通信地址：</w:t>
      </w:r>
      <w:r>
        <w:rPr>
          <w:rFonts w:hint="eastAsia"/>
          <w:color w:val="auto"/>
          <w:highlight w:val="none"/>
          <w:u w:val="single"/>
        </w:rPr>
        <w:t>/     </w:t>
      </w:r>
      <w:r>
        <w:rPr>
          <w:rFonts w:hint="eastAsia"/>
          <w:color w:val="auto"/>
          <w:highlight w:val="none"/>
        </w:rPr>
        <w:t>；</w:t>
      </w:r>
    </w:p>
    <w:p w14:paraId="3B76971E">
      <w:pPr>
        <w:pStyle w:val="229"/>
        <w:rPr>
          <w:color w:val="auto"/>
          <w:highlight w:val="none"/>
        </w:rPr>
      </w:pPr>
      <w:r>
        <w:rPr>
          <w:rFonts w:hint="eastAsia"/>
          <w:color w:val="auto"/>
          <w:highlight w:val="none"/>
        </w:rPr>
        <w:t>承包人对项目经理的授权范围如下：（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4F902C2B">
      <w:pPr>
        <w:pStyle w:val="229"/>
        <w:rPr>
          <w:color w:val="auto"/>
          <w:highlight w:val="none"/>
        </w:rPr>
      </w:pPr>
      <w:r>
        <w:rPr>
          <w:rFonts w:hint="eastAsia"/>
          <w:color w:val="auto"/>
          <w:highlight w:val="none"/>
        </w:rPr>
        <w:t>关于项目经理更换的要求：经发包人书面同意，允许更换</w:t>
      </w:r>
      <w:r>
        <w:rPr>
          <w:rFonts w:hint="eastAsia"/>
          <w:color w:val="auto"/>
          <w:highlight w:val="none"/>
          <w:u w:val="single"/>
        </w:rPr>
        <w:t xml:space="preserve">     </w:t>
      </w:r>
      <w:r>
        <w:rPr>
          <w:rFonts w:hint="eastAsia"/>
          <w:color w:val="auto"/>
          <w:highlight w:val="none"/>
        </w:rPr>
        <w:t>次。关于项目经理每月在施工现场的时间要求：</w:t>
      </w:r>
      <w:r>
        <w:rPr>
          <w:rFonts w:hint="eastAsia"/>
          <w:color w:val="auto"/>
          <w:highlight w:val="none"/>
          <w:u w:val="single"/>
        </w:rPr>
        <w:t>不少于24天。</w:t>
      </w:r>
    </w:p>
    <w:p w14:paraId="68FB5864">
      <w:pPr>
        <w:pStyle w:val="229"/>
        <w:rPr>
          <w:color w:val="auto"/>
          <w:highlight w:val="none"/>
        </w:rPr>
      </w:pPr>
      <w:r>
        <w:rPr>
          <w:rFonts w:hint="eastAsia"/>
          <w:color w:val="auto"/>
          <w:highlight w:val="none"/>
        </w:rPr>
        <w:t>项目经理未经批准，擅自离开施工现场的违约责任：项目经理每月在岗带班时间不得少于当月施工时间的80%。未经发包人同意或无正当理由，项目经理每月在岗带班时间少于当月施工时间80%的，少在岗带班一天，发包人有权处违约金2000元/日（人民币）。</w:t>
      </w:r>
    </w:p>
    <w:p w14:paraId="0D7AEE51">
      <w:pPr>
        <w:pStyle w:val="229"/>
        <w:rPr>
          <w:color w:val="auto"/>
          <w:highlight w:val="none"/>
        </w:rPr>
      </w:pPr>
      <w:r>
        <w:rPr>
          <w:rFonts w:hint="eastAsia"/>
          <w:color w:val="auto"/>
          <w:highlight w:val="none"/>
        </w:rPr>
        <w:t>承包人未提交劳动合同，以及没有为项目经理缴纳社会保险证明的违约责任：</w:t>
      </w:r>
      <w:r>
        <w:rPr>
          <w:rFonts w:hint="eastAsia"/>
          <w:color w:val="auto"/>
          <w:highlight w:val="none"/>
          <w:u w:val="single"/>
        </w:rPr>
        <w:t>承包人应立即整改，发包人有权处违约金10000元（人民币）。</w:t>
      </w:r>
    </w:p>
    <w:p w14:paraId="401541D0">
      <w:pPr>
        <w:pStyle w:val="229"/>
        <w:rPr>
          <w:color w:val="auto"/>
          <w:highlight w:val="none"/>
        </w:rPr>
      </w:pPr>
      <w:r>
        <w:rPr>
          <w:rFonts w:hint="eastAsia"/>
          <w:color w:val="auto"/>
          <w:highlight w:val="none"/>
        </w:rPr>
        <w:t>3.2.3 承包人擅自更换项目经理的违约责任：承包人项目经理必须与承包人参与磋商时所承诺的人员一致，并在开工前7天到任。在监理人向承包人颁发本工程已竣工证明前，项目经理不得同时兼任其他任何项目的项目经理（符合桂建管【2013】17号文及桂建管【2016】70号除外）。未经发包人书面同意，承包人擅自更换项目经理的视为违约，发包人有权处违约金10000 元/人•次（人民币）并责令该项目经理到岗或令承包人调换与该项目经理同等业绩及能力的</w:t>
      </w:r>
      <w:r>
        <w:rPr>
          <w:rFonts w:hint="eastAsia"/>
          <w:color w:val="auto"/>
          <w:highlight w:val="none"/>
          <w:lang w:eastAsia="zh-CN"/>
        </w:rPr>
        <w:t>人员</w:t>
      </w:r>
      <w:r>
        <w:rPr>
          <w:rFonts w:hint="eastAsia"/>
          <w:color w:val="auto"/>
          <w:highlight w:val="none"/>
        </w:rPr>
        <w:t>担任本工程的项目经理。</w:t>
      </w:r>
    </w:p>
    <w:p w14:paraId="0A8A9EBC">
      <w:pPr>
        <w:pStyle w:val="229"/>
        <w:rPr>
          <w:color w:val="auto"/>
          <w:highlight w:val="none"/>
        </w:rPr>
      </w:pPr>
      <w:r>
        <w:rPr>
          <w:rFonts w:hint="eastAsia"/>
          <w:color w:val="auto"/>
          <w:highlight w:val="none"/>
        </w:rPr>
        <w:t>3.2.4 承包人无正当理由拒绝更换项目经理的违约责任：因承包人项目经理不称职，发包人要求调换而未及时调换的，视为承包人违约，发包人有权处违约金10000 元/人•次（人民币）并责令承包人调换经发包人认可的本工程项目经理。</w:t>
      </w:r>
    </w:p>
    <w:p w14:paraId="02F8416E">
      <w:pPr>
        <w:pStyle w:val="278"/>
        <w:rPr>
          <w:color w:val="auto"/>
          <w:highlight w:val="none"/>
        </w:rPr>
      </w:pPr>
      <w:bookmarkStart w:id="176" w:name="_Toc140098568"/>
      <w:bookmarkStart w:id="177" w:name="_Toc55373978"/>
      <w:bookmarkStart w:id="178" w:name="_Toc69641875"/>
      <w:r>
        <w:rPr>
          <w:rFonts w:hint="eastAsia"/>
          <w:color w:val="auto"/>
          <w:highlight w:val="none"/>
        </w:rPr>
        <w:t>3.3 承包人人员</w:t>
      </w:r>
      <w:bookmarkEnd w:id="176"/>
      <w:bookmarkEnd w:id="177"/>
      <w:bookmarkEnd w:id="178"/>
    </w:p>
    <w:p w14:paraId="08F2D61B">
      <w:pPr>
        <w:pStyle w:val="229"/>
        <w:rPr>
          <w:color w:val="auto"/>
          <w:highlight w:val="none"/>
        </w:rPr>
      </w:pPr>
      <w:r>
        <w:rPr>
          <w:rFonts w:hint="eastAsia"/>
          <w:color w:val="auto"/>
          <w:highlight w:val="none"/>
        </w:rPr>
        <w:t>3.3.1 承包人提交项目管理机构及施工现场管理人员安排（格式见合同附件6）报告的期限：</w:t>
      </w:r>
      <w:r>
        <w:rPr>
          <w:rFonts w:hint="eastAsia"/>
          <w:color w:val="auto"/>
          <w:highlight w:val="none"/>
          <w:u w:val="single"/>
        </w:rPr>
        <w:t>开工前7天。</w:t>
      </w:r>
    </w:p>
    <w:p w14:paraId="670C85AD">
      <w:pPr>
        <w:pStyle w:val="229"/>
        <w:rPr>
          <w:color w:val="auto"/>
          <w:highlight w:val="none"/>
        </w:rPr>
      </w:pPr>
      <w:r>
        <w:rPr>
          <w:rFonts w:hint="eastAsia"/>
          <w:color w:val="auto"/>
          <w:highlight w:val="none"/>
        </w:rPr>
        <w:t>3.3.3 承包人无正当理由拒绝撤换主要施工管理人员的违约责任：因承包人主要施工管理人员不称职，发包人要求调换而无正当理由拒绝撤换或未及时调换的，视为承包人违约，必须向发包人交纳违约金，违约金标准：技术负责人5000元/人•次（人民币）；专业工程师2000元/人•次（人民币）。</w:t>
      </w:r>
    </w:p>
    <w:p w14:paraId="667133B3">
      <w:pPr>
        <w:pStyle w:val="229"/>
        <w:rPr>
          <w:color w:val="auto"/>
          <w:highlight w:val="none"/>
        </w:rPr>
      </w:pPr>
      <w:r>
        <w:rPr>
          <w:rFonts w:hint="eastAsia"/>
          <w:color w:val="auto"/>
          <w:highlight w:val="none"/>
        </w:rPr>
        <w:t>3.3.4 承包人主要施工管理人员离开施工现场的批准要求：离开施工现场每月累计不超过5天的，应报监理人同意（执行通用条款）。</w:t>
      </w:r>
    </w:p>
    <w:p w14:paraId="1FD9403B">
      <w:pPr>
        <w:pStyle w:val="229"/>
        <w:rPr>
          <w:color w:val="auto"/>
          <w:highlight w:val="none"/>
        </w:rPr>
      </w:pPr>
      <w:r>
        <w:rPr>
          <w:rFonts w:hint="eastAsia"/>
          <w:color w:val="auto"/>
          <w:highlight w:val="none"/>
        </w:rPr>
        <w:t>3.3.5承包人擅自更换主要施工管理人员的违约责任：项目技术负责人、专职安全员及其承诺的其他在场管理人员未经发包人书面同意不准擅自更换，擅自更换项目技术负责人处6000元/人•次（人民币）违约金；擅自更换专职安全员处2500元/人•次（人民币）违约金；擅自更换其他在场管理人员处1000元/人•次（人民币）违约金；成交后，如承包人确需更换项目经理和技术负责人（不得同时更换），应至少提前7天以书面形式通知发包人，并征得发包人同意后方可更换，更换的人员要有同等资格及业绩证明，后任应继续行使合同约定的前任的职权，履行前任的义务；未经发包人同意承包人擅自更换项目班子主要人员，且拒绝执行发包人要求其调回原项目班子主要人员或调换同等胜任该职位的人员的，以违约论处，发包人有权终止合同并要求承包人限期离场。</w:t>
      </w:r>
    </w:p>
    <w:p w14:paraId="6C81E7FB">
      <w:pPr>
        <w:pStyle w:val="229"/>
        <w:rPr>
          <w:color w:val="auto"/>
          <w:highlight w:val="none"/>
        </w:rPr>
      </w:pPr>
      <w:r>
        <w:rPr>
          <w:rFonts w:hint="eastAsia"/>
          <w:color w:val="auto"/>
          <w:highlight w:val="none"/>
        </w:rPr>
        <w:t>承包人主要施工管理人员擅自离开施工现场的违约责任：未经发包人同意，项目技术负责人擅自离岗的，视为承包人违约，发包人有权处违约金500元/人•次（人民币）；未经发包人同意，专职安全员擅自离岗的，视为承包人违约，发包人有权处违约金200元/人•次（人民币）；其他在场管理人员擅自离岗的，视为承包人违约，发包人有权处违约金100 元/人•次（人民币）。</w:t>
      </w:r>
    </w:p>
    <w:p w14:paraId="4EAD6C23">
      <w:pPr>
        <w:pStyle w:val="229"/>
        <w:rPr>
          <w:color w:val="auto"/>
          <w:highlight w:val="none"/>
        </w:rPr>
      </w:pPr>
      <w:r>
        <w:rPr>
          <w:rFonts w:hint="eastAsia"/>
          <w:color w:val="auto"/>
          <w:highlight w:val="none"/>
        </w:rPr>
        <w:t>因承包人项目主要施工管理人员不称职，发包人要求调换而未及时调换的，视为承包人违约，发包人有权处违约金5000 元/人•次（人民币）并责令承包人调换可以胜任本工程相应岗位的管理人员。</w:t>
      </w:r>
    </w:p>
    <w:p w14:paraId="6E1A608A">
      <w:pPr>
        <w:pStyle w:val="278"/>
        <w:rPr>
          <w:color w:val="auto"/>
          <w:highlight w:val="none"/>
        </w:rPr>
      </w:pPr>
      <w:bookmarkStart w:id="179" w:name="_Toc69641876"/>
      <w:bookmarkStart w:id="180" w:name="_Toc140098569"/>
      <w:bookmarkStart w:id="181" w:name="_Toc55373979"/>
      <w:r>
        <w:rPr>
          <w:rFonts w:hint="eastAsia"/>
          <w:color w:val="auto"/>
          <w:highlight w:val="none"/>
        </w:rPr>
        <w:t>3.5 分包</w:t>
      </w:r>
      <w:bookmarkEnd w:id="179"/>
      <w:bookmarkEnd w:id="180"/>
      <w:bookmarkEnd w:id="181"/>
    </w:p>
    <w:p w14:paraId="04F68892">
      <w:pPr>
        <w:pStyle w:val="229"/>
        <w:rPr>
          <w:color w:val="auto"/>
          <w:highlight w:val="none"/>
        </w:rPr>
      </w:pPr>
      <w:r>
        <w:rPr>
          <w:rFonts w:hint="eastAsia"/>
          <w:color w:val="auto"/>
          <w:highlight w:val="none"/>
        </w:rPr>
        <w:t>3.5.1 分包的一般约定</w:t>
      </w:r>
    </w:p>
    <w:p w14:paraId="00E1F507">
      <w:pPr>
        <w:pStyle w:val="229"/>
        <w:rPr>
          <w:color w:val="auto"/>
          <w:highlight w:val="none"/>
        </w:rPr>
      </w:pPr>
      <w:r>
        <w:rPr>
          <w:rFonts w:hint="eastAsia"/>
          <w:color w:val="auto"/>
          <w:highlight w:val="none"/>
        </w:rPr>
        <w:t>禁止分包的工程包括： 按通用条款执行（除劳务分包以外）。</w:t>
      </w:r>
    </w:p>
    <w:p w14:paraId="7781B28E">
      <w:pPr>
        <w:pStyle w:val="229"/>
        <w:rPr>
          <w:color w:val="auto"/>
          <w:highlight w:val="none"/>
        </w:rPr>
      </w:pPr>
      <w:r>
        <w:rPr>
          <w:rFonts w:hint="eastAsia"/>
          <w:color w:val="auto"/>
          <w:highlight w:val="none"/>
        </w:rPr>
        <w:t>主体结构、关键性工作的范围：承包范围内各单位工程的地基基础工程、砌体工程、混凝土工程、钢筋工程、室外道路、室外管线等。</w:t>
      </w:r>
    </w:p>
    <w:p w14:paraId="45ABE773">
      <w:pPr>
        <w:pStyle w:val="229"/>
        <w:rPr>
          <w:color w:val="auto"/>
          <w:highlight w:val="none"/>
        </w:rPr>
      </w:pPr>
      <w:r>
        <w:rPr>
          <w:rFonts w:hint="eastAsia"/>
          <w:color w:val="auto"/>
          <w:highlight w:val="none"/>
        </w:rPr>
        <w:t>3.5.2分包的确定</w:t>
      </w:r>
    </w:p>
    <w:p w14:paraId="6EDB0183">
      <w:pPr>
        <w:pStyle w:val="229"/>
        <w:rPr>
          <w:color w:val="auto"/>
          <w:highlight w:val="none"/>
        </w:rPr>
      </w:pPr>
      <w:r>
        <w:rPr>
          <w:rFonts w:hint="eastAsia"/>
          <w:color w:val="auto"/>
          <w:highlight w:val="none"/>
        </w:rPr>
        <w:t>允许分包的专业工程包括：</w:t>
      </w:r>
      <w:r>
        <w:rPr>
          <w:rFonts w:hint="eastAsia"/>
          <w:color w:val="auto"/>
          <w:highlight w:val="none"/>
          <w:u w:val="single"/>
        </w:rPr>
        <w:t xml:space="preserve">无    </w:t>
      </w:r>
      <w:r>
        <w:rPr>
          <w:rFonts w:hint="eastAsia"/>
          <w:color w:val="auto"/>
          <w:highlight w:val="none"/>
        </w:rPr>
        <w:t>。</w:t>
      </w:r>
    </w:p>
    <w:p w14:paraId="62D5FD84">
      <w:pPr>
        <w:pStyle w:val="229"/>
        <w:rPr>
          <w:color w:val="auto"/>
          <w:highlight w:val="none"/>
        </w:rPr>
      </w:pPr>
      <w:r>
        <w:rPr>
          <w:rFonts w:hint="eastAsia"/>
          <w:color w:val="auto"/>
          <w:highlight w:val="none"/>
        </w:rPr>
        <w:t>3.5.4 分包合同价款</w:t>
      </w:r>
    </w:p>
    <w:p w14:paraId="466BA5C4">
      <w:pPr>
        <w:pStyle w:val="229"/>
        <w:rPr>
          <w:color w:val="auto"/>
          <w:highlight w:val="none"/>
        </w:rPr>
      </w:pPr>
      <w:r>
        <w:rPr>
          <w:rFonts w:hint="eastAsia"/>
          <w:color w:val="auto"/>
          <w:highlight w:val="none"/>
        </w:rPr>
        <w:t>关于分包合同价款支付的约定：</w:t>
      </w:r>
      <w:r>
        <w:rPr>
          <w:rFonts w:hint="eastAsia"/>
          <w:color w:val="auto"/>
          <w:highlight w:val="none"/>
          <w:u w:val="single"/>
        </w:rPr>
        <w:t>无    。</w:t>
      </w:r>
    </w:p>
    <w:p w14:paraId="2AC330DD">
      <w:pPr>
        <w:pStyle w:val="278"/>
        <w:rPr>
          <w:color w:val="auto"/>
          <w:highlight w:val="none"/>
        </w:rPr>
      </w:pPr>
      <w:bookmarkStart w:id="182" w:name="_Toc69641877"/>
      <w:bookmarkStart w:id="183" w:name="_Toc55373980"/>
      <w:bookmarkStart w:id="184" w:name="_Toc140098570"/>
      <w:r>
        <w:rPr>
          <w:rFonts w:hint="eastAsia"/>
          <w:color w:val="auto"/>
          <w:highlight w:val="none"/>
        </w:rPr>
        <w:t>3.6 工程照管与成品、半成品保护</w:t>
      </w:r>
      <w:bookmarkEnd w:id="182"/>
      <w:bookmarkEnd w:id="183"/>
      <w:bookmarkEnd w:id="184"/>
    </w:p>
    <w:p w14:paraId="1D364DE7">
      <w:pPr>
        <w:pStyle w:val="229"/>
        <w:rPr>
          <w:color w:val="auto"/>
          <w:highlight w:val="none"/>
          <w:u w:val="single"/>
        </w:rPr>
      </w:pPr>
      <w:r>
        <w:rPr>
          <w:rFonts w:hint="eastAsia"/>
          <w:color w:val="auto"/>
          <w:highlight w:val="none"/>
        </w:rPr>
        <w:t>承包人负责照管工程及工程相关的材料、工程设备的起始时间：</w:t>
      </w:r>
      <w:r>
        <w:rPr>
          <w:rFonts w:hint="eastAsia"/>
          <w:color w:val="auto"/>
          <w:highlight w:val="none"/>
          <w:u w:val="single"/>
        </w:rPr>
        <w:t>按通用条款，无特殊约定。</w:t>
      </w:r>
    </w:p>
    <w:p w14:paraId="47575290">
      <w:pPr>
        <w:pStyle w:val="278"/>
        <w:rPr>
          <w:color w:val="auto"/>
          <w:highlight w:val="none"/>
        </w:rPr>
      </w:pPr>
      <w:bookmarkStart w:id="185" w:name="_Toc140098571"/>
      <w:bookmarkStart w:id="186" w:name="_Toc69641878"/>
      <w:bookmarkStart w:id="187" w:name="_Toc55373981"/>
      <w:r>
        <w:rPr>
          <w:rFonts w:hint="eastAsia"/>
          <w:color w:val="auto"/>
          <w:highlight w:val="none"/>
        </w:rPr>
        <w:t>3.7 履约担保</w:t>
      </w:r>
      <w:bookmarkEnd w:id="185"/>
      <w:bookmarkEnd w:id="186"/>
      <w:bookmarkEnd w:id="187"/>
    </w:p>
    <w:p w14:paraId="7C072843">
      <w:pPr>
        <w:pStyle w:val="229"/>
        <w:rPr>
          <w:color w:val="auto"/>
          <w:highlight w:val="none"/>
        </w:rPr>
      </w:pPr>
      <w:r>
        <w:rPr>
          <w:rFonts w:hint="eastAsia"/>
          <w:color w:val="auto"/>
          <w:highlight w:val="none"/>
        </w:rPr>
        <w:t>承包人是否提供履约担保：</w:t>
      </w:r>
      <w:r>
        <w:rPr>
          <w:rFonts w:hint="eastAsia"/>
          <w:color w:val="auto"/>
          <w:highlight w:val="none"/>
          <w:u w:val="single"/>
        </w:rPr>
        <w:t xml:space="preserve"> 提供 。</w:t>
      </w:r>
    </w:p>
    <w:p w14:paraId="39A09D42">
      <w:pPr>
        <w:spacing w:line="400" w:lineRule="exact"/>
        <w:ind w:firstLine="420" w:firstLineChars="200"/>
        <w:jc w:val="left"/>
        <w:rPr>
          <w:rFonts w:ascii="宋体" w:hAnsi="宋体" w:cs="宋体"/>
          <w:color w:val="auto"/>
          <w:highlight w:val="none"/>
          <w:u w:val="single"/>
        </w:rPr>
      </w:pPr>
      <w:r>
        <w:rPr>
          <w:rFonts w:hint="eastAsia" w:ascii="宋体" w:hAnsi="宋体" w:cs="宋体"/>
          <w:color w:val="auto"/>
          <w:highlight w:val="none"/>
        </w:rPr>
        <w:t>承包人提供履约担保的形式、金额及期限：</w:t>
      </w:r>
      <w:r>
        <w:rPr>
          <w:rFonts w:hint="eastAsia" w:ascii="宋体" w:hAnsi="宋体" w:cs="宋体"/>
          <w:color w:val="auto"/>
          <w:highlight w:val="none"/>
          <w:u w:val="single"/>
        </w:rPr>
        <w:t>自成交通知书发出之日起25日内（但必须在签订合同前）</w:t>
      </w:r>
      <w:r>
        <w:rPr>
          <w:rFonts w:hint="eastAsia" w:hAnsi="宋体" w:cs="宋体"/>
          <w:color w:val="auto"/>
          <w:szCs w:val="21"/>
          <w:highlight w:val="none"/>
          <w:u w:val="single"/>
        </w:rPr>
        <w:t>，承包人按成交金额的5%（如承包人为中小微企业的，按成交金额的2%）向发包人交纳履约保证金</w:t>
      </w:r>
      <w:r>
        <w:rPr>
          <w:rFonts w:hAnsi="宋体" w:cs="宋体"/>
          <w:color w:val="auto"/>
          <w:szCs w:val="21"/>
          <w:highlight w:val="none"/>
          <w:u w:val="single"/>
        </w:rPr>
        <w:t>。</w:t>
      </w:r>
      <w:r>
        <w:rPr>
          <w:rFonts w:hint="eastAsia" w:hAnsi="宋体" w:cs="宋体"/>
          <w:color w:val="auto"/>
          <w:szCs w:val="21"/>
          <w:highlight w:val="none"/>
          <w:u w:val="single"/>
        </w:rPr>
        <w:t>履约担保的有效期应当自本合同生效之日起至发包人签认并由监理人向承包人出具建设</w:t>
      </w:r>
      <w:r>
        <w:rPr>
          <w:rFonts w:hint="eastAsia" w:ascii="宋体" w:hAnsi="宋体" w:cs="宋体"/>
          <w:color w:val="auto"/>
          <w:highlight w:val="none"/>
          <w:u w:val="single"/>
        </w:rPr>
        <w:t>工程竣工验收意见书</w:t>
      </w:r>
      <w:r>
        <w:rPr>
          <w:rFonts w:hint="eastAsia" w:hAnsi="宋体" w:cs="宋体"/>
          <w:color w:val="auto"/>
          <w:szCs w:val="21"/>
          <w:highlight w:val="none"/>
          <w:u w:val="single"/>
        </w:rPr>
        <w:t>之日止。如果承包人无法获得一份不带具体截止日期的担保，履约担保中应当有</w:t>
      </w:r>
      <w:r>
        <w:rPr>
          <w:color w:val="auto"/>
          <w:szCs w:val="21"/>
          <w:highlight w:val="none"/>
          <w:u w:val="single"/>
        </w:rPr>
        <w:t>“</w:t>
      </w:r>
      <w:r>
        <w:rPr>
          <w:rFonts w:hint="eastAsia" w:hAnsi="宋体" w:cs="宋体"/>
          <w:color w:val="auto"/>
          <w:szCs w:val="21"/>
          <w:highlight w:val="none"/>
          <w:u w:val="single"/>
        </w:rPr>
        <w:t>变更工程竣工日期的，保证期间按照变更后的竣工日期做相应调整</w:t>
      </w:r>
      <w:r>
        <w:rPr>
          <w:color w:val="auto"/>
          <w:szCs w:val="21"/>
          <w:highlight w:val="none"/>
          <w:u w:val="single"/>
        </w:rPr>
        <w:t>”</w:t>
      </w:r>
      <w:r>
        <w:rPr>
          <w:rFonts w:hint="eastAsia" w:hAnsi="宋体" w:cs="宋体"/>
          <w:color w:val="auto"/>
          <w:szCs w:val="21"/>
          <w:highlight w:val="none"/>
          <w:u w:val="single"/>
        </w:rPr>
        <w:t>或类似约定的条款。</w:t>
      </w:r>
      <w:r>
        <w:rPr>
          <w:rFonts w:hint="eastAsia" w:ascii="宋体" w:hAnsi="宋体" w:cs="宋体"/>
          <w:color w:val="auto"/>
          <w:highlight w:val="none"/>
          <w:u w:val="single"/>
        </w:rPr>
        <w:t>若承包人未及时提供履约担保，发包人暂停支付工程款。</w:t>
      </w:r>
    </w:p>
    <w:p w14:paraId="61BDBDD3">
      <w:pPr>
        <w:spacing w:line="400" w:lineRule="exact"/>
        <w:ind w:firstLine="420" w:firstLineChars="200"/>
        <w:jc w:val="left"/>
        <w:rPr>
          <w:rFonts w:hAnsi="宋体" w:cs="宋体"/>
          <w:color w:val="auto"/>
          <w:highlight w:val="none"/>
          <w:u w:val="single"/>
        </w:rPr>
      </w:pPr>
      <w:r>
        <w:rPr>
          <w:rFonts w:hint="eastAsia" w:hAnsi="宋体" w:cs="宋体"/>
          <w:color w:val="auto"/>
          <w:highlight w:val="none"/>
        </w:rPr>
        <w:t>承包人提供履约担保的形式：</w:t>
      </w:r>
      <w:r>
        <w:rPr>
          <w:rFonts w:hint="eastAsia"/>
          <w:color w:val="auto"/>
          <w:highlight w:val="none"/>
          <w:u w:val="single"/>
        </w:rPr>
        <w:t>可以是</w:t>
      </w:r>
      <w:r>
        <w:rPr>
          <w:rFonts w:hint="eastAsia" w:hAnsi="宋体" w:cs="宋体"/>
          <w:color w:val="auto"/>
          <w:highlight w:val="none"/>
          <w:u w:val="single"/>
        </w:rPr>
        <w:t>银行转账、电汇或网上支付、保函【银行保函</w:t>
      </w:r>
      <w:r>
        <w:rPr>
          <w:rFonts w:hint="eastAsia" w:ascii="宋体" w:hAnsi="宋体" w:cs="宋体"/>
          <w:color w:val="auto"/>
          <w:highlight w:val="none"/>
          <w:u w:val="single"/>
        </w:rPr>
        <w:t>（详见附件10）、</w:t>
      </w:r>
      <w:r>
        <w:rPr>
          <w:rFonts w:hint="eastAsia" w:hAnsi="宋体" w:cs="宋体"/>
          <w:color w:val="auto"/>
          <w:highlight w:val="none"/>
          <w:u w:val="single"/>
        </w:rPr>
        <w:t>电子</w:t>
      </w:r>
      <w:r>
        <w:rPr>
          <w:rFonts w:hAnsi="宋体" w:cs="宋体"/>
          <w:color w:val="auto"/>
          <w:highlight w:val="none"/>
          <w:u w:val="single"/>
        </w:rPr>
        <w:t>保函</w:t>
      </w:r>
      <w:r>
        <w:rPr>
          <w:rFonts w:hint="eastAsia" w:hAnsi="宋体" w:cs="宋体"/>
          <w:color w:val="auto"/>
          <w:highlight w:val="none"/>
          <w:u w:val="single"/>
        </w:rPr>
        <w:t>、保证保险保函、工程担保保函</w:t>
      </w:r>
      <w:r>
        <w:rPr>
          <w:rFonts w:hint="eastAsia" w:ascii="宋体" w:hAnsi="宋体" w:cs="宋体"/>
          <w:color w:val="auto"/>
          <w:highlight w:val="none"/>
          <w:u w:val="single"/>
        </w:rPr>
        <w:t>（详见附件9）</w:t>
      </w:r>
      <w:r>
        <w:rPr>
          <w:rFonts w:hint="eastAsia" w:hAnsi="宋体" w:cs="宋体"/>
          <w:color w:val="auto"/>
          <w:highlight w:val="none"/>
          <w:u w:val="single"/>
        </w:rPr>
        <w:t>】</w:t>
      </w:r>
      <w:r>
        <w:rPr>
          <w:rFonts w:hint="eastAsia" w:hAnsi="宋体"/>
          <w:color w:val="auto"/>
          <w:highlight w:val="none"/>
          <w:u w:val="single"/>
        </w:rPr>
        <w:t>等</w:t>
      </w:r>
      <w:r>
        <w:rPr>
          <w:rFonts w:hint="eastAsia" w:hAnsi="宋体" w:cs="宋体"/>
          <w:color w:val="auto"/>
          <w:highlight w:val="none"/>
          <w:u w:val="single"/>
        </w:rPr>
        <w:t>形</w:t>
      </w:r>
      <w:r>
        <w:rPr>
          <w:rFonts w:hint="eastAsia" w:hAnsi="宋体"/>
          <w:color w:val="auto"/>
          <w:highlight w:val="none"/>
          <w:u w:val="single"/>
        </w:rPr>
        <w:t>式</w:t>
      </w:r>
      <w:r>
        <w:rPr>
          <w:rFonts w:hint="eastAsia" w:hAnsi="宋体" w:cs="宋体"/>
          <w:color w:val="auto"/>
          <w:highlight w:val="none"/>
          <w:u w:val="single"/>
        </w:rPr>
        <w:t>。</w:t>
      </w:r>
    </w:p>
    <w:p w14:paraId="4728211E">
      <w:pPr>
        <w:pStyle w:val="229"/>
        <w:rPr>
          <w:color w:val="auto"/>
          <w:highlight w:val="none"/>
        </w:rPr>
      </w:pPr>
      <w:r>
        <w:rPr>
          <w:rFonts w:hint="eastAsia"/>
          <w:color w:val="auto"/>
          <w:highlight w:val="none"/>
        </w:rPr>
        <w:t>履约保证金不计利息，工程竣工验收合格并对验收发现的问题完成整改合格后，承包人可向发包人申请退还履约保证金，发包人应在收到申请之日起5个工作日内扣减承包人赔偿金和其他应从承包人扣回的款项后，将履约保证金的余额退还给承包人。（承包人若有违约，按专用条款7.5.2条执行，发包人可从应向承包人支付的任何金额中扣除违约款或以其他方式收回此款）。</w:t>
      </w:r>
    </w:p>
    <w:p w14:paraId="698B5117">
      <w:pPr>
        <w:spacing w:line="400" w:lineRule="exact"/>
        <w:ind w:firstLine="420" w:firstLineChars="200"/>
        <w:jc w:val="left"/>
        <w:rPr>
          <w:rFonts w:hAnsi="宋体"/>
          <w:color w:val="auto"/>
          <w:szCs w:val="21"/>
          <w:highlight w:val="none"/>
          <w:u w:val="single"/>
        </w:rPr>
      </w:pPr>
    </w:p>
    <w:p w14:paraId="20B2CD5A">
      <w:pPr>
        <w:adjustRightInd w:val="0"/>
        <w:spacing w:line="380" w:lineRule="exact"/>
        <w:ind w:firstLine="420" w:firstLineChars="200"/>
        <w:jc w:val="left"/>
        <w:rPr>
          <w:rFonts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067CC20D">
      <w:pPr>
        <w:pStyle w:val="229"/>
        <w:rPr>
          <w:color w:val="auto"/>
          <w:highlight w:val="none"/>
          <w:u w:val="single"/>
        </w:rPr>
      </w:pPr>
      <w:r>
        <w:rPr>
          <w:rFonts w:hint="eastAsia"/>
          <w:color w:val="auto"/>
          <w:highlight w:val="none"/>
        </w:rPr>
        <w:t>履约保证金不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p w14:paraId="7B2D23B7">
      <w:pPr>
        <w:pStyle w:val="291"/>
        <w:ind w:firstLine="422"/>
        <w:rPr>
          <w:color w:val="auto"/>
          <w:highlight w:val="none"/>
        </w:rPr>
      </w:pPr>
      <w:bookmarkStart w:id="188" w:name="_Toc140098572"/>
      <w:bookmarkStart w:id="189" w:name="_Toc55373982"/>
      <w:bookmarkStart w:id="190" w:name="_Toc69641879"/>
      <w:r>
        <w:rPr>
          <w:rFonts w:hint="eastAsia"/>
          <w:color w:val="auto"/>
          <w:highlight w:val="none"/>
        </w:rPr>
        <w:t>4. 监理人</w:t>
      </w:r>
      <w:bookmarkEnd w:id="188"/>
      <w:bookmarkEnd w:id="189"/>
      <w:bookmarkEnd w:id="190"/>
    </w:p>
    <w:p w14:paraId="0DC03020">
      <w:pPr>
        <w:pStyle w:val="278"/>
        <w:rPr>
          <w:color w:val="auto"/>
          <w:highlight w:val="none"/>
        </w:rPr>
      </w:pPr>
      <w:bookmarkStart w:id="191" w:name="_Toc55373983"/>
      <w:bookmarkStart w:id="192" w:name="_Toc140098573"/>
      <w:bookmarkStart w:id="193" w:name="_Toc69641880"/>
      <w:r>
        <w:rPr>
          <w:rFonts w:hint="eastAsia"/>
          <w:color w:val="auto"/>
          <w:highlight w:val="none"/>
        </w:rPr>
        <w:t>4.1监理人的一般规定</w:t>
      </w:r>
      <w:bookmarkEnd w:id="191"/>
      <w:bookmarkEnd w:id="192"/>
      <w:bookmarkEnd w:id="193"/>
    </w:p>
    <w:p w14:paraId="2102ECDB">
      <w:pPr>
        <w:pStyle w:val="229"/>
        <w:rPr>
          <w:color w:val="auto"/>
          <w:highlight w:val="none"/>
        </w:rPr>
      </w:pPr>
      <w:r>
        <w:rPr>
          <w:rFonts w:hint="eastAsia"/>
          <w:color w:val="auto"/>
          <w:highlight w:val="none"/>
        </w:rPr>
        <w:t>关于监理人的监理内容：</w:t>
      </w:r>
      <w:r>
        <w:rPr>
          <w:rFonts w:hint="eastAsia"/>
          <w:color w:val="auto"/>
          <w:highlight w:val="none"/>
          <w:u w:val="single"/>
        </w:rPr>
        <w:t xml:space="preserve"> 见监理合同。</w:t>
      </w:r>
    </w:p>
    <w:p w14:paraId="08454E00">
      <w:pPr>
        <w:pStyle w:val="229"/>
        <w:rPr>
          <w:color w:val="auto"/>
          <w:highlight w:val="none"/>
        </w:rPr>
      </w:pPr>
      <w:r>
        <w:rPr>
          <w:rFonts w:hint="eastAsia"/>
          <w:color w:val="auto"/>
          <w:highlight w:val="none"/>
        </w:rPr>
        <w:t>关于监理人的监理权限：</w:t>
      </w:r>
      <w:r>
        <w:rPr>
          <w:rFonts w:hint="eastAsia"/>
          <w:color w:val="auto"/>
          <w:highlight w:val="none"/>
          <w:u w:val="single"/>
        </w:rPr>
        <w:t>见监理合同。</w:t>
      </w:r>
      <w:r>
        <w:rPr>
          <w:rFonts w:hint="eastAsia"/>
          <w:color w:val="auto"/>
          <w:highlight w:val="none"/>
        </w:rPr>
        <w:t xml:space="preserve"> </w:t>
      </w:r>
    </w:p>
    <w:p w14:paraId="65CE1191">
      <w:pPr>
        <w:pStyle w:val="229"/>
        <w:rPr>
          <w:color w:val="auto"/>
          <w:highlight w:val="none"/>
        </w:rPr>
      </w:pPr>
      <w:r>
        <w:rPr>
          <w:rFonts w:hint="eastAsia"/>
          <w:color w:val="auto"/>
          <w:highlight w:val="none"/>
        </w:rPr>
        <w:t>关于监理人在施工现场的办公场所、生活场所的提供和费用承担的约定：向监理人提供本工程办公室及相关办公桌椅。提供有关条件的内容和可能发生的费用由承包人承担。</w:t>
      </w:r>
    </w:p>
    <w:p w14:paraId="2D84D107">
      <w:pPr>
        <w:pStyle w:val="278"/>
        <w:rPr>
          <w:color w:val="auto"/>
          <w:highlight w:val="none"/>
        </w:rPr>
      </w:pPr>
      <w:bookmarkStart w:id="194" w:name="_Toc140098574"/>
      <w:bookmarkStart w:id="195" w:name="_Toc55373984"/>
      <w:bookmarkStart w:id="196" w:name="_Toc69641881"/>
      <w:r>
        <w:rPr>
          <w:rFonts w:hint="eastAsia"/>
          <w:color w:val="auto"/>
          <w:highlight w:val="none"/>
        </w:rPr>
        <w:t>4.2 监理人员</w:t>
      </w:r>
      <w:bookmarkEnd w:id="194"/>
      <w:bookmarkEnd w:id="195"/>
      <w:bookmarkEnd w:id="196"/>
    </w:p>
    <w:p w14:paraId="5B53BBDA">
      <w:pPr>
        <w:pStyle w:val="229"/>
        <w:rPr>
          <w:color w:val="auto"/>
          <w:highlight w:val="none"/>
        </w:rPr>
      </w:pPr>
      <w:r>
        <w:rPr>
          <w:rFonts w:hint="eastAsia"/>
          <w:color w:val="auto"/>
          <w:highlight w:val="none"/>
        </w:rPr>
        <w:t xml:space="preserve">总监理工程师： </w:t>
      </w:r>
    </w:p>
    <w:p w14:paraId="365A90E2">
      <w:pPr>
        <w:pStyle w:val="229"/>
        <w:rPr>
          <w:color w:val="auto"/>
          <w:highlight w:val="none"/>
        </w:rPr>
      </w:pPr>
      <w:r>
        <w:rPr>
          <w:rFonts w:hint="eastAsia"/>
          <w:color w:val="auto"/>
          <w:highlight w:val="none"/>
        </w:rPr>
        <w:t>姓    名：</w:t>
      </w:r>
      <w:r>
        <w:rPr>
          <w:rFonts w:hint="eastAsia"/>
          <w:color w:val="auto"/>
          <w:highlight w:val="none"/>
          <w:u w:val="single"/>
        </w:rPr>
        <w:t xml:space="preserve">                                   </w:t>
      </w:r>
      <w:r>
        <w:rPr>
          <w:rFonts w:hint="eastAsia"/>
          <w:color w:val="auto"/>
          <w:highlight w:val="none"/>
        </w:rPr>
        <w:t>；</w:t>
      </w:r>
    </w:p>
    <w:p w14:paraId="4B74FD27">
      <w:pPr>
        <w:pStyle w:val="229"/>
        <w:rPr>
          <w:color w:val="auto"/>
          <w:highlight w:val="none"/>
        </w:rPr>
      </w:pPr>
      <w:r>
        <w:rPr>
          <w:rFonts w:hint="eastAsia"/>
          <w:color w:val="auto"/>
          <w:highlight w:val="none"/>
        </w:rPr>
        <w:t>监理工程师执业资格证书号：</w:t>
      </w:r>
      <w:r>
        <w:rPr>
          <w:rFonts w:hint="eastAsia"/>
          <w:color w:val="auto"/>
          <w:highlight w:val="none"/>
          <w:u w:val="single"/>
        </w:rPr>
        <w:t xml:space="preserve">                   </w:t>
      </w:r>
      <w:r>
        <w:rPr>
          <w:rFonts w:hint="eastAsia"/>
          <w:color w:val="auto"/>
          <w:highlight w:val="none"/>
        </w:rPr>
        <w:t>；</w:t>
      </w:r>
    </w:p>
    <w:p w14:paraId="62208CD8">
      <w:pPr>
        <w:pStyle w:val="229"/>
        <w:rPr>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color w:val="auto"/>
          <w:highlight w:val="none"/>
        </w:rPr>
        <w:t xml:space="preserve"> 。</w:t>
      </w:r>
    </w:p>
    <w:p w14:paraId="15C825D8">
      <w:pPr>
        <w:pStyle w:val="278"/>
        <w:rPr>
          <w:color w:val="auto"/>
          <w:highlight w:val="none"/>
        </w:rPr>
      </w:pPr>
      <w:bookmarkStart w:id="197" w:name="_Toc55373985"/>
      <w:bookmarkStart w:id="198" w:name="_Toc140098575"/>
      <w:bookmarkStart w:id="199" w:name="_Toc69641882"/>
      <w:r>
        <w:rPr>
          <w:rFonts w:hint="eastAsia"/>
          <w:color w:val="auto"/>
          <w:highlight w:val="none"/>
        </w:rPr>
        <w:t>4.4 商定或确定</w:t>
      </w:r>
      <w:bookmarkEnd w:id="197"/>
      <w:bookmarkEnd w:id="198"/>
      <w:bookmarkEnd w:id="199"/>
    </w:p>
    <w:p w14:paraId="3A608E1C">
      <w:pPr>
        <w:pStyle w:val="229"/>
        <w:rPr>
          <w:color w:val="auto"/>
          <w:highlight w:val="none"/>
        </w:rPr>
      </w:pPr>
      <w:r>
        <w:rPr>
          <w:rFonts w:hint="eastAsia"/>
          <w:color w:val="auto"/>
          <w:highlight w:val="none"/>
        </w:rPr>
        <w:t>在发包人和承包人不能通过协商达成一致意见时，发包人授权监理人对以下事项进行确定：</w:t>
      </w:r>
    </w:p>
    <w:p w14:paraId="25389C51">
      <w:pPr>
        <w:pStyle w:val="229"/>
        <w:rPr>
          <w:color w:val="auto"/>
          <w:highlight w:val="none"/>
        </w:rPr>
      </w:pPr>
      <w:r>
        <w:rPr>
          <w:rFonts w:hint="eastAsia"/>
          <w:color w:val="auto"/>
          <w:highlight w:val="none"/>
        </w:rPr>
        <w:t>（1）合同约定总监理工程师应按照本款对任何事项进行商定或确定时，总监理工程师应与合同当事人协商，尽量达成一致。不能达成一致的，总监理工程师应认真研究后审慎确定。</w:t>
      </w:r>
    </w:p>
    <w:p w14:paraId="07D1A898">
      <w:pPr>
        <w:pStyle w:val="229"/>
        <w:rPr>
          <w:color w:val="auto"/>
          <w:kern w:val="0"/>
          <w:highlight w:val="none"/>
        </w:rPr>
      </w:pPr>
      <w:r>
        <w:rPr>
          <w:rFonts w:hint="eastAsia"/>
          <w:color w:val="auto"/>
          <w:highlight w:val="none"/>
        </w:rPr>
        <w:t>（2）总监理工程师应将商定或确定的事项通知合同当事人，并附详细依据。对总监理工程师的确定有异议的，构成争议，按照专用条款第20条的约定处理。按照专用条款第20条的约定对总监理工程师的确定作出修改的，按修改后的结果执行。</w:t>
      </w:r>
    </w:p>
    <w:p w14:paraId="113D888B">
      <w:pPr>
        <w:pStyle w:val="291"/>
        <w:ind w:firstLine="422"/>
        <w:rPr>
          <w:color w:val="auto"/>
          <w:highlight w:val="none"/>
        </w:rPr>
      </w:pPr>
      <w:bookmarkStart w:id="200" w:name="_Toc69641883"/>
      <w:bookmarkStart w:id="201" w:name="_Toc140098576"/>
      <w:bookmarkStart w:id="202" w:name="_Toc55373986"/>
      <w:r>
        <w:rPr>
          <w:rFonts w:hint="eastAsia"/>
          <w:color w:val="auto"/>
          <w:highlight w:val="none"/>
        </w:rPr>
        <w:t>5. 工程质量</w:t>
      </w:r>
      <w:bookmarkEnd w:id="200"/>
      <w:bookmarkEnd w:id="201"/>
      <w:bookmarkEnd w:id="202"/>
    </w:p>
    <w:p w14:paraId="00ABEE41">
      <w:pPr>
        <w:pStyle w:val="278"/>
        <w:rPr>
          <w:color w:val="auto"/>
          <w:highlight w:val="none"/>
        </w:rPr>
      </w:pPr>
      <w:bookmarkStart w:id="203" w:name="_Toc69641884"/>
      <w:bookmarkStart w:id="204" w:name="_Toc55373987"/>
      <w:bookmarkStart w:id="205" w:name="_Toc140098577"/>
      <w:r>
        <w:rPr>
          <w:rFonts w:hint="eastAsia"/>
          <w:color w:val="auto"/>
          <w:highlight w:val="none"/>
        </w:rPr>
        <w:t>5.1 质量要求</w:t>
      </w:r>
      <w:bookmarkEnd w:id="203"/>
      <w:bookmarkEnd w:id="204"/>
      <w:bookmarkEnd w:id="205"/>
    </w:p>
    <w:p w14:paraId="5EDFD81A">
      <w:pPr>
        <w:pStyle w:val="229"/>
        <w:rPr>
          <w:color w:val="auto"/>
          <w:highlight w:val="none"/>
        </w:rPr>
      </w:pPr>
      <w:r>
        <w:rPr>
          <w:rFonts w:hint="eastAsia"/>
          <w:color w:val="auto"/>
          <w:highlight w:val="none"/>
        </w:rPr>
        <w:t>5.1.1 特殊质量标准和要求：</w:t>
      </w:r>
      <w:r>
        <w:rPr>
          <w:rFonts w:hint="eastAsia"/>
          <w:color w:val="auto"/>
          <w:highlight w:val="none"/>
          <w:u w:val="single"/>
        </w:rPr>
        <w:t xml:space="preserve">   /   </w:t>
      </w:r>
      <w:r>
        <w:rPr>
          <w:rFonts w:hint="eastAsia"/>
          <w:color w:val="auto"/>
          <w:highlight w:val="none"/>
        </w:rPr>
        <w:t>。</w:t>
      </w:r>
    </w:p>
    <w:p w14:paraId="4C7248E5">
      <w:pPr>
        <w:pStyle w:val="229"/>
        <w:rPr>
          <w:color w:val="auto"/>
          <w:highlight w:val="none"/>
        </w:rPr>
      </w:pPr>
      <w:r>
        <w:rPr>
          <w:rFonts w:hint="eastAsia"/>
          <w:color w:val="auto"/>
          <w:highlight w:val="none"/>
        </w:rPr>
        <w:t>关于工程奖项的约定：</w:t>
      </w:r>
      <w:r>
        <w:rPr>
          <w:rFonts w:hint="eastAsia"/>
          <w:color w:val="auto"/>
          <w:highlight w:val="none"/>
          <w:u w:val="single"/>
        </w:rPr>
        <w:t xml:space="preserve">    无   </w:t>
      </w:r>
      <w:r>
        <w:rPr>
          <w:rFonts w:hint="eastAsia"/>
          <w:color w:val="auto"/>
          <w:highlight w:val="none"/>
        </w:rPr>
        <w:t>。</w:t>
      </w:r>
    </w:p>
    <w:p w14:paraId="57634A43">
      <w:pPr>
        <w:pStyle w:val="278"/>
        <w:rPr>
          <w:color w:val="auto"/>
          <w:highlight w:val="none"/>
        </w:rPr>
      </w:pPr>
      <w:bookmarkStart w:id="206" w:name="_Toc69641885"/>
      <w:bookmarkStart w:id="207" w:name="_Toc55373988"/>
      <w:bookmarkStart w:id="208" w:name="_Toc140098578"/>
      <w:r>
        <w:rPr>
          <w:rFonts w:hint="eastAsia"/>
          <w:color w:val="auto"/>
          <w:highlight w:val="none"/>
        </w:rPr>
        <w:t>5.3 隐蔽工程检查</w:t>
      </w:r>
      <w:bookmarkEnd w:id="206"/>
      <w:bookmarkEnd w:id="207"/>
      <w:bookmarkEnd w:id="208"/>
    </w:p>
    <w:p w14:paraId="1724DAB6">
      <w:pPr>
        <w:pStyle w:val="229"/>
        <w:rPr>
          <w:color w:val="auto"/>
          <w:highlight w:val="none"/>
        </w:rPr>
      </w:pPr>
      <w:r>
        <w:rPr>
          <w:rFonts w:hint="eastAsia"/>
          <w:color w:val="auto"/>
          <w:highlight w:val="none"/>
        </w:rPr>
        <w:t>5.3.2承包人提前通知监理人隐蔽工程检查的期限的约定：隐蔽工程或中间验收前12小时以书面形式通知发包人和监理工程师验收的内容、时间、地点，承包人准备验收记录单（最好是印制的表格）由双方签证。验收合格，承包人可进行隐蔽和继续施工；验收不合格，双方商定时限内修改后按上述</w:t>
      </w:r>
      <w:r>
        <w:rPr>
          <w:rFonts w:hint="eastAsia"/>
          <w:color w:val="auto"/>
          <w:highlight w:val="none"/>
          <w:lang w:eastAsia="zh-CN"/>
        </w:rPr>
        <w:t>顺序</w:t>
      </w:r>
      <w:r>
        <w:rPr>
          <w:rFonts w:hint="eastAsia"/>
          <w:color w:val="auto"/>
          <w:highlight w:val="none"/>
        </w:rPr>
        <w:t>重新验收。</w:t>
      </w:r>
    </w:p>
    <w:p w14:paraId="7BE740F2">
      <w:pPr>
        <w:pStyle w:val="229"/>
        <w:rPr>
          <w:color w:val="auto"/>
          <w:highlight w:val="none"/>
        </w:rPr>
      </w:pPr>
      <w:r>
        <w:rPr>
          <w:rFonts w:hint="eastAsia"/>
          <w:color w:val="auto"/>
          <w:highlight w:val="none"/>
        </w:rPr>
        <w:t>监理人不能按时进行检查时，应提前</w:t>
      </w:r>
      <w:r>
        <w:rPr>
          <w:rFonts w:hint="eastAsia"/>
          <w:color w:val="auto"/>
          <w:highlight w:val="none"/>
          <w:u w:val="single"/>
        </w:rPr>
        <w:t xml:space="preserve"> 24 </w:t>
      </w:r>
      <w:r>
        <w:rPr>
          <w:rFonts w:hint="eastAsia"/>
          <w:color w:val="auto"/>
          <w:highlight w:val="none"/>
        </w:rPr>
        <w:t>小时提交书面延期要求。</w:t>
      </w:r>
    </w:p>
    <w:p w14:paraId="71B37308">
      <w:pPr>
        <w:pStyle w:val="229"/>
        <w:rPr>
          <w:color w:val="auto"/>
          <w:highlight w:val="none"/>
        </w:rPr>
      </w:pPr>
      <w:r>
        <w:rPr>
          <w:rFonts w:hint="eastAsia"/>
          <w:color w:val="auto"/>
          <w:highlight w:val="none"/>
        </w:rPr>
        <w:t>关于延期最长不得超过：</w:t>
      </w:r>
      <w:r>
        <w:rPr>
          <w:rFonts w:hint="eastAsia"/>
          <w:color w:val="auto"/>
          <w:highlight w:val="none"/>
          <w:u w:val="single"/>
        </w:rPr>
        <w:t xml:space="preserve"> 48 </w:t>
      </w:r>
      <w:r>
        <w:rPr>
          <w:rFonts w:hint="eastAsia"/>
          <w:color w:val="auto"/>
          <w:highlight w:val="none"/>
        </w:rPr>
        <w:t>小时。</w:t>
      </w:r>
    </w:p>
    <w:p w14:paraId="0C50E223">
      <w:pPr>
        <w:pStyle w:val="229"/>
        <w:rPr>
          <w:color w:val="auto"/>
          <w:highlight w:val="none"/>
        </w:rPr>
      </w:pPr>
      <w:r>
        <w:rPr>
          <w:rFonts w:hint="eastAsia"/>
          <w:color w:val="auto"/>
          <w:highlight w:val="none"/>
        </w:rPr>
        <w:t>承包人应保留并向监理人、发包人提供隐蔽工程施工过程及验收时的图片、视频等电子资料。</w:t>
      </w:r>
    </w:p>
    <w:p w14:paraId="15FFFF4E">
      <w:pPr>
        <w:pStyle w:val="291"/>
        <w:ind w:firstLine="422"/>
        <w:rPr>
          <w:color w:val="auto"/>
          <w:highlight w:val="none"/>
        </w:rPr>
      </w:pPr>
      <w:bookmarkStart w:id="209" w:name="_Toc69641886"/>
      <w:bookmarkStart w:id="210" w:name="_Toc140098579"/>
      <w:bookmarkStart w:id="211" w:name="_Toc55373989"/>
      <w:r>
        <w:rPr>
          <w:rFonts w:hint="eastAsia"/>
          <w:color w:val="auto"/>
          <w:highlight w:val="none"/>
        </w:rPr>
        <w:t>6. 安全文明施工与环境保护</w:t>
      </w:r>
      <w:bookmarkEnd w:id="209"/>
      <w:bookmarkEnd w:id="210"/>
      <w:bookmarkEnd w:id="211"/>
    </w:p>
    <w:p w14:paraId="18F21BB8">
      <w:pPr>
        <w:pStyle w:val="278"/>
        <w:rPr>
          <w:color w:val="auto"/>
          <w:highlight w:val="none"/>
        </w:rPr>
      </w:pPr>
      <w:bookmarkStart w:id="212" w:name="_Toc55373990"/>
      <w:bookmarkStart w:id="213" w:name="_Toc140098580"/>
      <w:bookmarkStart w:id="214" w:name="_Toc69641887"/>
      <w:r>
        <w:rPr>
          <w:rFonts w:hint="eastAsia"/>
          <w:color w:val="auto"/>
          <w:highlight w:val="none"/>
        </w:rPr>
        <w:t>6.1安全文明施工</w:t>
      </w:r>
      <w:bookmarkEnd w:id="212"/>
      <w:bookmarkEnd w:id="213"/>
      <w:bookmarkEnd w:id="214"/>
    </w:p>
    <w:p w14:paraId="1B1E2728">
      <w:pPr>
        <w:pStyle w:val="229"/>
        <w:rPr>
          <w:color w:val="auto"/>
          <w:highlight w:val="none"/>
        </w:rPr>
      </w:pPr>
      <w:r>
        <w:rPr>
          <w:rFonts w:hint="eastAsia"/>
          <w:color w:val="auto"/>
          <w:highlight w:val="none"/>
        </w:rPr>
        <w:t>6.1.1项目安全生产的达标目标及相应事项的约定：</w:t>
      </w:r>
    </w:p>
    <w:p w14:paraId="6ED0DDAE">
      <w:pPr>
        <w:pStyle w:val="229"/>
        <w:rPr>
          <w:color w:val="auto"/>
          <w:highlight w:val="none"/>
        </w:rPr>
      </w:pPr>
      <w:r>
        <w:rPr>
          <w:rFonts w:hint="eastAsia"/>
          <w:color w:val="auto"/>
          <w:highlight w:val="none"/>
        </w:rPr>
        <w:t>（1）除执行各项合同条款以外，承包人须按照国家、广西区和桂林市有关规定做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w:t>
      </w:r>
    </w:p>
    <w:p w14:paraId="5DD5463C">
      <w:pPr>
        <w:pStyle w:val="229"/>
        <w:rPr>
          <w:color w:val="auto"/>
          <w:highlight w:val="none"/>
        </w:rPr>
      </w:pPr>
      <w:r>
        <w:rPr>
          <w:rFonts w:hint="eastAsia"/>
          <w:color w:val="auto"/>
          <w:highlight w:val="none"/>
        </w:rPr>
        <w:t>（2）在合同期内承包人对施工现场的安全生产管理必须严格执行《建筑施工安全检查标准》（JGJ59-2011）、《建设工程安全生产管理条例》（中华人民共和国国务院令第393号）和广西壮族自治区和桂林市安全施工的有关规定，其费用已包含在相关工作的合同价格中；对检查不合格的，监理工程师有权下达限期停工整改通知，承包人在期限内无条件整改直至达到合格，造成工期延误的，工期不予顺延，由此造成的损失由承包人负责。</w:t>
      </w:r>
    </w:p>
    <w:p w14:paraId="59F44689">
      <w:pPr>
        <w:pStyle w:val="270"/>
        <w:spacing w:line="400" w:lineRule="exact"/>
        <w:rPr>
          <w:rFonts w:ascii="宋体" w:hAnsi="宋体" w:cs="宋体"/>
          <w:color w:val="auto"/>
          <w:highlight w:val="none"/>
          <w:u w:val="single"/>
        </w:rPr>
      </w:pPr>
      <w:r>
        <w:rPr>
          <w:rFonts w:hint="eastAsia" w:ascii="宋体" w:hAnsi="宋体" w:cs="宋体"/>
          <w:color w:val="auto"/>
          <w:highlight w:val="none"/>
          <w:u w:val="single"/>
        </w:rPr>
        <w:t>（3）承包人须与发包人签订《安全生产协议书》详见附件13。</w:t>
      </w:r>
    </w:p>
    <w:p w14:paraId="0B42CE57">
      <w:pPr>
        <w:pStyle w:val="229"/>
        <w:rPr>
          <w:color w:val="auto"/>
          <w:highlight w:val="none"/>
        </w:rPr>
      </w:pPr>
      <w:r>
        <w:rPr>
          <w:rFonts w:hint="eastAsia"/>
          <w:color w:val="auto"/>
          <w:highlight w:val="none"/>
        </w:rPr>
        <w:t xml:space="preserve">6.1.4 关于治安保卫的特别约定：承包人应承担施工安全保卫工作及非夜间施工照明的责任，承包人应采取一切合理的预防措施，防止人员伤亡、财产损失事故，费用由承包人承担；承包人生活设施及施工现场应自费配备消防设备，防止火灾发生；承包人应保证其现场人员不得对项目整个场区内已建成的其他建筑和已安装的设备造成伤害。 </w:t>
      </w:r>
    </w:p>
    <w:p w14:paraId="1CF2878B">
      <w:pPr>
        <w:pStyle w:val="229"/>
        <w:rPr>
          <w:color w:val="auto"/>
          <w:highlight w:val="none"/>
        </w:rPr>
      </w:pPr>
      <w:r>
        <w:rPr>
          <w:rFonts w:hint="eastAsia"/>
          <w:color w:val="auto"/>
          <w:highlight w:val="none"/>
        </w:rPr>
        <w:t>关于编制施工场地治安管理计划的约定：由承包人编制，并在开工前7天向发包人和监理人提交。</w:t>
      </w:r>
    </w:p>
    <w:p w14:paraId="1F46B238">
      <w:pPr>
        <w:pStyle w:val="229"/>
        <w:rPr>
          <w:color w:val="auto"/>
          <w:highlight w:val="none"/>
        </w:rPr>
      </w:pPr>
      <w:r>
        <w:rPr>
          <w:rFonts w:hint="eastAsia"/>
          <w:color w:val="auto"/>
          <w:highlight w:val="none"/>
        </w:rPr>
        <w:t>6.1.5 文明施工</w:t>
      </w:r>
    </w:p>
    <w:p w14:paraId="762FD632">
      <w:pPr>
        <w:pStyle w:val="229"/>
        <w:rPr>
          <w:color w:val="auto"/>
          <w:highlight w:val="none"/>
        </w:rPr>
      </w:pPr>
      <w:r>
        <w:rPr>
          <w:rFonts w:hint="eastAsia"/>
          <w:color w:val="auto"/>
          <w:highlight w:val="none"/>
        </w:rPr>
        <w:t>合同当事人对文明施工的要求：</w:t>
      </w:r>
      <w:r>
        <w:rPr>
          <w:rFonts w:hint="eastAsia"/>
          <w:color w:val="auto"/>
          <w:highlight w:val="none"/>
          <w:u w:val="single"/>
        </w:rPr>
        <w:t xml:space="preserve"> 执行通用条款。</w:t>
      </w:r>
    </w:p>
    <w:p w14:paraId="243943C9">
      <w:pPr>
        <w:pStyle w:val="229"/>
        <w:rPr>
          <w:color w:val="auto"/>
          <w:highlight w:val="none"/>
        </w:rPr>
      </w:pPr>
      <w:r>
        <w:rPr>
          <w:rFonts w:hint="eastAsia"/>
          <w:color w:val="auto"/>
          <w:highlight w:val="none"/>
        </w:rPr>
        <w:t>6.1.6 关于安全文明施工费支付比例和支付期限的约定：</w:t>
      </w:r>
      <w:bookmarkStart w:id="215" w:name="_Toc69641888"/>
      <w:bookmarkStart w:id="216" w:name="_Toc55373991"/>
      <w:bookmarkStart w:id="217" w:name="_Toc140098581"/>
      <w:r>
        <w:rPr>
          <w:color w:val="auto"/>
          <w:highlight w:val="none"/>
        </w:rPr>
        <w:t>具体按《广西壮族自治区建筑工程安全防护、文明施工措施费及管理细则》（桂建质〔2015〕16号）和当地建设行政主管部门要求执行。</w:t>
      </w:r>
    </w:p>
    <w:p w14:paraId="43EA472B">
      <w:pPr>
        <w:pStyle w:val="229"/>
        <w:rPr>
          <w:color w:val="auto"/>
          <w:highlight w:val="none"/>
        </w:rPr>
      </w:pPr>
      <w:r>
        <w:rPr>
          <w:rFonts w:hint="eastAsia"/>
          <w:color w:val="auto"/>
          <w:highlight w:val="none"/>
        </w:rPr>
        <w:t>6.3 环境保护</w:t>
      </w:r>
      <w:bookmarkEnd w:id="215"/>
      <w:bookmarkEnd w:id="216"/>
      <w:bookmarkEnd w:id="217"/>
    </w:p>
    <w:p w14:paraId="0DB90B99">
      <w:pPr>
        <w:spacing w:line="400" w:lineRule="exact"/>
        <w:ind w:firstLine="420" w:firstLineChars="200"/>
        <w:jc w:val="left"/>
        <w:rPr>
          <w:color w:val="auto"/>
          <w:highlight w:val="none"/>
          <w:u w:val="single"/>
        </w:rPr>
      </w:pPr>
      <w:r>
        <w:rPr>
          <w:rFonts w:hint="eastAsia" w:ascii="宋体" w:hAnsi="宋体" w:cs="宋体"/>
          <w:color w:val="auto"/>
          <w:highlight w:val="none"/>
          <w:u w:val="single"/>
        </w:rPr>
        <w:t>在施工期间对环境主要影响是机械噪声和废水、废渣、尘埃，对此承包人应采取相应的防治措施和严格管理，严格控制污染物排放，污染物排放前必须处理，达到排污标准后再排放。施工完毕后，承包人应及时将被破坏的场地，遵照监理工程师的指示进行清理、修正，并根据实际情况将场地恢复。施工期间因环境保护需办理的相关手续由承包人办理，并承担相关费用，如因承包人未缴纳相关费用，发包人有权从工程款中扣除用于支付相关费用并计入结算。</w:t>
      </w: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p w14:paraId="0EFEB14B">
      <w:pPr>
        <w:pStyle w:val="229"/>
        <w:rPr>
          <w:color w:val="auto"/>
          <w:highlight w:val="none"/>
        </w:rPr>
      </w:pPr>
    </w:p>
    <w:p w14:paraId="5BE45360">
      <w:pPr>
        <w:pStyle w:val="291"/>
        <w:ind w:firstLine="422"/>
        <w:rPr>
          <w:color w:val="auto"/>
          <w:highlight w:val="none"/>
        </w:rPr>
      </w:pPr>
      <w:bookmarkStart w:id="218" w:name="_Toc69641889"/>
      <w:bookmarkStart w:id="219" w:name="_Toc55373992"/>
      <w:bookmarkStart w:id="220" w:name="_Toc140098582"/>
      <w:r>
        <w:rPr>
          <w:rFonts w:hint="eastAsia"/>
          <w:color w:val="auto"/>
          <w:highlight w:val="none"/>
        </w:rPr>
        <w:t>7. 工期和进度</w:t>
      </w:r>
      <w:bookmarkEnd w:id="218"/>
      <w:bookmarkEnd w:id="219"/>
      <w:bookmarkEnd w:id="220"/>
    </w:p>
    <w:p w14:paraId="615F6E81">
      <w:pPr>
        <w:pStyle w:val="278"/>
        <w:rPr>
          <w:color w:val="auto"/>
          <w:highlight w:val="none"/>
        </w:rPr>
      </w:pPr>
      <w:bookmarkStart w:id="221" w:name="_Toc55373993"/>
      <w:bookmarkStart w:id="222" w:name="_Toc140098583"/>
      <w:bookmarkStart w:id="223" w:name="_Toc69641890"/>
      <w:r>
        <w:rPr>
          <w:rFonts w:hint="eastAsia"/>
          <w:color w:val="auto"/>
          <w:highlight w:val="none"/>
        </w:rPr>
        <w:t>7.1 施工组织设计</w:t>
      </w:r>
      <w:bookmarkEnd w:id="221"/>
      <w:bookmarkEnd w:id="222"/>
      <w:bookmarkEnd w:id="223"/>
    </w:p>
    <w:p w14:paraId="251F2288">
      <w:pPr>
        <w:pStyle w:val="229"/>
        <w:rPr>
          <w:color w:val="auto"/>
          <w:highlight w:val="none"/>
        </w:rPr>
      </w:pPr>
      <w:r>
        <w:rPr>
          <w:rFonts w:hint="eastAsia"/>
          <w:color w:val="auto"/>
          <w:highlight w:val="none"/>
        </w:rPr>
        <w:t>7.1.1 合同当事人约定的施工组织设计应包括的其他内容：</w:t>
      </w:r>
      <w:r>
        <w:rPr>
          <w:rFonts w:hint="eastAsia"/>
          <w:color w:val="auto"/>
          <w:highlight w:val="none"/>
        </w:rPr>
        <w:t>1、施工进度计划包括总进度计划、分阶段和分项进度计划、设备材料人员进场计划；施工方案说明包括分部、分项工程或工程部位的名称及施工顺序和方法；2、管理人员名单、职称、职务、上岗证等；3、按照国家及地方有关规定应当提交的内容。</w:t>
      </w:r>
    </w:p>
    <w:p w14:paraId="367C82D0">
      <w:pPr>
        <w:pStyle w:val="229"/>
        <w:rPr>
          <w:color w:val="auto"/>
          <w:highlight w:val="none"/>
        </w:rPr>
      </w:pPr>
      <w:r>
        <w:rPr>
          <w:rFonts w:hint="eastAsia"/>
          <w:color w:val="auto"/>
          <w:highlight w:val="none"/>
        </w:rPr>
        <w:t>7.1.2 施工组织设计的提交和修改</w:t>
      </w:r>
    </w:p>
    <w:p w14:paraId="61B3435F">
      <w:pPr>
        <w:pStyle w:val="229"/>
        <w:rPr>
          <w:color w:val="auto"/>
          <w:highlight w:val="none"/>
          <w:u w:val="single"/>
        </w:rPr>
      </w:pPr>
      <w:r>
        <w:rPr>
          <w:rFonts w:hint="eastAsia"/>
          <w:color w:val="auto"/>
          <w:highlight w:val="none"/>
        </w:rPr>
        <w:t>承包人提交详细施工组织设计的期限的约定：</w:t>
      </w:r>
      <w:r>
        <w:rPr>
          <w:rFonts w:hint="eastAsia"/>
          <w:color w:val="auto"/>
          <w:highlight w:val="none"/>
          <w:u w:val="single"/>
        </w:rPr>
        <w:t xml:space="preserve"> 开工前7天。</w:t>
      </w:r>
    </w:p>
    <w:p w14:paraId="352C7D3D">
      <w:pPr>
        <w:pStyle w:val="229"/>
        <w:rPr>
          <w:color w:val="auto"/>
          <w:highlight w:val="none"/>
          <w:u w:val="single"/>
        </w:rPr>
      </w:pPr>
      <w:r>
        <w:rPr>
          <w:rFonts w:hint="eastAsia"/>
          <w:color w:val="auto"/>
          <w:highlight w:val="none"/>
        </w:rPr>
        <w:t>发包人和监理人在收到详细的施工组织设计后确认或提出修改意见的期限：</w:t>
      </w:r>
      <w:r>
        <w:rPr>
          <w:rFonts w:hint="eastAsia"/>
          <w:color w:val="auto"/>
          <w:highlight w:val="none"/>
          <w:u w:val="single"/>
        </w:rPr>
        <w:t>收到文件后7日内。</w:t>
      </w:r>
    </w:p>
    <w:p w14:paraId="06CD4BF4">
      <w:pPr>
        <w:pStyle w:val="278"/>
        <w:rPr>
          <w:color w:val="auto"/>
          <w:highlight w:val="none"/>
        </w:rPr>
      </w:pPr>
      <w:bookmarkStart w:id="224" w:name="_Toc69641891"/>
      <w:bookmarkStart w:id="225" w:name="_Toc140098584"/>
      <w:bookmarkStart w:id="226" w:name="_Toc55373994"/>
      <w:r>
        <w:rPr>
          <w:rFonts w:hint="eastAsia"/>
          <w:color w:val="auto"/>
          <w:highlight w:val="none"/>
        </w:rPr>
        <w:t>7.2 施工进度计划</w:t>
      </w:r>
      <w:bookmarkEnd w:id="224"/>
      <w:bookmarkEnd w:id="225"/>
      <w:bookmarkEnd w:id="226"/>
    </w:p>
    <w:p w14:paraId="0CE78B5D">
      <w:pPr>
        <w:pStyle w:val="229"/>
        <w:rPr>
          <w:color w:val="auto"/>
          <w:highlight w:val="none"/>
        </w:rPr>
      </w:pPr>
      <w:r>
        <w:rPr>
          <w:rFonts w:hint="eastAsia"/>
          <w:color w:val="auto"/>
          <w:highlight w:val="none"/>
        </w:rPr>
        <w:t>7.2.1 施工进度计划的编制</w:t>
      </w:r>
    </w:p>
    <w:p w14:paraId="29DA1959">
      <w:pPr>
        <w:pStyle w:val="229"/>
        <w:rPr>
          <w:color w:val="auto"/>
          <w:highlight w:val="none"/>
        </w:rPr>
      </w:pPr>
      <w:r>
        <w:rPr>
          <w:rFonts w:hint="eastAsia"/>
          <w:color w:val="auto"/>
          <w:highlight w:val="none"/>
        </w:rPr>
        <w:t>监理人及时督促承包人提交施工进度计划，若承包人不按规定时间提交施工进度计划的，造成的一切损失由承包人承担，并从工程款中扣除违约金5000～20000元/项（人民币）。</w:t>
      </w:r>
    </w:p>
    <w:p w14:paraId="2F0B2567">
      <w:pPr>
        <w:pStyle w:val="229"/>
        <w:rPr>
          <w:color w:val="auto"/>
          <w:highlight w:val="none"/>
        </w:rPr>
      </w:pPr>
      <w:r>
        <w:rPr>
          <w:rFonts w:hint="eastAsia"/>
          <w:color w:val="auto"/>
          <w:highlight w:val="none"/>
        </w:rPr>
        <w:t>7.2.2 施工进度计划的修订</w:t>
      </w:r>
    </w:p>
    <w:p w14:paraId="59A6B17D">
      <w:pPr>
        <w:pStyle w:val="229"/>
        <w:rPr>
          <w:color w:val="auto"/>
          <w:highlight w:val="none"/>
          <w:u w:val="single"/>
        </w:rPr>
      </w:pPr>
      <w:r>
        <w:rPr>
          <w:rFonts w:hint="eastAsia"/>
          <w:color w:val="auto"/>
          <w:highlight w:val="none"/>
        </w:rPr>
        <w:t>发包人和监理人在收到修订的施工进度计划后确认或提出修改意见的期限：</w:t>
      </w:r>
      <w:r>
        <w:rPr>
          <w:rFonts w:hint="eastAsia"/>
          <w:color w:val="auto"/>
          <w:highlight w:val="none"/>
          <w:u w:val="single"/>
        </w:rPr>
        <w:t>收到文件后7日内。</w:t>
      </w:r>
    </w:p>
    <w:p w14:paraId="6AF3F6C7">
      <w:pPr>
        <w:pStyle w:val="278"/>
        <w:rPr>
          <w:color w:val="auto"/>
          <w:highlight w:val="none"/>
        </w:rPr>
      </w:pPr>
      <w:bookmarkStart w:id="227" w:name="_Toc55373995"/>
      <w:bookmarkStart w:id="228" w:name="_Toc140098585"/>
      <w:bookmarkStart w:id="229" w:name="_Toc69641892"/>
      <w:r>
        <w:rPr>
          <w:rFonts w:hint="eastAsia"/>
          <w:color w:val="auto"/>
          <w:highlight w:val="none"/>
        </w:rPr>
        <w:t>7.3 开工</w:t>
      </w:r>
      <w:bookmarkEnd w:id="227"/>
      <w:bookmarkEnd w:id="228"/>
      <w:bookmarkEnd w:id="229"/>
    </w:p>
    <w:p w14:paraId="2C4F1F7D">
      <w:pPr>
        <w:pStyle w:val="229"/>
        <w:rPr>
          <w:color w:val="auto"/>
          <w:highlight w:val="none"/>
        </w:rPr>
      </w:pPr>
      <w:r>
        <w:rPr>
          <w:rFonts w:hint="eastAsia"/>
          <w:color w:val="auto"/>
          <w:highlight w:val="none"/>
        </w:rPr>
        <w:t>7.3.1 开工准备</w:t>
      </w:r>
    </w:p>
    <w:p w14:paraId="7277C72A">
      <w:pPr>
        <w:pStyle w:val="229"/>
        <w:rPr>
          <w:color w:val="auto"/>
          <w:highlight w:val="none"/>
          <w:u w:val="single"/>
        </w:rPr>
      </w:pPr>
      <w:r>
        <w:rPr>
          <w:rFonts w:hint="eastAsia"/>
          <w:color w:val="auto"/>
          <w:highlight w:val="none"/>
        </w:rPr>
        <w:t>关于承包人提交工程开工报审表的期限：</w:t>
      </w:r>
      <w:r>
        <w:rPr>
          <w:rFonts w:hint="eastAsia"/>
          <w:color w:val="auto"/>
          <w:highlight w:val="none"/>
          <w:u w:val="single"/>
        </w:rPr>
        <w:t>执行通用条款。</w:t>
      </w:r>
    </w:p>
    <w:p w14:paraId="78207E68">
      <w:pPr>
        <w:pStyle w:val="229"/>
        <w:rPr>
          <w:color w:val="auto"/>
          <w:highlight w:val="none"/>
          <w:u w:val="single"/>
        </w:rPr>
      </w:pPr>
      <w:r>
        <w:rPr>
          <w:rFonts w:hint="eastAsia"/>
          <w:color w:val="auto"/>
          <w:highlight w:val="none"/>
        </w:rPr>
        <w:t>关于发包人应完成的其他开工准备工作及期限：</w:t>
      </w:r>
      <w:r>
        <w:rPr>
          <w:rFonts w:hint="eastAsia"/>
          <w:color w:val="auto"/>
          <w:highlight w:val="none"/>
          <w:u w:val="single"/>
        </w:rPr>
        <w:t>执行通用条款。</w:t>
      </w:r>
    </w:p>
    <w:p w14:paraId="119E4835">
      <w:pPr>
        <w:pStyle w:val="229"/>
        <w:rPr>
          <w:color w:val="auto"/>
          <w:highlight w:val="none"/>
        </w:rPr>
      </w:pPr>
      <w:r>
        <w:rPr>
          <w:rFonts w:hint="eastAsia"/>
          <w:color w:val="auto"/>
          <w:highlight w:val="none"/>
        </w:rPr>
        <w:t>关于承包人应完成的其他开工准备工作及期限：</w:t>
      </w:r>
      <w:r>
        <w:rPr>
          <w:rFonts w:hint="eastAsia"/>
          <w:color w:val="auto"/>
          <w:highlight w:val="none"/>
          <w:u w:val="single"/>
        </w:rPr>
        <w:t>执行通用条款。</w:t>
      </w:r>
    </w:p>
    <w:p w14:paraId="0044C671">
      <w:pPr>
        <w:pStyle w:val="229"/>
        <w:rPr>
          <w:color w:val="auto"/>
          <w:highlight w:val="none"/>
        </w:rPr>
      </w:pPr>
      <w:r>
        <w:rPr>
          <w:rFonts w:hint="eastAsia"/>
          <w:color w:val="auto"/>
          <w:highlight w:val="none"/>
        </w:rPr>
        <w:t>7.3.2开工通知</w:t>
      </w:r>
    </w:p>
    <w:p w14:paraId="697D7E77">
      <w:pPr>
        <w:spacing w:line="360" w:lineRule="auto"/>
        <w:ind w:firstLine="420"/>
        <w:rPr>
          <w:rFonts w:ascii="宋体" w:hAnsi="宋体" w:cs="宋体"/>
          <w:b/>
          <w:bCs/>
          <w:color w:val="auto"/>
          <w:highlight w:val="none"/>
        </w:rPr>
      </w:pPr>
      <w:bookmarkStart w:id="230" w:name="_Toc69641893"/>
      <w:bookmarkStart w:id="231" w:name="_Toc140098586"/>
      <w:bookmarkStart w:id="232" w:name="_Toc55373996"/>
      <w:r>
        <w:rPr>
          <w:rFonts w:hint="eastAsia"/>
          <w:b/>
          <w:bCs/>
          <w:color w:val="auto"/>
          <w:highlight w:val="none"/>
        </w:rPr>
        <w:t>成交结果公示无异议后，发包人向承包人签发开工令即为开工之日。开工时间已满2</w:t>
      </w:r>
      <w:r>
        <w:rPr>
          <w:rFonts w:hint="eastAsia" w:ascii="宋体" w:hAnsi="宋体" w:cs="宋体"/>
          <w:b/>
          <w:bCs/>
          <w:color w:val="auto"/>
          <w:szCs w:val="21"/>
          <w:highlight w:val="none"/>
        </w:rPr>
        <w:t>个日历天，</w:t>
      </w:r>
      <w:r>
        <w:rPr>
          <w:rFonts w:hint="eastAsia"/>
          <w:b/>
          <w:bCs/>
          <w:color w:val="auto"/>
          <w:highlight w:val="none"/>
        </w:rPr>
        <w:t>承包人仍没有安排人员与发包人进行工作对接并派人员进场施工的，发包人有权解除合同。</w:t>
      </w:r>
    </w:p>
    <w:p w14:paraId="0E699BE3">
      <w:pPr>
        <w:pStyle w:val="278"/>
        <w:rPr>
          <w:color w:val="auto"/>
          <w:highlight w:val="none"/>
        </w:rPr>
      </w:pPr>
      <w:r>
        <w:rPr>
          <w:rFonts w:hint="eastAsia"/>
          <w:color w:val="auto"/>
          <w:highlight w:val="none"/>
        </w:rPr>
        <w:t>7.4 测量放线</w:t>
      </w:r>
      <w:bookmarkEnd w:id="230"/>
      <w:bookmarkEnd w:id="231"/>
      <w:bookmarkEnd w:id="232"/>
    </w:p>
    <w:p w14:paraId="048E109C">
      <w:pPr>
        <w:pStyle w:val="229"/>
        <w:rPr>
          <w:color w:val="auto"/>
          <w:highlight w:val="none"/>
          <w:u w:val="single"/>
        </w:rPr>
      </w:pPr>
      <w:r>
        <w:rPr>
          <w:rFonts w:hint="eastAsia"/>
          <w:color w:val="auto"/>
          <w:highlight w:val="none"/>
        </w:rPr>
        <w:t>7.4.1发包人通过监理人向承包人提供测量基准点、基准线和水准点及其书面资料的期限：</w:t>
      </w:r>
      <w:r>
        <w:rPr>
          <w:rFonts w:hint="eastAsia"/>
          <w:color w:val="auto"/>
          <w:highlight w:val="none"/>
          <w:u w:val="single"/>
        </w:rPr>
        <w:t>开工前3天。</w:t>
      </w:r>
    </w:p>
    <w:p w14:paraId="591FEC8A">
      <w:pPr>
        <w:pStyle w:val="278"/>
        <w:rPr>
          <w:color w:val="auto"/>
          <w:highlight w:val="none"/>
        </w:rPr>
      </w:pPr>
      <w:bookmarkStart w:id="233" w:name="_Toc55373997"/>
      <w:bookmarkStart w:id="234" w:name="_Toc140098587"/>
      <w:bookmarkStart w:id="235" w:name="_Toc69641894"/>
      <w:r>
        <w:rPr>
          <w:rFonts w:hint="eastAsia"/>
          <w:color w:val="auto"/>
          <w:highlight w:val="none"/>
        </w:rPr>
        <w:t>7.5 工期延误</w:t>
      </w:r>
      <w:bookmarkEnd w:id="233"/>
      <w:bookmarkEnd w:id="234"/>
      <w:bookmarkEnd w:id="235"/>
    </w:p>
    <w:p w14:paraId="38C248FE">
      <w:pPr>
        <w:pStyle w:val="229"/>
        <w:rPr>
          <w:color w:val="auto"/>
          <w:highlight w:val="none"/>
        </w:rPr>
      </w:pPr>
      <w:r>
        <w:rPr>
          <w:rFonts w:hint="eastAsia"/>
          <w:color w:val="auto"/>
          <w:highlight w:val="none"/>
        </w:rPr>
        <w:t>7.5.1 因发包人原因导致工期延误</w:t>
      </w:r>
    </w:p>
    <w:p w14:paraId="10771078">
      <w:pPr>
        <w:pStyle w:val="229"/>
        <w:rPr>
          <w:color w:val="auto"/>
          <w:highlight w:val="none"/>
        </w:rPr>
      </w:pPr>
      <w:r>
        <w:rPr>
          <w:rFonts w:hint="eastAsia"/>
          <w:color w:val="auto"/>
          <w:highlight w:val="none"/>
        </w:rPr>
        <w:t>（7）因发包人原因导致工期延误的其他情形：</w:t>
      </w:r>
      <w:r>
        <w:rPr>
          <w:rFonts w:hint="eastAsia"/>
          <w:color w:val="auto"/>
          <w:highlight w:val="none"/>
        </w:rPr>
        <w:t>①重大图纸变更影响关键线路工序施工；②施工期间如因停电、停水连续</w:t>
      </w:r>
      <w:r>
        <w:rPr>
          <w:color w:val="auto"/>
          <w:highlight w:val="none"/>
        </w:rPr>
        <w:t>8</w:t>
      </w:r>
      <w:r>
        <w:rPr>
          <w:rFonts w:hint="eastAsia"/>
          <w:color w:val="auto"/>
          <w:highlight w:val="none"/>
        </w:rPr>
        <w:t>小时以上或一周内间歇性停水、停电累计</w:t>
      </w:r>
      <w:r>
        <w:rPr>
          <w:color w:val="auto"/>
          <w:highlight w:val="none"/>
        </w:rPr>
        <w:t>8</w:t>
      </w:r>
      <w:r>
        <w:rPr>
          <w:rFonts w:hint="eastAsia"/>
          <w:color w:val="auto"/>
          <w:highlight w:val="none"/>
        </w:rPr>
        <w:t>小时（含</w:t>
      </w:r>
      <w:r>
        <w:rPr>
          <w:color w:val="auto"/>
          <w:highlight w:val="none"/>
        </w:rPr>
        <w:t>8</w:t>
      </w:r>
      <w:r>
        <w:rPr>
          <w:rFonts w:hint="eastAsia"/>
          <w:color w:val="auto"/>
          <w:highlight w:val="non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color w:val="auto"/>
          <w:highlight w:val="none"/>
        </w:rPr>
        <w:t xml:space="preserve"> </w:t>
      </w:r>
      <w:r>
        <w:rPr>
          <w:rFonts w:hint="eastAsia"/>
          <w:color w:val="auto"/>
          <w:highlight w:val="none"/>
        </w:rPr>
        <w:t>。</w:t>
      </w:r>
    </w:p>
    <w:p w14:paraId="42BF770D">
      <w:pPr>
        <w:pStyle w:val="229"/>
        <w:rPr>
          <w:color w:val="auto"/>
          <w:highlight w:val="none"/>
        </w:rPr>
      </w:pPr>
      <w:r>
        <w:rPr>
          <w:rFonts w:hint="eastAsia"/>
          <w:color w:val="auto"/>
          <w:highlight w:val="none"/>
        </w:rPr>
        <w:t>7.5.2 因承包人原因导致工期延误</w:t>
      </w:r>
    </w:p>
    <w:p w14:paraId="4647150C">
      <w:pPr>
        <w:pStyle w:val="229"/>
        <w:rPr>
          <w:color w:val="auto"/>
          <w:highlight w:val="none"/>
        </w:rPr>
      </w:pPr>
      <w:r>
        <w:rPr>
          <w:rFonts w:hint="eastAsia"/>
          <w:color w:val="auto"/>
          <w:highlight w:val="none"/>
        </w:rPr>
        <w:t>因承包人原因造成工期延误，逾期竣工违约金的计算方法为：</w:t>
      </w:r>
      <w:r>
        <w:rPr>
          <w:rFonts w:hint="eastAsia"/>
          <w:color w:val="auto"/>
          <w:highlight w:val="none"/>
        </w:rPr>
        <w:t>按逾期竣工的单项工程罚款，每延误一天，按单项工程应支付给承包人的结算造价的万分之四处罚，罚款直接从结算款中扣除。误期时间从规定竣工日期</w:t>
      </w:r>
      <w:r>
        <w:rPr>
          <w:rFonts w:hint="eastAsia"/>
          <w:color w:val="auto"/>
          <w:highlight w:val="none"/>
        </w:rPr>
        <w:t>（以《＜竣工（整改）完成认可文件＞收讫告知书》注明的竣工日期为准）</w:t>
      </w:r>
      <w:r>
        <w:rPr>
          <w:rFonts w:hint="eastAsia"/>
          <w:color w:val="auto"/>
          <w:highlight w:val="none"/>
        </w:rPr>
        <w:t>起直到实际竣工日期的天数（扣除发包人批准顺延的工期）。因承包人原因造成工期延误，逾期竣工违约金的上限：逾期竣工的单项工程结算造价的3</w:t>
      </w:r>
      <w:r>
        <w:rPr>
          <w:color w:val="auto"/>
          <w:highlight w:val="none"/>
        </w:rPr>
        <w:t>%</w:t>
      </w:r>
      <w:r>
        <w:rPr>
          <w:rFonts w:hint="eastAsia"/>
          <w:color w:val="auto"/>
          <w:highlight w:val="none"/>
        </w:rPr>
        <w:t>。</w:t>
      </w:r>
    </w:p>
    <w:p w14:paraId="2FFF59B5">
      <w:pPr>
        <w:pStyle w:val="229"/>
        <w:rPr>
          <w:color w:val="auto"/>
          <w:highlight w:val="none"/>
        </w:rPr>
      </w:pPr>
      <w:r>
        <w:rPr>
          <w:rFonts w:hint="eastAsia"/>
          <w:color w:val="auto"/>
          <w:highlight w:val="none"/>
        </w:rPr>
        <w:t>发包人可从应向承包人支付的任何金额中扣除此项罚款或其他方式收回此款，此罚款的支付并不能解除承包人应完成工程的责任及修补缺陷的义务。由于承包人原因造成本工程延期超过一个月的，发包人除按签约合同价的万分之四/天扣除工期违约金外，发包人有权终止合同，并依法追究承包人的违约责任，由此造成的一切损失均由承包人负责。</w:t>
      </w:r>
    </w:p>
    <w:p w14:paraId="72214141">
      <w:pPr>
        <w:pStyle w:val="229"/>
        <w:rPr>
          <w:color w:val="auto"/>
          <w:highlight w:val="none"/>
        </w:rPr>
      </w:pPr>
      <w:r>
        <w:rPr>
          <w:rFonts w:hint="eastAsia"/>
          <w:color w:val="auto"/>
          <w:highlight w:val="none"/>
        </w:rPr>
        <w:t>如因承包人原因导致工期延误，承包人还须承担工期延误导致的工程监理费的增加。计算标准：每日0.2万元。该部分费用最高限额为发包人与项目监理单位签订监理合同总价的10%。</w:t>
      </w:r>
    </w:p>
    <w:p w14:paraId="00D145EA">
      <w:pPr>
        <w:pStyle w:val="229"/>
        <w:rPr>
          <w:color w:val="auto"/>
          <w:highlight w:val="none"/>
        </w:rPr>
      </w:pPr>
      <w:r>
        <w:rPr>
          <w:rFonts w:hint="eastAsia"/>
          <w:color w:val="auto"/>
          <w:highlight w:val="none"/>
        </w:rPr>
        <w:t>因非承包人原因和政府行为造成工期延误，经发包人和监理人同意给予顺延；由于客观原因（既不是发包人，也不是承包人的原因）造成工程的拖延，发包人不给承包人经济补偿，但是给予适当的工期补偿。</w:t>
      </w:r>
    </w:p>
    <w:p w14:paraId="7773D9AD">
      <w:pPr>
        <w:pStyle w:val="278"/>
        <w:rPr>
          <w:color w:val="auto"/>
          <w:highlight w:val="none"/>
        </w:rPr>
      </w:pPr>
      <w:bookmarkStart w:id="236" w:name="_Toc140098588"/>
      <w:bookmarkStart w:id="237" w:name="_Toc69641895"/>
      <w:bookmarkStart w:id="238" w:name="_Toc55373998"/>
      <w:r>
        <w:rPr>
          <w:rFonts w:hint="eastAsia"/>
          <w:color w:val="auto"/>
          <w:highlight w:val="none"/>
        </w:rPr>
        <w:t>7.6 不利物质条件</w:t>
      </w:r>
      <w:bookmarkEnd w:id="236"/>
      <w:bookmarkEnd w:id="237"/>
      <w:bookmarkEnd w:id="238"/>
    </w:p>
    <w:p w14:paraId="3272C07B">
      <w:pPr>
        <w:pStyle w:val="229"/>
        <w:rPr>
          <w:color w:val="auto"/>
          <w:highlight w:val="none"/>
          <w:u w:val="single"/>
        </w:rPr>
      </w:pPr>
      <w:r>
        <w:rPr>
          <w:rFonts w:hint="eastAsia"/>
          <w:color w:val="auto"/>
          <w:highlight w:val="none"/>
        </w:rPr>
        <w:t>不利物质条件的其他情形和有关约定：</w:t>
      </w:r>
      <w:r>
        <w:rPr>
          <w:rFonts w:hint="eastAsia"/>
          <w:color w:val="auto"/>
          <w:highlight w:val="none"/>
          <w:u w:val="single"/>
        </w:rPr>
        <w:t>同通用条款，无特殊约定 。</w:t>
      </w:r>
    </w:p>
    <w:p w14:paraId="774EECA5">
      <w:pPr>
        <w:pStyle w:val="278"/>
        <w:rPr>
          <w:color w:val="auto"/>
          <w:highlight w:val="none"/>
        </w:rPr>
      </w:pPr>
      <w:bookmarkStart w:id="239" w:name="_Toc55373999"/>
      <w:bookmarkStart w:id="240" w:name="_Toc140098589"/>
      <w:bookmarkStart w:id="241" w:name="_Toc69641896"/>
      <w:r>
        <w:rPr>
          <w:rFonts w:hint="eastAsia"/>
          <w:color w:val="auto"/>
          <w:highlight w:val="none"/>
        </w:rPr>
        <w:t>7.7异常恶劣的气候条件</w:t>
      </w:r>
      <w:bookmarkEnd w:id="239"/>
      <w:bookmarkEnd w:id="240"/>
      <w:bookmarkEnd w:id="241"/>
    </w:p>
    <w:p w14:paraId="29D97E76">
      <w:pPr>
        <w:pStyle w:val="229"/>
        <w:rPr>
          <w:color w:val="auto"/>
          <w:highlight w:val="none"/>
        </w:rPr>
      </w:pPr>
      <w:r>
        <w:rPr>
          <w:rFonts w:hint="eastAsia"/>
          <w:color w:val="auto"/>
          <w:highlight w:val="none"/>
        </w:rPr>
        <w:t>发包人和承包人同意以下情形视为异常恶劣的气候条件：</w:t>
      </w:r>
    </w:p>
    <w:p w14:paraId="17D54CE9">
      <w:pPr>
        <w:pStyle w:val="229"/>
        <w:rPr>
          <w:color w:val="auto"/>
          <w:highlight w:val="none"/>
        </w:rPr>
      </w:pPr>
      <w:r>
        <w:rPr>
          <w:rFonts w:hint="eastAsia"/>
          <w:color w:val="auto"/>
          <w:highlight w:val="none"/>
        </w:rPr>
        <w:t>（1） 10 级以上持续 1 天的大风；</w:t>
      </w:r>
    </w:p>
    <w:p w14:paraId="6CF44A87">
      <w:pPr>
        <w:pStyle w:val="229"/>
        <w:rPr>
          <w:color w:val="auto"/>
          <w:highlight w:val="none"/>
        </w:rPr>
      </w:pPr>
      <w:r>
        <w:rPr>
          <w:rFonts w:hint="eastAsia"/>
          <w:color w:val="auto"/>
          <w:highlight w:val="none"/>
        </w:rPr>
        <w:t>（2） 暴雨级以上持续 1 天的大雨；</w:t>
      </w:r>
    </w:p>
    <w:p w14:paraId="72DC0C9C">
      <w:pPr>
        <w:pStyle w:val="229"/>
        <w:rPr>
          <w:color w:val="auto"/>
          <w:highlight w:val="none"/>
        </w:rPr>
      </w:pPr>
      <w:r>
        <w:rPr>
          <w:rFonts w:hint="eastAsia"/>
          <w:color w:val="auto"/>
          <w:highlight w:val="none"/>
        </w:rPr>
        <w:t>（3）50年以上未发生过的持续 2 天的高温天气；</w:t>
      </w:r>
    </w:p>
    <w:p w14:paraId="7EDCA857">
      <w:pPr>
        <w:pStyle w:val="229"/>
        <w:rPr>
          <w:color w:val="auto"/>
          <w:highlight w:val="none"/>
        </w:rPr>
      </w:pPr>
      <w:r>
        <w:rPr>
          <w:rFonts w:hint="eastAsia"/>
          <w:color w:val="auto"/>
          <w:highlight w:val="none"/>
        </w:rPr>
        <w:t>（4）50年以上未发生的持续 2 天的低温天气。</w:t>
      </w:r>
    </w:p>
    <w:p w14:paraId="7233128E">
      <w:pPr>
        <w:pStyle w:val="229"/>
        <w:rPr>
          <w:color w:val="auto"/>
          <w:highlight w:val="none"/>
        </w:rPr>
      </w:pPr>
      <w:r>
        <w:rPr>
          <w:rFonts w:hint="eastAsia"/>
          <w:color w:val="auto"/>
          <w:highlight w:val="none"/>
        </w:rPr>
        <w:t>以上异常恶劣的气候条件以当地气象局发布的信息为准。</w:t>
      </w:r>
    </w:p>
    <w:p w14:paraId="2C5BC2A7">
      <w:pPr>
        <w:pStyle w:val="278"/>
        <w:rPr>
          <w:color w:val="auto"/>
          <w:highlight w:val="none"/>
        </w:rPr>
      </w:pPr>
      <w:bookmarkStart w:id="242" w:name="_Toc140098590"/>
      <w:bookmarkStart w:id="243" w:name="_Toc55374000"/>
      <w:bookmarkStart w:id="244" w:name="_Toc69641897"/>
      <w:r>
        <w:rPr>
          <w:rFonts w:hint="eastAsia"/>
          <w:color w:val="auto"/>
          <w:highlight w:val="none"/>
        </w:rPr>
        <w:t>7.9 提前竣工的奖励</w:t>
      </w:r>
      <w:bookmarkEnd w:id="242"/>
      <w:bookmarkEnd w:id="243"/>
      <w:bookmarkEnd w:id="244"/>
    </w:p>
    <w:p w14:paraId="57475E41">
      <w:pPr>
        <w:pStyle w:val="229"/>
        <w:rPr>
          <w:color w:val="auto"/>
          <w:highlight w:val="none"/>
          <w:u w:val="single"/>
        </w:rPr>
      </w:pPr>
      <w:r>
        <w:rPr>
          <w:rFonts w:hint="eastAsia"/>
          <w:color w:val="auto"/>
          <w:highlight w:val="none"/>
        </w:rPr>
        <w:t>7.9.2提前竣工的奖励：</w:t>
      </w:r>
      <w:r>
        <w:rPr>
          <w:rFonts w:hint="eastAsia"/>
          <w:color w:val="auto"/>
          <w:highlight w:val="none"/>
          <w:u w:val="single"/>
        </w:rPr>
        <w:t xml:space="preserve"> /  </w:t>
      </w:r>
      <w:r>
        <w:rPr>
          <w:rFonts w:hint="eastAsia"/>
          <w:color w:val="auto"/>
          <w:highlight w:val="none"/>
        </w:rPr>
        <w:t xml:space="preserve">  。</w:t>
      </w:r>
    </w:p>
    <w:p w14:paraId="67F7B86E">
      <w:pPr>
        <w:pStyle w:val="291"/>
        <w:ind w:firstLine="422"/>
        <w:rPr>
          <w:color w:val="auto"/>
          <w:highlight w:val="none"/>
        </w:rPr>
      </w:pPr>
      <w:bookmarkStart w:id="245" w:name="_Toc69641898"/>
      <w:bookmarkStart w:id="246" w:name="_Toc140098591"/>
      <w:bookmarkStart w:id="247" w:name="_Toc55374001"/>
      <w:r>
        <w:rPr>
          <w:rFonts w:hint="eastAsia"/>
          <w:color w:val="auto"/>
          <w:highlight w:val="none"/>
        </w:rPr>
        <w:t>8. 材料与设备</w:t>
      </w:r>
      <w:bookmarkEnd w:id="245"/>
      <w:bookmarkEnd w:id="246"/>
      <w:bookmarkEnd w:id="247"/>
    </w:p>
    <w:p w14:paraId="256B457B">
      <w:pPr>
        <w:pStyle w:val="278"/>
        <w:rPr>
          <w:color w:val="auto"/>
          <w:highlight w:val="none"/>
        </w:rPr>
      </w:pPr>
      <w:bookmarkStart w:id="248" w:name="_Toc140098592"/>
      <w:bookmarkStart w:id="249" w:name="_Toc55374002"/>
      <w:bookmarkStart w:id="250" w:name="_Toc69641899"/>
      <w:r>
        <w:rPr>
          <w:rFonts w:hint="eastAsia"/>
          <w:color w:val="auto"/>
          <w:highlight w:val="none"/>
        </w:rPr>
        <w:t>8.1 发包人供应材料与工程设备</w:t>
      </w:r>
      <w:bookmarkEnd w:id="248"/>
      <w:bookmarkEnd w:id="249"/>
      <w:bookmarkEnd w:id="250"/>
    </w:p>
    <w:p w14:paraId="1F553A48">
      <w:pPr>
        <w:pStyle w:val="229"/>
        <w:rPr>
          <w:color w:val="auto"/>
          <w:highlight w:val="none"/>
        </w:rPr>
      </w:pPr>
      <w:r>
        <w:rPr>
          <w:rFonts w:hint="eastAsia"/>
          <w:color w:val="auto"/>
          <w:highlight w:val="none"/>
        </w:rPr>
        <w:t>发包人自行供应材料、工程设备：</w:t>
      </w:r>
      <w:r>
        <w:rPr>
          <w:rFonts w:hint="eastAsia"/>
          <w:color w:val="auto"/>
          <w:highlight w:val="none"/>
          <w:u w:val="single"/>
        </w:rPr>
        <w:tab/>
      </w:r>
      <w:r>
        <w:rPr>
          <w:rFonts w:hint="eastAsia"/>
          <w:color w:val="auto"/>
          <w:highlight w:val="none"/>
          <w:u w:val="single"/>
        </w:rPr>
        <w:t>无</w:t>
      </w:r>
      <w:r>
        <w:rPr>
          <w:rFonts w:hint="eastAsia"/>
          <w:color w:val="auto"/>
          <w:highlight w:val="none"/>
          <w:u w:val="single"/>
        </w:rPr>
        <w:tab/>
      </w:r>
      <w:r>
        <w:rPr>
          <w:rFonts w:hint="eastAsia"/>
          <w:color w:val="auto"/>
          <w:highlight w:val="none"/>
        </w:rPr>
        <w:t>。</w:t>
      </w:r>
    </w:p>
    <w:p w14:paraId="23A99148">
      <w:pPr>
        <w:pStyle w:val="278"/>
        <w:rPr>
          <w:color w:val="auto"/>
          <w:highlight w:val="none"/>
        </w:rPr>
      </w:pPr>
      <w:bookmarkStart w:id="251" w:name="_Toc140098593"/>
      <w:bookmarkStart w:id="252" w:name="_Toc69641900"/>
      <w:bookmarkStart w:id="253" w:name="_Toc55374003"/>
      <w:r>
        <w:rPr>
          <w:rFonts w:hint="eastAsia"/>
          <w:color w:val="auto"/>
          <w:highlight w:val="none"/>
        </w:rPr>
        <w:t>8.2 承包人供应材料与工程设备</w:t>
      </w:r>
      <w:bookmarkEnd w:id="251"/>
      <w:bookmarkEnd w:id="252"/>
      <w:bookmarkEnd w:id="253"/>
    </w:p>
    <w:p w14:paraId="3B3748AE">
      <w:pPr>
        <w:pStyle w:val="229"/>
        <w:rPr>
          <w:color w:val="auto"/>
          <w:highlight w:val="none"/>
        </w:rPr>
      </w:pPr>
      <w:r>
        <w:rPr>
          <w:rFonts w:hint="eastAsia"/>
          <w:color w:val="auto"/>
          <w:highlight w:val="none"/>
        </w:rPr>
        <w:t>8.2.1除专用合同条款第8.1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专用条款第10.7.1项的约定，由发包人和承包人以招标方式确定专项供应商。发包人负责提供的主要材料和工程设备清单见合同附件2“发包人供应材料和设备一览表”。</w:t>
      </w:r>
    </w:p>
    <w:p w14:paraId="52EC06AA">
      <w:pPr>
        <w:pStyle w:val="229"/>
        <w:rPr>
          <w:color w:val="auto"/>
          <w:highlight w:val="none"/>
        </w:rPr>
      </w:pPr>
      <w:r>
        <w:rPr>
          <w:rFonts w:hint="eastAsia"/>
          <w:color w:val="auto"/>
          <w:highlight w:val="none"/>
        </w:rPr>
        <w:t>8.2.2 承包人提供的材料和工程设备的供货人及品种、规格、数量和供货时间等报送监理人审批的时间：承包人应在材料、设备订货前15个日历日前向监理人报送材料采购计划、专项材料采购计划等。监理人于收到之日起5个日历日内批复。</w:t>
      </w:r>
    </w:p>
    <w:p w14:paraId="43C87E3A">
      <w:pPr>
        <w:pStyle w:val="229"/>
        <w:rPr>
          <w:color w:val="auto"/>
          <w:highlight w:val="none"/>
        </w:rPr>
      </w:pPr>
      <w:r>
        <w:rPr>
          <w:rFonts w:hint="eastAsia"/>
          <w:color w:val="auto"/>
          <w:highlight w:val="none"/>
        </w:rPr>
        <w:t>8.2.3 承包人采购材料和设备的约定：</w:t>
      </w:r>
    </w:p>
    <w:p w14:paraId="7D9F4212">
      <w:pPr>
        <w:pStyle w:val="229"/>
        <w:rPr>
          <w:color w:val="auto"/>
          <w:highlight w:val="none"/>
        </w:rPr>
      </w:pPr>
      <w:r>
        <w:rPr>
          <w:rFonts w:hint="eastAsia"/>
          <w:color w:val="auto"/>
          <w:highlight w:val="none"/>
        </w:rPr>
        <w:t>（1）承包人采购的材料设备的品种、规格、型号、质量应满足设计文件、竞争性磋商文件、响应文件和现行建筑工程施工质量与验收规范的要求；对发包人在招标时，没有明确约定参照或相当于*</w:t>
      </w:r>
      <w:r>
        <w:rPr>
          <w:color w:val="auto"/>
          <w:highlight w:val="none"/>
        </w:rPr>
        <w:t>*</w:t>
      </w:r>
      <w:r>
        <w:rPr>
          <w:rFonts w:hint="eastAsia"/>
          <w:color w:val="auto"/>
          <w:highlight w:val="none"/>
        </w:rPr>
        <w:t>品牌、档次的材料和设备，或双方对材料和设备选择有争议的，发包人有权要求承包人按不低于招标控制价相同细目的材料或设备价格进行采购。</w:t>
      </w:r>
    </w:p>
    <w:p w14:paraId="61B6A5EC">
      <w:pPr>
        <w:pStyle w:val="229"/>
        <w:rPr>
          <w:color w:val="auto"/>
          <w:highlight w:val="none"/>
        </w:rPr>
      </w:pPr>
      <w:r>
        <w:rPr>
          <w:rFonts w:hint="eastAsia"/>
          <w:color w:val="auto"/>
          <w:highlight w:val="none"/>
        </w:rPr>
        <w:t>（2）承包人采购的主要材料、设备等必须注明产品名称、规格、型号、数量、品牌及生产厂家，并在采购前 15 个日历日内书面通知发包人现场代表，提交其负责提供的材料和工程设备的质量证明文件，取得发包人的书面同意（该同意及相关检验测试、验收均不因此免除承包人的任何质量责任）方可进行采购；未经发包人同意，如已用于本工程，承包人须按发包人因此提出的相关指令无条件执行，所造成的损失由承包人负责。</w:t>
      </w:r>
    </w:p>
    <w:p w14:paraId="37083277">
      <w:pPr>
        <w:pStyle w:val="229"/>
        <w:rPr>
          <w:color w:val="auto"/>
          <w:highlight w:val="none"/>
        </w:rPr>
      </w:pPr>
      <w:r>
        <w:rPr>
          <w:rFonts w:hint="eastAsia"/>
          <w:color w:val="auto"/>
          <w:highlight w:val="none"/>
        </w:rPr>
        <w:t>（3）承包人采购的材料设备的检验或实验必须满足设计文件及国家现行的有关标准的要求，</w:t>
      </w:r>
      <w:r>
        <w:rPr>
          <w:rFonts w:hint="eastAsia"/>
          <w:color w:val="auto"/>
          <w:highlight w:val="none"/>
          <w:lang w:eastAsia="zh-CN"/>
        </w:rPr>
        <w:t>需要</w:t>
      </w:r>
      <w:r>
        <w:rPr>
          <w:rFonts w:hint="eastAsia"/>
          <w:color w:val="auto"/>
          <w:highlight w:val="none"/>
        </w:rPr>
        <w:t>送检的材料设备由承包人负责；送检时，应通知监理工程师、发包人现场代表见证，未经监理工程师、发包人现场代表见证的送检材料，不能用于本工程，否则，因此所造成的损失由承包人负责。</w:t>
      </w:r>
    </w:p>
    <w:p w14:paraId="5084D001">
      <w:pPr>
        <w:pStyle w:val="229"/>
        <w:rPr>
          <w:color w:val="auto"/>
          <w:highlight w:val="none"/>
        </w:rPr>
      </w:pPr>
      <w:r>
        <w:rPr>
          <w:rFonts w:hint="eastAsia"/>
          <w:color w:val="auto"/>
          <w:highlight w:val="none"/>
        </w:rPr>
        <w:t>（4）竞争性磋商文件对承包人自行采购的材料、设备有规定的，承包人须严格执行；材料应严格保证质量，若有个别用材发现以次品冒充，责令全部更换，更换后须经监理人检验，并对承包人按违约处理。承包人参与磋商时所报的材料品牌原则上不允许更换，确需更换时须经发包人认可，擅自采用其他品牌的，结算时材料价格不计入综合单价中。监理人发现承包人使用了不合格的材料和工程设备，应及时发出指示，要求承包人立即改正，并禁止在工程中继续使用不合格的材料和工程设备。承包人若使用了次品或不合格或不符合约定的材料和工程设备，不予改正的，不按提供样品采购的，发包人有权对其不予结算和验收。</w:t>
      </w:r>
    </w:p>
    <w:p w14:paraId="122C88DD">
      <w:pPr>
        <w:pStyle w:val="229"/>
        <w:rPr>
          <w:color w:val="auto"/>
          <w:highlight w:val="none"/>
        </w:rPr>
      </w:pPr>
      <w:r>
        <w:rPr>
          <w:rFonts w:hint="eastAsia"/>
          <w:color w:val="auto"/>
          <w:highlight w:val="none"/>
        </w:rPr>
        <w:t>（5）对承包人提供的材料和工程设备，承包人须会同监理人进行检验和交货验收，查验材料合格证明和产品合格证书，并按合同约定和监理人指示，进行材料的抽样检验和工程设备的检验测试，检验和测试结果应提交监理人，所需费用由承包人承担。</w:t>
      </w:r>
    </w:p>
    <w:p w14:paraId="518B393C">
      <w:pPr>
        <w:pStyle w:val="229"/>
        <w:rPr>
          <w:color w:val="auto"/>
          <w:highlight w:val="none"/>
        </w:rPr>
      </w:pPr>
      <w:r>
        <w:rPr>
          <w:rFonts w:hint="eastAsia"/>
          <w:color w:val="auto"/>
          <w:highlight w:val="none"/>
        </w:rPr>
        <w:t>（6）承包人用于本工程的模板，必须符合模板验收技术规范。</w:t>
      </w:r>
    </w:p>
    <w:p w14:paraId="651FA06A">
      <w:pPr>
        <w:pStyle w:val="229"/>
        <w:rPr>
          <w:color w:val="auto"/>
          <w:highlight w:val="none"/>
        </w:rPr>
      </w:pPr>
      <w:r>
        <w:rPr>
          <w:rFonts w:hint="eastAsia"/>
          <w:color w:val="auto"/>
          <w:highlight w:val="none"/>
        </w:rPr>
        <w:t>（7）禁止使用松木、松木包装材料设备、种子、苗木、花卉及繁殖材料。</w:t>
      </w:r>
    </w:p>
    <w:p w14:paraId="0959F8C0">
      <w:pPr>
        <w:pStyle w:val="229"/>
        <w:rPr>
          <w:color w:val="auto"/>
          <w:highlight w:val="none"/>
        </w:rPr>
      </w:pPr>
      <w:r>
        <w:rPr>
          <w:rFonts w:hint="eastAsia"/>
          <w:color w:val="auto"/>
          <w:highlight w:val="none"/>
        </w:rPr>
        <w:t>（8）承包人采购的所有材料、设备均应达到国家规范“合格”标准以上并符合本合同有关要求，每发现一个质量问题或不符合合同要求的，发包人将从工程款内扣除 1000 元的违约金；每发现一个批次质量问题，发包人将从工程款内扣除 10000 元的违约金。若发现不符合标准或约定的材料、设备用于工程中，承包人无条件返工且费用自理。</w:t>
      </w:r>
    </w:p>
    <w:p w14:paraId="5BA882FD">
      <w:pPr>
        <w:pStyle w:val="278"/>
        <w:rPr>
          <w:color w:val="auto"/>
          <w:highlight w:val="none"/>
        </w:rPr>
      </w:pPr>
      <w:bookmarkStart w:id="254" w:name="_Toc140098594"/>
      <w:bookmarkStart w:id="255" w:name="_Toc69641901"/>
      <w:bookmarkStart w:id="256" w:name="_Toc55374004"/>
      <w:r>
        <w:rPr>
          <w:rFonts w:hint="eastAsia"/>
          <w:color w:val="auto"/>
          <w:highlight w:val="none"/>
        </w:rPr>
        <w:t>8.4材料与工程设备的保管与使用</w:t>
      </w:r>
      <w:bookmarkEnd w:id="254"/>
      <w:bookmarkEnd w:id="255"/>
      <w:bookmarkEnd w:id="256"/>
    </w:p>
    <w:p w14:paraId="6AB60850">
      <w:pPr>
        <w:pStyle w:val="229"/>
        <w:rPr>
          <w:color w:val="auto"/>
          <w:highlight w:val="none"/>
        </w:rPr>
      </w:pPr>
      <w:r>
        <w:rPr>
          <w:rFonts w:hint="eastAsia"/>
          <w:color w:val="auto"/>
          <w:highlight w:val="none"/>
        </w:rPr>
        <w:t>8.4.1发包人供应的材料设备的保管费用的承担：由发包人提供的材料和工程设备验收后，由承包人负责接收、运输和保管。</w:t>
      </w:r>
    </w:p>
    <w:p w14:paraId="6469CE2F">
      <w:pPr>
        <w:pStyle w:val="278"/>
        <w:rPr>
          <w:color w:val="auto"/>
          <w:highlight w:val="none"/>
        </w:rPr>
      </w:pPr>
      <w:bookmarkStart w:id="257" w:name="_Toc55374005"/>
      <w:bookmarkStart w:id="258" w:name="_Toc69641902"/>
      <w:bookmarkStart w:id="259" w:name="_Toc140098595"/>
      <w:r>
        <w:rPr>
          <w:rFonts w:hint="eastAsia"/>
          <w:color w:val="auto"/>
          <w:highlight w:val="none"/>
        </w:rPr>
        <w:t>8.6 样品</w:t>
      </w:r>
      <w:bookmarkEnd w:id="257"/>
      <w:bookmarkEnd w:id="258"/>
      <w:bookmarkEnd w:id="259"/>
    </w:p>
    <w:p w14:paraId="4A17DB35">
      <w:pPr>
        <w:pStyle w:val="229"/>
        <w:rPr>
          <w:color w:val="auto"/>
          <w:highlight w:val="none"/>
        </w:rPr>
      </w:pPr>
      <w:r>
        <w:rPr>
          <w:rFonts w:hint="eastAsia"/>
          <w:color w:val="auto"/>
          <w:highlight w:val="none"/>
        </w:rPr>
        <w:t>8.6.1 样品的报送与封存</w:t>
      </w:r>
    </w:p>
    <w:p w14:paraId="10415CF2">
      <w:pPr>
        <w:pStyle w:val="229"/>
        <w:rPr>
          <w:color w:val="auto"/>
          <w:highlight w:val="none"/>
        </w:rPr>
      </w:pPr>
      <w:r>
        <w:rPr>
          <w:rFonts w:hint="eastAsia"/>
          <w:color w:val="auto"/>
          <w:highlight w:val="none"/>
        </w:rPr>
        <w:t>需要承包人报送样品的材料或工程设备，样品的种类、名称、规格、数量要求：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bookmarkStart w:id="260" w:name="_Toc140098596"/>
      <w:bookmarkStart w:id="261" w:name="_Toc69641903"/>
      <w:bookmarkStart w:id="262" w:name="_Toc55374006"/>
    </w:p>
    <w:p w14:paraId="3697577A">
      <w:pPr>
        <w:pStyle w:val="278"/>
        <w:rPr>
          <w:color w:val="auto"/>
          <w:highlight w:val="none"/>
        </w:rPr>
      </w:pPr>
      <w:r>
        <w:rPr>
          <w:rFonts w:hint="eastAsia"/>
          <w:color w:val="auto"/>
          <w:highlight w:val="none"/>
        </w:rPr>
        <w:t>8.8 施工设备和临时设施</w:t>
      </w:r>
      <w:bookmarkEnd w:id="260"/>
      <w:bookmarkEnd w:id="261"/>
      <w:bookmarkEnd w:id="262"/>
    </w:p>
    <w:p w14:paraId="6703B990">
      <w:pPr>
        <w:pStyle w:val="229"/>
        <w:rPr>
          <w:color w:val="auto"/>
          <w:highlight w:val="none"/>
        </w:rPr>
      </w:pPr>
      <w:r>
        <w:rPr>
          <w:rFonts w:hint="eastAsia"/>
          <w:color w:val="auto"/>
          <w:highlight w:val="none"/>
        </w:rPr>
        <w:t>8.8.1 承包人提供的施工设备和临时设施</w:t>
      </w:r>
    </w:p>
    <w:p w14:paraId="14F2A5C7">
      <w:pPr>
        <w:pStyle w:val="229"/>
        <w:rPr>
          <w:color w:val="auto"/>
          <w:highlight w:val="none"/>
        </w:rPr>
      </w:pPr>
      <w:r>
        <w:rPr>
          <w:rFonts w:hint="eastAsia"/>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BCE7C50">
      <w:pPr>
        <w:pStyle w:val="229"/>
        <w:rPr>
          <w:color w:val="auto"/>
          <w:highlight w:val="none"/>
        </w:rPr>
      </w:pPr>
      <w:r>
        <w:rPr>
          <w:rFonts w:hint="eastAsia"/>
          <w:color w:val="auto"/>
          <w:highlight w:val="none"/>
        </w:rPr>
        <w:t>关于修建临时设施费用承担的约定：</w:t>
      </w:r>
    </w:p>
    <w:p w14:paraId="7B83EBAA">
      <w:pPr>
        <w:pStyle w:val="229"/>
        <w:rPr>
          <w:color w:val="auto"/>
          <w:highlight w:val="none"/>
        </w:rPr>
      </w:pPr>
      <w:r>
        <w:rPr>
          <w:rFonts w:hint="eastAsia"/>
          <w:color w:val="auto"/>
          <w:highlight w:val="none"/>
        </w:rPr>
        <w:t>①承包人的临时用地（含项目部驻地等）租用费（含拆迁补偿）、临时用地的环保、恢复、临时用地的青苗补偿及地面附着物拆除等费用均由承包人负责，以上费用在报价中综合考虑。</w:t>
      </w:r>
    </w:p>
    <w:p w14:paraId="0EF4DA76">
      <w:pPr>
        <w:pStyle w:val="229"/>
        <w:rPr>
          <w:color w:val="auto"/>
          <w:highlight w:val="none"/>
        </w:rPr>
      </w:pPr>
      <w:r>
        <w:rPr>
          <w:rFonts w:hint="eastAsia"/>
          <w:color w:val="auto"/>
          <w:highlight w:val="none"/>
        </w:rPr>
        <w:t>②承包人负责合同实施期间其合同段内临时交通道路（含场内外连接公共交通道路）和交通设施的修建、维修、养护和交通管理工作，并承担一切费用。</w:t>
      </w:r>
    </w:p>
    <w:p w14:paraId="626DA487">
      <w:pPr>
        <w:pStyle w:val="229"/>
        <w:rPr>
          <w:color w:val="auto"/>
          <w:highlight w:val="none"/>
        </w:rPr>
      </w:pPr>
      <w:r>
        <w:rPr>
          <w:rFonts w:hint="eastAsia"/>
          <w:color w:val="auto"/>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34DA9B5">
      <w:pPr>
        <w:pStyle w:val="229"/>
        <w:rPr>
          <w:color w:val="auto"/>
          <w:highlight w:val="none"/>
        </w:rPr>
      </w:pPr>
      <w:r>
        <w:rPr>
          <w:rFonts w:hint="eastAsia"/>
          <w:color w:val="auto"/>
          <w:highlight w:val="none"/>
        </w:rPr>
        <w:t>8.8.2 发包人提供的施工设备和临时设施</w:t>
      </w:r>
    </w:p>
    <w:p w14:paraId="75745659">
      <w:pPr>
        <w:pStyle w:val="229"/>
        <w:rPr>
          <w:color w:val="auto"/>
          <w:highlight w:val="none"/>
        </w:rPr>
      </w:pPr>
      <w:r>
        <w:rPr>
          <w:rFonts w:hint="eastAsia"/>
          <w:color w:val="auto"/>
          <w:highlight w:val="none"/>
        </w:rPr>
        <w:t>发包人提供的施工设备和临时设施：</w:t>
      </w:r>
      <w:r>
        <w:rPr>
          <w:rFonts w:hint="eastAsia"/>
          <w:color w:val="auto"/>
          <w:highlight w:val="none"/>
          <w:u w:val="single"/>
        </w:rPr>
        <w:tab/>
      </w:r>
      <w:r>
        <w:rPr>
          <w:rFonts w:hint="eastAsia"/>
          <w:color w:val="auto"/>
          <w:highlight w:val="none"/>
          <w:u w:val="single"/>
        </w:rPr>
        <w:t>项目场区内临时用水、用电接驳点</w:t>
      </w:r>
      <w:r>
        <w:rPr>
          <w:rFonts w:hint="eastAsia"/>
          <w:color w:val="auto"/>
          <w:highlight w:val="none"/>
          <w:u w:val="single"/>
        </w:rPr>
        <w:tab/>
      </w:r>
      <w:r>
        <w:rPr>
          <w:rFonts w:hint="eastAsia"/>
          <w:color w:val="auto"/>
          <w:highlight w:val="none"/>
        </w:rPr>
        <w:t>。</w:t>
      </w:r>
    </w:p>
    <w:p w14:paraId="0B218D1F">
      <w:pPr>
        <w:pStyle w:val="229"/>
        <w:rPr>
          <w:color w:val="auto"/>
          <w:highlight w:val="none"/>
          <w:u w:val="single"/>
        </w:rPr>
      </w:pPr>
      <w:r>
        <w:rPr>
          <w:rFonts w:hint="eastAsia"/>
          <w:color w:val="auto"/>
          <w:highlight w:val="none"/>
        </w:rPr>
        <w:t>发包人提供的施工设备和临时设施的运行、维护、拆除、清运费用的承担人：</w:t>
      </w:r>
      <w:r>
        <w:rPr>
          <w:rFonts w:hint="eastAsia"/>
          <w:color w:val="auto"/>
          <w:highlight w:val="none"/>
          <w:u w:val="single"/>
        </w:rPr>
        <w:tab/>
      </w:r>
      <w:r>
        <w:rPr>
          <w:rFonts w:hint="eastAsia"/>
          <w:color w:val="auto"/>
          <w:highlight w:val="none"/>
          <w:u w:val="single"/>
        </w:rPr>
        <w:t>承包人</w:t>
      </w:r>
      <w:r>
        <w:rPr>
          <w:rFonts w:hint="eastAsia"/>
          <w:color w:val="auto"/>
          <w:highlight w:val="none"/>
          <w:u w:val="single"/>
        </w:rPr>
        <w:tab/>
      </w:r>
      <w:r>
        <w:rPr>
          <w:rFonts w:hint="eastAsia"/>
          <w:color w:val="auto"/>
          <w:highlight w:val="none"/>
          <w:u w:val="single"/>
        </w:rPr>
        <w:t>。</w:t>
      </w:r>
    </w:p>
    <w:p w14:paraId="212F8A3F">
      <w:pPr>
        <w:pStyle w:val="291"/>
        <w:ind w:firstLine="422"/>
        <w:rPr>
          <w:color w:val="auto"/>
          <w:highlight w:val="none"/>
        </w:rPr>
      </w:pPr>
      <w:bookmarkStart w:id="263" w:name="_Toc69641904"/>
      <w:bookmarkStart w:id="264" w:name="_Toc55374007"/>
      <w:bookmarkStart w:id="265" w:name="_Toc140098597"/>
      <w:r>
        <w:rPr>
          <w:rFonts w:hint="eastAsia"/>
          <w:color w:val="auto"/>
          <w:highlight w:val="none"/>
        </w:rPr>
        <w:t>9. 试验与检验</w:t>
      </w:r>
      <w:bookmarkEnd w:id="263"/>
      <w:bookmarkEnd w:id="264"/>
      <w:bookmarkEnd w:id="265"/>
    </w:p>
    <w:p w14:paraId="37D75E44">
      <w:pPr>
        <w:pStyle w:val="278"/>
        <w:rPr>
          <w:color w:val="auto"/>
          <w:highlight w:val="none"/>
        </w:rPr>
      </w:pPr>
      <w:bookmarkStart w:id="266" w:name="_Toc69641905"/>
      <w:bookmarkStart w:id="267" w:name="_Toc55374008"/>
      <w:bookmarkStart w:id="268" w:name="_Toc140098598"/>
      <w:r>
        <w:rPr>
          <w:rFonts w:hint="eastAsia"/>
          <w:color w:val="auto"/>
          <w:highlight w:val="none"/>
        </w:rPr>
        <w:t>9.1试验设备与试验人员</w:t>
      </w:r>
      <w:bookmarkEnd w:id="266"/>
      <w:bookmarkEnd w:id="267"/>
      <w:bookmarkEnd w:id="268"/>
    </w:p>
    <w:p w14:paraId="5C482633">
      <w:pPr>
        <w:pStyle w:val="229"/>
        <w:rPr>
          <w:color w:val="auto"/>
          <w:highlight w:val="none"/>
        </w:rPr>
      </w:pPr>
      <w:r>
        <w:rPr>
          <w:rFonts w:hint="eastAsia"/>
          <w:color w:val="auto"/>
          <w:highlight w:val="none"/>
        </w:rPr>
        <w:t>9.1.2 试验设备</w:t>
      </w:r>
    </w:p>
    <w:p w14:paraId="56EE6804">
      <w:pPr>
        <w:pStyle w:val="229"/>
        <w:rPr>
          <w:color w:val="auto"/>
          <w:highlight w:val="none"/>
        </w:rPr>
      </w:pPr>
      <w:r>
        <w:rPr>
          <w:rFonts w:hint="eastAsia"/>
          <w:color w:val="auto"/>
          <w:highlight w:val="none"/>
        </w:rPr>
        <w:t>施工现场需要配置的试验场所：</w:t>
      </w:r>
      <w:r>
        <w:rPr>
          <w:rFonts w:hint="eastAsia"/>
          <w:color w:val="auto"/>
          <w:highlight w:val="none"/>
          <w:u w:val="single"/>
        </w:rPr>
        <w:t xml:space="preserve"> 混凝土或砂浆试块养护场所</w:t>
      </w:r>
      <w:r>
        <w:rPr>
          <w:rFonts w:hint="eastAsia"/>
          <w:color w:val="auto"/>
          <w:highlight w:val="none"/>
          <w:u w:val="single"/>
        </w:rPr>
        <w:tab/>
      </w:r>
      <w:r>
        <w:rPr>
          <w:rFonts w:hint="eastAsia"/>
          <w:color w:val="auto"/>
          <w:highlight w:val="none"/>
          <w:u w:val="single"/>
        </w:rPr>
        <w:t xml:space="preserve"> </w:t>
      </w:r>
    </w:p>
    <w:p w14:paraId="1319341A">
      <w:pPr>
        <w:pStyle w:val="229"/>
        <w:rPr>
          <w:color w:val="auto"/>
          <w:highlight w:val="none"/>
          <w:u w:val="single"/>
        </w:rPr>
      </w:pPr>
      <w:r>
        <w:rPr>
          <w:rFonts w:hint="eastAsia"/>
          <w:color w:val="auto"/>
          <w:highlight w:val="none"/>
        </w:rPr>
        <w:t>施工现场需要配备的试验设备：</w:t>
      </w:r>
      <w:r>
        <w:rPr>
          <w:rFonts w:hint="eastAsia"/>
          <w:color w:val="auto"/>
          <w:highlight w:val="none"/>
          <w:u w:val="single"/>
        </w:rPr>
        <w:t xml:space="preserve"> 按国家有关规定配备</w:t>
      </w:r>
    </w:p>
    <w:p w14:paraId="48F08A55">
      <w:pPr>
        <w:pStyle w:val="229"/>
        <w:rPr>
          <w:color w:val="auto"/>
          <w:highlight w:val="none"/>
          <w:u w:val="single"/>
        </w:rPr>
      </w:pPr>
      <w:r>
        <w:rPr>
          <w:rFonts w:hint="eastAsia"/>
          <w:color w:val="auto"/>
          <w:highlight w:val="none"/>
        </w:rPr>
        <w:t>施工现场需要具备的其他试验条件：</w:t>
      </w:r>
      <w:r>
        <w:rPr>
          <w:rFonts w:hint="eastAsia"/>
          <w:color w:val="auto"/>
          <w:highlight w:val="none"/>
          <w:u w:val="single"/>
        </w:rPr>
        <w:t xml:space="preserve">    /  。</w:t>
      </w:r>
    </w:p>
    <w:p w14:paraId="4EF7C442">
      <w:pPr>
        <w:pStyle w:val="278"/>
        <w:rPr>
          <w:color w:val="auto"/>
          <w:highlight w:val="none"/>
        </w:rPr>
      </w:pPr>
      <w:bookmarkStart w:id="269" w:name="_Toc140098599"/>
      <w:bookmarkStart w:id="270" w:name="_Toc55374009"/>
      <w:bookmarkStart w:id="271" w:name="_Toc69641906"/>
      <w:r>
        <w:rPr>
          <w:rFonts w:hint="eastAsia"/>
          <w:color w:val="auto"/>
          <w:highlight w:val="none"/>
        </w:rPr>
        <w:t>9.4 现场工艺试验</w:t>
      </w:r>
      <w:bookmarkEnd w:id="269"/>
      <w:bookmarkEnd w:id="270"/>
      <w:bookmarkEnd w:id="271"/>
      <w:r>
        <w:rPr>
          <w:rFonts w:hint="eastAsia"/>
          <w:color w:val="auto"/>
          <w:highlight w:val="none"/>
        </w:rPr>
        <w:t xml:space="preserve"> </w:t>
      </w:r>
    </w:p>
    <w:p w14:paraId="1230E89A">
      <w:pPr>
        <w:pStyle w:val="229"/>
        <w:rPr>
          <w:color w:val="auto"/>
          <w:highlight w:val="none"/>
          <w:u w:val="single"/>
        </w:rPr>
      </w:pPr>
      <w:r>
        <w:rPr>
          <w:rFonts w:hint="eastAsia"/>
          <w:color w:val="auto"/>
          <w:highlight w:val="none"/>
        </w:rPr>
        <w:t>现场工艺试验的有关约定：</w:t>
      </w:r>
      <w:r>
        <w:rPr>
          <w:rFonts w:hint="eastAsia"/>
          <w:color w:val="auto"/>
          <w:highlight w:val="none"/>
          <w:u w:val="single"/>
        </w:rPr>
        <w:t xml:space="preserve">    /   。</w:t>
      </w:r>
    </w:p>
    <w:p w14:paraId="79582080">
      <w:pPr>
        <w:pStyle w:val="278"/>
        <w:rPr>
          <w:color w:val="auto"/>
          <w:highlight w:val="none"/>
        </w:rPr>
      </w:pPr>
      <w:bookmarkStart w:id="272" w:name="_Toc140098600"/>
      <w:bookmarkStart w:id="273" w:name="_Toc69641907"/>
      <w:bookmarkStart w:id="274" w:name="_Toc55374010"/>
      <w:r>
        <w:rPr>
          <w:rFonts w:hint="eastAsia"/>
          <w:color w:val="auto"/>
          <w:highlight w:val="none"/>
        </w:rPr>
        <w:t>9.5 检验费用</w:t>
      </w:r>
      <w:bookmarkEnd w:id="272"/>
      <w:bookmarkEnd w:id="273"/>
      <w:bookmarkEnd w:id="274"/>
    </w:p>
    <w:p w14:paraId="44E3D66C">
      <w:pPr>
        <w:snapToGrid w:val="0"/>
        <w:spacing w:line="590" w:lineRule="exact"/>
        <w:ind w:firstLine="425"/>
        <w:jc w:val="left"/>
        <w:rPr>
          <w:color w:val="auto"/>
          <w:highlight w:val="none"/>
        </w:rPr>
      </w:pPr>
      <w:r>
        <w:rPr>
          <w:rFonts w:hint="eastAsia"/>
          <w:color w:val="auto"/>
          <w:highlight w:val="none"/>
        </w:rPr>
        <w:t>根据《建设工程质量检测管理办法》（建设部令第 57 号）、项目投入使用前需检测的所有内容（如：洁净度、温湿度、压差等）的检测要求以及广西壮族自治区相关的规定，工程质量检测业务由发包人委托有相应资质的检测机构检测。费用由承包人承担。</w:t>
      </w:r>
    </w:p>
    <w:p w14:paraId="73A5B3E4">
      <w:pPr>
        <w:pStyle w:val="291"/>
        <w:ind w:firstLine="422"/>
        <w:rPr>
          <w:color w:val="auto"/>
          <w:highlight w:val="none"/>
        </w:rPr>
      </w:pPr>
      <w:bookmarkStart w:id="275" w:name="_Toc55374011"/>
      <w:bookmarkStart w:id="276" w:name="_Toc69641908"/>
      <w:bookmarkStart w:id="277" w:name="_Toc140098601"/>
      <w:r>
        <w:rPr>
          <w:rFonts w:hint="eastAsia"/>
          <w:color w:val="auto"/>
          <w:highlight w:val="none"/>
        </w:rPr>
        <w:t>10. 变更</w:t>
      </w:r>
      <w:bookmarkEnd w:id="275"/>
      <w:bookmarkEnd w:id="276"/>
      <w:bookmarkEnd w:id="277"/>
    </w:p>
    <w:p w14:paraId="36F316AF">
      <w:pPr>
        <w:pStyle w:val="278"/>
        <w:rPr>
          <w:color w:val="auto"/>
          <w:highlight w:val="none"/>
        </w:rPr>
      </w:pPr>
      <w:bookmarkStart w:id="278" w:name="_Toc69641909"/>
      <w:bookmarkStart w:id="279" w:name="_Toc140098602"/>
      <w:bookmarkStart w:id="280" w:name="_Toc55374012"/>
      <w:r>
        <w:rPr>
          <w:rFonts w:hint="eastAsia"/>
          <w:color w:val="auto"/>
          <w:highlight w:val="none"/>
        </w:rPr>
        <w:t>10.1变更的范围</w:t>
      </w:r>
      <w:bookmarkEnd w:id="278"/>
      <w:bookmarkEnd w:id="279"/>
      <w:bookmarkEnd w:id="280"/>
    </w:p>
    <w:p w14:paraId="26B9FDEF">
      <w:pPr>
        <w:pStyle w:val="229"/>
        <w:rPr>
          <w:color w:val="auto"/>
          <w:highlight w:val="none"/>
        </w:rPr>
      </w:pPr>
      <w:r>
        <w:rPr>
          <w:rFonts w:hint="eastAsia"/>
          <w:color w:val="auto"/>
          <w:highlight w:val="none"/>
        </w:rPr>
        <w:t>⑴本工程合同实施期间因不可预见因素或设计及发包人要求所发生的工程量增减（因变更、签证产生），其工程量按实际发生并经监理工程师和发包人现场会签草签单，工程量变更申请（附相关预算）须附经认可的会签草签单且加盖发包人指定的专用章认可。承包人提交的工程量变更申请，未附经认可的会签草签单的，监理人不予批准，责令承包人补充完整资料后再上报。</w:t>
      </w:r>
    </w:p>
    <w:p w14:paraId="484F82CE">
      <w:pPr>
        <w:pStyle w:val="229"/>
        <w:rPr>
          <w:color w:val="auto"/>
          <w:highlight w:val="none"/>
        </w:rPr>
      </w:pPr>
      <w:r>
        <w:rPr>
          <w:rFonts w:hint="eastAsia"/>
          <w:color w:val="auto"/>
          <w:highlight w:val="none"/>
        </w:rPr>
        <w:t>⑵减少或取消工程量的工程联系函可以直接作为结算依据。</w:t>
      </w:r>
    </w:p>
    <w:p w14:paraId="2D59EF88">
      <w:pPr>
        <w:pStyle w:val="229"/>
        <w:rPr>
          <w:color w:val="auto"/>
          <w:highlight w:val="none"/>
        </w:rPr>
      </w:pPr>
      <w:r>
        <w:rPr>
          <w:rFonts w:hint="eastAsia"/>
          <w:color w:val="auto"/>
          <w:highlight w:val="none"/>
        </w:rPr>
        <w:t>⑶增加工程量的工程联系函必须附相应的签证单或发包人确认已施工的说明方可作为结算依据。</w:t>
      </w:r>
    </w:p>
    <w:p w14:paraId="6E46EDF3">
      <w:pPr>
        <w:pStyle w:val="229"/>
        <w:rPr>
          <w:color w:val="auto"/>
          <w:highlight w:val="none"/>
        </w:rPr>
      </w:pPr>
      <w:r>
        <w:rPr>
          <w:rFonts w:hint="eastAsia"/>
          <w:color w:val="auto"/>
          <w:highlight w:val="none"/>
        </w:rPr>
        <w:t>应当进行变更的其他情形：</w:t>
      </w:r>
    </w:p>
    <w:p w14:paraId="3223704D">
      <w:pPr>
        <w:pStyle w:val="229"/>
        <w:rPr>
          <w:color w:val="auto"/>
          <w:highlight w:val="none"/>
        </w:rPr>
      </w:pPr>
      <w:r>
        <w:rPr>
          <w:rFonts w:hint="eastAsia"/>
          <w:color w:val="auto"/>
          <w:highlight w:val="none"/>
        </w:rPr>
        <w:t>①由于承包人现场施工组织、技术能力、施工质量或施工进度等不能满足发包人需要，发包人可根据情况要求承包人限时整改，承包人拒不整改或整改不及时或经整改仍无法满足有关要求的，发包人有权取消合同项下的相关工作，由发包人或其他人实施，相关费用从合同价款中扣除。</w:t>
      </w:r>
    </w:p>
    <w:p w14:paraId="1497F88A">
      <w:pPr>
        <w:pStyle w:val="229"/>
        <w:rPr>
          <w:color w:val="auto"/>
          <w:highlight w:val="none"/>
        </w:rPr>
      </w:pPr>
      <w:r>
        <w:rPr>
          <w:rFonts w:hint="eastAsia"/>
          <w:color w:val="auto"/>
          <w:highlight w:val="none"/>
        </w:rPr>
        <w:t>②非承包人原因引起工程项目缓建、中途停建、设计变更或设计错误造成的返工，发包人应采取措施，同时经有关部门审定后赔偿承包人由此造成的停工、窝工、倒运、人员和机械的调迁，材料和构件积压等损失。如因承包人原因造成停工、窝工、倒运、人员和机械的调迁，材料和构件积压等损失，由承包人负责。</w:t>
      </w:r>
    </w:p>
    <w:p w14:paraId="25269350">
      <w:pPr>
        <w:pStyle w:val="229"/>
        <w:rPr>
          <w:color w:val="auto"/>
          <w:highlight w:val="none"/>
        </w:rPr>
      </w:pPr>
      <w:r>
        <w:rPr>
          <w:rFonts w:hint="eastAsia"/>
          <w:color w:val="auto"/>
          <w:highlight w:val="none"/>
        </w:rPr>
        <w:t>③承包人不能擅自变更，否则承担全部的违约责任，工期不予顺延。</w:t>
      </w:r>
    </w:p>
    <w:p w14:paraId="53EE1AFC">
      <w:pPr>
        <w:pStyle w:val="229"/>
        <w:rPr>
          <w:color w:val="auto"/>
          <w:highlight w:val="none"/>
        </w:rPr>
      </w:pPr>
      <w:r>
        <w:rPr>
          <w:rFonts w:hint="eastAsia"/>
          <w:color w:val="auto"/>
          <w:highlight w:val="none"/>
        </w:rPr>
        <w:t>⑷承包人在合同签订后一个月内依据施工图纸按发包人要求提交标后工程量清单（含缺项、漏项的）报监理人、发包人审核。标后工程量清单经发包人与承包人双方确认后，原则上不得更改。特殊情况双方协商解决。</w:t>
      </w:r>
    </w:p>
    <w:p w14:paraId="708E14DA">
      <w:pPr>
        <w:pStyle w:val="278"/>
        <w:rPr>
          <w:color w:val="auto"/>
          <w:highlight w:val="none"/>
        </w:rPr>
      </w:pPr>
      <w:bookmarkStart w:id="281" w:name="_Toc69641910"/>
      <w:bookmarkStart w:id="282" w:name="_Toc55374013"/>
      <w:bookmarkStart w:id="283" w:name="_Toc140098603"/>
      <w:r>
        <w:rPr>
          <w:rFonts w:hint="eastAsia"/>
          <w:color w:val="auto"/>
          <w:highlight w:val="none"/>
        </w:rPr>
        <w:t>10.3 变更程序</w:t>
      </w:r>
      <w:bookmarkEnd w:id="281"/>
      <w:bookmarkEnd w:id="282"/>
      <w:bookmarkEnd w:id="283"/>
    </w:p>
    <w:p w14:paraId="15C2F133">
      <w:pPr>
        <w:pStyle w:val="229"/>
        <w:rPr>
          <w:color w:val="auto"/>
          <w:highlight w:val="none"/>
        </w:rPr>
      </w:pPr>
      <w:r>
        <w:rPr>
          <w:rFonts w:hint="eastAsia"/>
          <w:color w:val="auto"/>
          <w:highlight w:val="none"/>
        </w:rPr>
        <w:t>10.3.1 国有投资项目：</w:t>
      </w:r>
    </w:p>
    <w:p w14:paraId="72ABEAB2">
      <w:pPr>
        <w:pStyle w:val="229"/>
        <w:rPr>
          <w:color w:val="auto"/>
          <w:highlight w:val="none"/>
          <w:u w:val="single"/>
        </w:rPr>
      </w:pPr>
      <w:r>
        <w:rPr>
          <w:rFonts w:hint="eastAsia"/>
          <w:color w:val="auto"/>
          <w:highlight w:val="none"/>
        </w:rPr>
        <w:t>⑴设计变更和工程签证，按各市政府或相关部门的规定办理。承包人应及时办理正式签证，如在五方预验收后14日内仍未办理签证的，不再予以补签。属不可抗力（自然灾害、突发事件等）造成变更的，按特事特办原则予以办理。</w:t>
      </w:r>
    </w:p>
    <w:p w14:paraId="48579F35">
      <w:pPr>
        <w:pStyle w:val="229"/>
        <w:rPr>
          <w:color w:val="auto"/>
          <w:highlight w:val="none"/>
        </w:rPr>
      </w:pPr>
      <w:r>
        <w:rPr>
          <w:rFonts w:hint="eastAsia"/>
          <w:color w:val="auto"/>
          <w:highlight w:val="none"/>
        </w:rPr>
        <w:t>⑵建设单位在实施项目过程中，若发生单价变动，由建设单位、监理单位、施工单位及其他相关单位共同商定并签字确认。</w:t>
      </w:r>
    </w:p>
    <w:p w14:paraId="6483877F">
      <w:pPr>
        <w:pStyle w:val="229"/>
        <w:rPr>
          <w:color w:val="auto"/>
          <w:highlight w:val="none"/>
        </w:rPr>
      </w:pPr>
      <w:r>
        <w:rPr>
          <w:rFonts w:hint="eastAsia"/>
          <w:color w:val="auto"/>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24F20BC6">
      <w:pPr>
        <w:pStyle w:val="229"/>
        <w:rPr>
          <w:color w:val="auto"/>
          <w:highlight w:val="none"/>
        </w:rPr>
      </w:pPr>
      <w:r>
        <w:rPr>
          <w:rFonts w:hint="eastAsia"/>
          <w:color w:val="auto"/>
          <w:highlight w:val="none"/>
        </w:rPr>
        <w:t>10.3.2 非国有投资项目：</w:t>
      </w:r>
      <w:r>
        <w:rPr>
          <w:rFonts w:hint="eastAsia"/>
          <w:color w:val="auto"/>
          <w:highlight w:val="none"/>
          <w:u w:val="single"/>
        </w:rPr>
        <w:tab/>
      </w:r>
      <w:r>
        <w:rPr>
          <w:rFonts w:hint="eastAsia"/>
          <w:color w:val="auto"/>
          <w:highlight w:val="none"/>
          <w:u w:val="single"/>
        </w:rPr>
        <w:t>/</w:t>
      </w:r>
      <w:r>
        <w:rPr>
          <w:rFonts w:hint="eastAsia"/>
          <w:color w:val="auto"/>
          <w:highlight w:val="none"/>
          <w:u w:val="single"/>
        </w:rPr>
        <w:tab/>
      </w:r>
      <w:r>
        <w:rPr>
          <w:rFonts w:hint="eastAsia"/>
          <w:color w:val="auto"/>
          <w:highlight w:val="none"/>
        </w:rPr>
        <w:t>。</w:t>
      </w:r>
    </w:p>
    <w:p w14:paraId="74BA6F56">
      <w:pPr>
        <w:pStyle w:val="278"/>
        <w:rPr>
          <w:color w:val="auto"/>
          <w:highlight w:val="none"/>
        </w:rPr>
      </w:pPr>
      <w:bookmarkStart w:id="284" w:name="_Toc55374014"/>
      <w:bookmarkStart w:id="285" w:name="_Toc69641911"/>
      <w:bookmarkStart w:id="286" w:name="_Toc140098604"/>
      <w:r>
        <w:rPr>
          <w:rFonts w:hint="eastAsia"/>
          <w:color w:val="auto"/>
          <w:highlight w:val="none"/>
        </w:rPr>
        <w:t>10.4 变更估价</w:t>
      </w:r>
      <w:bookmarkEnd w:id="284"/>
      <w:bookmarkEnd w:id="285"/>
      <w:bookmarkEnd w:id="286"/>
    </w:p>
    <w:p w14:paraId="2F4E303A">
      <w:pPr>
        <w:pStyle w:val="229"/>
        <w:rPr>
          <w:color w:val="auto"/>
          <w:highlight w:val="none"/>
          <w:u w:val="single"/>
        </w:rPr>
      </w:pPr>
      <w:r>
        <w:rPr>
          <w:rFonts w:hint="eastAsia"/>
          <w:color w:val="auto"/>
          <w:highlight w:val="none"/>
        </w:rPr>
        <w:t xml:space="preserve">10.4.1 关于变更估价的约定: </w:t>
      </w:r>
      <w:r>
        <w:rPr>
          <w:rFonts w:hint="eastAsia"/>
          <w:color w:val="auto"/>
          <w:highlight w:val="none"/>
          <w:u w:val="single"/>
        </w:rPr>
        <w:t>按第12.1款执行。</w:t>
      </w:r>
    </w:p>
    <w:p w14:paraId="659CEFD1">
      <w:pPr>
        <w:pStyle w:val="278"/>
        <w:rPr>
          <w:color w:val="auto"/>
          <w:highlight w:val="none"/>
        </w:rPr>
      </w:pPr>
      <w:bookmarkStart w:id="287" w:name="_Toc55374015"/>
      <w:bookmarkStart w:id="288" w:name="_Toc69641912"/>
      <w:bookmarkStart w:id="289" w:name="_Toc140098605"/>
      <w:r>
        <w:rPr>
          <w:rFonts w:hint="eastAsia"/>
          <w:color w:val="auto"/>
          <w:highlight w:val="none"/>
        </w:rPr>
        <w:t>10.5承包人的合理化建议</w:t>
      </w:r>
      <w:bookmarkEnd w:id="287"/>
      <w:bookmarkEnd w:id="288"/>
      <w:bookmarkEnd w:id="289"/>
    </w:p>
    <w:p w14:paraId="50A92175">
      <w:pPr>
        <w:pStyle w:val="229"/>
        <w:rPr>
          <w:color w:val="auto"/>
          <w:highlight w:val="none"/>
          <w:u w:val="single"/>
        </w:rPr>
      </w:pPr>
      <w:r>
        <w:rPr>
          <w:rFonts w:hint="eastAsia"/>
          <w:color w:val="auto"/>
          <w:highlight w:val="none"/>
        </w:rPr>
        <w:t>监理人审查承包人合理化建议的期限：</w:t>
      </w:r>
      <w:r>
        <w:rPr>
          <w:rFonts w:hint="eastAsia"/>
          <w:color w:val="auto"/>
          <w:highlight w:val="none"/>
          <w:u w:val="single"/>
        </w:rPr>
        <w:t xml:space="preserve"> 收到文件后3个工作日 </w:t>
      </w:r>
    </w:p>
    <w:p w14:paraId="03755B00">
      <w:pPr>
        <w:pStyle w:val="229"/>
        <w:rPr>
          <w:color w:val="auto"/>
          <w:highlight w:val="none"/>
        </w:rPr>
      </w:pPr>
      <w:r>
        <w:rPr>
          <w:rFonts w:hint="eastAsia"/>
          <w:color w:val="auto"/>
          <w:highlight w:val="none"/>
        </w:rPr>
        <w:t>发包人审批承包人合理化建议的期限：</w:t>
      </w:r>
      <w:r>
        <w:rPr>
          <w:rFonts w:hint="eastAsia"/>
          <w:color w:val="auto"/>
          <w:highlight w:val="none"/>
          <w:u w:val="single"/>
        </w:rPr>
        <w:t>收到监理提交的审查文件后5个工作日</w:t>
      </w:r>
      <w:r>
        <w:rPr>
          <w:rFonts w:hint="eastAsia"/>
          <w:color w:val="auto"/>
          <w:highlight w:val="none"/>
        </w:rPr>
        <w:t>。</w:t>
      </w:r>
    </w:p>
    <w:p w14:paraId="4830CC24">
      <w:pPr>
        <w:pStyle w:val="229"/>
        <w:rPr>
          <w:color w:val="auto"/>
          <w:highlight w:val="none"/>
          <w:u w:val="single"/>
        </w:rPr>
      </w:pPr>
      <w:r>
        <w:rPr>
          <w:rFonts w:hint="eastAsia"/>
          <w:color w:val="auto"/>
          <w:highlight w:val="none"/>
        </w:rPr>
        <w:t>承包人提出的合理化建议降低了合同价格或者提高了工程经济效益的奖励的方法和金额为：</w:t>
      </w:r>
      <w:r>
        <w:rPr>
          <w:rFonts w:hint="eastAsia"/>
          <w:color w:val="auto"/>
          <w:highlight w:val="none"/>
          <w:u w:val="single"/>
        </w:rPr>
        <w:t xml:space="preserve"> 无 。</w:t>
      </w:r>
    </w:p>
    <w:p w14:paraId="13146350">
      <w:pPr>
        <w:pStyle w:val="278"/>
        <w:rPr>
          <w:color w:val="auto"/>
          <w:highlight w:val="none"/>
        </w:rPr>
      </w:pPr>
      <w:bookmarkStart w:id="290" w:name="_Toc69641913"/>
      <w:bookmarkStart w:id="291" w:name="_Toc140098606"/>
      <w:bookmarkStart w:id="292" w:name="_Toc55374016"/>
      <w:r>
        <w:rPr>
          <w:rFonts w:hint="eastAsia"/>
          <w:color w:val="auto"/>
          <w:highlight w:val="none"/>
        </w:rPr>
        <w:t>10.7 暂估价</w:t>
      </w:r>
      <w:bookmarkEnd w:id="290"/>
      <w:bookmarkEnd w:id="291"/>
      <w:bookmarkEnd w:id="292"/>
    </w:p>
    <w:p w14:paraId="1032AC90">
      <w:pPr>
        <w:pStyle w:val="229"/>
        <w:rPr>
          <w:color w:val="auto"/>
          <w:highlight w:val="none"/>
        </w:rPr>
      </w:pPr>
      <w:r>
        <w:rPr>
          <w:rFonts w:hint="eastAsia"/>
          <w:color w:val="auto"/>
          <w:highlight w:val="none"/>
        </w:rPr>
        <w:t>暂估价材料和工程设备的明细详见附件</w:t>
      </w:r>
      <w:r>
        <w:rPr>
          <w:color w:val="auto"/>
          <w:highlight w:val="none"/>
        </w:rPr>
        <w:t>8</w:t>
      </w:r>
      <w:r>
        <w:rPr>
          <w:rFonts w:hint="eastAsia"/>
          <w:color w:val="auto"/>
          <w:highlight w:val="none"/>
        </w:rPr>
        <w:t>：暂估价一览表。</w:t>
      </w:r>
    </w:p>
    <w:p w14:paraId="0312C225">
      <w:pPr>
        <w:pStyle w:val="229"/>
        <w:rPr>
          <w:color w:val="auto"/>
          <w:highlight w:val="none"/>
        </w:rPr>
      </w:pPr>
      <w:r>
        <w:rPr>
          <w:rFonts w:hint="eastAsia"/>
          <w:color w:val="auto"/>
          <w:highlight w:val="none"/>
        </w:rPr>
        <w:t>10.7.1 依法必须招标的暂估价项目</w:t>
      </w:r>
    </w:p>
    <w:p w14:paraId="01AEB0E7">
      <w:pPr>
        <w:pStyle w:val="229"/>
        <w:rPr>
          <w:color w:val="auto"/>
          <w:highlight w:val="none"/>
        </w:rPr>
      </w:pPr>
      <w:r>
        <w:rPr>
          <w:rFonts w:hint="eastAsia"/>
          <w:color w:val="auto"/>
          <w:highlight w:val="none"/>
        </w:rPr>
        <w:t>对于依法必须招标的暂估价项目的确认和批准采取第</w:t>
      </w:r>
      <w:r>
        <w:rPr>
          <w:rFonts w:hint="eastAsia"/>
          <w:color w:val="auto"/>
          <w:highlight w:val="none"/>
          <w:u w:val="single"/>
        </w:rPr>
        <w:t xml:space="preserve"> /  </w:t>
      </w:r>
      <w:r>
        <w:rPr>
          <w:rFonts w:hint="eastAsia"/>
          <w:color w:val="auto"/>
          <w:highlight w:val="none"/>
        </w:rPr>
        <w:t>种方式确定。</w:t>
      </w:r>
    </w:p>
    <w:p w14:paraId="25C54EE3">
      <w:pPr>
        <w:pStyle w:val="229"/>
        <w:rPr>
          <w:color w:val="auto"/>
          <w:highlight w:val="none"/>
        </w:rPr>
      </w:pPr>
      <w:r>
        <w:rPr>
          <w:rFonts w:hint="eastAsia"/>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人后，由发包人、承包人与成交人共同签订暂估价合同。</w:t>
      </w:r>
    </w:p>
    <w:p w14:paraId="1D701116">
      <w:pPr>
        <w:pStyle w:val="229"/>
        <w:rPr>
          <w:color w:val="auto"/>
          <w:highlight w:val="none"/>
        </w:rPr>
      </w:pPr>
      <w:r>
        <w:rPr>
          <w:rFonts w:hint="eastAsia"/>
          <w:color w:val="auto"/>
          <w:highlight w:val="none"/>
        </w:rPr>
        <w:t>10.7.2 不属于依法必须招标的暂估价项目</w:t>
      </w:r>
    </w:p>
    <w:p w14:paraId="6F4C34C8">
      <w:pPr>
        <w:pStyle w:val="229"/>
        <w:rPr>
          <w:color w:val="auto"/>
          <w:highlight w:val="none"/>
        </w:rPr>
      </w:pPr>
      <w:r>
        <w:rPr>
          <w:rFonts w:hint="eastAsia"/>
          <w:color w:val="auto"/>
          <w:highlight w:val="none"/>
        </w:rPr>
        <w:t>对于不属于依法必须招标的暂估价项目的确认和批准采取第</w:t>
      </w:r>
      <w:r>
        <w:rPr>
          <w:rFonts w:hint="eastAsia"/>
          <w:color w:val="auto"/>
          <w:highlight w:val="none"/>
          <w:u w:val="single"/>
        </w:rPr>
        <w:t xml:space="preserve"> 1  </w:t>
      </w:r>
      <w:r>
        <w:rPr>
          <w:rFonts w:hint="eastAsia"/>
          <w:color w:val="auto"/>
          <w:highlight w:val="none"/>
        </w:rPr>
        <w:t>种方式确定。</w:t>
      </w:r>
    </w:p>
    <w:p w14:paraId="5991DAE9">
      <w:pPr>
        <w:pStyle w:val="229"/>
        <w:rPr>
          <w:color w:val="auto"/>
          <w:highlight w:val="none"/>
        </w:rPr>
      </w:pPr>
      <w:r>
        <w:rPr>
          <w:rFonts w:hint="eastAsia"/>
          <w:color w:val="auto"/>
          <w:highlight w:val="none"/>
        </w:rPr>
        <w:t>第1种方式：对于不属于依法必须招标的暂估价项目，按本项约定确认和批准：</w:t>
      </w:r>
    </w:p>
    <w:p w14:paraId="4B87F908">
      <w:pPr>
        <w:pStyle w:val="229"/>
        <w:rPr>
          <w:color w:val="auto"/>
          <w:highlight w:val="none"/>
        </w:rPr>
      </w:pPr>
      <w:r>
        <w:rPr>
          <w:rFonts w:hint="eastAsia"/>
          <w:color w:val="auto"/>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A698053">
      <w:pPr>
        <w:pStyle w:val="229"/>
        <w:rPr>
          <w:color w:val="auto"/>
          <w:highlight w:val="none"/>
        </w:rPr>
      </w:pPr>
      <w:r>
        <w:rPr>
          <w:rFonts w:hint="eastAsia"/>
          <w:color w:val="auto"/>
          <w:highlight w:val="none"/>
        </w:rPr>
        <w:t>（2）发包人认为承包人确定的供应商、分包人无法满足工程质量或合同要求的，发包人可以要求承包人重新确定暂估价项目的供应商、分包人；</w:t>
      </w:r>
    </w:p>
    <w:p w14:paraId="7C6CB083">
      <w:pPr>
        <w:pStyle w:val="229"/>
        <w:rPr>
          <w:color w:val="auto"/>
          <w:highlight w:val="none"/>
        </w:rPr>
      </w:pPr>
      <w:r>
        <w:rPr>
          <w:rFonts w:hint="eastAsia"/>
          <w:color w:val="auto"/>
          <w:highlight w:val="none"/>
        </w:rPr>
        <w:t>（3）承包人应当在签订暂估价合同后7天内，将暂估价合同副本报送发包人留存。</w:t>
      </w:r>
    </w:p>
    <w:p w14:paraId="70BC92EA">
      <w:pPr>
        <w:pStyle w:val="278"/>
        <w:rPr>
          <w:color w:val="auto"/>
          <w:highlight w:val="none"/>
        </w:rPr>
      </w:pPr>
      <w:bookmarkStart w:id="293" w:name="_Toc69641914"/>
      <w:bookmarkStart w:id="294" w:name="_Toc140098607"/>
      <w:bookmarkStart w:id="295" w:name="_Toc55374017"/>
      <w:r>
        <w:rPr>
          <w:rFonts w:hint="eastAsia"/>
          <w:color w:val="auto"/>
          <w:highlight w:val="none"/>
        </w:rPr>
        <w:t>10.8 暂列金额</w:t>
      </w:r>
      <w:bookmarkEnd w:id="293"/>
      <w:bookmarkEnd w:id="294"/>
      <w:bookmarkEnd w:id="295"/>
    </w:p>
    <w:p w14:paraId="0D5D08A2">
      <w:pPr>
        <w:pStyle w:val="229"/>
        <w:rPr>
          <w:color w:val="auto"/>
          <w:highlight w:val="none"/>
        </w:rPr>
      </w:pPr>
      <w:r>
        <w:rPr>
          <w:rFonts w:hint="eastAsia"/>
          <w:color w:val="auto"/>
          <w:highlight w:val="none"/>
        </w:rPr>
        <w:t>合同当事人关于暂列金额使用的约定：（1）已签约合同价中的暂列金额由发包人掌握使用。（2）发包人按照规定所作支付后，暂列金额如有余额归发包人。</w:t>
      </w:r>
    </w:p>
    <w:p w14:paraId="4520D870">
      <w:pPr>
        <w:pStyle w:val="291"/>
        <w:ind w:firstLine="422"/>
        <w:rPr>
          <w:color w:val="auto"/>
          <w:highlight w:val="none"/>
        </w:rPr>
      </w:pPr>
      <w:bookmarkStart w:id="296" w:name="_Toc69641915"/>
      <w:bookmarkStart w:id="297" w:name="_Toc140098608"/>
      <w:bookmarkStart w:id="298" w:name="_Toc55374018"/>
      <w:r>
        <w:rPr>
          <w:rFonts w:hint="eastAsia"/>
          <w:color w:val="auto"/>
          <w:highlight w:val="none"/>
        </w:rPr>
        <w:t>11. 价格调整</w:t>
      </w:r>
      <w:bookmarkEnd w:id="296"/>
      <w:bookmarkEnd w:id="297"/>
      <w:bookmarkEnd w:id="298"/>
    </w:p>
    <w:p w14:paraId="181C1343">
      <w:pPr>
        <w:pStyle w:val="278"/>
        <w:rPr>
          <w:color w:val="auto"/>
          <w:highlight w:val="none"/>
        </w:rPr>
      </w:pPr>
      <w:bookmarkStart w:id="299" w:name="_Toc140098609"/>
      <w:bookmarkStart w:id="300" w:name="_Toc69641916"/>
      <w:bookmarkStart w:id="301" w:name="_Toc55374019"/>
      <w:r>
        <w:rPr>
          <w:rFonts w:hint="eastAsia"/>
          <w:color w:val="auto"/>
          <w:highlight w:val="none"/>
        </w:rPr>
        <w:t>11.1 市场价格波动引起的调整</w:t>
      </w:r>
      <w:bookmarkEnd w:id="299"/>
      <w:bookmarkEnd w:id="300"/>
      <w:bookmarkEnd w:id="301"/>
    </w:p>
    <w:p w14:paraId="081BAB43">
      <w:pPr>
        <w:spacing w:line="360" w:lineRule="auto"/>
        <w:ind w:firstLine="420" w:firstLineChars="200"/>
        <w:jc w:val="left"/>
        <w:rPr>
          <w:color w:val="auto"/>
          <w:highlight w:val="none"/>
        </w:rPr>
      </w:pPr>
      <w:bookmarkStart w:id="302" w:name="_Toc55374020"/>
      <w:bookmarkStart w:id="303" w:name="_Toc69641917"/>
      <w:bookmarkStart w:id="304" w:name="_Toc140098610"/>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hAnsi="宋体" w:cs="宋体"/>
          <w:color w:val="auto"/>
          <w:highlight w:val="none"/>
        </w:rPr>
        <w:t>。</w:t>
      </w:r>
    </w:p>
    <w:p w14:paraId="2885EC7A">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种方式对合同价格进行调整：</w:t>
      </w:r>
    </w:p>
    <w:p w14:paraId="34CDD492">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5760AD1E">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32DE4E10">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1565807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Ansi="宋体" w:cs="宋体"/>
          <w:color w:val="auto"/>
          <w:highlight w:val="none"/>
          <w:lang w:val="en"/>
        </w:rPr>
        <w:t>工程</w:t>
      </w:r>
      <w:r>
        <w:rPr>
          <w:rFonts w:hint="eastAsia" w:hAnsi="宋体" w:cs="宋体"/>
          <w:color w:val="auto"/>
          <w:highlight w:val="none"/>
        </w:rPr>
        <w:t>设备、基期价格、风险系数、投标报价详见《</w:t>
      </w:r>
      <w:r>
        <w:rPr>
          <w:rFonts w:hAnsi="宋体" w:cs="宋体"/>
          <w:color w:val="auto"/>
          <w:highlight w:val="none"/>
          <w:lang w:val="en"/>
        </w:rPr>
        <w:t>允许调整</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71FD7DF0">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设备确认价：</w:t>
      </w:r>
    </w:p>
    <w:p w14:paraId="24D548F0">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255BF6A1">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5411575A">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的部分进行价差调整，价差计算公式：价格上涨价差=确认价-基准价*（1+风险系数），价格下跌价差=确认价-投标报价*（1+风险系数）。</w:t>
      </w:r>
    </w:p>
    <w:p w14:paraId="385101DF">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的部分进行价差调整。价差计算公式：价格上涨价差=确认价-投标报价*（1+风险系数），价格下跌价差=确认价-基准价*（1+风险系数。）</w:t>
      </w:r>
    </w:p>
    <w:p w14:paraId="16C18A40">
      <w:pPr>
        <w:spacing w:line="360" w:lineRule="auto"/>
        <w:ind w:firstLine="420" w:firstLineChars="200"/>
        <w:jc w:val="left"/>
        <w:rPr>
          <w:color w:val="auto"/>
          <w:highlight w:val="none"/>
        </w:rPr>
      </w:pPr>
      <w:r>
        <w:rPr>
          <w:rFonts w:hint="eastAsia" w:hAnsi="宋体" w:cs="宋体"/>
          <w:color w:val="auto"/>
          <w:highlight w:val="none"/>
        </w:rPr>
        <w:t>③承包人在《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E1829C">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p w14:paraId="7B5C477A">
      <w:pPr>
        <w:pStyle w:val="291"/>
        <w:ind w:firstLine="422"/>
        <w:rPr>
          <w:color w:val="auto"/>
          <w:highlight w:val="none"/>
        </w:rPr>
      </w:pPr>
      <w:r>
        <w:rPr>
          <w:rFonts w:hint="eastAsia"/>
          <w:color w:val="auto"/>
          <w:highlight w:val="none"/>
        </w:rPr>
        <w:t>12. 合同价格、计量与支付</w:t>
      </w:r>
      <w:bookmarkEnd w:id="302"/>
      <w:bookmarkEnd w:id="303"/>
      <w:bookmarkEnd w:id="304"/>
    </w:p>
    <w:p w14:paraId="1E2F04FD">
      <w:pPr>
        <w:pStyle w:val="278"/>
        <w:rPr>
          <w:color w:val="auto"/>
          <w:highlight w:val="none"/>
        </w:rPr>
      </w:pPr>
      <w:bookmarkStart w:id="305" w:name="_Toc69641918"/>
      <w:bookmarkStart w:id="306" w:name="_Toc55374021"/>
      <w:bookmarkStart w:id="307" w:name="_Toc140098611"/>
      <w:r>
        <w:rPr>
          <w:rFonts w:hint="eastAsia"/>
          <w:color w:val="auto"/>
          <w:highlight w:val="none"/>
        </w:rPr>
        <w:t xml:space="preserve">12.1 </w:t>
      </w:r>
      <w:r>
        <w:rPr>
          <w:rFonts w:hint="eastAsia"/>
          <w:color w:val="auto"/>
          <w:highlight w:val="none"/>
        </w:rPr>
        <w:t>合同价格形式按以下约定：</w:t>
      </w:r>
      <w:bookmarkEnd w:id="305"/>
      <w:bookmarkEnd w:id="306"/>
      <w:bookmarkEnd w:id="307"/>
    </w:p>
    <w:p w14:paraId="0CDF2685">
      <w:pPr>
        <w:spacing w:line="360" w:lineRule="auto"/>
        <w:ind w:firstLine="420" w:firstLineChars="200"/>
        <w:jc w:val="left"/>
        <w:rPr>
          <w:rFonts w:hAnsi="宋体"/>
          <w:color w:val="auto"/>
          <w:highlight w:val="none"/>
        </w:rPr>
      </w:pPr>
      <w:bookmarkStart w:id="308" w:name="_Toc55374022"/>
      <w:bookmarkStart w:id="309" w:name="_Toc140098612"/>
      <w:bookmarkStart w:id="310" w:name="_Toc69641919"/>
      <w:r>
        <w:rPr>
          <w:rFonts w:hint="eastAsia" w:hAnsi="宋体" w:cs="宋体"/>
          <w:color w:val="auto"/>
          <w:highlight w:val="none"/>
        </w:rPr>
        <w:t xml:space="preserve">本工程采用 </w:t>
      </w:r>
      <w:r>
        <w:rPr>
          <w:rFonts w:hAnsi="宋体"/>
          <w:color w:val="auto"/>
          <w:highlight w:val="none"/>
          <w:u w:val="single"/>
        </w:rPr>
        <w:t xml:space="preserve"> </w:t>
      </w:r>
      <w:r>
        <w:rPr>
          <w:rFonts w:hint="eastAsia" w:hAnsi="宋体"/>
          <w:color w:val="auto"/>
          <w:highlight w:val="none"/>
          <w:u w:val="single"/>
        </w:rPr>
        <w:t>固定单价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67D5702A">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023CEFC7">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76C743B6">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557D9395">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4D938C47">
      <w:pPr>
        <w:spacing w:line="360" w:lineRule="auto"/>
        <w:ind w:firstLine="420" w:firstLineChars="200"/>
        <w:jc w:val="left"/>
        <w:rPr>
          <w:rFonts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0794EC5">
      <w:pPr>
        <w:spacing w:line="360" w:lineRule="auto"/>
        <w:ind w:firstLine="420" w:firstLineChars="200"/>
        <w:jc w:val="left"/>
        <w:rPr>
          <w:rFonts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CFA047">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按国家、自治区住房和城乡建设厅或工程所在地</w:t>
      </w:r>
      <w:r>
        <w:rPr>
          <w:rFonts w:hint="eastAsia" w:ascii="仿宋_GB2312" w:hAnsi="宋体"/>
          <w:color w:val="auto"/>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10448CED">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30DF1E5D">
      <w:pPr>
        <w:spacing w:line="360" w:lineRule="auto"/>
        <w:ind w:firstLine="420" w:firstLineChars="200"/>
        <w:jc w:val="left"/>
        <w:rPr>
          <w:rFonts w:hAnsi="宋体"/>
          <w:color w:val="auto"/>
          <w:highlight w:val="none"/>
        </w:rPr>
      </w:pPr>
      <w:r>
        <w:rPr>
          <w:rFonts w:hint="eastAsia" w:hAnsi="宋体" w:cs="宋体"/>
          <w:color w:val="auto"/>
          <w:highlight w:val="none"/>
        </w:rPr>
        <w:t>⑤其他：</w:t>
      </w:r>
      <w:r>
        <w:rPr>
          <w:rFonts w:hAnsi="宋体"/>
          <w:color w:val="auto"/>
          <w:highlight w:val="none"/>
          <w:u w:val="single"/>
        </w:rPr>
        <w:t xml:space="preserve">                                                  </w:t>
      </w:r>
      <w:r>
        <w:rPr>
          <w:rFonts w:hint="eastAsia" w:hAnsi="宋体" w:cs="宋体"/>
          <w:color w:val="auto"/>
          <w:highlight w:val="none"/>
        </w:rPr>
        <w:t>。</w:t>
      </w:r>
    </w:p>
    <w:p w14:paraId="7A9CAD73">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67B7028C">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72E992BE">
      <w:pPr>
        <w:spacing w:line="360" w:lineRule="auto"/>
        <w:ind w:firstLine="420" w:firstLineChars="200"/>
        <w:jc w:val="left"/>
        <w:rPr>
          <w:rFonts w:cs="宋体"/>
          <w:color w:val="auto"/>
          <w:highlight w:val="none"/>
        </w:rPr>
      </w:pPr>
      <w:r>
        <w:rPr>
          <w:rFonts w:hint="eastAsia" w:cs="宋体"/>
          <w:color w:val="auto"/>
          <w:highlight w:val="none"/>
        </w:rPr>
        <w:t>风险范围以外合同价格的调整方法：</w:t>
      </w:r>
    </w:p>
    <w:p w14:paraId="05AF73B8">
      <w:pPr>
        <w:spacing w:line="360" w:lineRule="auto"/>
        <w:ind w:firstLine="420" w:firstLineChars="200"/>
        <w:jc w:val="left"/>
        <w:rPr>
          <w:rFonts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36F71483">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自治区住房和城乡建设厅或工程所在地市级住房城乡建设主管部门颁布的文件执行</w:t>
      </w:r>
      <w:r>
        <w:rPr>
          <w:rFonts w:hint="eastAsia" w:hAnsi="宋体" w:cs="宋体"/>
          <w:color w:val="auto"/>
          <w:highlight w:val="none"/>
        </w:rPr>
        <w:t>。</w:t>
      </w:r>
    </w:p>
    <w:p w14:paraId="3FDAC80C">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73941C3">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④其他</w:t>
      </w:r>
      <w:r>
        <w:rPr>
          <w:rFonts w:hAnsi="宋体" w:cs="宋体"/>
          <w:color w:val="auto"/>
          <w:highlight w:val="none"/>
        </w:rPr>
        <w:fldChar w:fldCharType="end"/>
      </w:r>
      <w:r>
        <w:rPr>
          <w:rFonts w:hint="eastAsia" w:hAnsi="宋体" w:cs="宋体"/>
          <w:color w:val="auto"/>
          <w:highlight w:val="none"/>
        </w:rPr>
        <w:t>：</w:t>
      </w:r>
      <w:r>
        <w:rPr>
          <w:rFonts w:hAnsi="宋体"/>
          <w:color w:val="auto"/>
          <w:highlight w:val="none"/>
          <w:u w:val="single"/>
        </w:rPr>
        <w:t xml:space="preserve">                                                  </w:t>
      </w:r>
      <w:r>
        <w:rPr>
          <w:rFonts w:hint="eastAsia" w:hAnsi="宋体" w:cs="宋体"/>
          <w:color w:val="auto"/>
          <w:highlight w:val="none"/>
        </w:rPr>
        <w:t>。</w:t>
      </w:r>
    </w:p>
    <w:p w14:paraId="7A9CA1AA">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65F2F011">
      <w:pPr>
        <w:pStyle w:val="278"/>
        <w:rPr>
          <w:color w:val="auto"/>
          <w:highlight w:val="none"/>
        </w:rPr>
      </w:pPr>
      <w:r>
        <w:rPr>
          <w:rFonts w:hint="eastAsia"/>
          <w:color w:val="auto"/>
          <w:highlight w:val="none"/>
        </w:rPr>
        <w:t>12.2</w:t>
      </w:r>
      <w:bookmarkStart w:id="311" w:name="_Hlk203035303"/>
      <w:r>
        <w:rPr>
          <w:rFonts w:hint="eastAsia"/>
          <w:color w:val="auto"/>
          <w:highlight w:val="none"/>
        </w:rPr>
        <w:t xml:space="preserve"> 预付款</w:t>
      </w:r>
      <w:bookmarkEnd w:id="308"/>
      <w:bookmarkEnd w:id="309"/>
      <w:bookmarkEnd w:id="310"/>
    </w:p>
    <w:p w14:paraId="33F09903">
      <w:pPr>
        <w:pStyle w:val="229"/>
        <w:rPr>
          <w:color w:val="auto"/>
          <w:highlight w:val="none"/>
        </w:rPr>
      </w:pPr>
      <w:r>
        <w:rPr>
          <w:rFonts w:hint="eastAsia"/>
          <w:color w:val="auto"/>
          <w:highlight w:val="none"/>
        </w:rPr>
        <w:t>12.2.1 预付款的支付</w:t>
      </w:r>
    </w:p>
    <w:p w14:paraId="302AE3F4">
      <w:pPr>
        <w:pStyle w:val="229"/>
        <w:rPr>
          <w:color w:val="auto"/>
          <w:highlight w:val="none"/>
          <w:u w:val="single"/>
        </w:rPr>
      </w:pPr>
      <w:r>
        <w:rPr>
          <w:rFonts w:hint="eastAsia"/>
          <w:color w:val="auto"/>
          <w:highlight w:val="none"/>
        </w:rPr>
        <w:t>预付款支付比例或金额：</w:t>
      </w:r>
      <w:bookmarkStart w:id="312" w:name="_Hlk170309261"/>
      <w:r>
        <w:rPr>
          <w:rFonts w:hint="eastAsia"/>
          <w:color w:val="auto"/>
          <w:highlight w:val="none"/>
          <w:u w:val="single"/>
        </w:rPr>
        <w:t>扣除合同金额暂列金后合同款项</w:t>
      </w:r>
      <w:r>
        <w:rPr>
          <w:rFonts w:hint="eastAsia"/>
          <w:color w:val="auto"/>
          <w:highlight w:val="none"/>
          <w:u w:val="single"/>
        </w:rPr>
        <w:t>的30%作</w:t>
      </w:r>
      <w:r>
        <w:rPr>
          <w:rFonts w:hint="eastAsia"/>
          <w:color w:val="auto"/>
          <w:highlight w:val="none"/>
          <w:u w:val="single"/>
        </w:rPr>
        <w:t>为预付款</w:t>
      </w:r>
      <w:r>
        <w:rPr>
          <w:rFonts w:hint="eastAsia"/>
          <w:color w:val="auto"/>
          <w:highlight w:val="none"/>
          <w:u w:val="single"/>
        </w:rPr>
        <w:t>。</w:t>
      </w:r>
      <w:bookmarkEnd w:id="312"/>
    </w:p>
    <w:p w14:paraId="7877D5A3">
      <w:pPr>
        <w:pStyle w:val="229"/>
        <w:rPr>
          <w:color w:val="auto"/>
          <w:highlight w:val="none"/>
        </w:rPr>
      </w:pPr>
      <w:r>
        <w:rPr>
          <w:rFonts w:hint="eastAsia"/>
          <w:color w:val="auto"/>
          <w:highlight w:val="none"/>
        </w:rPr>
        <w:t>预付款支付期限：</w:t>
      </w:r>
      <w:r>
        <w:rPr>
          <w:rFonts w:hint="eastAsia"/>
          <w:color w:val="auto"/>
          <w:highlight w:val="none"/>
          <w:u w:val="single"/>
        </w:rPr>
        <w:t>签订合同且发包人收到发票后的10个工作日内</w:t>
      </w:r>
      <w:r>
        <w:rPr>
          <w:rFonts w:hint="eastAsia"/>
          <w:color w:val="auto"/>
          <w:highlight w:val="none"/>
        </w:rPr>
        <w:t>。</w:t>
      </w:r>
    </w:p>
    <w:p w14:paraId="284BD1CA">
      <w:pPr>
        <w:pStyle w:val="229"/>
        <w:rPr>
          <w:color w:val="auto"/>
          <w:highlight w:val="none"/>
        </w:rPr>
      </w:pPr>
      <w:r>
        <w:rPr>
          <w:rFonts w:hint="eastAsia"/>
          <w:color w:val="auto"/>
          <w:highlight w:val="none"/>
        </w:rPr>
        <w:t>预付款预付办法：</w:t>
      </w:r>
      <w:r>
        <w:rPr>
          <w:rFonts w:hint="eastAsia"/>
          <w:color w:val="auto"/>
          <w:highlight w:val="none"/>
          <w:u w:val="single"/>
        </w:rPr>
        <w:t xml:space="preserve">/  </w:t>
      </w:r>
      <w:r>
        <w:rPr>
          <w:rFonts w:hint="eastAsia"/>
          <w:color w:val="auto"/>
          <w:highlight w:val="none"/>
        </w:rPr>
        <w:t>。</w:t>
      </w:r>
    </w:p>
    <w:p w14:paraId="7FBC0AB8">
      <w:pPr>
        <w:pStyle w:val="229"/>
        <w:rPr>
          <w:color w:val="auto"/>
          <w:highlight w:val="none"/>
        </w:rPr>
      </w:pPr>
      <w:r>
        <w:rPr>
          <w:rFonts w:hint="eastAsia"/>
          <w:color w:val="auto"/>
          <w:highlight w:val="none"/>
        </w:rPr>
        <w:t>预付款扣回的方式：</w:t>
      </w:r>
      <w:r>
        <w:rPr>
          <w:rFonts w:hint="eastAsia"/>
          <w:color w:val="auto"/>
          <w:highlight w:val="none"/>
          <w:u w:val="single"/>
        </w:rPr>
        <w:t xml:space="preserve">从进度款中一次性扣回 </w:t>
      </w:r>
      <w:r>
        <w:rPr>
          <w:rFonts w:hint="eastAsia"/>
          <w:color w:val="auto"/>
          <w:highlight w:val="none"/>
        </w:rPr>
        <w:t>。</w:t>
      </w:r>
    </w:p>
    <w:p w14:paraId="6BF43AF7">
      <w:pPr>
        <w:pStyle w:val="229"/>
        <w:rPr>
          <w:color w:val="auto"/>
          <w:highlight w:val="none"/>
        </w:rPr>
      </w:pPr>
      <w:r>
        <w:rPr>
          <w:rFonts w:hint="eastAsia"/>
          <w:color w:val="auto"/>
          <w:highlight w:val="none"/>
        </w:rPr>
        <w:t>12.2.2 预付款担保</w:t>
      </w:r>
    </w:p>
    <w:p w14:paraId="1386F4F8">
      <w:pPr>
        <w:pStyle w:val="229"/>
        <w:rPr>
          <w:color w:val="auto"/>
          <w:highlight w:val="none"/>
        </w:rPr>
      </w:pPr>
      <w:r>
        <w:rPr>
          <w:rFonts w:hint="eastAsia"/>
          <w:color w:val="auto"/>
          <w:highlight w:val="none"/>
        </w:rPr>
        <w:t>承包人提交预付款担保的期限</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3B707C7A">
      <w:pPr>
        <w:pStyle w:val="229"/>
        <w:rPr>
          <w:color w:val="auto"/>
          <w:highlight w:val="none"/>
        </w:rPr>
      </w:pPr>
      <w:r>
        <w:rPr>
          <w:rFonts w:hint="eastAsia"/>
          <w:color w:val="auto"/>
          <w:highlight w:val="none"/>
        </w:rPr>
        <w:t>预付款担保的形式为：</w:t>
      </w:r>
      <w:r>
        <w:rPr>
          <w:rFonts w:hint="eastAsia"/>
          <w:color w:val="auto"/>
          <w:highlight w:val="none"/>
          <w:u w:val="single"/>
        </w:rPr>
        <w:t>/</w:t>
      </w:r>
      <w:r>
        <w:rPr>
          <w:rFonts w:hint="eastAsia"/>
          <w:color w:val="auto"/>
          <w:highlight w:val="none"/>
        </w:rPr>
        <w:t>。</w:t>
      </w:r>
    </w:p>
    <w:bookmarkEnd w:id="311"/>
    <w:p w14:paraId="65641881">
      <w:pPr>
        <w:pStyle w:val="278"/>
        <w:rPr>
          <w:color w:val="auto"/>
          <w:highlight w:val="none"/>
        </w:rPr>
      </w:pPr>
      <w:bookmarkStart w:id="313" w:name="_Toc55374023"/>
      <w:bookmarkStart w:id="314" w:name="_Toc69641920"/>
      <w:bookmarkStart w:id="315" w:name="_Toc140098613"/>
      <w:r>
        <w:rPr>
          <w:rFonts w:hint="eastAsia"/>
          <w:color w:val="auto"/>
          <w:highlight w:val="none"/>
        </w:rPr>
        <w:t>12.3 计量</w:t>
      </w:r>
      <w:bookmarkEnd w:id="313"/>
      <w:bookmarkEnd w:id="314"/>
      <w:bookmarkEnd w:id="315"/>
    </w:p>
    <w:p w14:paraId="4C0CF1F1">
      <w:pPr>
        <w:pStyle w:val="229"/>
        <w:rPr>
          <w:color w:val="auto"/>
          <w:highlight w:val="none"/>
        </w:rPr>
      </w:pPr>
      <w:r>
        <w:rPr>
          <w:rFonts w:hint="eastAsia"/>
          <w:color w:val="auto"/>
          <w:highlight w:val="none"/>
        </w:rPr>
        <w:t>12.3.1 计量原则</w:t>
      </w:r>
    </w:p>
    <w:p w14:paraId="27AA85AA">
      <w:pPr>
        <w:pStyle w:val="229"/>
        <w:rPr>
          <w:color w:val="auto"/>
          <w:highlight w:val="none"/>
        </w:rPr>
      </w:pPr>
      <w:r>
        <w:rPr>
          <w:rFonts w:hint="eastAsia"/>
          <w:color w:val="auto"/>
          <w:highlight w:val="none"/>
        </w:rPr>
        <w:t>工程量计算规则：工程的计量均以《建设工程工程量清单计价规范》（GB50500－2013）及其广西壮族自治区实施细则、各专业《建设工程工程量计算规范》（GB50854～50862－2013）（修订本）及其广西实施细则、本工程补充项目清单为准。</w:t>
      </w:r>
    </w:p>
    <w:p w14:paraId="53D69FCD">
      <w:pPr>
        <w:pStyle w:val="229"/>
        <w:rPr>
          <w:color w:val="auto"/>
          <w:highlight w:val="none"/>
        </w:rPr>
      </w:pPr>
      <w:r>
        <w:rPr>
          <w:rFonts w:hint="eastAsia"/>
          <w:color w:val="auto"/>
          <w:highlight w:val="none"/>
        </w:rPr>
        <w:t>12.3.2 计量周期</w:t>
      </w:r>
    </w:p>
    <w:p w14:paraId="6BBD5B87">
      <w:pPr>
        <w:pStyle w:val="229"/>
        <w:rPr>
          <w:color w:val="auto"/>
          <w:highlight w:val="none"/>
        </w:rPr>
      </w:pPr>
      <w:r>
        <w:rPr>
          <w:rFonts w:hint="eastAsia"/>
          <w:color w:val="auto"/>
          <w:highlight w:val="none"/>
        </w:rPr>
        <w:t>关于计量周期的约定：本合同的计量周期为月，每月25日为当月计量截止日期（不含当日）和下月计量起始日期（含当日）。</w:t>
      </w:r>
    </w:p>
    <w:p w14:paraId="5A6D4500">
      <w:pPr>
        <w:pStyle w:val="229"/>
        <w:rPr>
          <w:color w:val="auto"/>
          <w:highlight w:val="none"/>
        </w:rPr>
      </w:pPr>
      <w:r>
        <w:rPr>
          <w:rFonts w:hint="eastAsia"/>
          <w:color w:val="auto"/>
          <w:highlight w:val="none"/>
        </w:rPr>
        <w:t>12.3.3 单价合同的计量</w:t>
      </w:r>
    </w:p>
    <w:p w14:paraId="2CFCEDB0">
      <w:pPr>
        <w:pStyle w:val="229"/>
        <w:rPr>
          <w:color w:val="auto"/>
          <w:highlight w:val="none"/>
        </w:rPr>
      </w:pPr>
      <w:r>
        <w:rPr>
          <w:rFonts w:hint="eastAsia"/>
          <w:color w:val="auto"/>
          <w:highlight w:val="none"/>
        </w:rPr>
        <w:t>关于单价合同计量的约定：</w:t>
      </w:r>
    </w:p>
    <w:p w14:paraId="7E3746DC">
      <w:pPr>
        <w:pStyle w:val="229"/>
        <w:rPr>
          <w:color w:val="auto"/>
          <w:highlight w:val="none"/>
        </w:rPr>
      </w:pPr>
      <w:r>
        <w:rPr>
          <w:rFonts w:hint="eastAsia"/>
          <w:color w:val="auto"/>
          <w:highlight w:val="none"/>
        </w:rPr>
        <w:t>（1）工程量清单所列的工程量，不能作为承包人按合同履行其责任依据，实际施工中发生的工程量增加或减少并不影响承包人履行合同的责任，工程结算以完成的实际工程量为准。</w:t>
      </w:r>
    </w:p>
    <w:p w14:paraId="29A66288">
      <w:pPr>
        <w:spacing w:line="400" w:lineRule="exact"/>
        <w:ind w:firstLine="441" w:firstLineChars="210"/>
        <w:rPr>
          <w:color w:val="auto"/>
          <w:highlight w:val="none"/>
        </w:rPr>
      </w:pPr>
      <w:r>
        <w:rPr>
          <w:rFonts w:hint="eastAsia"/>
          <w:color w:val="auto"/>
          <w:highlight w:val="none"/>
        </w:rPr>
        <w:t>（2）</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F1EB194">
      <w:pPr>
        <w:pStyle w:val="229"/>
        <w:rPr>
          <w:color w:val="auto"/>
          <w:highlight w:val="none"/>
        </w:rPr>
      </w:pPr>
      <w:r>
        <w:rPr>
          <w:rFonts w:hint="eastAsia"/>
          <w:color w:val="auto"/>
          <w:highlight w:val="none"/>
        </w:rPr>
        <w:t>12.3.4 总价合同的计量</w:t>
      </w:r>
    </w:p>
    <w:p w14:paraId="078F611F">
      <w:pPr>
        <w:pStyle w:val="229"/>
        <w:rPr>
          <w:color w:val="auto"/>
          <w:highlight w:val="none"/>
          <w:u w:val="single"/>
        </w:rPr>
      </w:pPr>
      <w:r>
        <w:rPr>
          <w:rFonts w:hint="eastAsia"/>
          <w:color w:val="auto"/>
          <w:highlight w:val="none"/>
        </w:rPr>
        <w:t>关于总价合同计量的约定：</w:t>
      </w:r>
      <w:r>
        <w:rPr>
          <w:rFonts w:hint="eastAsia"/>
          <w:color w:val="auto"/>
          <w:highlight w:val="none"/>
          <w:u w:val="single"/>
        </w:rPr>
        <w:t xml:space="preserve">  /     </w:t>
      </w:r>
      <w:r>
        <w:rPr>
          <w:rFonts w:hint="eastAsia"/>
          <w:color w:val="auto"/>
          <w:highlight w:val="none"/>
        </w:rPr>
        <w:t>。</w:t>
      </w:r>
    </w:p>
    <w:p w14:paraId="228D9A89">
      <w:pPr>
        <w:pStyle w:val="229"/>
        <w:rPr>
          <w:color w:val="auto"/>
          <w:highlight w:val="none"/>
        </w:rPr>
      </w:pPr>
      <w:r>
        <w:rPr>
          <w:rFonts w:hint="eastAsia"/>
          <w:color w:val="auto"/>
          <w:highlight w:val="none"/>
        </w:rPr>
        <w:t>12.3.5总价合同采用支付分解表计量支付的，是否适用第12.3.4 项〔总价合同的计量〕约定进行计量：</w:t>
      </w:r>
      <w:r>
        <w:rPr>
          <w:rFonts w:hint="eastAsia"/>
          <w:color w:val="auto"/>
          <w:highlight w:val="none"/>
          <w:u w:val="single"/>
        </w:rPr>
        <w:t xml:space="preserve">  /    </w:t>
      </w:r>
      <w:r>
        <w:rPr>
          <w:rFonts w:hint="eastAsia"/>
          <w:color w:val="auto"/>
          <w:highlight w:val="none"/>
        </w:rPr>
        <w:t>。</w:t>
      </w:r>
    </w:p>
    <w:p w14:paraId="2D6E3D0E">
      <w:pPr>
        <w:pStyle w:val="229"/>
        <w:rPr>
          <w:color w:val="auto"/>
          <w:highlight w:val="none"/>
        </w:rPr>
      </w:pPr>
      <w:r>
        <w:rPr>
          <w:rFonts w:hint="eastAsia"/>
          <w:color w:val="auto"/>
          <w:highlight w:val="none"/>
        </w:rPr>
        <w:t>12.3.6 其他价格形式合同的计量</w:t>
      </w:r>
    </w:p>
    <w:p w14:paraId="79292045">
      <w:pPr>
        <w:pStyle w:val="229"/>
        <w:rPr>
          <w:color w:val="auto"/>
          <w:highlight w:val="none"/>
        </w:rPr>
      </w:pPr>
      <w:r>
        <w:rPr>
          <w:rFonts w:hint="eastAsia"/>
          <w:color w:val="auto"/>
          <w:highlight w:val="none"/>
        </w:rPr>
        <w:t>其他价格形式的计量方式和程序：</w:t>
      </w:r>
      <w:r>
        <w:rPr>
          <w:rFonts w:hint="eastAsia"/>
          <w:color w:val="auto"/>
          <w:highlight w:val="none"/>
          <w:u w:val="single"/>
        </w:rPr>
        <w:t xml:space="preserve">  /  </w:t>
      </w:r>
      <w:r>
        <w:rPr>
          <w:rFonts w:hint="eastAsia"/>
          <w:color w:val="auto"/>
          <w:highlight w:val="none"/>
        </w:rPr>
        <w:t>。</w:t>
      </w:r>
    </w:p>
    <w:p w14:paraId="39C7DD45">
      <w:pPr>
        <w:pStyle w:val="278"/>
        <w:rPr>
          <w:color w:val="auto"/>
          <w:highlight w:val="none"/>
        </w:rPr>
      </w:pPr>
      <w:bookmarkStart w:id="316" w:name="_Toc55374024"/>
      <w:bookmarkStart w:id="317" w:name="_Toc69641921"/>
      <w:bookmarkStart w:id="318" w:name="_Toc140098614"/>
      <w:r>
        <w:rPr>
          <w:rFonts w:hint="eastAsia"/>
          <w:color w:val="auto"/>
          <w:highlight w:val="none"/>
        </w:rPr>
        <w:t>12.4 工程进度款支付</w:t>
      </w:r>
      <w:bookmarkEnd w:id="316"/>
      <w:bookmarkEnd w:id="317"/>
      <w:bookmarkEnd w:id="318"/>
    </w:p>
    <w:p w14:paraId="4380709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12.4.1关于付款周期的约定：签订合同且发包人收到发票后的10个工作日内支付扣除合同金额暂列金后合同款项</w:t>
      </w:r>
      <w:r>
        <w:rPr>
          <w:rFonts w:hint="eastAsia" w:ascii="宋体" w:hAnsi="宋体" w:cs="宋体"/>
          <w:color w:val="auto"/>
          <w:highlight w:val="none"/>
        </w:rPr>
        <w:t>的30%</w:t>
      </w:r>
      <w:r>
        <w:rPr>
          <w:rFonts w:hint="eastAsia" w:ascii="宋体" w:hAnsi="宋体" w:cs="宋体"/>
          <w:color w:val="auto"/>
          <w:highlight w:val="none"/>
        </w:rPr>
        <w:t>作为预付款，净化空调设备到位，并经双方确认后，10个工作日内支付扣除合同金额暂列金后合同款项</w:t>
      </w:r>
      <w:r>
        <w:rPr>
          <w:rFonts w:hint="eastAsia" w:ascii="宋体" w:hAnsi="宋体" w:cs="宋体"/>
          <w:color w:val="auto"/>
          <w:highlight w:val="none"/>
        </w:rPr>
        <w:t>的50%</w:t>
      </w:r>
      <w:r>
        <w:rPr>
          <w:rFonts w:hint="eastAsia" w:ascii="宋体" w:hAnsi="宋体" w:cs="宋体"/>
          <w:color w:val="auto"/>
          <w:highlight w:val="none"/>
        </w:rPr>
        <w:t>（含已支付的预付款），工程竣工验收合格且发包人收到承包人开具的增值税发票后10个工作日内，工程款支付至扣除合同金额暂列金后合同款项的80%（含已支付的预付款）；结算经发包人审定且发包人收到承包人开具的增值税发票后10个工作</w:t>
      </w:r>
      <w:r>
        <w:rPr>
          <w:rFonts w:hint="eastAsia" w:ascii="宋体" w:hAnsi="宋体" w:cs="宋体"/>
          <w:color w:val="auto"/>
          <w:highlight w:val="none"/>
          <w:lang w:eastAsia="zh-CN"/>
        </w:rPr>
        <w:t>日内</w:t>
      </w:r>
      <w:r>
        <w:rPr>
          <w:rFonts w:hint="eastAsia" w:ascii="宋体" w:hAnsi="宋体" w:cs="宋体"/>
          <w:color w:val="auto"/>
          <w:highlight w:val="none"/>
        </w:rPr>
        <w:t>将工程款支付至结算总价的100%（在支付此笔工程款前，承包人向发包人对公账户转入结算总价的3%作为工程质量保证金）；工程质量保证金待缺陷责任期满，双方确认无质量返修问题后14天内由发包人无息向承包人一次性返还。</w:t>
      </w:r>
    </w:p>
    <w:p w14:paraId="316D1AFE">
      <w:pPr>
        <w:pStyle w:val="229"/>
        <w:rPr>
          <w:color w:val="auto"/>
          <w:highlight w:val="none"/>
        </w:rPr>
      </w:pPr>
      <w:r>
        <w:rPr>
          <w:rFonts w:hint="eastAsia"/>
          <w:color w:val="auto"/>
          <w:highlight w:val="none"/>
        </w:rPr>
        <w:t>12.4.2 进度付款申请单的编制</w:t>
      </w:r>
    </w:p>
    <w:p w14:paraId="41B14197">
      <w:pPr>
        <w:pStyle w:val="229"/>
        <w:rPr>
          <w:color w:val="auto"/>
          <w:highlight w:val="none"/>
          <w:u w:val="single"/>
        </w:rPr>
      </w:pPr>
      <w:r>
        <w:rPr>
          <w:rFonts w:hint="eastAsia"/>
          <w:color w:val="auto"/>
          <w:highlight w:val="none"/>
        </w:rPr>
        <w:t>关于进度付款申请单编制的约定：</w:t>
      </w:r>
      <w:r>
        <w:rPr>
          <w:rFonts w:hint="eastAsia"/>
          <w:color w:val="auto"/>
          <w:highlight w:val="none"/>
          <w:u w:val="single"/>
        </w:rPr>
        <w:t>进度付款申请单一份。</w:t>
      </w:r>
    </w:p>
    <w:p w14:paraId="482E03FD">
      <w:pPr>
        <w:pStyle w:val="229"/>
        <w:rPr>
          <w:color w:val="auto"/>
          <w:highlight w:val="none"/>
        </w:rPr>
      </w:pPr>
      <w:r>
        <w:rPr>
          <w:rFonts w:hint="eastAsia"/>
          <w:color w:val="auto"/>
          <w:highlight w:val="none"/>
        </w:rPr>
        <w:t>12.4.3 进度付款申请单的提交</w:t>
      </w:r>
    </w:p>
    <w:p w14:paraId="285BDB5A">
      <w:pPr>
        <w:pStyle w:val="229"/>
        <w:rPr>
          <w:color w:val="auto"/>
          <w:highlight w:val="none"/>
          <w:u w:val="single"/>
        </w:rPr>
      </w:pPr>
      <w:r>
        <w:rPr>
          <w:rFonts w:hint="eastAsia"/>
          <w:color w:val="auto"/>
          <w:highlight w:val="none"/>
        </w:rPr>
        <w:t>（1）单价合同进度付款申请单提交的约定：</w:t>
      </w:r>
      <w:r>
        <w:rPr>
          <w:rFonts w:hint="eastAsia"/>
          <w:color w:val="auto"/>
          <w:highlight w:val="none"/>
          <w:u w:val="single"/>
        </w:rPr>
        <w:t>同通用条款，无特殊约定。</w:t>
      </w:r>
    </w:p>
    <w:p w14:paraId="66FAC863">
      <w:pPr>
        <w:pStyle w:val="229"/>
        <w:rPr>
          <w:color w:val="auto"/>
          <w:highlight w:val="none"/>
        </w:rPr>
      </w:pPr>
      <w:r>
        <w:rPr>
          <w:rFonts w:hint="eastAsia"/>
          <w:color w:val="auto"/>
          <w:highlight w:val="none"/>
        </w:rPr>
        <w:t>（2）总价合同进度付款申请单提交的约定：</w:t>
      </w:r>
      <w:r>
        <w:rPr>
          <w:rFonts w:hint="eastAsia"/>
          <w:color w:val="auto"/>
          <w:highlight w:val="none"/>
          <w:u w:val="single"/>
        </w:rPr>
        <w:t xml:space="preserve">  无  </w:t>
      </w:r>
      <w:r>
        <w:rPr>
          <w:rFonts w:hint="eastAsia"/>
          <w:color w:val="auto"/>
          <w:highlight w:val="none"/>
        </w:rPr>
        <w:t>。</w:t>
      </w:r>
    </w:p>
    <w:p w14:paraId="3DE65CC0">
      <w:pPr>
        <w:pStyle w:val="229"/>
        <w:rPr>
          <w:color w:val="auto"/>
          <w:highlight w:val="none"/>
        </w:rPr>
      </w:pPr>
      <w:r>
        <w:rPr>
          <w:rFonts w:hint="eastAsia"/>
          <w:color w:val="auto"/>
          <w:highlight w:val="none"/>
        </w:rPr>
        <w:t>（3）其他价格形式合同进度付款申请单提交的约定：</w:t>
      </w:r>
      <w:r>
        <w:rPr>
          <w:rFonts w:hint="eastAsia"/>
          <w:color w:val="auto"/>
          <w:highlight w:val="none"/>
          <w:u w:val="single"/>
        </w:rPr>
        <w:t xml:space="preserve"> 无 </w:t>
      </w:r>
      <w:r>
        <w:rPr>
          <w:rFonts w:hint="eastAsia"/>
          <w:color w:val="auto"/>
          <w:highlight w:val="none"/>
        </w:rPr>
        <w:t>。</w:t>
      </w:r>
    </w:p>
    <w:p w14:paraId="498102F9">
      <w:pPr>
        <w:pStyle w:val="229"/>
        <w:rPr>
          <w:color w:val="auto"/>
          <w:highlight w:val="none"/>
        </w:rPr>
      </w:pPr>
      <w:r>
        <w:rPr>
          <w:rFonts w:hint="eastAsia"/>
          <w:color w:val="auto"/>
          <w:highlight w:val="none"/>
        </w:rPr>
        <w:t>12.4.4 进度款审核和支付</w:t>
      </w:r>
    </w:p>
    <w:p w14:paraId="755BE066">
      <w:pPr>
        <w:pStyle w:val="229"/>
        <w:rPr>
          <w:color w:val="auto"/>
          <w:highlight w:val="none"/>
          <w:u w:val="single"/>
        </w:rPr>
      </w:pPr>
      <w:r>
        <w:rPr>
          <w:rFonts w:hint="eastAsia"/>
          <w:color w:val="auto"/>
          <w:highlight w:val="none"/>
        </w:rPr>
        <w:t>（1）监理人审查并报送发包人的期限：</w:t>
      </w:r>
      <w:r>
        <w:rPr>
          <w:rFonts w:hint="eastAsia"/>
          <w:color w:val="auto"/>
          <w:highlight w:val="none"/>
          <w:u w:val="single"/>
        </w:rPr>
        <w:t xml:space="preserve"> 收到申请7个日历日</w:t>
      </w:r>
      <w:r>
        <w:rPr>
          <w:rFonts w:hint="eastAsia"/>
          <w:color w:val="auto"/>
          <w:highlight w:val="none"/>
          <w:u w:val="single"/>
        </w:rPr>
        <w:t>内</w:t>
      </w:r>
      <w:r>
        <w:rPr>
          <w:rFonts w:hint="eastAsia"/>
          <w:color w:val="auto"/>
          <w:highlight w:val="none"/>
        </w:rPr>
        <w:t>。</w:t>
      </w:r>
    </w:p>
    <w:p w14:paraId="60BC9001">
      <w:pPr>
        <w:pStyle w:val="229"/>
        <w:rPr>
          <w:color w:val="auto"/>
          <w:highlight w:val="none"/>
        </w:rPr>
      </w:pPr>
      <w:r>
        <w:rPr>
          <w:rFonts w:hint="eastAsia"/>
          <w:color w:val="auto"/>
          <w:highlight w:val="none"/>
        </w:rPr>
        <w:t>发包人完成审批并签发进度款支付证书的期限：</w:t>
      </w:r>
      <w:r>
        <w:rPr>
          <w:rFonts w:hint="eastAsia"/>
          <w:color w:val="auto"/>
          <w:highlight w:val="none"/>
          <w:u w:val="single"/>
        </w:rPr>
        <w:t>收到监理审查报告后次日起算10个工作日</w:t>
      </w:r>
      <w:r>
        <w:rPr>
          <w:rFonts w:hint="eastAsia"/>
          <w:color w:val="auto"/>
          <w:highlight w:val="none"/>
          <w:u w:val="single"/>
        </w:rPr>
        <w:t>内</w:t>
      </w:r>
      <w:r>
        <w:rPr>
          <w:rFonts w:hint="eastAsia"/>
          <w:color w:val="auto"/>
          <w:highlight w:val="none"/>
          <w:u w:val="single"/>
        </w:rPr>
        <w:t>。</w:t>
      </w:r>
    </w:p>
    <w:p w14:paraId="3CED6662">
      <w:pPr>
        <w:pStyle w:val="229"/>
        <w:rPr>
          <w:color w:val="auto"/>
          <w:highlight w:val="none"/>
        </w:rPr>
      </w:pPr>
      <w:r>
        <w:rPr>
          <w:rFonts w:hint="eastAsia"/>
          <w:color w:val="auto"/>
          <w:highlight w:val="none"/>
        </w:rPr>
        <w:t xml:space="preserve">（2）发包人支付进度款的期限： </w:t>
      </w:r>
      <w:r>
        <w:rPr>
          <w:rFonts w:hint="eastAsia"/>
          <w:color w:val="auto"/>
          <w:highlight w:val="none"/>
          <w:u w:val="single"/>
        </w:rPr>
        <w:t>收到承包人开具的发票后次日起算</w:t>
      </w:r>
      <w:r>
        <w:rPr>
          <w:rFonts w:hint="eastAsia"/>
          <w:color w:val="auto"/>
          <w:highlight w:val="none"/>
          <w:u w:val="single"/>
        </w:rPr>
        <w:t>10个</w:t>
      </w:r>
      <w:r>
        <w:rPr>
          <w:rFonts w:hint="eastAsia"/>
          <w:color w:val="auto"/>
          <w:highlight w:val="none"/>
          <w:u w:val="single"/>
        </w:rPr>
        <w:t>工作日内</w:t>
      </w:r>
      <w:r>
        <w:rPr>
          <w:rFonts w:hint="eastAsia"/>
          <w:color w:val="auto"/>
          <w:highlight w:val="none"/>
        </w:rPr>
        <w:t>。</w:t>
      </w:r>
    </w:p>
    <w:p w14:paraId="7A7D8647">
      <w:pPr>
        <w:pStyle w:val="229"/>
        <w:rPr>
          <w:color w:val="auto"/>
          <w:highlight w:val="none"/>
          <w:u w:val="single"/>
        </w:rPr>
      </w:pPr>
      <w:r>
        <w:rPr>
          <w:rFonts w:hint="eastAsia"/>
          <w:color w:val="auto"/>
          <w:highlight w:val="none"/>
        </w:rPr>
        <w:t>发包人逾期支付进度款的违约金的计算方式：</w:t>
      </w:r>
      <w:r>
        <w:rPr>
          <w:rFonts w:hint="eastAsia"/>
          <w:color w:val="auto"/>
          <w:highlight w:val="none"/>
          <w:u w:val="single"/>
        </w:rPr>
        <w:t>不计违约金。</w:t>
      </w:r>
    </w:p>
    <w:p w14:paraId="3C955957">
      <w:pPr>
        <w:pStyle w:val="229"/>
        <w:rPr>
          <w:color w:val="auto"/>
          <w:highlight w:val="none"/>
        </w:rPr>
      </w:pPr>
      <w:r>
        <w:rPr>
          <w:rFonts w:hint="eastAsia"/>
          <w:color w:val="auto"/>
          <w:highlight w:val="none"/>
        </w:rPr>
        <w:t>发包人由于某种原因（自身不能左右的）迟付工程款在 28天内的，承包人应继续按正常计划进度施工，并保证工程顺利完成。</w:t>
      </w:r>
    </w:p>
    <w:p w14:paraId="489128B6">
      <w:pPr>
        <w:pStyle w:val="229"/>
        <w:rPr>
          <w:color w:val="auto"/>
          <w:highlight w:val="none"/>
        </w:rPr>
      </w:pPr>
      <w:r>
        <w:rPr>
          <w:rFonts w:hint="eastAsia"/>
          <w:color w:val="auto"/>
          <w:highlight w:val="none"/>
        </w:rPr>
        <w:t>（3）</w:t>
      </w:r>
      <w:r>
        <w:rPr>
          <w:rFonts w:hint="eastAsia"/>
          <w:color w:val="auto"/>
          <w:highlight w:val="none"/>
        </w:rPr>
        <w:t>进度款支付方式：</w:t>
      </w:r>
      <w:r>
        <w:rPr>
          <w:rFonts w:hint="eastAsia"/>
          <w:color w:val="auto"/>
          <w:highlight w:val="none"/>
          <w:u w:val="single"/>
        </w:rPr>
        <w:t>银行转账</w:t>
      </w:r>
      <w:r>
        <w:rPr>
          <w:rFonts w:hint="eastAsia"/>
          <w:color w:val="auto"/>
          <w:highlight w:val="none"/>
        </w:rPr>
        <w:t>。</w:t>
      </w:r>
    </w:p>
    <w:p w14:paraId="03D39A40">
      <w:pPr>
        <w:pStyle w:val="229"/>
        <w:rPr>
          <w:color w:val="auto"/>
          <w:highlight w:val="none"/>
        </w:rPr>
      </w:pPr>
      <w:r>
        <w:rPr>
          <w:rFonts w:hint="eastAsia"/>
          <w:color w:val="auto"/>
          <w:highlight w:val="none"/>
        </w:rPr>
        <w:t>（4）农民工工资支付</w:t>
      </w:r>
    </w:p>
    <w:p w14:paraId="67D12B57">
      <w:pPr>
        <w:pStyle w:val="26"/>
        <w:spacing w:line="440" w:lineRule="exact"/>
        <w:ind w:firstLine="422" w:firstLineChars="200"/>
        <w:rPr>
          <w:rFonts w:hAnsi="宋体" w:cs="宋体"/>
          <w:b/>
          <w:bCs/>
          <w:color w:val="auto"/>
          <w:sz w:val="21"/>
          <w:szCs w:val="22"/>
          <w:highlight w:val="none"/>
        </w:rPr>
      </w:pPr>
      <w:r>
        <w:rPr>
          <w:rFonts w:hint="eastAsia" w:hAnsi="宋体" w:cs="宋体"/>
          <w:b/>
          <w:bCs/>
          <w:color w:val="auto"/>
          <w:sz w:val="21"/>
          <w:szCs w:val="22"/>
          <w:highlight w:val="none"/>
        </w:rPr>
        <w:t>根据《广西壮族自治区工程建设领域农民工工资专用账户管理暂行办法实施细则的通知》（桂人社规[2022]5号）文件第八条规定，</w:t>
      </w:r>
      <w:r>
        <w:rPr>
          <w:rFonts w:hint="eastAsia" w:hAnsi="宋体" w:cs="宋体"/>
          <w:b/>
          <w:bCs/>
          <w:color w:val="auto"/>
          <w:sz w:val="21"/>
          <w:szCs w:val="22"/>
          <w:highlight w:val="none"/>
        </w:rPr>
        <w:t>该</w:t>
      </w:r>
      <w:r>
        <w:rPr>
          <w:rFonts w:hint="eastAsia" w:hAnsi="宋体" w:cs="宋体"/>
          <w:b/>
          <w:bCs/>
          <w:color w:val="auto"/>
          <w:sz w:val="21"/>
          <w:szCs w:val="22"/>
          <w:highlight w:val="none"/>
        </w:rPr>
        <w:t>工程建设项目可以免于开立专用账户，由总包单位将农民工工资直接支付到农民工本人的银行账户。</w:t>
      </w:r>
    </w:p>
    <w:p w14:paraId="5E789B3F">
      <w:pPr>
        <w:pStyle w:val="229"/>
        <w:rPr>
          <w:color w:val="auto"/>
          <w:highlight w:val="none"/>
        </w:rPr>
      </w:pPr>
      <w:r>
        <w:rPr>
          <w:rFonts w:hint="eastAsia"/>
          <w:color w:val="auto"/>
          <w:highlight w:val="none"/>
        </w:rPr>
        <w:t>12.4.6 支付分解表的编制</w:t>
      </w:r>
    </w:p>
    <w:p w14:paraId="53E89647">
      <w:pPr>
        <w:pStyle w:val="229"/>
        <w:rPr>
          <w:color w:val="auto"/>
          <w:highlight w:val="none"/>
        </w:rPr>
      </w:pPr>
      <w:r>
        <w:rPr>
          <w:rFonts w:hint="eastAsia"/>
          <w:color w:val="auto"/>
          <w:highlight w:val="none"/>
        </w:rPr>
        <w:t>2.总价合同支付分解表的编制与审批：</w:t>
      </w:r>
      <w:r>
        <w:rPr>
          <w:rFonts w:hint="eastAsia"/>
          <w:color w:val="auto"/>
          <w:highlight w:val="none"/>
          <w:u w:val="single"/>
        </w:rPr>
        <w:t xml:space="preserve">   /  。</w:t>
      </w:r>
    </w:p>
    <w:p w14:paraId="1CDA0C32">
      <w:pPr>
        <w:pStyle w:val="229"/>
        <w:rPr>
          <w:color w:val="auto"/>
          <w:highlight w:val="none"/>
        </w:rPr>
      </w:pPr>
      <w:r>
        <w:rPr>
          <w:rFonts w:hint="eastAsia"/>
          <w:color w:val="auto"/>
          <w:highlight w:val="none"/>
        </w:rPr>
        <w:t>3.单价合同的总价项目支付分解表的编制与审批：</w:t>
      </w:r>
      <w:r>
        <w:rPr>
          <w:rFonts w:hint="eastAsia"/>
          <w:color w:val="auto"/>
          <w:highlight w:val="none"/>
          <w:u w:val="single"/>
        </w:rPr>
        <w:t xml:space="preserve"> /  </w:t>
      </w:r>
      <w:r>
        <w:rPr>
          <w:rFonts w:hint="eastAsia"/>
          <w:color w:val="auto"/>
          <w:highlight w:val="none"/>
        </w:rPr>
        <w:t xml:space="preserve"> 。</w:t>
      </w:r>
    </w:p>
    <w:p w14:paraId="74128AF1">
      <w:pPr>
        <w:pStyle w:val="291"/>
        <w:ind w:firstLine="422"/>
        <w:rPr>
          <w:color w:val="auto"/>
          <w:highlight w:val="none"/>
        </w:rPr>
      </w:pPr>
      <w:bookmarkStart w:id="319" w:name="_Toc55374025"/>
      <w:bookmarkStart w:id="320" w:name="_Toc69641922"/>
      <w:bookmarkStart w:id="321" w:name="_Toc140098615"/>
      <w:r>
        <w:rPr>
          <w:rFonts w:hint="eastAsia"/>
          <w:color w:val="auto"/>
          <w:highlight w:val="none"/>
        </w:rPr>
        <w:t>13. 验收和工程试车</w:t>
      </w:r>
      <w:bookmarkEnd w:id="319"/>
      <w:bookmarkEnd w:id="320"/>
      <w:bookmarkEnd w:id="321"/>
    </w:p>
    <w:p w14:paraId="066922E9">
      <w:pPr>
        <w:pStyle w:val="278"/>
        <w:rPr>
          <w:color w:val="auto"/>
          <w:highlight w:val="none"/>
        </w:rPr>
      </w:pPr>
      <w:bookmarkStart w:id="322" w:name="_Toc140098616"/>
      <w:bookmarkStart w:id="323" w:name="_Toc55374026"/>
      <w:bookmarkStart w:id="324" w:name="_Toc69641923"/>
      <w:r>
        <w:rPr>
          <w:rFonts w:hint="eastAsia"/>
          <w:color w:val="auto"/>
          <w:highlight w:val="none"/>
        </w:rPr>
        <w:t>13.1 分部分项工程验收</w:t>
      </w:r>
      <w:bookmarkEnd w:id="322"/>
      <w:bookmarkEnd w:id="323"/>
      <w:bookmarkEnd w:id="324"/>
    </w:p>
    <w:p w14:paraId="0A6CF2BB">
      <w:pPr>
        <w:pStyle w:val="229"/>
        <w:rPr>
          <w:color w:val="auto"/>
          <w:highlight w:val="none"/>
        </w:rPr>
      </w:pPr>
      <w:r>
        <w:rPr>
          <w:rFonts w:hint="eastAsia"/>
          <w:color w:val="auto"/>
          <w:highlight w:val="none"/>
        </w:rPr>
        <w:t>13.1.2监理人不能按时进行验收时，应提前</w:t>
      </w:r>
      <w:r>
        <w:rPr>
          <w:rFonts w:hint="eastAsia"/>
          <w:color w:val="auto"/>
          <w:highlight w:val="none"/>
          <w:u w:val="single"/>
        </w:rPr>
        <w:t xml:space="preserve">  24  </w:t>
      </w:r>
      <w:r>
        <w:rPr>
          <w:rFonts w:hint="eastAsia"/>
          <w:color w:val="auto"/>
          <w:highlight w:val="none"/>
        </w:rPr>
        <w:t>小时提交书面延期要求。</w:t>
      </w:r>
    </w:p>
    <w:p w14:paraId="10A89840">
      <w:pPr>
        <w:pStyle w:val="229"/>
        <w:rPr>
          <w:b/>
          <w:color w:val="auto"/>
          <w:highlight w:val="none"/>
        </w:rPr>
      </w:pPr>
      <w:r>
        <w:rPr>
          <w:rFonts w:hint="eastAsia"/>
          <w:color w:val="auto"/>
          <w:highlight w:val="none"/>
        </w:rPr>
        <w:t>关于延期最长不得超过：</w:t>
      </w:r>
      <w:r>
        <w:rPr>
          <w:rFonts w:hint="eastAsia"/>
          <w:color w:val="auto"/>
          <w:highlight w:val="none"/>
          <w:u w:val="single"/>
        </w:rPr>
        <w:t xml:space="preserve">  48  </w:t>
      </w:r>
      <w:r>
        <w:rPr>
          <w:rFonts w:hint="eastAsia"/>
          <w:color w:val="auto"/>
          <w:highlight w:val="none"/>
        </w:rPr>
        <w:t>小时。</w:t>
      </w:r>
    </w:p>
    <w:p w14:paraId="2EE57816">
      <w:pPr>
        <w:pStyle w:val="278"/>
        <w:rPr>
          <w:color w:val="auto"/>
          <w:highlight w:val="none"/>
        </w:rPr>
      </w:pPr>
      <w:bookmarkStart w:id="325" w:name="_Toc140098617"/>
      <w:bookmarkStart w:id="326" w:name="_Toc55374027"/>
      <w:bookmarkStart w:id="327" w:name="_Toc69641924"/>
      <w:r>
        <w:rPr>
          <w:rFonts w:hint="eastAsia"/>
          <w:color w:val="auto"/>
          <w:highlight w:val="none"/>
        </w:rPr>
        <w:t>13.2 竣工验收</w:t>
      </w:r>
      <w:bookmarkEnd w:id="325"/>
      <w:bookmarkEnd w:id="326"/>
      <w:bookmarkEnd w:id="327"/>
    </w:p>
    <w:p w14:paraId="343CBD9C">
      <w:pPr>
        <w:pStyle w:val="229"/>
        <w:rPr>
          <w:color w:val="auto"/>
          <w:highlight w:val="none"/>
        </w:rPr>
      </w:pPr>
      <w:r>
        <w:rPr>
          <w:rFonts w:hint="eastAsia"/>
          <w:color w:val="auto"/>
          <w:highlight w:val="none"/>
        </w:rPr>
        <w:t>13.2.1 竣工验收条件</w:t>
      </w:r>
    </w:p>
    <w:p w14:paraId="1942C671">
      <w:pPr>
        <w:spacing w:line="400" w:lineRule="exact"/>
        <w:rPr>
          <w:rFonts w:cs="宋体;SimSun"/>
          <w:b/>
          <w:color w:val="auto"/>
          <w:szCs w:val="21"/>
          <w:highlight w:val="none"/>
        </w:rPr>
      </w:pPr>
      <w:r>
        <w:rPr>
          <w:b/>
          <w:color w:val="auto"/>
          <w:szCs w:val="21"/>
          <w:highlight w:val="none"/>
          <w:lang w:bidi="ar"/>
        </w:rPr>
        <w:t>1.</w:t>
      </w:r>
      <w:r>
        <w:rPr>
          <w:rFonts w:hint="eastAsia" w:ascii="宋体" w:hAnsi="宋体" w:cs="宋体"/>
          <w:b/>
          <w:color w:val="auto"/>
          <w:szCs w:val="21"/>
          <w:highlight w:val="none"/>
          <w:lang w:bidi="ar"/>
        </w:rPr>
        <w:t>按照竞争性磋商文件要求及响应文件承诺进行验收，施工达到现行国家施工验收规范合格标准。</w:t>
      </w:r>
    </w:p>
    <w:p w14:paraId="31C39C71">
      <w:pPr>
        <w:spacing w:line="400" w:lineRule="exact"/>
        <w:rPr>
          <w:rFonts w:ascii="宋体" w:hAnsi="宋体"/>
          <w:b/>
          <w:color w:val="auto"/>
          <w:szCs w:val="21"/>
          <w:highlight w:val="none"/>
        </w:rPr>
      </w:pPr>
      <w:r>
        <w:rPr>
          <w:rFonts w:hint="eastAsia" w:ascii="宋体" w:hAnsi="宋体" w:cs="宋体"/>
          <w:b/>
          <w:color w:val="auto"/>
          <w:szCs w:val="21"/>
          <w:highlight w:val="none"/>
          <w:lang w:bidi="ar"/>
        </w:rPr>
        <w:t>2.符合以下强制验收规范：</w:t>
      </w:r>
    </w:p>
    <w:p w14:paraId="38556827">
      <w:pPr>
        <w:spacing w:line="400" w:lineRule="exact"/>
        <w:rPr>
          <w:rFonts w:ascii="宋体" w:hAnsi="宋体"/>
          <w:b/>
          <w:color w:val="auto"/>
          <w:szCs w:val="21"/>
          <w:highlight w:val="none"/>
        </w:rPr>
      </w:pPr>
      <w:r>
        <w:rPr>
          <w:rFonts w:hint="eastAsia" w:ascii="宋体" w:hAnsi="宋体" w:cs="宋体"/>
          <w:b/>
          <w:color w:val="auto"/>
          <w:szCs w:val="21"/>
          <w:highlight w:val="none"/>
          <w:lang w:bidi="ar"/>
        </w:rPr>
        <w:t>《洁净室施工及验收规范》（GB 50591-2010）</w:t>
      </w:r>
    </w:p>
    <w:p w14:paraId="3F89767C">
      <w:pPr>
        <w:spacing w:line="400" w:lineRule="exact"/>
        <w:rPr>
          <w:rFonts w:ascii="宋体" w:hAnsi="宋体"/>
          <w:b/>
          <w:color w:val="auto"/>
          <w:szCs w:val="21"/>
          <w:highlight w:val="none"/>
        </w:rPr>
      </w:pPr>
      <w:r>
        <w:rPr>
          <w:rFonts w:hint="eastAsia" w:ascii="宋体" w:hAnsi="宋体" w:cs="宋体"/>
          <w:b/>
          <w:color w:val="auto"/>
          <w:szCs w:val="21"/>
          <w:highlight w:val="none"/>
          <w:lang w:bidi="ar"/>
        </w:rPr>
        <w:t>《建筑装饰装修工程质量验收标准》（GB 50210-2018）</w:t>
      </w:r>
    </w:p>
    <w:p w14:paraId="1793567B">
      <w:pPr>
        <w:spacing w:line="400" w:lineRule="exact"/>
        <w:rPr>
          <w:rFonts w:ascii="宋体" w:hAnsi="宋体"/>
          <w:b/>
          <w:color w:val="auto"/>
          <w:szCs w:val="21"/>
          <w:highlight w:val="none"/>
        </w:rPr>
      </w:pPr>
      <w:r>
        <w:rPr>
          <w:rFonts w:hint="eastAsia" w:ascii="宋体" w:hAnsi="宋体" w:cs="宋体"/>
          <w:b/>
          <w:color w:val="auto"/>
          <w:szCs w:val="21"/>
          <w:highlight w:val="none"/>
          <w:lang w:bidi="ar"/>
        </w:rPr>
        <w:t>《建筑电气工程施工质量验收规范》（GB 50303-2015）</w:t>
      </w:r>
    </w:p>
    <w:p w14:paraId="0A696196">
      <w:pPr>
        <w:spacing w:line="400" w:lineRule="exact"/>
        <w:rPr>
          <w:rFonts w:ascii="宋体" w:hAnsi="宋体"/>
          <w:b/>
          <w:color w:val="auto"/>
          <w:szCs w:val="21"/>
          <w:highlight w:val="none"/>
        </w:rPr>
      </w:pPr>
      <w:r>
        <w:rPr>
          <w:rFonts w:hint="eastAsia" w:ascii="宋体" w:hAnsi="宋体" w:cs="宋体"/>
          <w:b/>
          <w:color w:val="auto"/>
          <w:szCs w:val="21"/>
          <w:highlight w:val="none"/>
          <w:lang w:bidi="ar"/>
        </w:rPr>
        <w:t>《通风与空调工程施工质量验收规范》（GB 50243-2016）</w:t>
      </w:r>
    </w:p>
    <w:p w14:paraId="07D1741D">
      <w:pPr>
        <w:spacing w:line="400" w:lineRule="exact"/>
        <w:jc w:val="left"/>
        <w:rPr>
          <w:rFonts w:ascii="宋体" w:hAnsi="宋体"/>
          <w:b/>
          <w:color w:val="auto"/>
          <w:szCs w:val="21"/>
          <w:highlight w:val="none"/>
        </w:rPr>
      </w:pPr>
      <w:r>
        <w:rPr>
          <w:rFonts w:hint="eastAsia" w:ascii="宋体" w:hAnsi="宋体" w:cs="宋体"/>
          <w:b/>
          <w:color w:val="auto"/>
          <w:szCs w:val="21"/>
          <w:highlight w:val="none"/>
          <w:lang w:bidi="ar"/>
        </w:rPr>
        <w:t>3.验收资料及文档清单：包括隐蔽工程记录、材料检测报告、设备调试记录、洁净度检测报告、竣工图（含电子版）、设备操作与维护手册</w:t>
      </w:r>
    </w:p>
    <w:p w14:paraId="09602DFE">
      <w:pPr>
        <w:spacing w:line="400" w:lineRule="exact"/>
        <w:jc w:val="left"/>
        <w:rPr>
          <w:rFonts w:ascii="宋体" w:hAnsi="宋体"/>
          <w:b/>
          <w:color w:val="auto"/>
          <w:szCs w:val="21"/>
          <w:highlight w:val="none"/>
        </w:rPr>
      </w:pPr>
      <w:r>
        <w:rPr>
          <w:rFonts w:hint="eastAsia" w:ascii="宋体" w:hAnsi="宋体" w:cs="宋体"/>
          <w:b/>
          <w:color w:val="auto"/>
          <w:szCs w:val="21"/>
          <w:highlight w:val="none"/>
          <w:lang w:bidi="ar"/>
        </w:rPr>
        <w:t>培训记录、质量保修承诺书、检测报告（第三方）等。</w:t>
      </w:r>
      <w:r>
        <w:rPr>
          <w:rFonts w:hint="eastAsia" w:ascii="宋体" w:hAnsi="宋体"/>
          <w:b/>
          <w:color w:val="auto"/>
          <w:szCs w:val="21"/>
          <w:highlight w:val="none"/>
          <w:lang w:bidi="ar"/>
        </w:rPr>
        <w:t xml:space="preserve">                                                           </w:t>
      </w:r>
      <w:r>
        <w:rPr>
          <w:rFonts w:hint="eastAsia" w:ascii="宋体" w:hAnsi="宋体" w:cs="宋体"/>
          <w:b/>
          <w:color w:val="auto"/>
          <w:szCs w:val="21"/>
          <w:highlight w:val="none"/>
          <w:lang w:bidi="ar"/>
        </w:rPr>
        <w:t>4.关键验收指标：</w:t>
      </w:r>
    </w:p>
    <w:p w14:paraId="49D11841">
      <w:pPr>
        <w:spacing w:line="400" w:lineRule="exact"/>
        <w:jc w:val="left"/>
        <w:rPr>
          <w:rFonts w:ascii="宋体" w:hAnsi="宋体"/>
          <w:b/>
          <w:color w:val="auto"/>
          <w:szCs w:val="21"/>
          <w:highlight w:val="none"/>
        </w:rPr>
      </w:pPr>
      <w:r>
        <w:rPr>
          <w:rFonts w:hint="eastAsia" w:ascii="宋体" w:hAnsi="宋体" w:cs="宋体"/>
          <w:b/>
          <w:color w:val="auto"/>
          <w:szCs w:val="21"/>
          <w:highlight w:val="none"/>
          <w:lang w:bidi="ar"/>
        </w:rPr>
        <w:t>洁净度：达到ISO 7级或更高（根据设计）。</w:t>
      </w:r>
    </w:p>
    <w:p w14:paraId="759C4B2E">
      <w:pPr>
        <w:spacing w:line="400" w:lineRule="exact"/>
        <w:jc w:val="left"/>
        <w:rPr>
          <w:rFonts w:ascii="宋体" w:hAnsi="宋体"/>
          <w:b/>
          <w:color w:val="auto"/>
          <w:szCs w:val="21"/>
          <w:highlight w:val="none"/>
        </w:rPr>
      </w:pPr>
      <w:r>
        <w:rPr>
          <w:rFonts w:hint="eastAsia" w:ascii="宋体" w:hAnsi="宋体" w:cs="宋体"/>
          <w:b/>
          <w:color w:val="auto"/>
          <w:szCs w:val="21"/>
          <w:highlight w:val="none"/>
          <w:lang w:bidi="ar"/>
        </w:rPr>
        <w:t>温湿度控制：±1°C，±5%RH。</w:t>
      </w:r>
    </w:p>
    <w:p w14:paraId="07FD0E30">
      <w:pPr>
        <w:spacing w:line="400" w:lineRule="exact"/>
        <w:jc w:val="left"/>
        <w:rPr>
          <w:rFonts w:ascii="宋体" w:hAnsi="宋体"/>
          <w:b/>
          <w:color w:val="auto"/>
          <w:szCs w:val="21"/>
          <w:highlight w:val="none"/>
        </w:rPr>
      </w:pPr>
      <w:r>
        <w:rPr>
          <w:rFonts w:hint="eastAsia" w:ascii="宋体" w:hAnsi="宋体" w:cs="宋体"/>
          <w:b/>
          <w:color w:val="auto"/>
          <w:szCs w:val="21"/>
          <w:highlight w:val="none"/>
          <w:lang w:bidi="ar"/>
        </w:rPr>
        <w:t>压差控制：相邻房间压差≥5Pa。</w:t>
      </w:r>
    </w:p>
    <w:p w14:paraId="1215FF43">
      <w:pPr>
        <w:pStyle w:val="229"/>
        <w:rPr>
          <w:color w:val="auto"/>
          <w:highlight w:val="none"/>
          <w:u w:val="single"/>
        </w:rPr>
      </w:pPr>
      <w:r>
        <w:rPr>
          <w:rFonts w:hint="eastAsia"/>
          <w:color w:val="auto"/>
          <w:highlight w:val="none"/>
        </w:rPr>
        <w:t>（3）承包人负责整理和提交的竣工验收资料应当符合工程所在地建设行政主管部门和（或）城市建设档案管理机构有关施工资料的要求，具体内容包括：</w:t>
      </w:r>
      <w:r>
        <w:rPr>
          <w:rFonts w:hint="eastAsia"/>
          <w:color w:val="auto"/>
          <w:highlight w:val="none"/>
          <w:u w:val="single"/>
        </w:rPr>
        <w:t>参照桂林市城建馆存档要求及发包人需要</w:t>
      </w:r>
      <w:r>
        <w:rPr>
          <w:rFonts w:hint="eastAsia"/>
          <w:color w:val="auto"/>
          <w:highlight w:val="none"/>
        </w:rPr>
        <w:t>。</w:t>
      </w:r>
    </w:p>
    <w:p w14:paraId="70EE6D2D">
      <w:pPr>
        <w:pStyle w:val="229"/>
        <w:rPr>
          <w:color w:val="auto"/>
          <w:highlight w:val="none"/>
          <w:u w:val="single"/>
        </w:rPr>
      </w:pPr>
      <w:r>
        <w:rPr>
          <w:rFonts w:hint="eastAsia"/>
          <w:color w:val="auto"/>
          <w:highlight w:val="none"/>
        </w:rPr>
        <w:t>竣工验收资料的份数：</w:t>
      </w:r>
      <w:r>
        <w:rPr>
          <w:rFonts w:hint="eastAsia"/>
          <w:color w:val="auto"/>
          <w:highlight w:val="none"/>
          <w:u w:val="single"/>
        </w:rPr>
        <w:t>一式四份。</w:t>
      </w:r>
    </w:p>
    <w:p w14:paraId="05DF4E43">
      <w:pPr>
        <w:pStyle w:val="229"/>
        <w:rPr>
          <w:color w:val="auto"/>
          <w:highlight w:val="none"/>
        </w:rPr>
      </w:pPr>
      <w:r>
        <w:rPr>
          <w:rFonts w:hint="eastAsia"/>
          <w:color w:val="auto"/>
          <w:highlight w:val="none"/>
        </w:rPr>
        <w:t>承包人提供竣工图的约定：竣工验收正式通过后15天，提供竣工图的数量为4套，电子版一份。</w:t>
      </w:r>
    </w:p>
    <w:p w14:paraId="62CA1E01">
      <w:pPr>
        <w:pStyle w:val="229"/>
        <w:rPr>
          <w:color w:val="auto"/>
          <w:highlight w:val="none"/>
        </w:rPr>
      </w:pPr>
      <w:r>
        <w:rPr>
          <w:rFonts w:hint="eastAsia"/>
          <w:color w:val="auto"/>
          <w:highlight w:val="none"/>
        </w:rPr>
        <w:t>13.2.2竣工验收程序</w:t>
      </w:r>
    </w:p>
    <w:p w14:paraId="7EEDF901">
      <w:pPr>
        <w:pStyle w:val="229"/>
        <w:rPr>
          <w:color w:val="auto"/>
          <w:highlight w:val="none"/>
        </w:rPr>
      </w:pPr>
      <w:r>
        <w:rPr>
          <w:rFonts w:hint="eastAsia"/>
          <w:color w:val="auto"/>
          <w:highlight w:val="none"/>
        </w:rPr>
        <w:t xml:space="preserve">关于竣工验收程序的约定： </w:t>
      </w:r>
    </w:p>
    <w:p w14:paraId="0A76AA1B">
      <w:pPr>
        <w:spacing w:line="360" w:lineRule="auto"/>
        <w:ind w:firstLine="420"/>
        <w:rPr>
          <w:rFonts w:ascii="宋体" w:hAnsi="宋体" w:cs="宋体"/>
          <w:color w:val="auto"/>
          <w:highlight w:val="none"/>
          <w:u w:val="single"/>
        </w:rPr>
      </w:pPr>
      <w:r>
        <w:rPr>
          <w:rFonts w:hint="eastAsia" w:ascii="宋体" w:hAnsi="宋体" w:cs="宋体"/>
          <w:color w:val="auto"/>
          <w:highlight w:val="none"/>
          <w:u w:val="single"/>
        </w:rPr>
        <w:t>（1）发包人与有关部门联系，确定验收日期，组织勘察单位、设计单位、监理公司、政府有关部门、承包人参加竣工验收。</w:t>
      </w:r>
    </w:p>
    <w:p w14:paraId="05688256">
      <w:pPr>
        <w:spacing w:line="360" w:lineRule="auto"/>
        <w:ind w:firstLine="420"/>
        <w:rPr>
          <w:rFonts w:ascii="宋体" w:hAnsi="宋体" w:cs="宋体"/>
          <w:color w:val="auto"/>
          <w:highlight w:val="none"/>
          <w:u w:val="single"/>
        </w:rPr>
      </w:pPr>
      <w:r>
        <w:rPr>
          <w:rFonts w:hint="eastAsia" w:ascii="宋体" w:hAnsi="宋体" w:cs="宋体"/>
          <w:color w:val="auto"/>
          <w:highlight w:val="none"/>
          <w:u w:val="single"/>
        </w:rPr>
        <w:t>（2） 竣工验收合格后，各方应签署建设工程质量验收意见书，共一式捌份，其中发包人留三份。如在竣工验收过程中发现问题需要整改，发包人在竣工验收后7天内提出整改意见，承包人按此意见在限定的时间内全部完成整改，因此而发生的整改或返修费用全部由承包人承担。否则按13.2.5条款执行。</w:t>
      </w:r>
    </w:p>
    <w:p w14:paraId="155CDD62">
      <w:pPr>
        <w:spacing w:line="360" w:lineRule="auto"/>
        <w:ind w:firstLine="420"/>
        <w:rPr>
          <w:rFonts w:ascii="宋体" w:hAnsi="宋体" w:cs="宋体"/>
          <w:color w:val="auto"/>
          <w:highlight w:val="none"/>
          <w:u w:val="single"/>
        </w:rPr>
      </w:pPr>
      <w:r>
        <w:rPr>
          <w:rFonts w:hint="eastAsia" w:ascii="宋体" w:hAnsi="宋体" w:cs="宋体"/>
          <w:color w:val="auto"/>
          <w:highlight w:val="none"/>
          <w:u w:val="single"/>
        </w:rPr>
        <w:t>（3）</w:t>
      </w:r>
      <w:r>
        <w:rPr>
          <w:rFonts w:hint="eastAsia" w:cs="宋体"/>
          <w:color w:val="auto"/>
          <w:highlight w:val="none"/>
          <w:u w:val="single"/>
        </w:rPr>
        <w:t>要求通过主管部门的验收，</w:t>
      </w:r>
      <w:r>
        <w:rPr>
          <w:rFonts w:hint="eastAsia" w:ascii="宋体" w:hAnsi="宋体" w:cs="宋体"/>
          <w:color w:val="auto"/>
          <w:highlight w:val="none"/>
          <w:u w:val="single"/>
        </w:rPr>
        <w:t>承包人应积极配合发包人办理专项验收合格证明、竣工验收报告、竣工验收备案表、三算书等手续，协助发包人及时取得《建设工程竣工验收备案证明书》，以上配合工作所需费用不另行计取。属于发包人应提供的资料由发包人负责及时提供给承包人，由承包人汇总整理后移交档案馆；专业分包的资料由承包人统一汇总后提交政府部门办理竣工验收及备案。因承包人原因导致工程竣工资料（按档案馆要求，含相应的电子磁盘资料、声像资料）延误移交的，每延误一天，发包人有权要求承包人支付人民币1万元的违约金。</w:t>
      </w:r>
    </w:p>
    <w:p w14:paraId="26A5BEA9">
      <w:pPr>
        <w:spacing w:line="360" w:lineRule="auto"/>
        <w:ind w:firstLine="420"/>
        <w:rPr>
          <w:rFonts w:ascii="宋体" w:hAnsi="宋体" w:cs="宋体"/>
          <w:color w:val="auto"/>
          <w:highlight w:val="none"/>
        </w:rPr>
      </w:pPr>
      <w:r>
        <w:rPr>
          <w:rFonts w:hint="eastAsia" w:ascii="宋体" w:hAnsi="宋体" w:cs="宋体"/>
          <w:color w:val="auto"/>
          <w:highlight w:val="none"/>
          <w:u w:val="single"/>
        </w:rPr>
        <w:t>（4）工程在未移交发包人之前，承包人负责承包范围内工程的维修、维护和保管，期间发生的成品、半成品、材料等遗失、污染、破损等情况，承包人承担修复费用。如发包人提前使用造成损坏，所产生的修理费用由发包人承担。</w:t>
      </w:r>
    </w:p>
    <w:p w14:paraId="3F902CDD">
      <w:pPr>
        <w:pStyle w:val="229"/>
        <w:rPr>
          <w:color w:val="auto"/>
          <w:highlight w:val="none"/>
          <w:u w:val="single"/>
        </w:rPr>
      </w:pPr>
      <w:r>
        <w:rPr>
          <w:rFonts w:hint="eastAsia"/>
          <w:color w:val="auto"/>
          <w:highlight w:val="none"/>
        </w:rPr>
        <w:t>发包人不按照本项约定组织竣工验收、颁发工程接收证书的违约金的计算方法：</w:t>
      </w:r>
      <w:r>
        <w:rPr>
          <w:rFonts w:hint="eastAsia"/>
          <w:color w:val="auto"/>
          <w:highlight w:val="none"/>
          <w:u w:val="single"/>
        </w:rPr>
        <w:t xml:space="preserve"> 不计违约金 。</w:t>
      </w:r>
    </w:p>
    <w:p w14:paraId="19160177">
      <w:pPr>
        <w:pStyle w:val="229"/>
        <w:rPr>
          <w:color w:val="auto"/>
          <w:highlight w:val="none"/>
        </w:rPr>
      </w:pPr>
      <w:r>
        <w:rPr>
          <w:rFonts w:hint="eastAsia"/>
          <w:color w:val="auto"/>
          <w:highlight w:val="none"/>
        </w:rPr>
        <w:t>13.2.5移交、接收全部与部分工程</w:t>
      </w:r>
    </w:p>
    <w:p w14:paraId="7C42EA46">
      <w:pPr>
        <w:pStyle w:val="229"/>
        <w:rPr>
          <w:color w:val="auto"/>
          <w:highlight w:val="none"/>
        </w:rPr>
      </w:pPr>
      <w:r>
        <w:rPr>
          <w:rFonts w:hint="eastAsia"/>
          <w:color w:val="auto"/>
          <w:highlight w:val="none"/>
        </w:rPr>
        <w:t>承包人向发包人移交工程的期限： 同通用条款，无特殊约定   。</w:t>
      </w:r>
    </w:p>
    <w:p w14:paraId="2E227A8A">
      <w:pPr>
        <w:pStyle w:val="229"/>
        <w:rPr>
          <w:color w:val="auto"/>
          <w:highlight w:val="none"/>
          <w:u w:val="single"/>
        </w:rPr>
      </w:pPr>
      <w:r>
        <w:rPr>
          <w:rFonts w:hint="eastAsia"/>
          <w:color w:val="auto"/>
          <w:highlight w:val="none"/>
        </w:rPr>
        <w:t>发包人未按本合同约定接收全部或部分工程的，违约金的计算方法为：</w:t>
      </w:r>
      <w:r>
        <w:rPr>
          <w:rFonts w:hint="eastAsia"/>
          <w:color w:val="auto"/>
          <w:highlight w:val="none"/>
          <w:u w:val="single"/>
        </w:rPr>
        <w:t xml:space="preserve"> 不计违约金 </w:t>
      </w:r>
      <w:r>
        <w:rPr>
          <w:rFonts w:hint="eastAsia"/>
          <w:color w:val="auto"/>
          <w:highlight w:val="none"/>
        </w:rPr>
        <w:t>。</w:t>
      </w:r>
    </w:p>
    <w:p w14:paraId="7BC3C464">
      <w:pPr>
        <w:pStyle w:val="229"/>
        <w:rPr>
          <w:color w:val="auto"/>
          <w:highlight w:val="none"/>
          <w:u w:val="single"/>
        </w:rPr>
      </w:pPr>
      <w:r>
        <w:rPr>
          <w:rFonts w:hint="eastAsia"/>
          <w:color w:val="auto"/>
          <w:highlight w:val="none"/>
        </w:rPr>
        <w:t>承包人未按时移交工程的，违约金的计算方法为：</w:t>
      </w:r>
      <w:r>
        <w:rPr>
          <w:rFonts w:hint="eastAsia"/>
          <w:color w:val="auto"/>
          <w:highlight w:val="none"/>
          <w:u w:val="single"/>
        </w:rPr>
        <w:t>按专用条款第7.5 款执行。</w:t>
      </w:r>
    </w:p>
    <w:p w14:paraId="20521C61">
      <w:pPr>
        <w:pStyle w:val="278"/>
        <w:rPr>
          <w:color w:val="auto"/>
          <w:highlight w:val="none"/>
        </w:rPr>
      </w:pPr>
      <w:bookmarkStart w:id="328" w:name="_Toc69641925"/>
      <w:bookmarkStart w:id="329" w:name="_Toc55374028"/>
      <w:bookmarkStart w:id="330" w:name="_Toc140098618"/>
      <w:r>
        <w:rPr>
          <w:rFonts w:hint="eastAsia"/>
          <w:color w:val="auto"/>
          <w:highlight w:val="none"/>
        </w:rPr>
        <w:t>13.3 工程试车</w:t>
      </w:r>
      <w:bookmarkEnd w:id="328"/>
      <w:bookmarkEnd w:id="329"/>
      <w:bookmarkEnd w:id="330"/>
    </w:p>
    <w:p w14:paraId="09176605">
      <w:pPr>
        <w:pStyle w:val="229"/>
        <w:rPr>
          <w:color w:val="auto"/>
          <w:highlight w:val="none"/>
        </w:rPr>
      </w:pPr>
      <w:r>
        <w:rPr>
          <w:rFonts w:hint="eastAsia"/>
          <w:color w:val="auto"/>
          <w:highlight w:val="none"/>
        </w:rPr>
        <w:t>13.3.1 试车程序</w:t>
      </w:r>
    </w:p>
    <w:p w14:paraId="61B18ACE">
      <w:pPr>
        <w:pStyle w:val="229"/>
        <w:rPr>
          <w:color w:val="auto"/>
          <w:highlight w:val="none"/>
        </w:rPr>
      </w:pPr>
      <w:r>
        <w:rPr>
          <w:rFonts w:hint="eastAsia"/>
          <w:color w:val="auto"/>
          <w:highlight w:val="none"/>
        </w:rPr>
        <w:t>工程试车内容：</w:t>
      </w:r>
      <w:r>
        <w:rPr>
          <w:rFonts w:hint="eastAsia"/>
          <w:color w:val="auto"/>
          <w:highlight w:val="none"/>
          <w:u w:val="single"/>
        </w:rPr>
        <w:t xml:space="preserve"> /       </w:t>
      </w:r>
      <w:r>
        <w:rPr>
          <w:rFonts w:hint="eastAsia"/>
          <w:color w:val="auto"/>
          <w:highlight w:val="none"/>
        </w:rPr>
        <w:t>。</w:t>
      </w:r>
    </w:p>
    <w:p w14:paraId="7326FB7E">
      <w:pPr>
        <w:pStyle w:val="229"/>
        <w:rPr>
          <w:color w:val="auto"/>
          <w:highlight w:val="none"/>
        </w:rPr>
      </w:pPr>
      <w:r>
        <w:rPr>
          <w:rFonts w:hint="eastAsia"/>
          <w:color w:val="auto"/>
          <w:highlight w:val="none"/>
        </w:rPr>
        <w:t>（1）单机无负荷试车费用由</w:t>
      </w:r>
      <w:r>
        <w:rPr>
          <w:rFonts w:hint="eastAsia"/>
          <w:color w:val="auto"/>
          <w:highlight w:val="none"/>
          <w:u w:val="single"/>
        </w:rPr>
        <w:t xml:space="preserve">   /    </w:t>
      </w:r>
      <w:r>
        <w:rPr>
          <w:rFonts w:hint="eastAsia"/>
          <w:color w:val="auto"/>
          <w:highlight w:val="none"/>
        </w:rPr>
        <w:t>承担；</w:t>
      </w:r>
    </w:p>
    <w:p w14:paraId="398AF7E0">
      <w:pPr>
        <w:pStyle w:val="229"/>
        <w:rPr>
          <w:color w:val="auto"/>
          <w:highlight w:val="none"/>
          <w:u w:val="single"/>
        </w:rPr>
      </w:pPr>
      <w:r>
        <w:rPr>
          <w:rFonts w:hint="eastAsia"/>
          <w:color w:val="auto"/>
          <w:highlight w:val="none"/>
        </w:rPr>
        <w:t>（2）无负荷联动试车费用由</w:t>
      </w:r>
      <w:r>
        <w:rPr>
          <w:rFonts w:hint="eastAsia"/>
          <w:color w:val="auto"/>
          <w:highlight w:val="none"/>
          <w:u w:val="single"/>
        </w:rPr>
        <w:t xml:space="preserve">   /   </w:t>
      </w:r>
      <w:r>
        <w:rPr>
          <w:rFonts w:hint="eastAsia"/>
          <w:color w:val="auto"/>
          <w:highlight w:val="none"/>
        </w:rPr>
        <w:t>承担。</w:t>
      </w:r>
    </w:p>
    <w:p w14:paraId="235423D2">
      <w:pPr>
        <w:pStyle w:val="229"/>
        <w:rPr>
          <w:color w:val="auto"/>
          <w:highlight w:val="none"/>
        </w:rPr>
      </w:pPr>
      <w:r>
        <w:rPr>
          <w:rFonts w:hint="eastAsia"/>
          <w:color w:val="auto"/>
          <w:highlight w:val="none"/>
        </w:rPr>
        <w:t>13.3.3 投料试车</w:t>
      </w:r>
    </w:p>
    <w:p w14:paraId="6DEEE1CA">
      <w:pPr>
        <w:pStyle w:val="229"/>
        <w:rPr>
          <w:color w:val="auto"/>
          <w:highlight w:val="none"/>
        </w:rPr>
      </w:pPr>
      <w:r>
        <w:rPr>
          <w:rFonts w:hint="eastAsia"/>
          <w:color w:val="auto"/>
          <w:highlight w:val="none"/>
        </w:rPr>
        <w:t>关于投料试车相关事项的约定：</w:t>
      </w:r>
      <w:r>
        <w:rPr>
          <w:rFonts w:hint="eastAsia"/>
          <w:color w:val="auto"/>
          <w:highlight w:val="none"/>
          <w:u w:val="single"/>
        </w:rPr>
        <w:t xml:space="preserve">    /    </w:t>
      </w:r>
      <w:r>
        <w:rPr>
          <w:rFonts w:hint="eastAsia"/>
          <w:color w:val="auto"/>
          <w:highlight w:val="none"/>
        </w:rPr>
        <w:t>。</w:t>
      </w:r>
    </w:p>
    <w:p w14:paraId="0058EC8F">
      <w:pPr>
        <w:pStyle w:val="278"/>
        <w:rPr>
          <w:color w:val="auto"/>
          <w:highlight w:val="none"/>
        </w:rPr>
      </w:pPr>
      <w:bookmarkStart w:id="331" w:name="_Toc69641926"/>
      <w:bookmarkStart w:id="332" w:name="_Toc55374029"/>
      <w:bookmarkStart w:id="333" w:name="_Toc140098619"/>
      <w:r>
        <w:rPr>
          <w:rFonts w:hint="eastAsia"/>
          <w:color w:val="auto"/>
          <w:highlight w:val="none"/>
        </w:rPr>
        <w:t>13.6 竣工退场</w:t>
      </w:r>
      <w:bookmarkEnd w:id="331"/>
      <w:bookmarkEnd w:id="332"/>
      <w:bookmarkEnd w:id="333"/>
    </w:p>
    <w:p w14:paraId="6E77EC42">
      <w:pPr>
        <w:pStyle w:val="229"/>
        <w:rPr>
          <w:color w:val="auto"/>
          <w:highlight w:val="none"/>
        </w:rPr>
      </w:pPr>
      <w:r>
        <w:rPr>
          <w:rFonts w:hint="eastAsia"/>
          <w:color w:val="auto"/>
          <w:highlight w:val="none"/>
        </w:rPr>
        <w:t>13.6.1 竣工退场</w:t>
      </w:r>
    </w:p>
    <w:p w14:paraId="09AF96AB">
      <w:pPr>
        <w:pStyle w:val="229"/>
        <w:rPr>
          <w:color w:val="auto"/>
          <w:highlight w:val="none"/>
        </w:rPr>
      </w:pPr>
      <w:r>
        <w:rPr>
          <w:rFonts w:hint="eastAsia"/>
          <w:color w:val="auto"/>
          <w:highlight w:val="none"/>
        </w:rPr>
        <w:t>承包人完成竣工退场的期限：竣工后28日内，如不按期执行，发包人有权无条件处置，所发生的一切费用由承包人承担。</w:t>
      </w:r>
    </w:p>
    <w:p w14:paraId="3033D532">
      <w:pPr>
        <w:pStyle w:val="229"/>
        <w:rPr>
          <w:color w:val="auto"/>
          <w:highlight w:val="none"/>
        </w:rPr>
      </w:pPr>
      <w:r>
        <w:rPr>
          <w:rFonts w:hint="eastAsia"/>
          <w:color w:val="auto"/>
          <w:highlight w:val="none"/>
        </w:rPr>
        <w:t>退场前，承包人应按发包人要求拆除相关临时设施，清扫干净现场。</w:t>
      </w:r>
    </w:p>
    <w:p w14:paraId="4F86A60C">
      <w:pPr>
        <w:pStyle w:val="291"/>
        <w:ind w:firstLine="422"/>
        <w:rPr>
          <w:color w:val="auto"/>
          <w:highlight w:val="none"/>
        </w:rPr>
      </w:pPr>
      <w:bookmarkStart w:id="334" w:name="_Toc55374030"/>
      <w:bookmarkStart w:id="335" w:name="_Toc140098620"/>
      <w:bookmarkStart w:id="336" w:name="_Toc69641927"/>
      <w:r>
        <w:rPr>
          <w:rFonts w:hint="eastAsia"/>
          <w:color w:val="auto"/>
          <w:highlight w:val="none"/>
        </w:rPr>
        <w:t>14. 竣工结算</w:t>
      </w:r>
      <w:bookmarkEnd w:id="334"/>
      <w:bookmarkEnd w:id="335"/>
      <w:bookmarkEnd w:id="336"/>
    </w:p>
    <w:p w14:paraId="7B9CEDC0">
      <w:pPr>
        <w:pStyle w:val="278"/>
        <w:rPr>
          <w:color w:val="auto"/>
          <w:highlight w:val="none"/>
        </w:rPr>
      </w:pPr>
      <w:bookmarkStart w:id="337" w:name="_Toc55374031"/>
      <w:bookmarkStart w:id="338" w:name="_Toc140098621"/>
      <w:bookmarkStart w:id="339" w:name="_Toc69641928"/>
      <w:r>
        <w:rPr>
          <w:rFonts w:hint="eastAsia"/>
          <w:color w:val="auto"/>
          <w:highlight w:val="none"/>
        </w:rPr>
        <w:t>14.1 竣工结算申请</w:t>
      </w:r>
      <w:bookmarkEnd w:id="337"/>
      <w:bookmarkEnd w:id="338"/>
      <w:bookmarkEnd w:id="339"/>
    </w:p>
    <w:p w14:paraId="4E59E552">
      <w:pPr>
        <w:pStyle w:val="229"/>
        <w:rPr>
          <w:color w:val="auto"/>
          <w:highlight w:val="none"/>
        </w:rPr>
      </w:pPr>
      <w:r>
        <w:rPr>
          <w:rFonts w:hint="eastAsia"/>
          <w:color w:val="auto"/>
          <w:highlight w:val="none"/>
        </w:rPr>
        <w:t>承包人提交竣工结算申请单的期限：承包人应在工程竣工验收合格后30天内向发包人和监理人提交竣工结算申请单及完整的竣工资料，并提交两份完整的结算资料（含电子扫描版一份）。结算资料经发包人代表初核后，由发包人代表移交审计部门审计，承包人不得将结算资料直接提交审计部门。承包人所编制的工程竣工结算资料经发包人代表审核确认后，承包人所遗漏的与工程造价有关的签证资料不再作为结算审核依据，按承包人自动放弃处理。因承包人原因，不按规定时间提交结算申请，造成的一切损失由承包人承担。</w:t>
      </w:r>
    </w:p>
    <w:p w14:paraId="69BF5D51">
      <w:pPr>
        <w:pStyle w:val="229"/>
        <w:rPr>
          <w:color w:val="auto"/>
          <w:highlight w:val="none"/>
        </w:rPr>
      </w:pPr>
      <w:r>
        <w:rPr>
          <w:rFonts w:hint="eastAsia"/>
          <w:color w:val="auto"/>
          <w:highlight w:val="none"/>
        </w:rPr>
        <w:t>竣工结算申请单应包括的内容：主要包括工程竣工结算说明（载明工程量增减情况，并附表一一对应具体的工程联系函和签证单）、工程结算计算式底稿、以光盘为载体的电子文档（含计算式底稿及结算价）、竞争性磋商文件、响应文件、建设工程质量竣工验收意见书、合同、工程量清单、签证单及工程联系函（增加工程量的工程联系函必须附相应的签证单或经发包人代表确认后方可作为结算依据）汇编等发包人提出需提交的资料共一式三份。承包人提供的现场签证资料应为原件或彩色复印件，如果是黑白复印件的，必须加盖学校基建管理部门公章。</w:t>
      </w:r>
    </w:p>
    <w:p w14:paraId="6D6BE728">
      <w:pPr>
        <w:pStyle w:val="278"/>
        <w:rPr>
          <w:color w:val="auto"/>
          <w:highlight w:val="none"/>
        </w:rPr>
      </w:pPr>
      <w:bookmarkStart w:id="340" w:name="_Toc55374032"/>
      <w:bookmarkStart w:id="341" w:name="_Toc140098622"/>
      <w:bookmarkStart w:id="342" w:name="_Toc69641929"/>
      <w:r>
        <w:rPr>
          <w:rFonts w:hint="eastAsia"/>
          <w:color w:val="auto"/>
          <w:highlight w:val="none"/>
        </w:rPr>
        <w:t>14.2 竣工结算审核</w:t>
      </w:r>
      <w:bookmarkEnd w:id="340"/>
      <w:bookmarkEnd w:id="341"/>
      <w:bookmarkEnd w:id="342"/>
    </w:p>
    <w:p w14:paraId="5F8FD799">
      <w:pPr>
        <w:spacing w:line="360" w:lineRule="auto"/>
        <w:ind w:firstLine="420" w:firstLineChars="200"/>
        <w:jc w:val="left"/>
        <w:rPr>
          <w:color w:val="auto"/>
          <w:highlight w:val="none"/>
        </w:rPr>
      </w:pPr>
      <w:bookmarkStart w:id="343" w:name="_Toc69641930"/>
      <w:bookmarkStart w:id="344" w:name="_Toc140098623"/>
      <w:bookmarkStart w:id="345" w:name="_Toc55374033"/>
      <w:r>
        <w:rPr>
          <w:rFonts w:hint="eastAsia" w:hAnsi="宋体" w:cs="宋体"/>
          <w:color w:val="auto"/>
          <w:highlight w:val="none"/>
        </w:rPr>
        <w:t>发包人审批竣工付款申请单的期限：</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09D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C4F0258">
            <w:pPr>
              <w:spacing w:line="360" w:lineRule="auto"/>
              <w:rPr>
                <w:color w:val="auto"/>
                <w:highlight w:val="none"/>
              </w:rPr>
            </w:pPr>
          </w:p>
        </w:tc>
        <w:tc>
          <w:tcPr>
            <w:tcW w:w="2466" w:type="dxa"/>
            <w:vAlign w:val="center"/>
          </w:tcPr>
          <w:p w14:paraId="6E19A3D0">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vAlign w:val="center"/>
          </w:tcPr>
          <w:p w14:paraId="68AE4517">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46B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4FDDFEF">
            <w:pPr>
              <w:spacing w:line="360" w:lineRule="auto"/>
              <w:jc w:val="center"/>
              <w:rPr>
                <w:color w:val="auto"/>
                <w:highlight w:val="none"/>
              </w:rPr>
            </w:pPr>
            <w:r>
              <w:rPr>
                <w:color w:val="auto"/>
                <w:highlight w:val="none"/>
              </w:rPr>
              <w:t>1</w:t>
            </w:r>
          </w:p>
        </w:tc>
        <w:tc>
          <w:tcPr>
            <w:tcW w:w="2466" w:type="dxa"/>
            <w:vAlign w:val="center"/>
          </w:tcPr>
          <w:p w14:paraId="0A84A30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vAlign w:val="center"/>
          </w:tcPr>
          <w:p w14:paraId="1D6F024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DDF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8737159">
            <w:pPr>
              <w:spacing w:line="360" w:lineRule="auto"/>
              <w:jc w:val="center"/>
              <w:rPr>
                <w:color w:val="auto"/>
                <w:highlight w:val="none"/>
              </w:rPr>
            </w:pPr>
            <w:r>
              <w:rPr>
                <w:color w:val="auto"/>
                <w:highlight w:val="none"/>
              </w:rPr>
              <w:t>2</w:t>
            </w:r>
          </w:p>
        </w:tc>
        <w:tc>
          <w:tcPr>
            <w:tcW w:w="2466" w:type="dxa"/>
            <w:vAlign w:val="center"/>
          </w:tcPr>
          <w:p w14:paraId="1FD01D2E">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vAlign w:val="center"/>
          </w:tcPr>
          <w:p w14:paraId="0DFC29E2">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051C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0306E1">
            <w:pPr>
              <w:spacing w:line="360" w:lineRule="auto"/>
              <w:jc w:val="center"/>
              <w:rPr>
                <w:color w:val="auto"/>
                <w:highlight w:val="none"/>
              </w:rPr>
            </w:pPr>
            <w:r>
              <w:rPr>
                <w:color w:val="auto"/>
                <w:highlight w:val="none"/>
              </w:rPr>
              <w:t>3</w:t>
            </w:r>
          </w:p>
        </w:tc>
        <w:tc>
          <w:tcPr>
            <w:tcW w:w="2466" w:type="dxa"/>
            <w:vAlign w:val="center"/>
          </w:tcPr>
          <w:p w14:paraId="2F2BB90F">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vAlign w:val="center"/>
          </w:tcPr>
          <w:p w14:paraId="3B674DB0">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7697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7C057DA">
            <w:pPr>
              <w:spacing w:line="360" w:lineRule="auto"/>
              <w:jc w:val="center"/>
              <w:rPr>
                <w:color w:val="auto"/>
                <w:highlight w:val="none"/>
              </w:rPr>
            </w:pPr>
            <w:r>
              <w:rPr>
                <w:color w:val="auto"/>
                <w:highlight w:val="none"/>
              </w:rPr>
              <w:t>4</w:t>
            </w:r>
          </w:p>
        </w:tc>
        <w:tc>
          <w:tcPr>
            <w:tcW w:w="2466" w:type="dxa"/>
            <w:vAlign w:val="center"/>
          </w:tcPr>
          <w:p w14:paraId="18F7116D">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vAlign w:val="center"/>
          </w:tcPr>
          <w:p w14:paraId="5964442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421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451CC3D">
            <w:pPr>
              <w:spacing w:line="360" w:lineRule="auto"/>
              <w:jc w:val="center"/>
              <w:rPr>
                <w:color w:val="auto"/>
                <w:highlight w:val="none"/>
              </w:rPr>
            </w:pPr>
            <w:r>
              <w:rPr>
                <w:rFonts w:hint="eastAsia"/>
                <w:color w:val="auto"/>
                <w:highlight w:val="none"/>
              </w:rPr>
              <w:t>5</w:t>
            </w:r>
          </w:p>
        </w:tc>
        <w:tc>
          <w:tcPr>
            <w:tcW w:w="2466" w:type="dxa"/>
            <w:vAlign w:val="center"/>
          </w:tcPr>
          <w:p w14:paraId="4115082B">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5EE72273">
            <w:pPr>
              <w:spacing w:line="360" w:lineRule="auto"/>
              <w:ind w:firstLine="441" w:firstLineChars="210"/>
              <w:jc w:val="center"/>
              <w:rPr>
                <w:rFonts w:hAnsi="宋体" w:cs="宋体"/>
                <w:color w:val="auto"/>
                <w:highlight w:val="none"/>
              </w:rPr>
            </w:pPr>
            <w:r>
              <w:rPr>
                <w:rFonts w:hint="eastAsia" w:hAnsi="宋体" w:cs="宋体"/>
                <w:color w:val="auto"/>
                <w:highlight w:val="none"/>
              </w:rPr>
              <w:t>增加10天</w:t>
            </w:r>
          </w:p>
        </w:tc>
      </w:tr>
    </w:tbl>
    <w:p w14:paraId="74F42D57">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67C4EE0">
      <w:pPr>
        <w:spacing w:line="400" w:lineRule="exact"/>
        <w:ind w:firstLine="411" w:firstLineChars="196"/>
        <w:rPr>
          <w:rFonts w:hAnsi="宋体" w:cs="宋体"/>
          <w:color w:val="auto"/>
          <w:szCs w:val="21"/>
          <w:highlight w:val="none"/>
        </w:rPr>
      </w:pPr>
      <w:r>
        <w:rPr>
          <w:rFonts w:hint="eastAsia" w:hAnsi="宋体" w:cs="宋体"/>
          <w:color w:val="auto"/>
          <w:highlight w:val="none"/>
        </w:rPr>
        <w:t>竣工结算审核约定：</w:t>
      </w:r>
      <w:r>
        <w:rPr>
          <w:rFonts w:hint="eastAsia" w:hAnsi="宋体" w:cs="宋体"/>
          <w:color w:val="auto"/>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79EAD358">
      <w:pPr>
        <w:spacing w:line="400" w:lineRule="exact"/>
        <w:ind w:firstLine="431" w:firstLineChars="196"/>
        <w:rPr>
          <w:rFonts w:hAnsi="宋体" w:cs="宋体"/>
          <w:color w:val="auto"/>
          <w:highlight w:val="none"/>
        </w:rPr>
      </w:pPr>
      <w:r>
        <w:rPr>
          <w:rFonts w:ascii="宋体" w:hAnsi="宋体" w:cs="宋体"/>
          <w:color w:val="auto"/>
          <w:kern w:val="0"/>
          <w:sz w:val="22"/>
          <w:szCs w:val="22"/>
          <w:highlight w:val="none"/>
          <w:lang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40BACD5B">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Ansi="宋体"/>
          <w:color w:val="auto"/>
          <w:highlight w:val="none"/>
          <w:u w:val="single"/>
        </w:rPr>
        <w:t xml:space="preserve">   </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Ansi="宋体"/>
          <w:color w:val="auto"/>
          <w:highlight w:val="none"/>
          <w:u w:val="single"/>
        </w:rPr>
        <w:t xml:space="preserve">   </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s="宋体"/>
          <w:color w:val="auto"/>
          <w:highlight w:val="none"/>
          <w:u w:val="single"/>
        </w:rPr>
        <w:t xml:space="preserve">   </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rPr>
        <w:t xml:space="preserve">   </w:t>
      </w:r>
      <w:r>
        <w:rPr>
          <w:rFonts w:hint="eastAsia" w:hAnsi="宋体" w:cs="宋体"/>
          <w:color w:val="auto"/>
          <w:highlight w:val="none"/>
          <w:u w:val="single"/>
        </w:rPr>
        <w:t>天内，发包人按审定后的竣工结算价款，通知经办银行向承包人支付结算价款。</w:t>
      </w:r>
    </w:p>
    <w:p w14:paraId="5964F599">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112ECABF">
      <w:pPr>
        <w:pStyle w:val="278"/>
        <w:rPr>
          <w:color w:val="auto"/>
          <w:highlight w:val="none"/>
        </w:rPr>
      </w:pPr>
      <w:r>
        <w:rPr>
          <w:rFonts w:hint="eastAsia"/>
          <w:color w:val="auto"/>
          <w:highlight w:val="none"/>
        </w:rPr>
        <w:t>14.4 最终结清</w:t>
      </w:r>
      <w:bookmarkEnd w:id="343"/>
      <w:bookmarkEnd w:id="344"/>
      <w:bookmarkEnd w:id="345"/>
    </w:p>
    <w:p w14:paraId="4B24C4E6">
      <w:pPr>
        <w:pStyle w:val="229"/>
        <w:rPr>
          <w:color w:val="auto"/>
          <w:highlight w:val="none"/>
        </w:rPr>
      </w:pPr>
      <w:r>
        <w:rPr>
          <w:rFonts w:hint="eastAsia"/>
          <w:color w:val="auto"/>
          <w:highlight w:val="none"/>
        </w:rPr>
        <w:t>14.4.1 最终结清申请单</w:t>
      </w:r>
    </w:p>
    <w:p w14:paraId="5CA27848">
      <w:pPr>
        <w:pStyle w:val="229"/>
        <w:rPr>
          <w:color w:val="auto"/>
          <w:highlight w:val="none"/>
          <w:u w:val="single"/>
        </w:rPr>
      </w:pPr>
      <w:r>
        <w:rPr>
          <w:rFonts w:hint="eastAsia"/>
          <w:color w:val="auto"/>
          <w:highlight w:val="none"/>
        </w:rPr>
        <w:t>承包人提交最终结清申请单的份数：</w:t>
      </w:r>
      <w:r>
        <w:rPr>
          <w:rFonts w:hint="eastAsia"/>
          <w:color w:val="auto"/>
          <w:highlight w:val="none"/>
          <w:u w:val="single"/>
        </w:rPr>
        <w:t>按通用条款执行</w:t>
      </w:r>
      <w:r>
        <w:rPr>
          <w:rFonts w:hint="eastAsia"/>
          <w:color w:val="auto"/>
          <w:highlight w:val="none"/>
        </w:rPr>
        <w:t>。</w:t>
      </w:r>
    </w:p>
    <w:p w14:paraId="5FED3BFE">
      <w:pPr>
        <w:pStyle w:val="229"/>
        <w:rPr>
          <w:color w:val="auto"/>
          <w:highlight w:val="none"/>
          <w:u w:val="single"/>
        </w:rPr>
      </w:pPr>
      <w:r>
        <w:rPr>
          <w:rFonts w:hint="eastAsia"/>
          <w:color w:val="auto"/>
          <w:highlight w:val="none"/>
        </w:rPr>
        <w:t>承包人提交最终结算申请单的期限：</w:t>
      </w:r>
      <w:r>
        <w:rPr>
          <w:rFonts w:hint="eastAsia"/>
          <w:color w:val="auto"/>
          <w:highlight w:val="none"/>
          <w:u w:val="single"/>
        </w:rPr>
        <w:t>按通用条款执行</w:t>
      </w:r>
      <w:r>
        <w:rPr>
          <w:rFonts w:hint="eastAsia"/>
          <w:color w:val="auto"/>
          <w:highlight w:val="none"/>
        </w:rPr>
        <w:t>。</w:t>
      </w:r>
      <w:r>
        <w:rPr>
          <w:rFonts w:hint="eastAsia"/>
          <w:color w:val="auto"/>
          <w:highlight w:val="none"/>
          <w:u w:val="single"/>
        </w:rPr>
        <w:t xml:space="preserve"> </w:t>
      </w:r>
    </w:p>
    <w:p w14:paraId="2B23774F">
      <w:pPr>
        <w:pStyle w:val="229"/>
        <w:rPr>
          <w:color w:val="auto"/>
          <w:highlight w:val="none"/>
        </w:rPr>
      </w:pPr>
      <w:r>
        <w:rPr>
          <w:rFonts w:hint="eastAsia"/>
          <w:color w:val="auto"/>
          <w:highlight w:val="none"/>
        </w:rPr>
        <w:t>14.4.2 最终结清证书和支付</w:t>
      </w:r>
    </w:p>
    <w:p w14:paraId="0AA4EB18">
      <w:pPr>
        <w:pStyle w:val="229"/>
        <w:rPr>
          <w:color w:val="auto"/>
          <w:highlight w:val="none"/>
        </w:rPr>
      </w:pPr>
      <w:r>
        <w:rPr>
          <w:rFonts w:hint="eastAsia"/>
          <w:color w:val="auto"/>
          <w:highlight w:val="none"/>
        </w:rPr>
        <w:t>（1）发包人完成最终结清申请单的审批并颁发最终结清证书的期限：</w:t>
      </w:r>
      <w:r>
        <w:rPr>
          <w:rFonts w:hint="eastAsia"/>
          <w:color w:val="auto"/>
          <w:highlight w:val="none"/>
          <w:u w:val="single"/>
        </w:rPr>
        <w:t>收到承包人提交的最终结清申请单后60日历日内完成 。</w:t>
      </w:r>
    </w:p>
    <w:p w14:paraId="73DB9F94">
      <w:pPr>
        <w:pStyle w:val="229"/>
        <w:rPr>
          <w:color w:val="auto"/>
          <w:highlight w:val="none"/>
        </w:rPr>
      </w:pPr>
      <w:r>
        <w:rPr>
          <w:rFonts w:hint="eastAsia"/>
          <w:color w:val="auto"/>
          <w:highlight w:val="none"/>
        </w:rPr>
        <w:t>（2）发包人完成支付的期限：收到承包人发票后</w:t>
      </w:r>
      <w:r>
        <w:rPr>
          <w:rFonts w:hint="eastAsia"/>
          <w:color w:val="auto"/>
          <w:highlight w:val="none"/>
        </w:rPr>
        <w:t>10个</w:t>
      </w:r>
      <w:r>
        <w:rPr>
          <w:rFonts w:hint="eastAsia"/>
          <w:color w:val="auto"/>
          <w:highlight w:val="none"/>
        </w:rPr>
        <w:t>工作日内支付。</w:t>
      </w:r>
    </w:p>
    <w:p w14:paraId="4B85E2E2">
      <w:pPr>
        <w:pStyle w:val="229"/>
        <w:rPr>
          <w:color w:val="auto"/>
          <w:highlight w:val="none"/>
        </w:rPr>
      </w:pPr>
      <w:r>
        <w:rPr>
          <w:rFonts w:hint="eastAsia"/>
          <w:color w:val="auto"/>
          <w:highlight w:val="none"/>
        </w:rPr>
        <w:t>有关款项支付和发票开具详见本专用条款12.4款约定。</w:t>
      </w:r>
    </w:p>
    <w:p w14:paraId="6A5DC427">
      <w:pPr>
        <w:pStyle w:val="291"/>
        <w:ind w:firstLine="422"/>
        <w:rPr>
          <w:color w:val="auto"/>
          <w:highlight w:val="none"/>
        </w:rPr>
      </w:pPr>
      <w:bookmarkStart w:id="346" w:name="_Toc140098624"/>
      <w:bookmarkStart w:id="347" w:name="_Toc69641931"/>
      <w:bookmarkStart w:id="348" w:name="_Toc55374034"/>
      <w:r>
        <w:rPr>
          <w:rFonts w:hint="eastAsia"/>
          <w:color w:val="auto"/>
          <w:highlight w:val="none"/>
        </w:rPr>
        <w:t>15. 缺陷责任期与保修</w:t>
      </w:r>
      <w:bookmarkEnd w:id="346"/>
      <w:bookmarkEnd w:id="347"/>
      <w:bookmarkEnd w:id="348"/>
    </w:p>
    <w:p w14:paraId="2A3AF405">
      <w:pPr>
        <w:pStyle w:val="278"/>
        <w:rPr>
          <w:color w:val="auto"/>
          <w:highlight w:val="none"/>
        </w:rPr>
      </w:pPr>
      <w:bookmarkStart w:id="349" w:name="_Toc55374035"/>
      <w:bookmarkStart w:id="350" w:name="_Toc140098625"/>
      <w:bookmarkStart w:id="351" w:name="_Toc69641932"/>
      <w:r>
        <w:rPr>
          <w:rFonts w:hint="eastAsia"/>
          <w:color w:val="auto"/>
          <w:highlight w:val="none"/>
        </w:rPr>
        <w:t>15.2缺陷责任期</w:t>
      </w:r>
      <w:bookmarkEnd w:id="349"/>
      <w:bookmarkEnd w:id="350"/>
      <w:bookmarkEnd w:id="351"/>
    </w:p>
    <w:p w14:paraId="32B03437">
      <w:pPr>
        <w:pStyle w:val="229"/>
        <w:rPr>
          <w:color w:val="auto"/>
          <w:highlight w:val="none"/>
        </w:rPr>
      </w:pPr>
      <w:r>
        <w:rPr>
          <w:rFonts w:hint="eastAsia"/>
          <w:color w:val="auto"/>
          <w:highlight w:val="none"/>
        </w:rPr>
        <w:t>缺陷责任期的具体期限： 自本工程竣工验收合格之日（以《＜竣工（整改）完成认可文件＞收讫告知书》注明的竣工日期为准）起24个月。</w:t>
      </w:r>
    </w:p>
    <w:p w14:paraId="2CCFF800">
      <w:pPr>
        <w:pStyle w:val="278"/>
        <w:rPr>
          <w:color w:val="auto"/>
          <w:highlight w:val="none"/>
        </w:rPr>
      </w:pPr>
      <w:bookmarkStart w:id="352" w:name="_Toc140098626"/>
      <w:bookmarkStart w:id="353" w:name="_Toc55374036"/>
      <w:bookmarkStart w:id="354" w:name="_Toc69641933"/>
      <w:r>
        <w:rPr>
          <w:rFonts w:hint="eastAsia"/>
          <w:color w:val="auto"/>
          <w:highlight w:val="none"/>
        </w:rPr>
        <w:t>15.3 质量保证金</w:t>
      </w:r>
      <w:bookmarkEnd w:id="352"/>
      <w:bookmarkEnd w:id="353"/>
      <w:bookmarkEnd w:id="354"/>
    </w:p>
    <w:p w14:paraId="4169DF8F">
      <w:pPr>
        <w:pStyle w:val="229"/>
        <w:rPr>
          <w:color w:val="auto"/>
          <w:highlight w:val="none"/>
          <w:u w:val="single"/>
        </w:rPr>
      </w:pPr>
      <w:r>
        <w:rPr>
          <w:rFonts w:hint="eastAsia"/>
          <w:color w:val="auto"/>
          <w:highlight w:val="none"/>
        </w:rPr>
        <w:t>关于是否扣留质量保证金的约定：</w:t>
      </w:r>
      <w:r>
        <w:rPr>
          <w:rFonts w:hint="eastAsia"/>
          <w:color w:val="auto"/>
          <w:highlight w:val="none"/>
          <w:u w:val="single"/>
        </w:rPr>
        <w:t>扣留质量保证金 。</w:t>
      </w:r>
    </w:p>
    <w:p w14:paraId="15B23656">
      <w:pPr>
        <w:pStyle w:val="229"/>
        <w:rPr>
          <w:color w:val="auto"/>
          <w:highlight w:val="none"/>
        </w:rPr>
      </w:pPr>
      <w:r>
        <w:rPr>
          <w:rFonts w:hint="eastAsia"/>
          <w:color w:val="auto"/>
          <w:highlight w:val="none"/>
        </w:rPr>
        <w:t>在工程项目竣工前，承包人按专用合同条款第3.7条提供履约担保的，发包人不得同时预留工程质量保证金。</w:t>
      </w:r>
    </w:p>
    <w:p w14:paraId="70DB3C5C">
      <w:pPr>
        <w:pStyle w:val="229"/>
        <w:rPr>
          <w:color w:val="auto"/>
          <w:highlight w:val="none"/>
        </w:rPr>
      </w:pPr>
      <w:r>
        <w:rPr>
          <w:rFonts w:hint="eastAsia"/>
          <w:color w:val="auto"/>
          <w:highlight w:val="none"/>
        </w:rPr>
        <w:t>15.3.1 承包人提供质量保证金的方式</w:t>
      </w:r>
    </w:p>
    <w:p w14:paraId="25A77B54">
      <w:pPr>
        <w:pStyle w:val="229"/>
        <w:rPr>
          <w:color w:val="auto"/>
          <w:highlight w:val="none"/>
        </w:rPr>
      </w:pPr>
      <w:r>
        <w:rPr>
          <w:rFonts w:hint="eastAsia"/>
          <w:color w:val="auto"/>
          <w:highlight w:val="none"/>
        </w:rPr>
        <w:t>质量保证金采用以下第</w:t>
      </w:r>
      <w:r>
        <w:rPr>
          <w:rFonts w:hint="eastAsia"/>
          <w:color w:val="auto"/>
          <w:highlight w:val="none"/>
          <w:u w:val="single"/>
        </w:rPr>
        <w:t xml:space="preserve">  （3）  </w:t>
      </w:r>
      <w:r>
        <w:rPr>
          <w:rFonts w:hint="eastAsia"/>
          <w:color w:val="auto"/>
          <w:highlight w:val="none"/>
        </w:rPr>
        <w:t>种方式：</w:t>
      </w:r>
    </w:p>
    <w:p w14:paraId="2532FA31">
      <w:pPr>
        <w:pStyle w:val="229"/>
        <w:rPr>
          <w:color w:val="auto"/>
          <w:highlight w:val="none"/>
        </w:rPr>
      </w:pPr>
      <w:r>
        <w:rPr>
          <w:rFonts w:hint="eastAsia"/>
          <w:color w:val="auto"/>
          <w:highlight w:val="none"/>
        </w:rPr>
        <w:t>（1）质量保证金保函，保证金额为：</w:t>
      </w:r>
      <w:r>
        <w:rPr>
          <w:rFonts w:hint="eastAsia"/>
          <w:color w:val="auto"/>
          <w:highlight w:val="none"/>
          <w:u w:val="single"/>
        </w:rPr>
        <w:t xml:space="preserve">     /    </w:t>
      </w:r>
      <w:r>
        <w:rPr>
          <w:rFonts w:hint="eastAsia"/>
          <w:color w:val="auto"/>
          <w:highlight w:val="none"/>
        </w:rPr>
        <w:t xml:space="preserve">； </w:t>
      </w:r>
    </w:p>
    <w:p w14:paraId="2FB4F7E1">
      <w:pPr>
        <w:pStyle w:val="229"/>
        <w:rPr>
          <w:color w:val="auto"/>
          <w:highlight w:val="none"/>
        </w:rPr>
      </w:pPr>
      <w:r>
        <w:rPr>
          <w:rFonts w:hint="eastAsia"/>
          <w:color w:val="auto"/>
          <w:highlight w:val="none"/>
        </w:rPr>
        <w:t>（2）发包人按工程价款结算总额的</w:t>
      </w:r>
      <w:r>
        <w:rPr>
          <w:rFonts w:hint="eastAsia"/>
          <w:color w:val="auto"/>
          <w:highlight w:val="none"/>
          <w:u w:val="single"/>
        </w:rPr>
        <w:t xml:space="preserve">    </w:t>
      </w:r>
      <w:r>
        <w:rPr>
          <w:rFonts w:hint="eastAsia"/>
          <w:color w:val="auto"/>
          <w:highlight w:val="none"/>
        </w:rPr>
        <w:t>%预留工程质量保证金，待缺陷责任期满后返还（不计利息）；</w:t>
      </w:r>
    </w:p>
    <w:p w14:paraId="4C96308E">
      <w:pPr>
        <w:pStyle w:val="229"/>
        <w:rPr>
          <w:color w:val="auto"/>
          <w:highlight w:val="none"/>
        </w:rPr>
      </w:pPr>
      <w:r>
        <w:rPr>
          <w:rFonts w:hint="eastAsia"/>
          <w:color w:val="auto"/>
          <w:highlight w:val="none"/>
        </w:rPr>
        <w:t>（3）其他方式: 银行转账、电汇或网上支付等形式。</w:t>
      </w:r>
    </w:p>
    <w:p w14:paraId="38D18BCE">
      <w:pPr>
        <w:pStyle w:val="229"/>
        <w:rPr>
          <w:color w:val="auto"/>
          <w:highlight w:val="none"/>
        </w:rPr>
      </w:pPr>
      <w:r>
        <w:rPr>
          <w:rFonts w:hint="eastAsia"/>
          <w:color w:val="auto"/>
          <w:highlight w:val="none"/>
        </w:rPr>
        <w:t xml:space="preserve">15.3.2 质量保证金的扣留 </w:t>
      </w:r>
    </w:p>
    <w:p w14:paraId="59ED3DF8">
      <w:pPr>
        <w:pStyle w:val="229"/>
        <w:rPr>
          <w:color w:val="auto"/>
          <w:highlight w:val="none"/>
        </w:rPr>
      </w:pPr>
      <w:r>
        <w:rPr>
          <w:rFonts w:hint="eastAsia"/>
          <w:color w:val="auto"/>
          <w:highlight w:val="none"/>
        </w:rPr>
        <w:t>质量保证金的扣留采取以下第</w:t>
      </w:r>
      <w:r>
        <w:rPr>
          <w:rFonts w:hint="eastAsia"/>
          <w:color w:val="auto"/>
          <w:highlight w:val="none"/>
          <w:u w:val="single"/>
        </w:rPr>
        <w:t xml:space="preserve">   （3）  </w:t>
      </w:r>
      <w:r>
        <w:rPr>
          <w:rFonts w:hint="eastAsia"/>
          <w:color w:val="auto"/>
          <w:highlight w:val="none"/>
        </w:rPr>
        <w:t>种方式：</w:t>
      </w:r>
    </w:p>
    <w:p w14:paraId="7D6F2EA7">
      <w:pPr>
        <w:pStyle w:val="229"/>
        <w:rPr>
          <w:color w:val="auto"/>
          <w:highlight w:val="none"/>
        </w:rPr>
      </w:pPr>
      <w:r>
        <w:rPr>
          <w:rFonts w:hint="eastAsia"/>
          <w:color w:val="auto"/>
          <w:highlight w:val="none"/>
        </w:rPr>
        <w:t>（1）在支付工程进度款时逐次扣留，在此情形下，质量保证金的计算基数不包括预付款的支付、扣回以及价格调整的金额；</w:t>
      </w:r>
    </w:p>
    <w:p w14:paraId="2D5DBB86">
      <w:pPr>
        <w:pStyle w:val="229"/>
        <w:rPr>
          <w:color w:val="auto"/>
          <w:highlight w:val="none"/>
        </w:rPr>
      </w:pPr>
      <w:r>
        <w:rPr>
          <w:rFonts w:hint="eastAsia"/>
          <w:color w:val="auto"/>
          <w:highlight w:val="none"/>
        </w:rPr>
        <w:t>（2）工程竣工结算时一次性扣留质量保证金；</w:t>
      </w:r>
    </w:p>
    <w:p w14:paraId="7FEFCB15">
      <w:pPr>
        <w:pStyle w:val="229"/>
        <w:rPr>
          <w:color w:val="auto"/>
          <w:highlight w:val="none"/>
        </w:rPr>
      </w:pPr>
      <w:r>
        <w:rPr>
          <w:rFonts w:hint="eastAsia"/>
          <w:color w:val="auto"/>
          <w:highlight w:val="none"/>
        </w:rPr>
        <w:t>（3）其他扣留方式:</w:t>
      </w:r>
      <w:bookmarkStart w:id="355" w:name="_Hlk170825027"/>
      <w:r>
        <w:rPr>
          <w:rFonts w:hint="eastAsia"/>
          <w:color w:val="auto"/>
          <w:highlight w:val="none"/>
        </w:rPr>
        <w:t>在支付最后一笔工程款前，承包人向发包人对公账户转入结算总价的3%作为工程质量保证金</w:t>
      </w:r>
      <w:bookmarkEnd w:id="355"/>
      <w:r>
        <w:rPr>
          <w:rFonts w:hint="eastAsia"/>
          <w:color w:val="auto"/>
          <w:highlight w:val="none"/>
        </w:rPr>
        <w:t>）。</w:t>
      </w:r>
    </w:p>
    <w:p w14:paraId="2D4EE8CE">
      <w:pPr>
        <w:pStyle w:val="229"/>
        <w:rPr>
          <w:color w:val="auto"/>
          <w:highlight w:val="none"/>
        </w:rPr>
      </w:pPr>
      <w:r>
        <w:rPr>
          <w:rFonts w:hint="eastAsia"/>
          <w:color w:val="auto"/>
          <w:highlight w:val="none"/>
        </w:rPr>
        <w:t>关于质量保证金的补充约定：</w:t>
      </w:r>
      <w:r>
        <w:rPr>
          <w:rFonts w:hint="eastAsia"/>
          <w:color w:val="auto"/>
          <w:highlight w:val="none"/>
          <w:u w:val="single"/>
        </w:rPr>
        <w:t>质量保证金的退还不能免除承包人在保修期内的保修责任；质量保证金支付及发票开具详见本专用条款12.4款及本款约定。</w:t>
      </w:r>
      <w:r>
        <w:rPr>
          <w:rFonts w:hint="eastAsia"/>
          <w:color w:val="auto"/>
          <w:highlight w:val="none"/>
        </w:rPr>
        <w:t>承包人应在工程缺陷责任期到期前三个月，向发包人提出退费申请，经发包人确认后，待工程缺陷责任期期满后方可退还质保金。承包人未按规定时间提出验收申请的，责任自负。</w:t>
      </w:r>
    </w:p>
    <w:p w14:paraId="4745EA32">
      <w:pPr>
        <w:pStyle w:val="278"/>
        <w:rPr>
          <w:color w:val="auto"/>
          <w:highlight w:val="none"/>
        </w:rPr>
      </w:pPr>
      <w:bookmarkStart w:id="356" w:name="_Toc140098627"/>
      <w:bookmarkStart w:id="357" w:name="_Toc69641934"/>
      <w:bookmarkStart w:id="358" w:name="_Toc55374037"/>
      <w:r>
        <w:rPr>
          <w:rFonts w:hint="eastAsia"/>
          <w:color w:val="auto"/>
          <w:highlight w:val="none"/>
        </w:rPr>
        <w:t>15.4保修</w:t>
      </w:r>
      <w:bookmarkEnd w:id="356"/>
      <w:bookmarkEnd w:id="357"/>
      <w:bookmarkEnd w:id="358"/>
    </w:p>
    <w:p w14:paraId="60366551">
      <w:pPr>
        <w:pStyle w:val="229"/>
        <w:rPr>
          <w:color w:val="auto"/>
          <w:highlight w:val="none"/>
        </w:rPr>
      </w:pPr>
      <w:r>
        <w:rPr>
          <w:rFonts w:hint="eastAsia"/>
          <w:color w:val="auto"/>
          <w:highlight w:val="none"/>
        </w:rPr>
        <w:t>15.4.1 保修责任</w:t>
      </w:r>
    </w:p>
    <w:p w14:paraId="21D9B682">
      <w:pPr>
        <w:pStyle w:val="229"/>
        <w:rPr>
          <w:color w:val="auto"/>
          <w:highlight w:val="none"/>
        </w:rPr>
      </w:pPr>
      <w:r>
        <w:rPr>
          <w:rFonts w:hint="eastAsia"/>
          <w:color w:val="auto"/>
          <w:highlight w:val="none"/>
        </w:rPr>
        <w:t xml:space="preserve">工程保修期为：  </w:t>
      </w:r>
      <w:r>
        <w:rPr>
          <w:rFonts w:hint="eastAsia"/>
          <w:color w:val="auto"/>
          <w:highlight w:val="none"/>
          <w:u w:val="single"/>
        </w:rPr>
        <w:t>详见工程质量保修书（附件3）</w:t>
      </w:r>
      <w:r>
        <w:rPr>
          <w:rFonts w:hint="eastAsia"/>
          <w:color w:val="auto"/>
          <w:highlight w:val="none"/>
        </w:rPr>
        <w:t xml:space="preserve">   。</w:t>
      </w:r>
    </w:p>
    <w:p w14:paraId="383B6A26">
      <w:pPr>
        <w:pStyle w:val="229"/>
        <w:rPr>
          <w:color w:val="auto"/>
          <w:highlight w:val="none"/>
        </w:rPr>
      </w:pPr>
      <w:r>
        <w:rPr>
          <w:rFonts w:hint="eastAsia"/>
          <w:color w:val="auto"/>
          <w:highlight w:val="none"/>
        </w:rPr>
        <w:t>15.4.3 修复通知</w:t>
      </w:r>
    </w:p>
    <w:p w14:paraId="5A64143C">
      <w:pPr>
        <w:pStyle w:val="229"/>
        <w:rPr>
          <w:color w:val="auto"/>
          <w:highlight w:val="none"/>
          <w:u w:val="single"/>
        </w:rPr>
      </w:pPr>
      <w:r>
        <w:rPr>
          <w:rFonts w:hint="eastAsia"/>
          <w:color w:val="auto"/>
          <w:highlight w:val="none"/>
        </w:rPr>
        <w:t>承包人收到保修通知并到达工程现场的合理时间：</w:t>
      </w:r>
      <w:r>
        <w:rPr>
          <w:rFonts w:hint="eastAsia"/>
          <w:color w:val="auto"/>
          <w:highlight w:val="none"/>
          <w:u w:val="single"/>
        </w:rPr>
        <w:t xml:space="preserve">  24小时  。</w:t>
      </w:r>
    </w:p>
    <w:p w14:paraId="4C69393B">
      <w:pPr>
        <w:pStyle w:val="229"/>
        <w:rPr>
          <w:color w:val="auto"/>
          <w:highlight w:val="none"/>
        </w:rPr>
      </w:pPr>
      <w:r>
        <w:rPr>
          <w:rFonts w:hint="eastAsia"/>
          <w:color w:val="auto"/>
          <w:highlight w:val="none"/>
        </w:rPr>
        <w:t>属于保修范围、内容的项目，承包人应当在接到保修通知之日起2天内派人保修。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额的部分，承包人应当在接到缴款通知书之日起 7 日内付清，否则按应缴款额的 2‰/日向发包人支付违约金。在扣除承包人应支付的违约金和维修费用后，发包人在缺陷责任期满2年后</w:t>
      </w:r>
      <w:r>
        <w:rPr>
          <w:rFonts w:hint="eastAsia"/>
          <w:color w:val="auto"/>
          <w:highlight w:val="none"/>
        </w:rPr>
        <w:t>10个工</w:t>
      </w:r>
      <w:r>
        <w:rPr>
          <w:rFonts w:hint="eastAsia"/>
          <w:color w:val="auto"/>
          <w:highlight w:val="none"/>
        </w:rPr>
        <w:t xml:space="preserve">作日内无息退还质量保证金。每次退还质量保证金前，承包人须向发包人书面申请退还质量保证金验收，按相关规定验收合格后方可拨付。 </w:t>
      </w:r>
    </w:p>
    <w:p w14:paraId="7BC57ACD">
      <w:pPr>
        <w:pStyle w:val="229"/>
        <w:rPr>
          <w:color w:val="auto"/>
          <w:highlight w:val="none"/>
        </w:rPr>
      </w:pPr>
      <w:r>
        <w:rPr>
          <w:rFonts w:hint="eastAsia"/>
          <w:color w:val="auto"/>
          <w:highlight w:val="none"/>
        </w:rPr>
        <w:t xml:space="preserve">承包人未按照法律法规有关规定和合同约定履行质量保修义务的，发包人有权从质量保证金中扣留用于质量保修的各项支出。质量保证金的退还并不代表免除承包人的相关责任。 </w:t>
      </w:r>
    </w:p>
    <w:p w14:paraId="6204F9AA">
      <w:pPr>
        <w:pStyle w:val="291"/>
        <w:ind w:firstLine="422"/>
        <w:rPr>
          <w:color w:val="auto"/>
          <w:highlight w:val="none"/>
        </w:rPr>
      </w:pPr>
      <w:bookmarkStart w:id="359" w:name="_Toc69641935"/>
      <w:bookmarkStart w:id="360" w:name="_Toc55374038"/>
      <w:bookmarkStart w:id="361" w:name="_Toc140098628"/>
      <w:r>
        <w:rPr>
          <w:rFonts w:hint="eastAsia"/>
          <w:color w:val="auto"/>
          <w:highlight w:val="none"/>
        </w:rPr>
        <w:t>16. 违约</w:t>
      </w:r>
      <w:bookmarkEnd w:id="359"/>
      <w:bookmarkEnd w:id="360"/>
      <w:bookmarkEnd w:id="361"/>
    </w:p>
    <w:p w14:paraId="73EADDE0">
      <w:pPr>
        <w:pStyle w:val="278"/>
        <w:rPr>
          <w:color w:val="auto"/>
          <w:highlight w:val="none"/>
        </w:rPr>
      </w:pPr>
      <w:bookmarkStart w:id="362" w:name="_Toc140098629"/>
      <w:bookmarkStart w:id="363" w:name="_Toc69641936"/>
      <w:bookmarkStart w:id="364" w:name="_Toc55374039"/>
      <w:r>
        <w:rPr>
          <w:rFonts w:hint="eastAsia"/>
          <w:color w:val="auto"/>
          <w:highlight w:val="none"/>
        </w:rPr>
        <w:t>16.1 发包人违约</w:t>
      </w:r>
      <w:bookmarkEnd w:id="362"/>
      <w:bookmarkEnd w:id="363"/>
      <w:bookmarkEnd w:id="364"/>
    </w:p>
    <w:p w14:paraId="144EC287">
      <w:pPr>
        <w:pStyle w:val="229"/>
        <w:rPr>
          <w:color w:val="auto"/>
          <w:highlight w:val="none"/>
        </w:rPr>
      </w:pPr>
      <w:r>
        <w:rPr>
          <w:rFonts w:hint="eastAsia"/>
          <w:color w:val="auto"/>
          <w:highlight w:val="none"/>
        </w:rPr>
        <w:t>16.1.1发包人违约的情形</w:t>
      </w:r>
    </w:p>
    <w:p w14:paraId="2C897B1A">
      <w:pPr>
        <w:pStyle w:val="229"/>
        <w:rPr>
          <w:color w:val="auto"/>
          <w:highlight w:val="none"/>
        </w:rPr>
      </w:pPr>
      <w:r>
        <w:rPr>
          <w:rFonts w:hint="eastAsia"/>
          <w:color w:val="auto"/>
          <w:highlight w:val="none"/>
        </w:rPr>
        <w:t>发包人违约的其他情形：</w:t>
      </w:r>
      <w:r>
        <w:rPr>
          <w:rFonts w:hint="eastAsia"/>
          <w:color w:val="auto"/>
          <w:highlight w:val="none"/>
          <w:u w:val="single"/>
        </w:rPr>
        <w:t xml:space="preserve">  无   </w:t>
      </w:r>
      <w:r>
        <w:rPr>
          <w:rFonts w:hint="eastAsia"/>
          <w:color w:val="auto"/>
          <w:highlight w:val="none"/>
        </w:rPr>
        <w:t>。</w:t>
      </w:r>
    </w:p>
    <w:p w14:paraId="314467EB">
      <w:pPr>
        <w:pStyle w:val="229"/>
        <w:rPr>
          <w:color w:val="auto"/>
          <w:highlight w:val="none"/>
        </w:rPr>
      </w:pPr>
      <w:r>
        <w:rPr>
          <w:rFonts w:hint="eastAsia"/>
          <w:color w:val="auto"/>
          <w:highlight w:val="none"/>
        </w:rPr>
        <w:t xml:space="preserve">    16.1.2 发包人违约的责任</w:t>
      </w:r>
    </w:p>
    <w:p w14:paraId="28536330">
      <w:pPr>
        <w:pStyle w:val="229"/>
        <w:rPr>
          <w:color w:val="auto"/>
          <w:highlight w:val="none"/>
        </w:rPr>
      </w:pPr>
      <w:r>
        <w:rPr>
          <w:rFonts w:hint="eastAsia"/>
          <w:color w:val="auto"/>
          <w:highlight w:val="none"/>
        </w:rPr>
        <w:t>发包人违约责任的承担方式和计算方法：</w:t>
      </w:r>
    </w:p>
    <w:p w14:paraId="2210E07C">
      <w:pPr>
        <w:pStyle w:val="229"/>
        <w:rPr>
          <w:color w:val="auto"/>
          <w:highlight w:val="none"/>
          <w:u w:val="single"/>
        </w:rPr>
      </w:pPr>
      <w:r>
        <w:rPr>
          <w:rFonts w:hint="eastAsia"/>
          <w:color w:val="auto"/>
          <w:highlight w:val="none"/>
        </w:rPr>
        <w:t>（1）因发包人原因未能在计划开工日期前7天内下达开工通知的违约责任：</w:t>
      </w:r>
      <w:r>
        <w:rPr>
          <w:rFonts w:hint="eastAsia"/>
          <w:color w:val="auto"/>
          <w:highlight w:val="none"/>
          <w:u w:val="single"/>
        </w:rPr>
        <w:t>发包人同意工期顺延但不承担其他费用。</w:t>
      </w:r>
    </w:p>
    <w:p w14:paraId="7C80C9CA">
      <w:pPr>
        <w:pStyle w:val="229"/>
        <w:rPr>
          <w:color w:val="auto"/>
          <w:highlight w:val="none"/>
          <w:u w:val="single"/>
        </w:rPr>
      </w:pPr>
      <w:r>
        <w:rPr>
          <w:rFonts w:hint="eastAsia"/>
          <w:color w:val="auto"/>
          <w:highlight w:val="none"/>
        </w:rPr>
        <w:t>（2）因发包人原因未能按合同约定支付合同价款的违约责任：</w:t>
      </w:r>
      <w:r>
        <w:rPr>
          <w:rFonts w:hint="eastAsia"/>
          <w:color w:val="auto"/>
          <w:highlight w:val="none"/>
          <w:u w:val="single"/>
        </w:rPr>
        <w:t>仅给予相应的工期顺延但不承担其他费用。</w:t>
      </w:r>
    </w:p>
    <w:p w14:paraId="73CA34EE">
      <w:pPr>
        <w:pStyle w:val="229"/>
        <w:rPr>
          <w:color w:val="auto"/>
          <w:highlight w:val="none"/>
          <w:u w:val="single"/>
        </w:rPr>
      </w:pPr>
      <w:r>
        <w:rPr>
          <w:rFonts w:hint="eastAsia"/>
          <w:color w:val="auto"/>
          <w:highlight w:val="none"/>
        </w:rPr>
        <w:t>（3）发包人违反第10.1款〔变更的范围〕第（2）项约定，自行实施被取消的工作或转由他人实施的违约责任：</w:t>
      </w:r>
      <w:r>
        <w:rPr>
          <w:rFonts w:hint="eastAsia"/>
          <w:color w:val="auto"/>
          <w:highlight w:val="none"/>
          <w:u w:val="single"/>
        </w:rPr>
        <w:t xml:space="preserve"> 经有关部门审定后赔偿承包人由此造成的相关费用损失。</w:t>
      </w:r>
    </w:p>
    <w:p w14:paraId="2F5D73B1">
      <w:pPr>
        <w:pStyle w:val="229"/>
        <w:rPr>
          <w:color w:val="auto"/>
          <w:highlight w:val="none"/>
        </w:rPr>
      </w:pPr>
      <w:r>
        <w:rPr>
          <w:rFonts w:hint="eastAsia"/>
          <w:color w:val="auto"/>
          <w:highlight w:val="none"/>
        </w:rPr>
        <w:t>（4）发包人提供的材料、工程设备的规格、数量或质量不符合合同约定，或因发包人的原因导致交货日期延误或交货地点变更等情况的违约责任：</w:t>
      </w:r>
      <w:r>
        <w:rPr>
          <w:rFonts w:hint="eastAsia"/>
          <w:color w:val="auto"/>
          <w:highlight w:val="none"/>
          <w:u w:val="single"/>
        </w:rPr>
        <w:t xml:space="preserve">  无    </w:t>
      </w:r>
      <w:r>
        <w:rPr>
          <w:rFonts w:hint="eastAsia"/>
          <w:color w:val="auto"/>
          <w:highlight w:val="none"/>
        </w:rPr>
        <w:t>。</w:t>
      </w:r>
    </w:p>
    <w:p w14:paraId="2F2C1010">
      <w:pPr>
        <w:pStyle w:val="229"/>
        <w:rPr>
          <w:color w:val="auto"/>
          <w:highlight w:val="none"/>
        </w:rPr>
      </w:pPr>
      <w:r>
        <w:rPr>
          <w:rFonts w:hint="eastAsia"/>
          <w:color w:val="auto"/>
          <w:highlight w:val="none"/>
        </w:rPr>
        <w:t>（5）因发包人违反合同约定造成暂停施工的违约责任： 发包人同意由此造成的工期顺延或经有关部门审定后赔偿承包人由此造成的相关费用损失。</w:t>
      </w:r>
    </w:p>
    <w:p w14:paraId="48710995">
      <w:pPr>
        <w:pStyle w:val="229"/>
        <w:rPr>
          <w:color w:val="auto"/>
          <w:highlight w:val="none"/>
          <w:u w:val="single"/>
        </w:rPr>
      </w:pPr>
      <w:r>
        <w:rPr>
          <w:rFonts w:hint="eastAsia"/>
          <w:color w:val="auto"/>
          <w:highlight w:val="none"/>
        </w:rPr>
        <w:t>（6）发包人无正当理由没有在约定期限内发出复工指示，导致承包人无法复工的违约责任：</w:t>
      </w:r>
      <w:r>
        <w:rPr>
          <w:rFonts w:hint="eastAsia"/>
          <w:color w:val="auto"/>
          <w:highlight w:val="none"/>
          <w:u w:val="single"/>
        </w:rPr>
        <w:t>发包人同意由此造成的工期顺延或经有关部门审定后赔偿承包人由此造成的相关费用损失。</w:t>
      </w:r>
    </w:p>
    <w:p w14:paraId="338975D1">
      <w:pPr>
        <w:pStyle w:val="229"/>
        <w:rPr>
          <w:color w:val="auto"/>
          <w:highlight w:val="none"/>
        </w:rPr>
      </w:pPr>
      <w:r>
        <w:rPr>
          <w:rFonts w:hint="eastAsia"/>
          <w:color w:val="auto"/>
          <w:highlight w:val="none"/>
        </w:rPr>
        <w:t>（7）其他：</w:t>
      </w:r>
      <w:r>
        <w:rPr>
          <w:rFonts w:hint="eastAsia"/>
          <w:color w:val="auto"/>
          <w:highlight w:val="none"/>
          <w:u w:val="single"/>
        </w:rPr>
        <w:t xml:space="preserve">  无    </w:t>
      </w:r>
      <w:r>
        <w:rPr>
          <w:rFonts w:hint="eastAsia"/>
          <w:color w:val="auto"/>
          <w:highlight w:val="none"/>
        </w:rPr>
        <w:t>。</w:t>
      </w:r>
    </w:p>
    <w:p w14:paraId="3B79A0DA">
      <w:pPr>
        <w:pStyle w:val="229"/>
        <w:rPr>
          <w:color w:val="auto"/>
          <w:highlight w:val="none"/>
        </w:rPr>
      </w:pPr>
      <w:r>
        <w:rPr>
          <w:rFonts w:hint="eastAsia"/>
          <w:color w:val="auto"/>
          <w:highlight w:val="none"/>
        </w:rPr>
        <w:t>16.1.3 因发包人违约解除合同</w:t>
      </w:r>
    </w:p>
    <w:p w14:paraId="441CA170">
      <w:pPr>
        <w:pStyle w:val="229"/>
        <w:rPr>
          <w:color w:val="auto"/>
          <w:highlight w:val="none"/>
        </w:rPr>
      </w:pPr>
      <w:r>
        <w:rPr>
          <w:rFonts w:hint="eastAsia"/>
          <w:color w:val="auto"/>
          <w:highlight w:val="none"/>
        </w:rPr>
        <w:t>承包人按16.1.1项〔发包人违约的情形〕约定暂停施工满</w:t>
      </w:r>
      <w:r>
        <w:rPr>
          <w:rFonts w:hint="eastAsia"/>
          <w:color w:val="auto"/>
          <w:highlight w:val="none"/>
          <w:u w:val="single"/>
        </w:rPr>
        <w:t xml:space="preserve"> 120 </w:t>
      </w:r>
      <w:r>
        <w:rPr>
          <w:rFonts w:hint="eastAsia"/>
          <w:color w:val="auto"/>
          <w:highlight w:val="none"/>
        </w:rPr>
        <w:t xml:space="preserve">天后发包人仍不纠正其违约行为并致使合同目的不能实现的，承包人有权解除合同。 </w:t>
      </w:r>
    </w:p>
    <w:p w14:paraId="196A2227">
      <w:pPr>
        <w:pStyle w:val="278"/>
        <w:rPr>
          <w:color w:val="auto"/>
          <w:highlight w:val="none"/>
        </w:rPr>
      </w:pPr>
      <w:bookmarkStart w:id="365" w:name="_Toc140098630"/>
      <w:bookmarkStart w:id="366" w:name="_Toc55374040"/>
      <w:bookmarkStart w:id="367" w:name="_Toc69641937"/>
      <w:r>
        <w:rPr>
          <w:rFonts w:hint="eastAsia"/>
          <w:color w:val="auto"/>
          <w:highlight w:val="none"/>
        </w:rPr>
        <w:t>16.2 承包人违约</w:t>
      </w:r>
      <w:bookmarkEnd w:id="365"/>
      <w:bookmarkEnd w:id="366"/>
      <w:bookmarkEnd w:id="367"/>
    </w:p>
    <w:p w14:paraId="17ACEB31">
      <w:pPr>
        <w:pStyle w:val="229"/>
        <w:rPr>
          <w:color w:val="auto"/>
          <w:highlight w:val="none"/>
        </w:rPr>
      </w:pPr>
      <w:r>
        <w:rPr>
          <w:rFonts w:hint="eastAsia"/>
          <w:color w:val="auto"/>
          <w:highlight w:val="none"/>
        </w:rPr>
        <w:t>16.2.1 承包人违约的情形</w:t>
      </w:r>
    </w:p>
    <w:p w14:paraId="5FC7730B">
      <w:pPr>
        <w:pStyle w:val="229"/>
        <w:rPr>
          <w:color w:val="auto"/>
          <w:highlight w:val="none"/>
        </w:rPr>
      </w:pPr>
      <w:r>
        <w:rPr>
          <w:rFonts w:hint="eastAsia"/>
          <w:color w:val="auto"/>
          <w:highlight w:val="none"/>
        </w:rPr>
        <w:t>承包人违约的其他情形：</w:t>
      </w:r>
    </w:p>
    <w:p w14:paraId="01954856">
      <w:pPr>
        <w:pStyle w:val="229"/>
        <w:rPr>
          <w:color w:val="auto"/>
          <w:highlight w:val="none"/>
        </w:rPr>
      </w:pPr>
      <w:r>
        <w:rPr>
          <w:rFonts w:hint="eastAsia"/>
          <w:color w:val="auto"/>
          <w:highlight w:val="none"/>
        </w:rPr>
        <w:t>（1）承包人拒绝发包人安排的合理的临时性额外工作；</w:t>
      </w:r>
    </w:p>
    <w:p w14:paraId="5704CED4">
      <w:pPr>
        <w:pStyle w:val="229"/>
        <w:rPr>
          <w:color w:val="auto"/>
          <w:highlight w:val="none"/>
        </w:rPr>
      </w:pPr>
      <w:r>
        <w:rPr>
          <w:rFonts w:hint="eastAsia"/>
          <w:color w:val="auto"/>
          <w:highlight w:val="none"/>
        </w:rPr>
        <w:t>（2）承包</w:t>
      </w:r>
      <w:r>
        <w:rPr>
          <w:rFonts w:hint="eastAsia"/>
          <w:color w:val="auto"/>
          <w:highlight w:val="none"/>
          <w:lang w:eastAsia="zh-CN"/>
        </w:rPr>
        <w:t>人在</w:t>
      </w:r>
      <w:r>
        <w:rPr>
          <w:rFonts w:hint="eastAsia"/>
          <w:color w:val="auto"/>
          <w:highlight w:val="none"/>
        </w:rPr>
        <w:t>施工过程中未及时积极主动解决外界干扰而影响施工，无法确保工程顺利进行的；</w:t>
      </w:r>
    </w:p>
    <w:p w14:paraId="6E7F6EB6">
      <w:pPr>
        <w:pStyle w:val="229"/>
        <w:rPr>
          <w:color w:val="auto"/>
          <w:highlight w:val="none"/>
        </w:rPr>
      </w:pPr>
      <w:r>
        <w:rPr>
          <w:rFonts w:hint="eastAsia"/>
          <w:color w:val="auto"/>
          <w:highlight w:val="none"/>
        </w:rPr>
        <w:t>（3）承包人未能落实工程质量、进度、安全和文明施工保证措施，未精心组织好施工，不积极主动接受发包人或监理人检查的；</w:t>
      </w:r>
    </w:p>
    <w:p w14:paraId="29C71D4D">
      <w:pPr>
        <w:pStyle w:val="229"/>
        <w:rPr>
          <w:color w:val="auto"/>
          <w:highlight w:val="none"/>
        </w:rPr>
      </w:pPr>
      <w:r>
        <w:rPr>
          <w:rFonts w:hint="eastAsia"/>
          <w:color w:val="auto"/>
          <w:highlight w:val="none"/>
        </w:rPr>
        <w:t>（4）在合同履行前或履行期间，为使工程有条理进行，承包人须根据合同条件和有关法规制定相应的管理程序、办法、制度（包括现场管理制度、现场水电管理办法、处罚制度、应急预案等，待承包人进场后由承包人提供给发包人）等，承包人应遵照执行，承包人任何违背上述程序、办法、制度的行为和不使用相应图表的行为均被认为是违约行为。</w:t>
      </w:r>
    </w:p>
    <w:p w14:paraId="56BBDD13">
      <w:pPr>
        <w:pStyle w:val="229"/>
        <w:rPr>
          <w:color w:val="auto"/>
          <w:highlight w:val="none"/>
        </w:rPr>
      </w:pPr>
      <w:r>
        <w:rPr>
          <w:rFonts w:hint="eastAsia"/>
          <w:color w:val="auto"/>
          <w:highlight w:val="none"/>
        </w:rPr>
        <w:t>（5）监理工程师下达开工令10日内，无法组织合同规定的人员、机械进场或进场人员机械与合同规定严重不符。</w:t>
      </w:r>
    </w:p>
    <w:p w14:paraId="001D1466">
      <w:pPr>
        <w:pStyle w:val="229"/>
        <w:rPr>
          <w:color w:val="auto"/>
          <w:highlight w:val="none"/>
        </w:rPr>
      </w:pPr>
      <w:r>
        <w:rPr>
          <w:rFonts w:hint="eastAsia"/>
          <w:color w:val="auto"/>
          <w:highlight w:val="none"/>
        </w:rPr>
        <w:t>（6）主要机械的数量、型号应与合同相符且必须配套形成若干条生产线，若监理工程师认为合同规定的进场机械不能满足进度要求，有权指令承包人增加机械投入，承包人不得拒绝监理工程师安排的合理增加的机械投入。</w:t>
      </w:r>
    </w:p>
    <w:p w14:paraId="76A42F25">
      <w:pPr>
        <w:pStyle w:val="229"/>
        <w:rPr>
          <w:color w:val="auto"/>
          <w:highlight w:val="none"/>
        </w:rPr>
      </w:pPr>
      <w:r>
        <w:rPr>
          <w:rFonts w:hint="eastAsia"/>
          <w:color w:val="auto"/>
          <w:highlight w:val="none"/>
        </w:rPr>
        <w:t>（7）在缺陷责任期内，承包人在接到发包人保修通知后未在规定的合理时间提供保修服务。</w:t>
      </w:r>
    </w:p>
    <w:p w14:paraId="13B19116">
      <w:pPr>
        <w:pStyle w:val="229"/>
        <w:rPr>
          <w:color w:val="auto"/>
          <w:highlight w:val="none"/>
        </w:rPr>
      </w:pPr>
      <w:r>
        <w:rPr>
          <w:rFonts w:hint="eastAsia"/>
          <w:color w:val="auto"/>
          <w:highlight w:val="none"/>
        </w:rPr>
        <w:t>（8）设备、材料未按清单要求提供，发包人有权拒绝接收，并要求承包人按要求重新供货。</w:t>
      </w:r>
    </w:p>
    <w:p w14:paraId="1E17B769">
      <w:pPr>
        <w:pStyle w:val="229"/>
        <w:rPr>
          <w:color w:val="auto"/>
          <w:highlight w:val="none"/>
        </w:rPr>
      </w:pPr>
      <w:r>
        <w:rPr>
          <w:rFonts w:hint="eastAsia"/>
          <w:color w:val="auto"/>
          <w:highlight w:val="none"/>
        </w:rPr>
        <w:t>16.2.2承包人违约的责任</w:t>
      </w:r>
    </w:p>
    <w:p w14:paraId="0EE3F663">
      <w:pPr>
        <w:pStyle w:val="229"/>
        <w:rPr>
          <w:color w:val="auto"/>
          <w:highlight w:val="none"/>
        </w:rPr>
      </w:pPr>
      <w:r>
        <w:rPr>
          <w:rFonts w:hint="eastAsia"/>
          <w:color w:val="auto"/>
          <w:highlight w:val="none"/>
        </w:rPr>
        <w:t>承包人违约责任的承担方式和计算方法：承包人违约的责任已在专用合同相应条款约定的，按相应条款执行违约的承担方式和计算方式。承包人违约的责任未在专用合同约定的，按通用条款执行 。</w:t>
      </w:r>
    </w:p>
    <w:p w14:paraId="5A6FF321">
      <w:pPr>
        <w:pStyle w:val="229"/>
        <w:rPr>
          <w:color w:val="auto"/>
          <w:highlight w:val="none"/>
        </w:rPr>
      </w:pPr>
      <w:r>
        <w:rPr>
          <w:rFonts w:hint="eastAsia"/>
          <w:color w:val="auto"/>
          <w:highlight w:val="none"/>
        </w:rPr>
        <w:t>16.2.3 因承包人违约解除合同</w:t>
      </w:r>
    </w:p>
    <w:p w14:paraId="13CF178D">
      <w:pPr>
        <w:spacing w:line="400" w:lineRule="exact"/>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AC7388B">
      <w:pPr>
        <w:pStyle w:val="229"/>
        <w:rPr>
          <w:color w:val="auto"/>
          <w:highlight w:val="none"/>
        </w:rPr>
      </w:pPr>
      <w:r>
        <w:rPr>
          <w:rFonts w:hint="eastAsia"/>
          <w:color w:val="auto"/>
          <w:highlight w:val="none"/>
        </w:rPr>
        <w:t>（1）承包人无正当理由不按开工通知的要求及时进场组织施工和不按签订协议书时商定的进度计划有效地开展施工准备，造成工期延误的；</w:t>
      </w:r>
    </w:p>
    <w:p w14:paraId="17D0E871">
      <w:pPr>
        <w:pStyle w:val="229"/>
        <w:rPr>
          <w:color w:val="auto"/>
          <w:highlight w:val="none"/>
        </w:rPr>
      </w:pPr>
      <w:r>
        <w:rPr>
          <w:rFonts w:hint="eastAsia"/>
          <w:color w:val="auto"/>
          <w:highlight w:val="none"/>
        </w:rPr>
        <w:t>（2）承包人违反本合同通用条款第3.5条规定私自将合同或合同的任何部分或任何权利转让给其他人，或私自将工程或工程的一部分分包出去的；</w:t>
      </w:r>
    </w:p>
    <w:p w14:paraId="4471F684">
      <w:pPr>
        <w:pStyle w:val="229"/>
        <w:rPr>
          <w:color w:val="auto"/>
          <w:highlight w:val="none"/>
        </w:rPr>
      </w:pPr>
      <w:r>
        <w:rPr>
          <w:rFonts w:hint="eastAsia"/>
          <w:color w:val="auto"/>
          <w:highlight w:val="none"/>
        </w:rPr>
        <w:t>（3）未经监理人批准，承包人私自将已按响应文件承诺进入工地的工程设备、施工设备、临时工程或材料撤离工地的；</w:t>
      </w:r>
    </w:p>
    <w:p w14:paraId="630AFA05">
      <w:pPr>
        <w:pStyle w:val="229"/>
        <w:rPr>
          <w:color w:val="auto"/>
          <w:highlight w:val="none"/>
        </w:rPr>
      </w:pPr>
      <w:r>
        <w:rPr>
          <w:rFonts w:hint="eastAsia"/>
          <w:color w:val="auto"/>
          <w:highlight w:val="none"/>
        </w:rPr>
        <w:t>（4）由于承包人原因拒绝按合同进度计划及时完成合同规定的工程，而又未采取有效措施赶上进度，造成工期严重延误的；</w:t>
      </w:r>
    </w:p>
    <w:p w14:paraId="37268A60">
      <w:pPr>
        <w:pStyle w:val="229"/>
        <w:rPr>
          <w:color w:val="auto"/>
          <w:highlight w:val="none"/>
        </w:rPr>
      </w:pPr>
      <w:r>
        <w:rPr>
          <w:rFonts w:hint="eastAsia"/>
          <w:color w:val="auto"/>
          <w:highlight w:val="none"/>
        </w:rPr>
        <w:t>（5）承包人否认合同有效或拒绝履行合同规定的承包人义务，或由于法律、财务等原因导致承包人无法继续履行或实质上已停止履行合同的义务的；</w:t>
      </w:r>
    </w:p>
    <w:p w14:paraId="5C9768AE">
      <w:pPr>
        <w:pStyle w:val="229"/>
        <w:rPr>
          <w:color w:val="auto"/>
          <w:highlight w:val="none"/>
        </w:rPr>
      </w:pPr>
      <w:r>
        <w:rPr>
          <w:rFonts w:hint="eastAsia"/>
          <w:color w:val="auto"/>
          <w:highlight w:val="none"/>
        </w:rPr>
        <w:t>（6）合同签订且具备法定开工</w:t>
      </w:r>
      <w:r>
        <w:rPr>
          <w:rFonts w:hint="eastAsia"/>
          <w:color w:val="auto"/>
          <w:highlight w:val="none"/>
          <w:lang w:eastAsia="zh-CN"/>
        </w:rPr>
        <w:t>条件</w:t>
      </w:r>
      <w:r>
        <w:rPr>
          <w:rFonts w:hint="eastAsia"/>
          <w:color w:val="auto"/>
          <w:highlight w:val="none"/>
        </w:rPr>
        <w:t>之日起十五日内，承包人无法按合同规定及响应文件的承诺进场经监理工程师认可的该施工阶段应有的全部人员和机械的。</w:t>
      </w:r>
    </w:p>
    <w:p w14:paraId="3797B2F4">
      <w:pPr>
        <w:pStyle w:val="229"/>
        <w:rPr>
          <w:color w:val="auto"/>
          <w:highlight w:val="none"/>
        </w:rPr>
      </w:pPr>
      <w:r>
        <w:rPr>
          <w:rFonts w:hint="eastAsia"/>
          <w:color w:val="auto"/>
          <w:highlight w:val="none"/>
        </w:rPr>
        <w:t>（7） 因承包人违约行为发生的，发包人要求承包人整改而承包人拒不执行或拖延15日以上执行的。</w:t>
      </w:r>
    </w:p>
    <w:p w14:paraId="51B90904">
      <w:pPr>
        <w:pStyle w:val="229"/>
        <w:rPr>
          <w:color w:val="auto"/>
          <w:highlight w:val="none"/>
          <w:u w:val="single"/>
        </w:rPr>
      </w:pPr>
      <w:r>
        <w:rPr>
          <w:rFonts w:hint="eastAsia"/>
          <w:color w:val="auto"/>
          <w:highlight w:val="none"/>
        </w:rPr>
        <w:t>发包人继续使用承包人在施工现场的材料、设备、临时工程、承包人文件和由承包人或以其名义编制的其他文件的费用承担方式：</w:t>
      </w:r>
      <w:r>
        <w:rPr>
          <w:rFonts w:hint="eastAsia"/>
          <w:color w:val="auto"/>
          <w:highlight w:val="none"/>
          <w:u w:val="single"/>
        </w:rPr>
        <w:t xml:space="preserve">  由承包人承担  。</w:t>
      </w:r>
    </w:p>
    <w:p w14:paraId="429BB824">
      <w:pPr>
        <w:pStyle w:val="291"/>
        <w:ind w:firstLine="422"/>
        <w:rPr>
          <w:color w:val="auto"/>
          <w:highlight w:val="none"/>
        </w:rPr>
      </w:pPr>
      <w:bookmarkStart w:id="368" w:name="_Toc69641938"/>
      <w:bookmarkStart w:id="369" w:name="_Toc55374041"/>
      <w:bookmarkStart w:id="370" w:name="_Toc140098631"/>
      <w:r>
        <w:rPr>
          <w:rFonts w:hint="eastAsia"/>
          <w:color w:val="auto"/>
          <w:highlight w:val="none"/>
        </w:rPr>
        <w:t>17. 不可抗力</w:t>
      </w:r>
      <w:bookmarkEnd w:id="368"/>
      <w:bookmarkEnd w:id="369"/>
      <w:bookmarkEnd w:id="370"/>
      <w:r>
        <w:rPr>
          <w:rFonts w:hint="eastAsia"/>
          <w:color w:val="auto"/>
          <w:highlight w:val="none"/>
        </w:rPr>
        <w:t xml:space="preserve"> </w:t>
      </w:r>
    </w:p>
    <w:p w14:paraId="6AF4272D">
      <w:pPr>
        <w:pStyle w:val="278"/>
        <w:rPr>
          <w:color w:val="auto"/>
          <w:highlight w:val="none"/>
        </w:rPr>
      </w:pPr>
      <w:bookmarkStart w:id="371" w:name="_Toc69641939"/>
      <w:bookmarkStart w:id="372" w:name="_Toc140098632"/>
      <w:bookmarkStart w:id="373" w:name="_Toc55374042"/>
      <w:r>
        <w:rPr>
          <w:rFonts w:hint="eastAsia"/>
          <w:color w:val="auto"/>
          <w:highlight w:val="none"/>
        </w:rPr>
        <w:t>17.1 不可抗力的确认</w:t>
      </w:r>
      <w:bookmarkEnd w:id="371"/>
      <w:bookmarkEnd w:id="372"/>
      <w:bookmarkEnd w:id="373"/>
    </w:p>
    <w:p w14:paraId="338FCAFB">
      <w:pPr>
        <w:pStyle w:val="229"/>
        <w:rPr>
          <w:color w:val="auto"/>
          <w:highlight w:val="none"/>
        </w:rPr>
      </w:pPr>
      <w:r>
        <w:rPr>
          <w:rFonts w:hint="eastAsia"/>
          <w:color w:val="auto"/>
          <w:highlight w:val="none"/>
        </w:rPr>
        <w:t>除通用合同条款约定的不可抗力事件之外，视为不可抗力的其他情形：不可抗力包括因战争、恐怖主义、疫情、动乱、空中飞行物体坠落或其他非发包人、承包人责任造成的爆炸、停工、火灾。</w:t>
      </w:r>
    </w:p>
    <w:p w14:paraId="2E6ACCBC">
      <w:pPr>
        <w:pStyle w:val="229"/>
        <w:rPr>
          <w:color w:val="auto"/>
          <w:highlight w:val="none"/>
        </w:rPr>
      </w:pPr>
      <w:r>
        <w:rPr>
          <w:rFonts w:hint="eastAsia"/>
          <w:color w:val="auto"/>
          <w:highlight w:val="none"/>
        </w:rPr>
        <w:t>17.3.2 因不可抗力导致承包人停工，停工期间工人工资，周转材料及施工机械闲置等造成的损失由承包人承担。若政府出台文件规定需发包人承担工人停工期间工人工资和其他费用，若文件有规定具体标准的，按文件要求执行；若未规定具体标准的，发包人按工程所在地窝工工资标准计算工人工资，不计管理费、利润、规费，其他合理费用承包人需提供实时合法发票。</w:t>
      </w:r>
    </w:p>
    <w:p w14:paraId="523D220F">
      <w:pPr>
        <w:pStyle w:val="291"/>
        <w:ind w:firstLine="422"/>
        <w:rPr>
          <w:color w:val="auto"/>
          <w:highlight w:val="none"/>
        </w:rPr>
      </w:pPr>
      <w:bookmarkStart w:id="374" w:name="_Toc55374043"/>
      <w:bookmarkStart w:id="375" w:name="_Toc140098633"/>
      <w:bookmarkStart w:id="376" w:name="_Toc69641940"/>
      <w:r>
        <w:rPr>
          <w:rFonts w:hint="eastAsia"/>
          <w:color w:val="auto"/>
          <w:highlight w:val="none"/>
        </w:rPr>
        <w:t>17.4 因不可抗力解除合同</w:t>
      </w:r>
      <w:bookmarkEnd w:id="374"/>
      <w:bookmarkEnd w:id="375"/>
      <w:bookmarkEnd w:id="376"/>
    </w:p>
    <w:p w14:paraId="0E508A85">
      <w:pPr>
        <w:pStyle w:val="229"/>
        <w:rPr>
          <w:color w:val="auto"/>
          <w:highlight w:val="none"/>
        </w:rPr>
      </w:pPr>
      <w:r>
        <w:rPr>
          <w:rFonts w:hint="eastAsia"/>
          <w:color w:val="auto"/>
          <w:highlight w:val="none"/>
        </w:rPr>
        <w:t>合同解除后，发包人应在商定或确定发包人应支付款项后</w:t>
      </w:r>
      <w:r>
        <w:rPr>
          <w:rFonts w:hint="eastAsia"/>
          <w:color w:val="auto"/>
          <w:highlight w:val="none"/>
          <w:u w:val="single"/>
        </w:rPr>
        <w:t xml:space="preserve"> 30 </w:t>
      </w:r>
      <w:r>
        <w:rPr>
          <w:rFonts w:hint="eastAsia"/>
          <w:color w:val="auto"/>
          <w:highlight w:val="none"/>
        </w:rPr>
        <w:t>天内完成款项的支付。</w:t>
      </w:r>
    </w:p>
    <w:p w14:paraId="42DEC777">
      <w:pPr>
        <w:pStyle w:val="291"/>
        <w:ind w:firstLine="422"/>
        <w:rPr>
          <w:color w:val="auto"/>
          <w:highlight w:val="none"/>
        </w:rPr>
      </w:pPr>
      <w:bookmarkStart w:id="377" w:name="_Toc140098634"/>
      <w:bookmarkStart w:id="378" w:name="_Toc69641941"/>
      <w:bookmarkStart w:id="379" w:name="_Toc55374044"/>
      <w:r>
        <w:rPr>
          <w:rFonts w:hint="eastAsia"/>
          <w:color w:val="auto"/>
          <w:highlight w:val="none"/>
        </w:rPr>
        <w:t>18. 保险</w:t>
      </w:r>
      <w:bookmarkEnd w:id="377"/>
      <w:bookmarkEnd w:id="378"/>
      <w:bookmarkEnd w:id="379"/>
    </w:p>
    <w:p w14:paraId="7796EE14">
      <w:pPr>
        <w:pStyle w:val="278"/>
        <w:rPr>
          <w:color w:val="auto"/>
          <w:highlight w:val="none"/>
        </w:rPr>
      </w:pPr>
      <w:bookmarkStart w:id="380" w:name="_Toc55374045"/>
      <w:bookmarkStart w:id="381" w:name="_Toc140098635"/>
      <w:bookmarkStart w:id="382" w:name="_Toc69641942"/>
      <w:r>
        <w:rPr>
          <w:rFonts w:hint="eastAsia"/>
          <w:color w:val="auto"/>
          <w:highlight w:val="none"/>
        </w:rPr>
        <w:t>18.1 工程保险</w:t>
      </w:r>
      <w:bookmarkEnd w:id="380"/>
      <w:bookmarkEnd w:id="381"/>
      <w:bookmarkEnd w:id="382"/>
    </w:p>
    <w:p w14:paraId="74386AE6">
      <w:pPr>
        <w:pStyle w:val="229"/>
        <w:rPr>
          <w:color w:val="auto"/>
          <w:highlight w:val="none"/>
          <w:u w:val="single"/>
        </w:rPr>
      </w:pPr>
      <w:r>
        <w:rPr>
          <w:rFonts w:hint="eastAsia"/>
          <w:color w:val="auto"/>
          <w:highlight w:val="none"/>
        </w:rPr>
        <w:t>关于工程保险的特别约定：</w:t>
      </w:r>
      <w:r>
        <w:rPr>
          <w:rFonts w:hint="eastAsia"/>
          <w:color w:val="auto"/>
          <w:highlight w:val="none"/>
          <w:u w:val="single"/>
        </w:rPr>
        <w:t xml:space="preserve"> 执行国家有关规定。</w:t>
      </w:r>
    </w:p>
    <w:p w14:paraId="336A00A7">
      <w:pPr>
        <w:pStyle w:val="278"/>
        <w:rPr>
          <w:color w:val="auto"/>
          <w:highlight w:val="none"/>
        </w:rPr>
      </w:pPr>
      <w:bookmarkStart w:id="383" w:name="_Toc55374046"/>
      <w:bookmarkStart w:id="384" w:name="_Toc69641943"/>
      <w:bookmarkStart w:id="385" w:name="_Toc140098636"/>
      <w:r>
        <w:rPr>
          <w:rFonts w:hint="eastAsia"/>
          <w:color w:val="auto"/>
          <w:highlight w:val="none"/>
        </w:rPr>
        <w:t>18.3 其他保险</w:t>
      </w:r>
      <w:bookmarkEnd w:id="383"/>
      <w:bookmarkEnd w:id="384"/>
      <w:bookmarkEnd w:id="385"/>
    </w:p>
    <w:p w14:paraId="04A7CD54">
      <w:pPr>
        <w:pStyle w:val="229"/>
        <w:rPr>
          <w:color w:val="auto"/>
          <w:highlight w:val="none"/>
        </w:rPr>
      </w:pPr>
      <w:r>
        <w:rPr>
          <w:rFonts w:hint="eastAsia"/>
          <w:color w:val="auto"/>
          <w:highlight w:val="none"/>
        </w:rPr>
        <w:t>关于其他保险的约定：</w:t>
      </w:r>
      <w:bookmarkStart w:id="386" w:name="_Hlk167435009"/>
      <w:r>
        <w:rPr>
          <w:rFonts w:hint="eastAsia"/>
          <w:color w:val="auto"/>
          <w:highlight w:val="none"/>
        </w:rPr>
        <w:t>除建筑工程安全生产责任保险外由承包人承担。</w:t>
      </w:r>
      <w:bookmarkEnd w:id="386"/>
    </w:p>
    <w:p w14:paraId="347CCE02">
      <w:pPr>
        <w:pStyle w:val="229"/>
        <w:rPr>
          <w:color w:val="auto"/>
          <w:highlight w:val="none"/>
          <w:u w:val="single"/>
        </w:rPr>
      </w:pPr>
      <w:r>
        <w:rPr>
          <w:rFonts w:hint="eastAsia"/>
          <w:color w:val="auto"/>
          <w:highlight w:val="none"/>
        </w:rPr>
        <w:t>承包人是否应为其施工设备等办理财产保险：</w:t>
      </w:r>
      <w:r>
        <w:rPr>
          <w:rFonts w:hint="eastAsia"/>
          <w:color w:val="auto"/>
          <w:highlight w:val="none"/>
          <w:u w:val="single"/>
        </w:rPr>
        <w:t>由承包人承担。</w:t>
      </w:r>
    </w:p>
    <w:p w14:paraId="32F7E8EF">
      <w:pPr>
        <w:pStyle w:val="278"/>
        <w:rPr>
          <w:color w:val="auto"/>
          <w:highlight w:val="none"/>
        </w:rPr>
      </w:pPr>
      <w:bookmarkStart w:id="387" w:name="_Toc55374047"/>
      <w:bookmarkStart w:id="388" w:name="_Toc69641944"/>
      <w:bookmarkStart w:id="389" w:name="_Toc140098637"/>
      <w:r>
        <w:rPr>
          <w:rFonts w:hint="eastAsia"/>
          <w:color w:val="auto"/>
          <w:highlight w:val="none"/>
        </w:rPr>
        <w:t>18.7 通知义务</w:t>
      </w:r>
      <w:bookmarkEnd w:id="387"/>
      <w:bookmarkEnd w:id="388"/>
      <w:bookmarkEnd w:id="389"/>
    </w:p>
    <w:p w14:paraId="6BAFFA3B">
      <w:pPr>
        <w:pStyle w:val="229"/>
        <w:rPr>
          <w:color w:val="auto"/>
          <w:highlight w:val="none"/>
          <w:u w:val="single"/>
        </w:rPr>
      </w:pPr>
      <w:r>
        <w:rPr>
          <w:rFonts w:hint="eastAsia"/>
          <w:color w:val="auto"/>
          <w:highlight w:val="none"/>
        </w:rPr>
        <w:t>关于变更保险合同时的通知义务的约定：</w:t>
      </w:r>
      <w:r>
        <w:rPr>
          <w:rFonts w:hint="eastAsia"/>
          <w:color w:val="auto"/>
          <w:highlight w:val="none"/>
          <w:u w:val="single"/>
        </w:rPr>
        <w:t>按通用条款执行  。</w:t>
      </w:r>
    </w:p>
    <w:p w14:paraId="591F885E">
      <w:pPr>
        <w:pStyle w:val="291"/>
        <w:ind w:firstLine="422"/>
        <w:rPr>
          <w:color w:val="auto"/>
          <w:highlight w:val="none"/>
        </w:rPr>
      </w:pPr>
      <w:bookmarkStart w:id="390" w:name="_Toc140098638"/>
      <w:bookmarkStart w:id="391" w:name="_Toc69641945"/>
      <w:bookmarkStart w:id="392" w:name="_Toc55374048"/>
      <w:r>
        <w:rPr>
          <w:rFonts w:hint="eastAsia"/>
          <w:color w:val="auto"/>
          <w:highlight w:val="none"/>
        </w:rPr>
        <w:t>20 争议解决</w:t>
      </w:r>
      <w:bookmarkEnd w:id="390"/>
      <w:bookmarkEnd w:id="391"/>
      <w:bookmarkEnd w:id="392"/>
    </w:p>
    <w:p w14:paraId="29BF5D62">
      <w:pPr>
        <w:pStyle w:val="278"/>
        <w:rPr>
          <w:color w:val="auto"/>
          <w:highlight w:val="none"/>
        </w:rPr>
      </w:pPr>
      <w:bookmarkStart w:id="393" w:name="_Toc55374049"/>
      <w:bookmarkStart w:id="394" w:name="_Toc140098639"/>
      <w:bookmarkStart w:id="395" w:name="_Toc69641946"/>
      <w:r>
        <w:rPr>
          <w:rFonts w:hint="eastAsia"/>
          <w:color w:val="auto"/>
          <w:highlight w:val="none"/>
        </w:rPr>
        <w:t>20.3 争议评审</w:t>
      </w:r>
      <w:bookmarkEnd w:id="393"/>
      <w:bookmarkEnd w:id="394"/>
      <w:bookmarkEnd w:id="395"/>
    </w:p>
    <w:p w14:paraId="2D6E4D46">
      <w:pPr>
        <w:pStyle w:val="229"/>
        <w:rPr>
          <w:color w:val="auto"/>
          <w:highlight w:val="none"/>
        </w:rPr>
      </w:pPr>
      <w:r>
        <w:rPr>
          <w:rFonts w:hint="eastAsia"/>
          <w:color w:val="auto"/>
          <w:highlight w:val="none"/>
        </w:rPr>
        <w:t>合同当事人是否同意将工程争议提交争议评审小组决定：</w:t>
      </w:r>
      <w:r>
        <w:rPr>
          <w:rFonts w:hint="eastAsia"/>
          <w:color w:val="auto"/>
          <w:highlight w:val="none"/>
          <w:u w:val="single"/>
        </w:rPr>
        <w:t xml:space="preserve">不同意   </w:t>
      </w:r>
      <w:r>
        <w:rPr>
          <w:rFonts w:hint="eastAsia"/>
          <w:color w:val="auto"/>
          <w:highlight w:val="none"/>
        </w:rPr>
        <w:t xml:space="preserve">。   </w:t>
      </w:r>
    </w:p>
    <w:p w14:paraId="7B9733A5">
      <w:pPr>
        <w:pStyle w:val="229"/>
        <w:rPr>
          <w:color w:val="auto"/>
          <w:highlight w:val="none"/>
        </w:rPr>
      </w:pPr>
      <w:r>
        <w:rPr>
          <w:rFonts w:hint="eastAsia"/>
          <w:color w:val="auto"/>
          <w:highlight w:val="none"/>
        </w:rPr>
        <w:t>20.3.1 争议评审小组的确定</w:t>
      </w:r>
    </w:p>
    <w:p w14:paraId="72A52A23">
      <w:pPr>
        <w:pStyle w:val="229"/>
        <w:rPr>
          <w:color w:val="auto"/>
          <w:highlight w:val="none"/>
        </w:rPr>
      </w:pPr>
      <w:r>
        <w:rPr>
          <w:rFonts w:hint="eastAsia"/>
          <w:color w:val="auto"/>
          <w:highlight w:val="none"/>
        </w:rPr>
        <w:t>争议评审小组成员的确定：</w:t>
      </w:r>
      <w:r>
        <w:rPr>
          <w:rFonts w:hint="eastAsia"/>
          <w:color w:val="auto"/>
          <w:highlight w:val="none"/>
          <w:u w:val="single"/>
        </w:rPr>
        <w:t xml:space="preserve">       /                 </w:t>
      </w:r>
      <w:r>
        <w:rPr>
          <w:rFonts w:hint="eastAsia"/>
          <w:color w:val="auto"/>
          <w:highlight w:val="none"/>
        </w:rPr>
        <w:t>。</w:t>
      </w:r>
    </w:p>
    <w:p w14:paraId="454E81D1">
      <w:pPr>
        <w:pStyle w:val="229"/>
        <w:rPr>
          <w:color w:val="auto"/>
          <w:highlight w:val="none"/>
        </w:rPr>
      </w:pPr>
      <w:r>
        <w:rPr>
          <w:rFonts w:hint="eastAsia"/>
          <w:color w:val="auto"/>
          <w:highlight w:val="none"/>
        </w:rPr>
        <w:t xml:space="preserve">选定争议评审员的期限： </w:t>
      </w:r>
      <w:r>
        <w:rPr>
          <w:rFonts w:hint="eastAsia"/>
          <w:color w:val="auto"/>
          <w:highlight w:val="none"/>
          <w:u w:val="single"/>
        </w:rPr>
        <w:t xml:space="preserve">          /              </w:t>
      </w:r>
      <w:r>
        <w:rPr>
          <w:rFonts w:hint="eastAsia"/>
          <w:color w:val="auto"/>
          <w:highlight w:val="none"/>
        </w:rPr>
        <w:t xml:space="preserve"> 。</w:t>
      </w:r>
    </w:p>
    <w:p w14:paraId="6FD70790">
      <w:pPr>
        <w:pStyle w:val="229"/>
        <w:rPr>
          <w:color w:val="auto"/>
          <w:highlight w:val="none"/>
        </w:rPr>
      </w:pPr>
      <w:r>
        <w:rPr>
          <w:rFonts w:hint="eastAsia"/>
          <w:color w:val="auto"/>
          <w:highlight w:val="none"/>
        </w:rPr>
        <w:t>争议评审小组成员的报酬承担方式：</w:t>
      </w:r>
      <w:r>
        <w:rPr>
          <w:rFonts w:hint="eastAsia"/>
          <w:color w:val="auto"/>
          <w:highlight w:val="none"/>
          <w:u w:val="single"/>
        </w:rPr>
        <w:t xml:space="preserve">      /          </w:t>
      </w:r>
      <w:r>
        <w:rPr>
          <w:rFonts w:hint="eastAsia"/>
          <w:color w:val="auto"/>
          <w:highlight w:val="none"/>
        </w:rPr>
        <w:t>。</w:t>
      </w:r>
    </w:p>
    <w:p w14:paraId="274A1AF2">
      <w:pPr>
        <w:pStyle w:val="229"/>
        <w:rPr>
          <w:color w:val="auto"/>
          <w:highlight w:val="none"/>
        </w:rPr>
      </w:pPr>
      <w:r>
        <w:rPr>
          <w:rFonts w:hint="eastAsia"/>
          <w:color w:val="auto"/>
          <w:highlight w:val="none"/>
        </w:rPr>
        <w:t>其他事项的约定：</w:t>
      </w:r>
      <w:r>
        <w:rPr>
          <w:rFonts w:hint="eastAsia"/>
          <w:color w:val="auto"/>
          <w:highlight w:val="none"/>
          <w:u w:val="single"/>
        </w:rPr>
        <w:t xml:space="preserve">                /             </w:t>
      </w:r>
      <w:r>
        <w:rPr>
          <w:rFonts w:hint="eastAsia"/>
          <w:color w:val="auto"/>
          <w:highlight w:val="none"/>
        </w:rPr>
        <w:t>。</w:t>
      </w:r>
    </w:p>
    <w:p w14:paraId="60F884A9">
      <w:pPr>
        <w:pStyle w:val="229"/>
        <w:rPr>
          <w:color w:val="auto"/>
          <w:highlight w:val="none"/>
        </w:rPr>
      </w:pPr>
      <w:r>
        <w:rPr>
          <w:rFonts w:hint="eastAsia"/>
          <w:color w:val="auto"/>
          <w:highlight w:val="none"/>
        </w:rPr>
        <w:t>20.3.2 争议评审小组的决定</w:t>
      </w:r>
    </w:p>
    <w:p w14:paraId="390643ED">
      <w:pPr>
        <w:pStyle w:val="229"/>
        <w:rPr>
          <w:color w:val="auto"/>
          <w:highlight w:val="none"/>
        </w:rPr>
      </w:pPr>
      <w:r>
        <w:rPr>
          <w:rFonts w:hint="eastAsia"/>
          <w:color w:val="auto"/>
          <w:highlight w:val="none"/>
        </w:rPr>
        <w:t>合同当事人关于本项的约定：</w:t>
      </w:r>
      <w:r>
        <w:rPr>
          <w:rFonts w:hint="eastAsia"/>
          <w:color w:val="auto"/>
          <w:highlight w:val="none"/>
          <w:u w:val="single"/>
        </w:rPr>
        <w:t xml:space="preserve">     /     </w:t>
      </w:r>
      <w:r>
        <w:rPr>
          <w:rFonts w:hint="eastAsia"/>
          <w:color w:val="auto"/>
          <w:highlight w:val="none"/>
        </w:rPr>
        <w:t>。</w:t>
      </w:r>
    </w:p>
    <w:p w14:paraId="4068B097">
      <w:pPr>
        <w:pStyle w:val="278"/>
        <w:rPr>
          <w:color w:val="auto"/>
          <w:highlight w:val="none"/>
        </w:rPr>
      </w:pPr>
      <w:bookmarkStart w:id="396" w:name="_Toc140098640"/>
      <w:bookmarkStart w:id="397" w:name="_Toc69641947"/>
      <w:bookmarkStart w:id="398" w:name="_Toc55374050"/>
      <w:r>
        <w:rPr>
          <w:rFonts w:hint="eastAsia"/>
          <w:color w:val="auto"/>
          <w:highlight w:val="none"/>
        </w:rPr>
        <w:t>20.4 仲裁或诉讼</w:t>
      </w:r>
      <w:bookmarkEnd w:id="396"/>
      <w:bookmarkEnd w:id="397"/>
      <w:bookmarkEnd w:id="398"/>
    </w:p>
    <w:p w14:paraId="0B4B745D">
      <w:pPr>
        <w:pStyle w:val="229"/>
        <w:rPr>
          <w:color w:val="auto"/>
          <w:highlight w:val="none"/>
        </w:rPr>
      </w:pPr>
      <w:r>
        <w:rPr>
          <w:rFonts w:hint="eastAsia"/>
          <w:color w:val="auto"/>
          <w:highlight w:val="none"/>
        </w:rPr>
        <w:t>因合同及合同有关事项发生的争议，按下列第</w:t>
      </w:r>
      <w:r>
        <w:rPr>
          <w:rFonts w:hint="eastAsia"/>
          <w:color w:val="auto"/>
          <w:highlight w:val="none"/>
          <w:u w:val="single"/>
        </w:rPr>
        <w:t xml:space="preserve"> （2）  </w:t>
      </w:r>
      <w:r>
        <w:rPr>
          <w:rFonts w:hint="eastAsia"/>
          <w:color w:val="auto"/>
          <w:highlight w:val="none"/>
        </w:rPr>
        <w:t>种方式解决：</w:t>
      </w:r>
    </w:p>
    <w:p w14:paraId="68BBCFA7">
      <w:pPr>
        <w:pStyle w:val="229"/>
        <w:rPr>
          <w:color w:val="auto"/>
          <w:highlight w:val="none"/>
        </w:rPr>
      </w:pPr>
      <w:r>
        <w:rPr>
          <w:rFonts w:hint="eastAsia"/>
          <w:color w:val="auto"/>
          <w:highlight w:val="none"/>
        </w:rPr>
        <w:t>（1）向</w:t>
      </w:r>
      <w:r>
        <w:rPr>
          <w:rFonts w:hint="eastAsia"/>
          <w:color w:val="auto"/>
          <w:highlight w:val="none"/>
          <w:u w:val="single"/>
        </w:rPr>
        <w:t xml:space="preserve">       /       </w:t>
      </w:r>
      <w:r>
        <w:rPr>
          <w:rFonts w:hint="eastAsia"/>
          <w:color w:val="auto"/>
          <w:highlight w:val="none"/>
        </w:rPr>
        <w:t>仲裁委员会申请仲裁；</w:t>
      </w:r>
    </w:p>
    <w:p w14:paraId="081A1888">
      <w:pPr>
        <w:pStyle w:val="229"/>
        <w:rPr>
          <w:color w:val="auto"/>
          <w:highlight w:val="none"/>
        </w:rPr>
      </w:pPr>
      <w:r>
        <w:rPr>
          <w:rFonts w:hint="eastAsia"/>
          <w:color w:val="auto"/>
          <w:highlight w:val="none"/>
        </w:rPr>
        <w:t>（2）向项目所在地有管辖权的 人民法院起诉。</w:t>
      </w:r>
    </w:p>
    <w:p w14:paraId="6C2BCB3B">
      <w:pPr>
        <w:pStyle w:val="291"/>
        <w:ind w:firstLine="422"/>
        <w:rPr>
          <w:color w:val="auto"/>
          <w:highlight w:val="none"/>
        </w:rPr>
      </w:pPr>
      <w:bookmarkStart w:id="399" w:name="_Toc55374051"/>
      <w:bookmarkStart w:id="400" w:name="_Toc140098641"/>
      <w:bookmarkStart w:id="401" w:name="_Toc69641948"/>
      <w:r>
        <w:rPr>
          <w:rFonts w:hint="eastAsia"/>
          <w:color w:val="auto"/>
          <w:highlight w:val="none"/>
        </w:rPr>
        <w:t>21补充条款</w:t>
      </w:r>
      <w:bookmarkEnd w:id="399"/>
      <w:bookmarkEnd w:id="400"/>
      <w:bookmarkEnd w:id="401"/>
    </w:p>
    <w:p w14:paraId="74DF6E96">
      <w:pPr>
        <w:spacing w:line="360" w:lineRule="auto"/>
        <w:rPr>
          <w:rFonts w:ascii="宋体" w:cs="Dotum"/>
          <w:b/>
          <w:bCs/>
          <w:color w:val="auto"/>
          <w:sz w:val="24"/>
          <w:highlight w:val="none"/>
        </w:rPr>
      </w:pPr>
      <w:r>
        <w:rPr>
          <w:rFonts w:ascii="宋体"/>
          <w:color w:val="auto"/>
          <w:highlight w:val="none"/>
        </w:rPr>
        <w:t>21.1</w:t>
      </w:r>
      <w:r>
        <w:rPr>
          <w:rFonts w:hint="eastAsia" w:ascii="宋体" w:cs="Dotum"/>
          <w:color w:val="auto"/>
          <w:highlight w:val="none"/>
        </w:rPr>
        <w:t>农民工工资按桂劳社发</w:t>
      </w:r>
      <w:r>
        <w:rPr>
          <w:rFonts w:ascii="宋体" w:cs="Dotum"/>
          <w:color w:val="auto"/>
          <w:highlight w:val="none"/>
        </w:rPr>
        <w:t>[2009]50</w:t>
      </w:r>
      <w:r>
        <w:rPr>
          <w:rFonts w:hint="eastAsia" w:ascii="宋体" w:cs="Dotum"/>
          <w:color w:val="auto"/>
          <w:highlight w:val="none"/>
        </w:rPr>
        <w:t>号文件执行，中标单位应按时支付农民工工资，发包人支付到合同价款的</w:t>
      </w:r>
      <w:r>
        <w:rPr>
          <w:rFonts w:ascii="宋体" w:cs="Dotum"/>
          <w:color w:val="auto"/>
          <w:highlight w:val="none"/>
        </w:rPr>
        <w:t>80</w:t>
      </w:r>
      <w:r>
        <w:rPr>
          <w:rFonts w:hint="eastAsia" w:ascii="宋体" w:cs="Dotum"/>
          <w:color w:val="auto"/>
          <w:highlight w:val="none"/>
        </w:rPr>
        <w:t>％时，承包人应全部支付完农民工工资，之后如有农民工到发包方单位或其他相关部门反映索要工资现象视为违约（只要有农民工书面投诉材料及监理签字即可），每发生一次</w:t>
      </w:r>
      <w:r>
        <w:rPr>
          <w:rFonts w:hint="eastAsia" w:ascii="宋体" w:cs="Dotum"/>
          <w:color w:val="auto"/>
          <w:highlight w:val="none"/>
          <w:lang w:eastAsia="zh-CN"/>
        </w:rPr>
        <w:t>扣除</w:t>
      </w:r>
      <w:r>
        <w:rPr>
          <w:rFonts w:hint="eastAsia" w:ascii="宋体" w:cs="Dotum"/>
          <w:color w:val="auto"/>
          <w:highlight w:val="none"/>
        </w:rPr>
        <w:t>最终结算价的</w:t>
      </w:r>
      <w:r>
        <w:rPr>
          <w:rFonts w:ascii="宋体" w:cs="Dotum"/>
          <w:color w:val="auto"/>
          <w:highlight w:val="none"/>
        </w:rPr>
        <w:t>0.1</w:t>
      </w:r>
      <w:r>
        <w:rPr>
          <w:rFonts w:hint="eastAsia" w:ascii="宋体" w:cs="Dotum"/>
          <w:color w:val="auto"/>
          <w:highlight w:val="none"/>
        </w:rPr>
        <w:t>％，发包方可从应向承包方支付的款项中扣除，如造成物品损坏，由承包人全部负责赔偿。</w:t>
      </w:r>
    </w:p>
    <w:p w14:paraId="22A958F5">
      <w:pPr>
        <w:widowControl/>
        <w:spacing w:line="360" w:lineRule="auto"/>
        <w:jc w:val="left"/>
        <w:rPr>
          <w:rFonts w:ascii="宋体" w:cs="宋体"/>
          <w:color w:val="auto"/>
          <w:kern w:val="0"/>
          <w:highlight w:val="none"/>
        </w:rPr>
      </w:pPr>
      <w:r>
        <w:rPr>
          <w:rFonts w:ascii="宋体"/>
          <w:color w:val="auto"/>
          <w:highlight w:val="none"/>
        </w:rPr>
        <w:t>21.2</w:t>
      </w:r>
      <w:r>
        <w:rPr>
          <w:rFonts w:hint="eastAsia" w:ascii="宋体" w:cs="Dotum"/>
          <w:color w:val="auto"/>
          <w:highlight w:val="none"/>
        </w:rPr>
        <w:t>发包人按合同支付工程进度款后，因承包人原因造成有材料商到发包方单位或其他相关部门反映的现象也视为违约（只要有材料商书面投诉材料及发包方认定即可），每发生一次</w:t>
      </w:r>
      <w:r>
        <w:rPr>
          <w:rFonts w:hint="eastAsia" w:ascii="宋体" w:cs="Dotum"/>
          <w:color w:val="auto"/>
          <w:highlight w:val="none"/>
          <w:lang w:eastAsia="zh-CN"/>
        </w:rPr>
        <w:t>扣除</w:t>
      </w:r>
      <w:r>
        <w:rPr>
          <w:rFonts w:hint="eastAsia" w:ascii="宋体" w:cs="Dotum"/>
          <w:color w:val="auto"/>
          <w:highlight w:val="none"/>
        </w:rPr>
        <w:t>最终结算价的</w:t>
      </w:r>
      <w:r>
        <w:rPr>
          <w:rFonts w:ascii="宋体" w:cs="Dotum"/>
          <w:color w:val="auto"/>
          <w:highlight w:val="none"/>
        </w:rPr>
        <w:t>0.1</w:t>
      </w:r>
      <w:r>
        <w:rPr>
          <w:rFonts w:hint="eastAsia" w:ascii="宋体" w:cs="Dotum"/>
          <w:color w:val="auto"/>
          <w:highlight w:val="none"/>
        </w:rPr>
        <w:t>％，发包方可从应向承包方支付的款项中扣除，如造成物品损坏，由承包人全部负责赔偿。</w:t>
      </w:r>
    </w:p>
    <w:p w14:paraId="1902B6BC">
      <w:pPr>
        <w:spacing w:line="360" w:lineRule="exact"/>
        <w:ind w:firstLine="420" w:firstLineChars="200"/>
        <w:rPr>
          <w:rFonts w:ascii="宋体"/>
          <w:color w:val="auto"/>
          <w:highlight w:val="none"/>
        </w:rPr>
      </w:pPr>
      <w:r>
        <w:rPr>
          <w:rFonts w:ascii="宋体"/>
          <w:color w:val="auto"/>
          <w:highlight w:val="none"/>
        </w:rPr>
        <w:t>21.3</w:t>
      </w:r>
      <w:r>
        <w:rPr>
          <w:rFonts w:hint="eastAsia" w:ascii="宋体"/>
          <w:color w:val="auto"/>
          <w:highlight w:val="none"/>
        </w:rPr>
        <w:t>承包人若不按投</w:t>
      </w:r>
      <w:r>
        <w:rPr>
          <w:rFonts w:hint="eastAsia" w:ascii="宋体" w:cs="宋体"/>
          <w:color w:val="auto"/>
          <w:highlight w:val="none"/>
        </w:rPr>
        <w:t>标</w:t>
      </w:r>
      <w:r>
        <w:rPr>
          <w:rFonts w:hint="eastAsia" w:ascii="宋体" w:cs="Dotum"/>
          <w:color w:val="auto"/>
          <w:highlight w:val="none"/>
        </w:rPr>
        <w:t>文件所列的施工机械</w:t>
      </w:r>
      <w:r>
        <w:rPr>
          <w:rFonts w:hint="eastAsia" w:ascii="宋体" w:cs="宋体"/>
          <w:color w:val="auto"/>
          <w:highlight w:val="none"/>
        </w:rPr>
        <w:t>设备进场</w:t>
      </w:r>
      <w:r>
        <w:rPr>
          <w:rFonts w:hint="eastAsia" w:ascii="宋体" w:cs="Dotum"/>
          <w:color w:val="auto"/>
          <w:highlight w:val="none"/>
        </w:rPr>
        <w:t>施工，</w:t>
      </w:r>
      <w:r>
        <w:rPr>
          <w:rFonts w:hint="eastAsia" w:ascii="宋体" w:cs="宋体"/>
          <w:color w:val="auto"/>
          <w:highlight w:val="none"/>
        </w:rPr>
        <w:t>则</w:t>
      </w:r>
      <w:r>
        <w:rPr>
          <w:rFonts w:hint="eastAsia" w:ascii="宋体" w:cs="Dotum"/>
          <w:color w:val="auto"/>
          <w:highlight w:val="none"/>
        </w:rPr>
        <w:t>在承包人履</w:t>
      </w:r>
      <w:r>
        <w:rPr>
          <w:rFonts w:hint="eastAsia" w:ascii="宋体" w:cs="宋体"/>
          <w:color w:val="auto"/>
          <w:highlight w:val="none"/>
        </w:rPr>
        <w:t>约</w:t>
      </w:r>
      <w:r>
        <w:rPr>
          <w:rFonts w:hint="eastAsia" w:ascii="宋体" w:cs="Dotum"/>
          <w:color w:val="auto"/>
          <w:highlight w:val="none"/>
        </w:rPr>
        <w:t>保</w:t>
      </w:r>
      <w:r>
        <w:rPr>
          <w:rFonts w:hint="eastAsia" w:ascii="宋体" w:cs="宋体"/>
          <w:color w:val="auto"/>
          <w:highlight w:val="none"/>
        </w:rPr>
        <w:t>证</w:t>
      </w:r>
      <w:r>
        <w:rPr>
          <w:rFonts w:hint="eastAsia" w:ascii="宋体" w:cs="Dotum"/>
          <w:color w:val="auto"/>
          <w:highlight w:val="none"/>
        </w:rPr>
        <w:t>金中扣</w:t>
      </w:r>
      <w:r>
        <w:rPr>
          <w:rFonts w:hint="eastAsia" w:ascii="宋体" w:cs="宋体"/>
          <w:color w:val="auto"/>
          <w:highlight w:val="none"/>
        </w:rPr>
        <w:t>罚违约</w:t>
      </w:r>
      <w:r>
        <w:rPr>
          <w:rFonts w:hint="eastAsia" w:ascii="宋体" w:cs="Dotum"/>
          <w:color w:val="auto"/>
          <w:highlight w:val="none"/>
        </w:rPr>
        <w:t>金</w:t>
      </w:r>
      <w:r>
        <w:rPr>
          <w:rFonts w:ascii="宋体"/>
          <w:color w:val="auto"/>
          <w:highlight w:val="none"/>
        </w:rPr>
        <w:t>1-10</w:t>
      </w:r>
      <w:r>
        <w:rPr>
          <w:rFonts w:hint="eastAsia" w:ascii="宋体"/>
          <w:color w:val="auto"/>
          <w:highlight w:val="none"/>
        </w:rPr>
        <w:t>万元</w:t>
      </w:r>
      <w:r>
        <w:rPr>
          <w:rFonts w:ascii="宋体"/>
          <w:color w:val="auto"/>
          <w:highlight w:val="none"/>
        </w:rPr>
        <w:t>/</w:t>
      </w:r>
      <w:r>
        <w:rPr>
          <w:rFonts w:hint="eastAsia" w:ascii="宋体"/>
          <w:color w:val="auto"/>
          <w:highlight w:val="none"/>
        </w:rPr>
        <w:t>件（套）。</w:t>
      </w:r>
      <w:r>
        <w:rPr>
          <w:rFonts w:hint="eastAsia" w:ascii="宋体" w:cs="宋体"/>
          <w:color w:val="auto"/>
          <w:highlight w:val="none"/>
        </w:rPr>
        <w:t>进场</w:t>
      </w:r>
      <w:r>
        <w:rPr>
          <w:rFonts w:hint="eastAsia" w:ascii="宋体" w:cs="Dotum"/>
          <w:color w:val="auto"/>
          <w:highlight w:val="none"/>
        </w:rPr>
        <w:t>后，施工</w:t>
      </w:r>
      <w:r>
        <w:rPr>
          <w:rFonts w:hint="eastAsia" w:ascii="宋体" w:cs="宋体"/>
          <w:color w:val="auto"/>
          <w:highlight w:val="none"/>
        </w:rPr>
        <w:t>单</w:t>
      </w:r>
      <w:r>
        <w:rPr>
          <w:rFonts w:hint="eastAsia" w:ascii="宋体" w:cs="Dotum"/>
          <w:color w:val="auto"/>
          <w:highlight w:val="none"/>
        </w:rPr>
        <w:t>位的</w:t>
      </w:r>
      <w:r>
        <w:rPr>
          <w:rFonts w:hint="eastAsia" w:ascii="宋体" w:cs="宋体"/>
          <w:color w:val="auto"/>
          <w:highlight w:val="none"/>
        </w:rPr>
        <w:t>项</w:t>
      </w:r>
      <w:r>
        <w:rPr>
          <w:rFonts w:hint="eastAsia" w:ascii="宋体" w:cs="Dotum"/>
          <w:color w:val="auto"/>
          <w:highlight w:val="none"/>
        </w:rPr>
        <w:t>目</w:t>
      </w:r>
      <w:r>
        <w:rPr>
          <w:rFonts w:hint="eastAsia" w:ascii="宋体" w:cs="宋体"/>
          <w:color w:val="auto"/>
          <w:highlight w:val="none"/>
        </w:rPr>
        <w:t>经</w:t>
      </w:r>
      <w:r>
        <w:rPr>
          <w:rFonts w:hint="eastAsia" w:ascii="宋体" w:cs="Dotum"/>
          <w:color w:val="auto"/>
          <w:highlight w:val="none"/>
        </w:rPr>
        <w:t>理必</w:t>
      </w:r>
      <w:r>
        <w:rPr>
          <w:rFonts w:hint="eastAsia" w:ascii="宋体" w:cs="宋体"/>
          <w:color w:val="auto"/>
          <w:highlight w:val="none"/>
        </w:rPr>
        <w:t>须与</w:t>
      </w:r>
      <w:r>
        <w:rPr>
          <w:rFonts w:hint="eastAsia" w:ascii="宋体" w:cs="Dotum"/>
          <w:color w:val="auto"/>
          <w:highlight w:val="none"/>
        </w:rPr>
        <w:t>投</w:t>
      </w:r>
      <w:r>
        <w:rPr>
          <w:rFonts w:hint="eastAsia" w:ascii="宋体" w:cs="宋体"/>
          <w:color w:val="auto"/>
          <w:highlight w:val="none"/>
        </w:rPr>
        <w:t>标</w:t>
      </w:r>
      <w:r>
        <w:rPr>
          <w:rFonts w:hint="eastAsia" w:ascii="宋体" w:cs="Dotum"/>
          <w:color w:val="auto"/>
          <w:highlight w:val="none"/>
        </w:rPr>
        <w:t>文件中的附表</w:t>
      </w:r>
      <w:r>
        <w:rPr>
          <w:rFonts w:hint="eastAsia" w:ascii="宋体" w:cs="宋体"/>
          <w:color w:val="auto"/>
          <w:highlight w:val="none"/>
        </w:rPr>
        <w:t>项</w:t>
      </w:r>
      <w:r>
        <w:rPr>
          <w:rFonts w:hint="eastAsia" w:ascii="宋体" w:cs="Dotum"/>
          <w:color w:val="auto"/>
          <w:highlight w:val="none"/>
        </w:rPr>
        <w:t>目</w:t>
      </w:r>
      <w:r>
        <w:rPr>
          <w:rFonts w:hint="eastAsia" w:ascii="宋体" w:cs="宋体"/>
          <w:color w:val="auto"/>
          <w:highlight w:val="none"/>
        </w:rPr>
        <w:t>经</w:t>
      </w:r>
      <w:r>
        <w:rPr>
          <w:rFonts w:hint="eastAsia" w:ascii="宋体" w:cs="Dotum"/>
          <w:color w:val="auto"/>
          <w:highlight w:val="none"/>
        </w:rPr>
        <w:t>理</w:t>
      </w:r>
      <w:r>
        <w:rPr>
          <w:rFonts w:hint="eastAsia" w:ascii="宋体" w:cs="宋体"/>
          <w:color w:val="auto"/>
          <w:highlight w:val="none"/>
        </w:rPr>
        <w:t>简历</w:t>
      </w:r>
      <w:r>
        <w:rPr>
          <w:rFonts w:hint="eastAsia" w:ascii="宋体" w:cs="Dotum"/>
          <w:color w:val="auto"/>
          <w:highlight w:val="none"/>
        </w:rPr>
        <w:t>表的人</w:t>
      </w:r>
      <w:r>
        <w:rPr>
          <w:rFonts w:hint="eastAsia" w:ascii="宋体" w:cs="宋体"/>
          <w:color w:val="auto"/>
          <w:highlight w:val="none"/>
        </w:rPr>
        <w:t>员</w:t>
      </w:r>
      <w:r>
        <w:rPr>
          <w:rFonts w:hint="eastAsia" w:ascii="宋体" w:cs="Dotum"/>
          <w:color w:val="auto"/>
          <w:highlight w:val="none"/>
        </w:rPr>
        <w:t>一致，否</w:t>
      </w:r>
      <w:r>
        <w:rPr>
          <w:rFonts w:hint="eastAsia" w:ascii="宋体" w:cs="宋体"/>
          <w:color w:val="auto"/>
          <w:highlight w:val="none"/>
        </w:rPr>
        <w:t>则</w:t>
      </w:r>
      <w:r>
        <w:rPr>
          <w:rFonts w:hint="eastAsia" w:ascii="宋体" w:cs="Dotum"/>
          <w:color w:val="auto"/>
          <w:highlight w:val="none"/>
        </w:rPr>
        <w:t>甲方有</w:t>
      </w:r>
      <w:r>
        <w:rPr>
          <w:rFonts w:hint="eastAsia" w:ascii="宋体" w:cs="宋体"/>
          <w:color w:val="auto"/>
          <w:highlight w:val="none"/>
        </w:rPr>
        <w:t>权终</w:t>
      </w:r>
      <w:r>
        <w:rPr>
          <w:rFonts w:hint="eastAsia" w:ascii="宋体" w:cs="Dotum"/>
          <w:color w:val="auto"/>
          <w:highlight w:val="none"/>
        </w:rPr>
        <w:t>止合同。本工程必</w:t>
      </w:r>
      <w:r>
        <w:rPr>
          <w:rFonts w:hint="eastAsia" w:ascii="宋体" w:cs="宋体"/>
          <w:color w:val="auto"/>
          <w:highlight w:val="none"/>
        </w:rPr>
        <w:t>须</w:t>
      </w:r>
      <w:r>
        <w:rPr>
          <w:rFonts w:hint="eastAsia" w:ascii="宋体" w:cs="Dotum"/>
          <w:color w:val="auto"/>
          <w:highlight w:val="none"/>
        </w:rPr>
        <w:t>是中</w:t>
      </w:r>
      <w:r>
        <w:rPr>
          <w:rFonts w:hint="eastAsia" w:ascii="宋体" w:cs="宋体"/>
          <w:color w:val="auto"/>
          <w:highlight w:val="none"/>
        </w:rPr>
        <w:t>标</w:t>
      </w:r>
      <w:r>
        <w:rPr>
          <w:rFonts w:hint="eastAsia" w:ascii="宋体" w:cs="Dotum"/>
          <w:color w:val="auto"/>
          <w:highlight w:val="none"/>
        </w:rPr>
        <w:t>人具有本工程施工</w:t>
      </w:r>
      <w:r>
        <w:rPr>
          <w:rFonts w:hint="eastAsia" w:ascii="宋体" w:cs="宋体"/>
          <w:color w:val="auto"/>
          <w:highlight w:val="none"/>
        </w:rPr>
        <w:t>总</w:t>
      </w:r>
      <w:r>
        <w:rPr>
          <w:rFonts w:hint="eastAsia" w:ascii="宋体" w:cs="Dotum"/>
          <w:color w:val="auto"/>
          <w:highlight w:val="none"/>
        </w:rPr>
        <w:t>承包</w:t>
      </w:r>
      <w:r>
        <w:rPr>
          <w:rFonts w:hint="eastAsia" w:ascii="宋体" w:cs="宋体"/>
          <w:color w:val="auto"/>
          <w:highlight w:val="none"/>
        </w:rPr>
        <w:t>资质</w:t>
      </w:r>
      <w:r>
        <w:rPr>
          <w:rFonts w:hint="eastAsia" w:ascii="宋体" w:cs="Dotum"/>
          <w:color w:val="auto"/>
          <w:highlight w:val="none"/>
        </w:rPr>
        <w:t>的建筑企</w:t>
      </w:r>
      <w:r>
        <w:rPr>
          <w:rFonts w:hint="eastAsia" w:ascii="宋体" w:cs="宋体"/>
          <w:color w:val="auto"/>
          <w:highlight w:val="none"/>
        </w:rPr>
        <w:t>业独</w:t>
      </w:r>
      <w:r>
        <w:rPr>
          <w:rFonts w:hint="eastAsia" w:ascii="宋体" w:cs="Dotum"/>
          <w:color w:val="auto"/>
          <w:highlight w:val="none"/>
        </w:rPr>
        <w:t>立完成，不得</w:t>
      </w:r>
      <w:r>
        <w:rPr>
          <w:rFonts w:hint="eastAsia" w:ascii="宋体" w:cs="宋体"/>
          <w:color w:val="auto"/>
          <w:highlight w:val="none"/>
        </w:rPr>
        <w:t>转</w:t>
      </w:r>
      <w:r>
        <w:rPr>
          <w:rFonts w:hint="eastAsia" w:ascii="宋体" w:cs="Dotum"/>
          <w:color w:val="auto"/>
          <w:highlight w:val="none"/>
        </w:rPr>
        <w:t>包。如一</w:t>
      </w:r>
      <w:r>
        <w:rPr>
          <w:rFonts w:hint="eastAsia" w:ascii="宋体" w:cs="宋体"/>
          <w:color w:val="auto"/>
          <w:highlight w:val="none"/>
        </w:rPr>
        <w:t>经发现转</w:t>
      </w:r>
      <w:r>
        <w:rPr>
          <w:rFonts w:hint="eastAsia" w:ascii="宋体" w:cs="Dotum"/>
          <w:color w:val="auto"/>
          <w:highlight w:val="none"/>
        </w:rPr>
        <w:t>包，甲方有</w:t>
      </w:r>
      <w:r>
        <w:rPr>
          <w:rFonts w:hint="eastAsia" w:ascii="宋体" w:cs="宋体"/>
          <w:color w:val="auto"/>
          <w:highlight w:val="none"/>
        </w:rPr>
        <w:t>权终</w:t>
      </w:r>
      <w:r>
        <w:rPr>
          <w:rFonts w:hint="eastAsia" w:ascii="宋体" w:cs="Dotum"/>
          <w:color w:val="auto"/>
          <w:highlight w:val="none"/>
        </w:rPr>
        <w:t>止合同，另行</w:t>
      </w:r>
      <w:r>
        <w:rPr>
          <w:rFonts w:hint="eastAsia" w:ascii="宋体" w:cs="宋体"/>
          <w:color w:val="auto"/>
          <w:highlight w:val="none"/>
        </w:rPr>
        <w:t>选择</w:t>
      </w:r>
      <w:r>
        <w:rPr>
          <w:rFonts w:hint="eastAsia" w:ascii="宋体" w:cs="Dotum"/>
          <w:color w:val="auto"/>
          <w:highlight w:val="none"/>
        </w:rPr>
        <w:t>施工</w:t>
      </w:r>
      <w:r>
        <w:rPr>
          <w:rFonts w:hint="eastAsia" w:ascii="宋体" w:cs="宋体"/>
          <w:color w:val="auto"/>
          <w:highlight w:val="none"/>
        </w:rPr>
        <w:t>队</w:t>
      </w:r>
      <w:r>
        <w:rPr>
          <w:rFonts w:hint="eastAsia" w:ascii="宋体" w:cs="Dotum"/>
          <w:color w:val="auto"/>
          <w:highlight w:val="none"/>
        </w:rPr>
        <w:t>伍，原施工</w:t>
      </w:r>
      <w:r>
        <w:rPr>
          <w:rFonts w:hint="eastAsia" w:ascii="宋体" w:cs="宋体"/>
          <w:color w:val="auto"/>
          <w:highlight w:val="none"/>
        </w:rPr>
        <w:t>队</w:t>
      </w:r>
      <w:r>
        <w:rPr>
          <w:rFonts w:hint="eastAsia" w:ascii="宋体" w:cs="Dotum"/>
          <w:color w:val="auto"/>
          <w:highlight w:val="none"/>
        </w:rPr>
        <w:t>伍无</w:t>
      </w:r>
      <w:r>
        <w:rPr>
          <w:rFonts w:hint="eastAsia" w:ascii="宋体" w:cs="宋体"/>
          <w:color w:val="auto"/>
          <w:highlight w:val="none"/>
        </w:rPr>
        <w:t>条</w:t>
      </w:r>
      <w:r>
        <w:rPr>
          <w:rFonts w:hint="eastAsia" w:ascii="宋体" w:cs="Dotum"/>
          <w:color w:val="auto"/>
          <w:highlight w:val="none"/>
        </w:rPr>
        <w:t>件退出</w:t>
      </w:r>
      <w:r>
        <w:rPr>
          <w:rFonts w:hint="eastAsia" w:ascii="宋体" w:cs="宋体"/>
          <w:color w:val="auto"/>
          <w:highlight w:val="none"/>
        </w:rPr>
        <w:t>现场</w:t>
      </w:r>
      <w:r>
        <w:rPr>
          <w:rFonts w:hint="eastAsia" w:ascii="宋体" w:cs="Dotum"/>
          <w:color w:val="auto"/>
          <w:highlight w:val="none"/>
        </w:rPr>
        <w:t>，</w:t>
      </w:r>
      <w:r>
        <w:rPr>
          <w:rFonts w:hint="eastAsia" w:ascii="宋体" w:cs="宋体"/>
          <w:color w:val="auto"/>
          <w:highlight w:val="none"/>
        </w:rPr>
        <w:t>并</w:t>
      </w:r>
      <w:r>
        <w:rPr>
          <w:rFonts w:hint="eastAsia" w:ascii="宋体" w:cs="Dotum"/>
          <w:color w:val="auto"/>
          <w:highlight w:val="none"/>
        </w:rPr>
        <w:t>承担由此引起的一切</w:t>
      </w:r>
      <w:r>
        <w:rPr>
          <w:rFonts w:hint="eastAsia" w:ascii="宋体" w:cs="宋体"/>
          <w:color w:val="auto"/>
          <w:highlight w:val="none"/>
        </w:rPr>
        <w:t>责</w:t>
      </w:r>
      <w:r>
        <w:rPr>
          <w:rFonts w:hint="eastAsia" w:ascii="宋体" w:cs="Dotum"/>
          <w:color w:val="auto"/>
          <w:highlight w:val="none"/>
        </w:rPr>
        <w:t>任。</w:t>
      </w:r>
    </w:p>
    <w:p w14:paraId="7359A7A6">
      <w:pPr>
        <w:spacing w:line="360" w:lineRule="exact"/>
        <w:ind w:firstLine="420" w:firstLineChars="200"/>
        <w:rPr>
          <w:rFonts w:ascii="宋体"/>
          <w:color w:val="auto"/>
          <w:highlight w:val="none"/>
        </w:rPr>
      </w:pPr>
      <w:r>
        <w:rPr>
          <w:rFonts w:ascii="宋体"/>
          <w:color w:val="auto"/>
          <w:highlight w:val="none"/>
        </w:rPr>
        <w:t>21.4</w:t>
      </w:r>
      <w:r>
        <w:rPr>
          <w:rFonts w:hint="eastAsia" w:ascii="宋体"/>
          <w:color w:val="auto"/>
          <w:highlight w:val="none"/>
        </w:rPr>
        <w:t>如因政策性原因</w:t>
      </w:r>
      <w:r>
        <w:rPr>
          <w:rFonts w:hint="eastAsia" w:ascii="宋体" w:cs="宋体"/>
          <w:color w:val="auto"/>
          <w:highlight w:val="none"/>
        </w:rPr>
        <w:t>导</w:t>
      </w:r>
      <w:r>
        <w:rPr>
          <w:rFonts w:hint="eastAsia" w:ascii="宋体" w:cs="Dotum"/>
          <w:color w:val="auto"/>
          <w:highlight w:val="none"/>
        </w:rPr>
        <w:t>致</w:t>
      </w:r>
      <w:r>
        <w:rPr>
          <w:rFonts w:hint="eastAsia" w:ascii="宋体" w:cs="宋体"/>
          <w:color w:val="auto"/>
          <w:highlight w:val="none"/>
        </w:rPr>
        <w:t>开</w:t>
      </w:r>
      <w:r>
        <w:rPr>
          <w:rFonts w:hint="eastAsia" w:ascii="宋体" w:cs="Dotum"/>
          <w:color w:val="auto"/>
          <w:highlight w:val="none"/>
        </w:rPr>
        <w:t>工延</w:t>
      </w:r>
      <w:r>
        <w:rPr>
          <w:rFonts w:hint="eastAsia" w:ascii="宋体" w:cs="宋体"/>
          <w:color w:val="auto"/>
          <w:highlight w:val="none"/>
        </w:rPr>
        <w:t>误</w:t>
      </w:r>
      <w:r>
        <w:rPr>
          <w:rFonts w:hint="eastAsia" w:ascii="宋体" w:cs="Dotum"/>
          <w:color w:val="auto"/>
          <w:highlight w:val="none"/>
        </w:rPr>
        <w:t>或无法</w:t>
      </w:r>
      <w:r>
        <w:rPr>
          <w:rFonts w:hint="eastAsia" w:ascii="宋体" w:cs="宋体"/>
          <w:color w:val="auto"/>
          <w:highlight w:val="none"/>
        </w:rPr>
        <w:t>开</w:t>
      </w:r>
      <w:r>
        <w:rPr>
          <w:rFonts w:hint="eastAsia" w:ascii="宋体" w:cs="Dotum"/>
          <w:color w:val="auto"/>
          <w:highlight w:val="none"/>
        </w:rPr>
        <w:t>工，</w:t>
      </w:r>
      <w:r>
        <w:rPr>
          <w:rFonts w:hint="eastAsia" w:ascii="宋体" w:cs="宋体"/>
          <w:color w:val="auto"/>
          <w:highlight w:val="none"/>
        </w:rPr>
        <w:t>发</w:t>
      </w:r>
      <w:r>
        <w:rPr>
          <w:rFonts w:hint="eastAsia" w:ascii="宋体" w:cs="Dotum"/>
          <w:color w:val="auto"/>
          <w:highlight w:val="none"/>
        </w:rPr>
        <w:t>包方不支付</w:t>
      </w:r>
      <w:r>
        <w:rPr>
          <w:rFonts w:hint="eastAsia" w:ascii="宋体" w:cs="宋体"/>
          <w:color w:val="auto"/>
          <w:highlight w:val="none"/>
        </w:rPr>
        <w:t>赔偿</w:t>
      </w:r>
      <w:r>
        <w:rPr>
          <w:rFonts w:hint="eastAsia" w:ascii="宋体" w:cs="Dotum"/>
          <w:color w:val="auto"/>
          <w:highlight w:val="none"/>
        </w:rPr>
        <w:t>或</w:t>
      </w:r>
      <w:r>
        <w:rPr>
          <w:rFonts w:hint="eastAsia" w:ascii="宋体" w:cs="宋体"/>
          <w:color w:val="auto"/>
          <w:highlight w:val="none"/>
        </w:rPr>
        <w:t>补偿</w:t>
      </w:r>
      <w:r>
        <w:rPr>
          <w:rFonts w:hint="eastAsia" w:ascii="宋体" w:cs="Dotum"/>
          <w:color w:val="auto"/>
          <w:highlight w:val="none"/>
        </w:rPr>
        <w:t>，</w:t>
      </w:r>
      <w:r>
        <w:rPr>
          <w:rFonts w:hint="eastAsia" w:ascii="宋体" w:cs="宋体"/>
          <w:color w:val="auto"/>
          <w:highlight w:val="none"/>
        </w:rPr>
        <w:t>并</w:t>
      </w:r>
      <w:r>
        <w:rPr>
          <w:rFonts w:hint="eastAsia" w:ascii="宋体" w:cs="Dotum"/>
          <w:color w:val="auto"/>
          <w:highlight w:val="none"/>
        </w:rPr>
        <w:t>可根据政策要求延</w:t>
      </w:r>
      <w:r>
        <w:rPr>
          <w:rFonts w:hint="eastAsia" w:ascii="宋体" w:cs="宋体"/>
          <w:color w:val="auto"/>
          <w:highlight w:val="none"/>
        </w:rPr>
        <w:t>时开</w:t>
      </w:r>
      <w:r>
        <w:rPr>
          <w:rFonts w:hint="eastAsia" w:ascii="宋体" w:cs="Dotum"/>
          <w:color w:val="auto"/>
          <w:highlight w:val="none"/>
        </w:rPr>
        <w:t>工或取消合同。</w:t>
      </w:r>
    </w:p>
    <w:p w14:paraId="211C13B3">
      <w:pPr>
        <w:spacing w:line="360" w:lineRule="exact"/>
        <w:ind w:firstLine="420" w:firstLineChars="200"/>
        <w:rPr>
          <w:rFonts w:ascii="宋体"/>
          <w:color w:val="auto"/>
          <w:highlight w:val="none"/>
        </w:rPr>
      </w:pPr>
      <w:r>
        <w:rPr>
          <w:rFonts w:ascii="宋体"/>
          <w:color w:val="auto"/>
          <w:highlight w:val="none"/>
        </w:rPr>
        <w:t>21.5</w:t>
      </w:r>
      <w:r>
        <w:rPr>
          <w:rFonts w:hint="eastAsia" w:ascii="宋体"/>
          <w:color w:val="auto"/>
          <w:highlight w:val="none"/>
        </w:rPr>
        <w:t>承包人若不能按</w:t>
      </w:r>
      <w:r>
        <w:rPr>
          <w:rFonts w:hint="eastAsia" w:ascii="宋体" w:cs="宋体"/>
          <w:color w:val="auto"/>
          <w:highlight w:val="none"/>
        </w:rPr>
        <w:t>发</w:t>
      </w:r>
      <w:r>
        <w:rPr>
          <w:rFonts w:hint="eastAsia" w:ascii="宋体" w:cs="Dotum"/>
          <w:color w:val="auto"/>
          <w:highlight w:val="none"/>
        </w:rPr>
        <w:t>包人</w:t>
      </w:r>
      <w:r>
        <w:rPr>
          <w:rFonts w:hint="eastAsia" w:ascii="宋体" w:cs="宋体"/>
          <w:color w:val="auto"/>
          <w:highlight w:val="none"/>
        </w:rPr>
        <w:t>认</w:t>
      </w:r>
      <w:r>
        <w:rPr>
          <w:rFonts w:hint="eastAsia" w:ascii="宋体" w:cs="Dotum"/>
          <w:color w:val="auto"/>
          <w:highlight w:val="none"/>
        </w:rPr>
        <w:t>可的月</w:t>
      </w:r>
      <w:r>
        <w:rPr>
          <w:rFonts w:hint="eastAsia" w:ascii="宋体" w:cs="宋体"/>
          <w:color w:val="auto"/>
          <w:highlight w:val="none"/>
        </w:rPr>
        <w:t>进</w:t>
      </w:r>
      <w:r>
        <w:rPr>
          <w:rFonts w:hint="eastAsia" w:ascii="宋体" w:cs="Dotum"/>
          <w:color w:val="auto"/>
          <w:highlight w:val="none"/>
        </w:rPr>
        <w:t>度</w:t>
      </w:r>
      <w:r>
        <w:rPr>
          <w:rFonts w:hint="eastAsia" w:ascii="宋体" w:cs="宋体"/>
          <w:color w:val="auto"/>
          <w:highlight w:val="none"/>
        </w:rPr>
        <w:t>计划</w:t>
      </w:r>
      <w:r>
        <w:rPr>
          <w:rFonts w:hint="eastAsia" w:ascii="宋体" w:cs="Dotum"/>
          <w:color w:val="auto"/>
          <w:highlight w:val="none"/>
        </w:rPr>
        <w:t>完成施工任</w:t>
      </w:r>
      <w:r>
        <w:rPr>
          <w:rFonts w:hint="eastAsia" w:ascii="宋体" w:cs="宋体"/>
          <w:color w:val="auto"/>
          <w:highlight w:val="none"/>
        </w:rPr>
        <w:t>务</w:t>
      </w:r>
      <w:r>
        <w:rPr>
          <w:rFonts w:hint="eastAsia" w:ascii="宋体" w:cs="Dotum"/>
          <w:color w:val="auto"/>
          <w:highlight w:val="none"/>
        </w:rPr>
        <w:t>，</w:t>
      </w:r>
      <w:r>
        <w:rPr>
          <w:rFonts w:hint="eastAsia" w:ascii="宋体" w:cs="宋体"/>
          <w:color w:val="auto"/>
          <w:highlight w:val="none"/>
        </w:rPr>
        <w:t>经监</w:t>
      </w:r>
      <w:r>
        <w:rPr>
          <w:rFonts w:hint="eastAsia" w:ascii="宋体" w:cs="Dotum"/>
          <w:color w:val="auto"/>
          <w:highlight w:val="none"/>
        </w:rPr>
        <w:t>理工程</w:t>
      </w:r>
      <w:r>
        <w:rPr>
          <w:rFonts w:hint="eastAsia" w:ascii="宋体" w:cs="宋体"/>
          <w:color w:val="auto"/>
          <w:highlight w:val="none"/>
        </w:rPr>
        <w:t>师</w:t>
      </w:r>
      <w:r>
        <w:rPr>
          <w:rFonts w:hint="eastAsia" w:ascii="宋体" w:cs="Dotum"/>
          <w:color w:val="auto"/>
          <w:highlight w:val="none"/>
        </w:rPr>
        <w:t>或</w:t>
      </w:r>
      <w:r>
        <w:rPr>
          <w:rFonts w:hint="eastAsia" w:ascii="宋体" w:cs="宋体"/>
          <w:color w:val="auto"/>
          <w:highlight w:val="none"/>
        </w:rPr>
        <w:t>发</w:t>
      </w:r>
      <w:r>
        <w:rPr>
          <w:rFonts w:hint="eastAsia" w:ascii="宋体" w:cs="Dotum"/>
          <w:color w:val="auto"/>
          <w:highlight w:val="none"/>
        </w:rPr>
        <w:t>包方</w:t>
      </w:r>
      <w:r>
        <w:rPr>
          <w:rFonts w:hint="eastAsia" w:ascii="宋体" w:cs="宋体"/>
          <w:color w:val="auto"/>
          <w:highlight w:val="none"/>
        </w:rPr>
        <w:t>发</w:t>
      </w:r>
      <w:r>
        <w:rPr>
          <w:rFonts w:hint="eastAsia" w:ascii="宋体" w:cs="Dotum"/>
          <w:color w:val="auto"/>
          <w:highlight w:val="none"/>
        </w:rPr>
        <w:t>出整改通知</w:t>
      </w:r>
      <w:r>
        <w:rPr>
          <w:rFonts w:ascii="宋体"/>
          <w:color w:val="auto"/>
          <w:highlight w:val="none"/>
        </w:rPr>
        <w:t>3</w:t>
      </w:r>
      <w:r>
        <w:rPr>
          <w:rFonts w:hint="eastAsia" w:ascii="宋体"/>
          <w:color w:val="auto"/>
          <w:highlight w:val="none"/>
        </w:rPr>
        <w:t>天后无明</w:t>
      </w:r>
      <w:r>
        <w:rPr>
          <w:rFonts w:hint="eastAsia" w:ascii="宋体" w:cs="宋体"/>
          <w:color w:val="auto"/>
          <w:highlight w:val="none"/>
        </w:rPr>
        <w:t>显</w:t>
      </w:r>
      <w:r>
        <w:rPr>
          <w:rFonts w:hint="eastAsia" w:ascii="宋体" w:cs="Dotum"/>
          <w:color w:val="auto"/>
          <w:highlight w:val="none"/>
        </w:rPr>
        <w:t>改</w:t>
      </w:r>
      <w:r>
        <w:rPr>
          <w:rFonts w:hint="eastAsia" w:ascii="宋体" w:cs="宋体"/>
          <w:color w:val="auto"/>
          <w:highlight w:val="none"/>
        </w:rPr>
        <w:t>进</w:t>
      </w:r>
      <w:r>
        <w:rPr>
          <w:rFonts w:hint="eastAsia" w:ascii="宋体" w:cs="Dotum"/>
          <w:color w:val="auto"/>
          <w:highlight w:val="none"/>
        </w:rPr>
        <w:t>措施和效果，</w:t>
      </w:r>
      <w:r>
        <w:rPr>
          <w:rFonts w:hint="eastAsia" w:ascii="宋体" w:cs="宋体"/>
          <w:color w:val="auto"/>
          <w:highlight w:val="none"/>
        </w:rPr>
        <w:t>视为违约</w:t>
      </w:r>
      <w:r>
        <w:rPr>
          <w:rFonts w:hint="eastAsia" w:ascii="宋体" w:cs="Dotum"/>
          <w:color w:val="auto"/>
          <w:highlight w:val="none"/>
        </w:rPr>
        <w:t>，</w:t>
      </w:r>
      <w:r>
        <w:rPr>
          <w:rFonts w:hint="eastAsia" w:ascii="宋体" w:cs="宋体"/>
          <w:color w:val="auto"/>
          <w:highlight w:val="none"/>
        </w:rPr>
        <w:t>发</w:t>
      </w:r>
      <w:r>
        <w:rPr>
          <w:rFonts w:hint="eastAsia" w:ascii="宋体" w:cs="Dotum"/>
          <w:color w:val="auto"/>
          <w:highlight w:val="none"/>
        </w:rPr>
        <w:t>包人有</w:t>
      </w:r>
      <w:r>
        <w:rPr>
          <w:rFonts w:hint="eastAsia" w:ascii="宋体" w:cs="宋体"/>
          <w:color w:val="auto"/>
          <w:highlight w:val="none"/>
        </w:rPr>
        <w:t>权</w:t>
      </w:r>
      <w:r>
        <w:rPr>
          <w:rFonts w:hint="eastAsia" w:ascii="宋体" w:cs="Dotum"/>
          <w:color w:val="auto"/>
          <w:highlight w:val="none"/>
        </w:rPr>
        <w:t>直接</w:t>
      </w:r>
      <w:r>
        <w:rPr>
          <w:rFonts w:hint="eastAsia" w:ascii="宋体" w:cs="宋体"/>
          <w:color w:val="auto"/>
          <w:highlight w:val="none"/>
        </w:rPr>
        <w:t>从</w:t>
      </w:r>
      <w:r>
        <w:rPr>
          <w:rFonts w:hint="eastAsia" w:ascii="宋体" w:cs="Dotum"/>
          <w:color w:val="auto"/>
          <w:highlight w:val="none"/>
        </w:rPr>
        <w:t>履</w:t>
      </w:r>
      <w:r>
        <w:rPr>
          <w:rFonts w:hint="eastAsia" w:ascii="宋体" w:cs="宋体"/>
          <w:color w:val="auto"/>
          <w:highlight w:val="none"/>
        </w:rPr>
        <w:t>约</w:t>
      </w:r>
      <w:r>
        <w:rPr>
          <w:rFonts w:hint="eastAsia" w:ascii="宋体" w:cs="Dotum"/>
          <w:color w:val="auto"/>
          <w:highlight w:val="none"/>
        </w:rPr>
        <w:t>保</w:t>
      </w:r>
      <w:r>
        <w:rPr>
          <w:rFonts w:hint="eastAsia" w:ascii="宋体" w:cs="宋体"/>
          <w:color w:val="auto"/>
          <w:highlight w:val="none"/>
        </w:rPr>
        <w:t>证</w:t>
      </w:r>
      <w:r>
        <w:rPr>
          <w:rFonts w:hint="eastAsia" w:ascii="宋体" w:cs="Dotum"/>
          <w:color w:val="auto"/>
          <w:highlight w:val="none"/>
        </w:rPr>
        <w:t>金中扣除承包人</w:t>
      </w:r>
      <w:r>
        <w:rPr>
          <w:rFonts w:ascii="宋体"/>
          <w:color w:val="auto"/>
          <w:highlight w:val="none"/>
        </w:rPr>
        <w:t>1</w:t>
      </w:r>
      <w:r>
        <w:rPr>
          <w:rFonts w:hint="eastAsia" w:ascii="宋体"/>
          <w:color w:val="auto"/>
          <w:highlight w:val="none"/>
        </w:rPr>
        <w:t>万元</w:t>
      </w:r>
      <w:r>
        <w:rPr>
          <w:rFonts w:ascii="宋体"/>
          <w:color w:val="auto"/>
          <w:highlight w:val="none"/>
        </w:rPr>
        <w:t>/</w:t>
      </w:r>
      <w:r>
        <w:rPr>
          <w:rFonts w:hint="eastAsia" w:ascii="宋体"/>
          <w:color w:val="auto"/>
          <w:highlight w:val="none"/>
        </w:rPr>
        <w:t>天的</w:t>
      </w:r>
      <w:r>
        <w:rPr>
          <w:rFonts w:hint="eastAsia" w:ascii="宋体" w:cs="宋体"/>
          <w:color w:val="auto"/>
          <w:highlight w:val="none"/>
        </w:rPr>
        <w:t>违约</w:t>
      </w:r>
      <w:r>
        <w:rPr>
          <w:rFonts w:hint="eastAsia" w:ascii="宋体" w:cs="Dotum"/>
          <w:color w:val="auto"/>
          <w:highlight w:val="none"/>
        </w:rPr>
        <w:t>金，也可要求施工方直接到</w:t>
      </w:r>
      <w:r>
        <w:rPr>
          <w:rFonts w:hint="eastAsia" w:ascii="宋体" w:cs="宋体"/>
          <w:color w:val="auto"/>
          <w:highlight w:val="none"/>
        </w:rPr>
        <w:t>学</w:t>
      </w:r>
      <w:r>
        <w:rPr>
          <w:rFonts w:hint="eastAsia" w:ascii="宋体" w:cs="Dotum"/>
          <w:color w:val="auto"/>
          <w:highlight w:val="none"/>
        </w:rPr>
        <w:t>校</w:t>
      </w:r>
      <w:r>
        <w:rPr>
          <w:rFonts w:hint="eastAsia" w:ascii="宋体" w:cs="宋体"/>
          <w:color w:val="auto"/>
          <w:highlight w:val="none"/>
        </w:rPr>
        <w:t>财务处</w:t>
      </w:r>
      <w:r>
        <w:rPr>
          <w:rFonts w:hint="eastAsia" w:ascii="宋体" w:cs="Dotum"/>
          <w:color w:val="auto"/>
          <w:highlight w:val="none"/>
        </w:rPr>
        <w:t>交</w:t>
      </w:r>
      <w:r>
        <w:rPr>
          <w:rFonts w:hint="eastAsia" w:ascii="宋体" w:cs="宋体"/>
          <w:color w:val="auto"/>
          <w:highlight w:val="none"/>
        </w:rPr>
        <w:t>现</w:t>
      </w:r>
      <w:r>
        <w:rPr>
          <w:rFonts w:hint="eastAsia" w:ascii="宋体" w:cs="Dotum"/>
          <w:color w:val="auto"/>
          <w:highlight w:val="none"/>
        </w:rPr>
        <w:t>金，直至切</w:t>
      </w:r>
      <w:r>
        <w:rPr>
          <w:rFonts w:hint="eastAsia" w:ascii="宋体" w:cs="宋体"/>
          <w:color w:val="auto"/>
          <w:highlight w:val="none"/>
        </w:rPr>
        <w:t>实</w:t>
      </w:r>
      <w:r>
        <w:rPr>
          <w:rFonts w:hint="eastAsia" w:ascii="宋体" w:cs="Dotum"/>
          <w:color w:val="auto"/>
          <w:highlight w:val="none"/>
        </w:rPr>
        <w:t>改</w:t>
      </w:r>
      <w:r>
        <w:rPr>
          <w:rFonts w:hint="eastAsia" w:ascii="宋体" w:cs="宋体"/>
          <w:color w:val="auto"/>
          <w:highlight w:val="none"/>
        </w:rPr>
        <w:t>进并</w:t>
      </w:r>
      <w:r>
        <w:rPr>
          <w:rFonts w:hint="eastAsia" w:ascii="宋体" w:cs="Dotum"/>
          <w:color w:val="auto"/>
          <w:highlight w:val="none"/>
        </w:rPr>
        <w:t>有明</w:t>
      </w:r>
      <w:r>
        <w:rPr>
          <w:rFonts w:hint="eastAsia" w:ascii="宋体" w:cs="宋体"/>
          <w:color w:val="auto"/>
          <w:highlight w:val="none"/>
        </w:rPr>
        <w:t>显</w:t>
      </w:r>
      <w:r>
        <w:rPr>
          <w:rFonts w:hint="eastAsia" w:ascii="宋体" w:cs="Dotum"/>
          <w:color w:val="auto"/>
          <w:highlight w:val="none"/>
        </w:rPr>
        <w:t>效果。承包人不按</w:t>
      </w:r>
      <w:r>
        <w:rPr>
          <w:rFonts w:hint="eastAsia" w:ascii="宋体" w:cs="宋体"/>
          <w:color w:val="auto"/>
          <w:highlight w:val="none"/>
        </w:rPr>
        <w:t>时</w:t>
      </w:r>
      <w:r>
        <w:rPr>
          <w:rFonts w:hint="eastAsia" w:ascii="宋体" w:cs="Dotum"/>
          <w:color w:val="auto"/>
          <w:highlight w:val="none"/>
        </w:rPr>
        <w:t>提交月</w:t>
      </w:r>
      <w:r>
        <w:rPr>
          <w:rFonts w:hint="eastAsia" w:ascii="宋体" w:cs="宋体"/>
          <w:color w:val="auto"/>
          <w:highlight w:val="none"/>
        </w:rPr>
        <w:t>进</w:t>
      </w:r>
      <w:r>
        <w:rPr>
          <w:rFonts w:hint="eastAsia" w:ascii="宋体" w:cs="Dotum"/>
          <w:color w:val="auto"/>
          <w:highlight w:val="none"/>
        </w:rPr>
        <w:t>度</w:t>
      </w:r>
      <w:r>
        <w:rPr>
          <w:rFonts w:hint="eastAsia" w:ascii="宋体" w:cs="宋体"/>
          <w:color w:val="auto"/>
          <w:highlight w:val="none"/>
        </w:rPr>
        <w:t>计划</w:t>
      </w:r>
      <w:r>
        <w:rPr>
          <w:rFonts w:hint="eastAsia" w:ascii="宋体" w:cs="Dotum"/>
          <w:color w:val="auto"/>
          <w:highlight w:val="none"/>
        </w:rPr>
        <w:t>，</w:t>
      </w:r>
      <w:r>
        <w:rPr>
          <w:rFonts w:hint="eastAsia" w:ascii="宋体" w:cs="宋体"/>
          <w:color w:val="auto"/>
          <w:highlight w:val="none"/>
        </w:rPr>
        <w:t>视为违约</w:t>
      </w:r>
      <w:r>
        <w:rPr>
          <w:rFonts w:hint="eastAsia" w:ascii="宋体" w:cs="Dotum"/>
          <w:color w:val="auto"/>
          <w:highlight w:val="none"/>
        </w:rPr>
        <w:t>，每次直接</w:t>
      </w:r>
      <w:r>
        <w:rPr>
          <w:rFonts w:hint="eastAsia" w:ascii="宋体" w:cs="宋体"/>
          <w:color w:val="auto"/>
          <w:highlight w:val="none"/>
        </w:rPr>
        <w:t>从</w:t>
      </w:r>
      <w:r>
        <w:rPr>
          <w:rFonts w:hint="eastAsia" w:ascii="宋体" w:cs="Dotum"/>
          <w:color w:val="auto"/>
          <w:highlight w:val="none"/>
        </w:rPr>
        <w:t>履</w:t>
      </w:r>
      <w:r>
        <w:rPr>
          <w:rFonts w:hint="eastAsia" w:ascii="宋体" w:cs="宋体"/>
          <w:color w:val="auto"/>
          <w:highlight w:val="none"/>
        </w:rPr>
        <w:t>约</w:t>
      </w:r>
      <w:r>
        <w:rPr>
          <w:rFonts w:hint="eastAsia" w:ascii="宋体" w:cs="Dotum"/>
          <w:color w:val="auto"/>
          <w:highlight w:val="none"/>
        </w:rPr>
        <w:t>保</w:t>
      </w:r>
      <w:r>
        <w:rPr>
          <w:rFonts w:hint="eastAsia" w:ascii="宋体" w:cs="宋体"/>
          <w:color w:val="auto"/>
          <w:highlight w:val="none"/>
        </w:rPr>
        <w:t>证</w:t>
      </w:r>
      <w:r>
        <w:rPr>
          <w:rFonts w:hint="eastAsia" w:ascii="宋体" w:cs="Dotum"/>
          <w:color w:val="auto"/>
          <w:highlight w:val="none"/>
        </w:rPr>
        <w:t>金中扣除承包人</w:t>
      </w:r>
      <w:r>
        <w:rPr>
          <w:rFonts w:ascii="宋体"/>
          <w:color w:val="auto"/>
          <w:highlight w:val="none"/>
        </w:rPr>
        <w:t>2</w:t>
      </w:r>
      <w:r>
        <w:rPr>
          <w:rFonts w:hint="eastAsia" w:ascii="宋体"/>
          <w:color w:val="auto"/>
          <w:highlight w:val="none"/>
        </w:rPr>
        <w:t>万元的</w:t>
      </w:r>
      <w:r>
        <w:rPr>
          <w:rFonts w:hint="eastAsia" w:ascii="宋体" w:cs="宋体"/>
          <w:color w:val="auto"/>
          <w:highlight w:val="none"/>
        </w:rPr>
        <w:t>违约</w:t>
      </w:r>
      <w:r>
        <w:rPr>
          <w:rFonts w:hint="eastAsia" w:ascii="宋体" w:cs="Dotum"/>
          <w:color w:val="auto"/>
          <w:highlight w:val="none"/>
        </w:rPr>
        <w:t>金，也可要求施工方直接到</w:t>
      </w:r>
      <w:r>
        <w:rPr>
          <w:rFonts w:hint="eastAsia" w:ascii="宋体" w:cs="宋体"/>
          <w:color w:val="auto"/>
          <w:highlight w:val="none"/>
        </w:rPr>
        <w:t>学</w:t>
      </w:r>
      <w:r>
        <w:rPr>
          <w:rFonts w:hint="eastAsia" w:ascii="宋体" w:cs="Dotum"/>
          <w:color w:val="auto"/>
          <w:highlight w:val="none"/>
        </w:rPr>
        <w:t>校</w:t>
      </w:r>
      <w:r>
        <w:rPr>
          <w:rFonts w:hint="eastAsia" w:ascii="宋体" w:cs="宋体"/>
          <w:color w:val="auto"/>
          <w:highlight w:val="none"/>
        </w:rPr>
        <w:t>财务处</w:t>
      </w:r>
      <w:r>
        <w:rPr>
          <w:rFonts w:hint="eastAsia" w:ascii="宋体" w:cs="Dotum"/>
          <w:color w:val="auto"/>
          <w:highlight w:val="none"/>
        </w:rPr>
        <w:t>交</w:t>
      </w:r>
      <w:r>
        <w:rPr>
          <w:rFonts w:hint="eastAsia" w:ascii="宋体" w:cs="宋体"/>
          <w:color w:val="auto"/>
          <w:highlight w:val="none"/>
        </w:rPr>
        <w:t>现</w:t>
      </w:r>
      <w:r>
        <w:rPr>
          <w:rFonts w:hint="eastAsia" w:ascii="宋体" w:cs="Dotum"/>
          <w:color w:val="auto"/>
          <w:highlight w:val="none"/>
        </w:rPr>
        <w:t>金，</w:t>
      </w:r>
      <w:r>
        <w:rPr>
          <w:rFonts w:hint="eastAsia" w:ascii="宋体" w:cs="宋体"/>
          <w:color w:val="auto"/>
          <w:highlight w:val="none"/>
        </w:rPr>
        <w:t>并</w:t>
      </w:r>
      <w:r>
        <w:rPr>
          <w:rFonts w:hint="eastAsia" w:ascii="宋体" w:cs="Dotum"/>
          <w:color w:val="auto"/>
          <w:highlight w:val="none"/>
        </w:rPr>
        <w:t>承担工期延</w:t>
      </w:r>
      <w:r>
        <w:rPr>
          <w:rFonts w:hint="eastAsia" w:ascii="宋体" w:cs="宋体"/>
          <w:color w:val="auto"/>
          <w:highlight w:val="none"/>
        </w:rPr>
        <w:t>误</w:t>
      </w:r>
      <w:r>
        <w:rPr>
          <w:rFonts w:hint="eastAsia" w:ascii="宋体" w:cs="Dotum"/>
          <w:color w:val="auto"/>
          <w:highlight w:val="none"/>
        </w:rPr>
        <w:t>的一切</w:t>
      </w:r>
      <w:r>
        <w:rPr>
          <w:rFonts w:hint="eastAsia" w:ascii="宋体" w:cs="宋体"/>
          <w:color w:val="auto"/>
          <w:highlight w:val="none"/>
        </w:rPr>
        <w:t>责</w:t>
      </w:r>
      <w:r>
        <w:rPr>
          <w:rFonts w:hint="eastAsia" w:ascii="宋体" w:cs="Dotum"/>
          <w:color w:val="auto"/>
          <w:highlight w:val="none"/>
        </w:rPr>
        <w:t>任。</w:t>
      </w:r>
    </w:p>
    <w:p w14:paraId="22C97220">
      <w:pPr>
        <w:spacing w:line="360" w:lineRule="exact"/>
        <w:ind w:firstLine="420" w:firstLineChars="200"/>
        <w:rPr>
          <w:rFonts w:ascii="宋体"/>
          <w:color w:val="auto"/>
          <w:highlight w:val="none"/>
        </w:rPr>
      </w:pPr>
      <w:r>
        <w:rPr>
          <w:rFonts w:ascii="宋体"/>
          <w:color w:val="auto"/>
          <w:highlight w:val="none"/>
        </w:rPr>
        <w:t>21.6</w:t>
      </w:r>
      <w:r>
        <w:rPr>
          <w:rFonts w:hint="eastAsia" w:ascii="宋体"/>
          <w:color w:val="auto"/>
          <w:highlight w:val="none"/>
        </w:rPr>
        <w:t>工程</w:t>
      </w:r>
      <w:r>
        <w:rPr>
          <w:rFonts w:hint="eastAsia" w:ascii="宋体" w:cs="宋体"/>
          <w:color w:val="auto"/>
          <w:highlight w:val="none"/>
        </w:rPr>
        <w:t>结</w:t>
      </w:r>
      <w:r>
        <w:rPr>
          <w:rFonts w:hint="eastAsia" w:ascii="宋体" w:cs="Dotum"/>
          <w:color w:val="auto"/>
          <w:highlight w:val="none"/>
        </w:rPr>
        <w:t>算</w:t>
      </w:r>
      <w:r>
        <w:rPr>
          <w:rFonts w:hint="eastAsia" w:ascii="宋体" w:cs="宋体"/>
          <w:color w:val="auto"/>
          <w:highlight w:val="none"/>
        </w:rPr>
        <w:t>审</w:t>
      </w:r>
      <w:r>
        <w:rPr>
          <w:rFonts w:hint="eastAsia" w:ascii="宋体" w:cs="Dotum"/>
          <w:color w:val="auto"/>
          <w:highlight w:val="none"/>
        </w:rPr>
        <w:t>核，</w:t>
      </w:r>
      <w:r>
        <w:rPr>
          <w:rFonts w:hint="eastAsia" w:ascii="宋体" w:cs="宋体"/>
          <w:color w:val="auto"/>
          <w:highlight w:val="none"/>
        </w:rPr>
        <w:t>审减额</w:t>
      </w:r>
      <w:r>
        <w:rPr>
          <w:rFonts w:hint="eastAsia" w:ascii="宋体" w:cs="Dotum"/>
          <w:color w:val="auto"/>
          <w:highlight w:val="none"/>
        </w:rPr>
        <w:t>超</w:t>
      </w:r>
      <w:r>
        <w:rPr>
          <w:rFonts w:hint="eastAsia" w:ascii="宋体" w:cs="宋体"/>
          <w:color w:val="auto"/>
          <w:highlight w:val="none"/>
        </w:rPr>
        <w:t>过</w:t>
      </w:r>
      <w:r>
        <w:rPr>
          <w:rFonts w:hint="eastAsia" w:ascii="宋体" w:cs="Dotum"/>
          <w:color w:val="auto"/>
          <w:highlight w:val="none"/>
        </w:rPr>
        <w:t>送</w:t>
      </w:r>
      <w:r>
        <w:rPr>
          <w:rFonts w:hint="eastAsia" w:ascii="宋体" w:cs="宋体"/>
          <w:color w:val="auto"/>
          <w:highlight w:val="none"/>
        </w:rPr>
        <w:t>审额</w:t>
      </w:r>
      <w:r>
        <w:rPr>
          <w:rFonts w:ascii="宋体"/>
          <w:color w:val="auto"/>
          <w:highlight w:val="none"/>
        </w:rPr>
        <w:t>5</w:t>
      </w:r>
      <w:r>
        <w:rPr>
          <w:rFonts w:hint="eastAsia" w:ascii="宋体"/>
          <w:color w:val="auto"/>
          <w:highlight w:val="none"/>
        </w:rPr>
        <w:t>％部分，由承包人支付相</w:t>
      </w:r>
      <w:r>
        <w:rPr>
          <w:rFonts w:hint="eastAsia" w:ascii="宋体" w:cs="宋体"/>
          <w:color w:val="auto"/>
          <w:highlight w:val="none"/>
        </w:rPr>
        <w:t>应</w:t>
      </w:r>
      <w:r>
        <w:rPr>
          <w:rFonts w:hint="eastAsia" w:ascii="宋体" w:cs="Dotum"/>
          <w:color w:val="auto"/>
          <w:highlight w:val="none"/>
        </w:rPr>
        <w:t>的</w:t>
      </w:r>
      <w:r>
        <w:rPr>
          <w:rFonts w:hint="eastAsia" w:ascii="宋体" w:cs="宋体"/>
          <w:color w:val="auto"/>
          <w:highlight w:val="none"/>
        </w:rPr>
        <w:t>审核费</w:t>
      </w:r>
      <w:r>
        <w:rPr>
          <w:rFonts w:hint="eastAsia" w:ascii="宋体" w:cs="Dotum"/>
          <w:color w:val="auto"/>
          <w:highlight w:val="none"/>
        </w:rPr>
        <w:t>，如</w:t>
      </w:r>
      <w:r>
        <w:rPr>
          <w:rFonts w:hint="eastAsia" w:ascii="宋体" w:cs="宋体"/>
          <w:color w:val="auto"/>
          <w:highlight w:val="none"/>
        </w:rPr>
        <w:t>审减额</w:t>
      </w:r>
      <w:r>
        <w:rPr>
          <w:rFonts w:hint="eastAsia" w:ascii="宋体" w:cs="宋体"/>
          <w:color w:val="auto"/>
          <w:highlight w:val="none"/>
          <w:lang w:eastAsia="zh-CN"/>
        </w:rPr>
        <w:t>超过</w:t>
      </w:r>
      <w:r>
        <w:rPr>
          <w:rFonts w:ascii="宋体"/>
          <w:color w:val="auto"/>
          <w:highlight w:val="none"/>
        </w:rPr>
        <w:t>15%</w:t>
      </w:r>
      <w:r>
        <w:rPr>
          <w:rFonts w:hint="eastAsia" w:ascii="宋体"/>
          <w:color w:val="auto"/>
          <w:highlight w:val="none"/>
        </w:rPr>
        <w:t>，承包人除承担全部的</w:t>
      </w:r>
      <w:r>
        <w:rPr>
          <w:rFonts w:hint="eastAsia" w:ascii="宋体" w:cs="宋体"/>
          <w:color w:val="auto"/>
          <w:highlight w:val="none"/>
        </w:rPr>
        <w:t>审</w:t>
      </w:r>
      <w:r>
        <w:rPr>
          <w:rFonts w:hint="eastAsia" w:ascii="宋体" w:cs="Dotum"/>
          <w:color w:val="auto"/>
          <w:highlight w:val="none"/>
        </w:rPr>
        <w:t>核</w:t>
      </w:r>
      <w:r>
        <w:rPr>
          <w:rFonts w:hint="eastAsia" w:ascii="宋体" w:cs="宋体"/>
          <w:color w:val="auto"/>
          <w:highlight w:val="none"/>
        </w:rPr>
        <w:t>费</w:t>
      </w:r>
      <w:r>
        <w:rPr>
          <w:rFonts w:hint="eastAsia" w:ascii="宋体" w:cs="Dotum"/>
          <w:color w:val="auto"/>
          <w:highlight w:val="none"/>
        </w:rPr>
        <w:t>外</w:t>
      </w:r>
      <w:r>
        <w:rPr>
          <w:rFonts w:hint="eastAsia" w:ascii="宋体" w:cs="宋体"/>
          <w:color w:val="auto"/>
          <w:highlight w:val="none"/>
        </w:rPr>
        <w:t>还</w:t>
      </w:r>
      <w:r>
        <w:rPr>
          <w:rFonts w:hint="eastAsia" w:ascii="宋体" w:cs="Dotum"/>
          <w:color w:val="auto"/>
          <w:highlight w:val="none"/>
        </w:rPr>
        <w:t>需按超出</w:t>
      </w:r>
      <w:r>
        <w:rPr>
          <w:rFonts w:ascii="宋体"/>
          <w:color w:val="auto"/>
          <w:highlight w:val="none"/>
        </w:rPr>
        <w:t>15%</w:t>
      </w:r>
      <w:r>
        <w:rPr>
          <w:rFonts w:hint="eastAsia" w:ascii="宋体"/>
          <w:color w:val="auto"/>
          <w:highlight w:val="none"/>
        </w:rPr>
        <w:t>部分的</w:t>
      </w:r>
      <w:r>
        <w:rPr>
          <w:rFonts w:ascii="宋体"/>
          <w:color w:val="auto"/>
          <w:highlight w:val="none"/>
        </w:rPr>
        <w:t>3%</w:t>
      </w:r>
      <w:r>
        <w:rPr>
          <w:rFonts w:hint="eastAsia" w:ascii="宋体"/>
          <w:color w:val="auto"/>
          <w:highlight w:val="none"/>
        </w:rPr>
        <w:t>予以</w:t>
      </w:r>
      <w:r>
        <w:rPr>
          <w:rFonts w:hint="eastAsia" w:ascii="宋体" w:cs="宋体"/>
          <w:color w:val="auto"/>
          <w:highlight w:val="none"/>
        </w:rPr>
        <w:t>罚</w:t>
      </w:r>
      <w:r>
        <w:rPr>
          <w:rFonts w:hint="eastAsia" w:ascii="宋体" w:cs="Dotum"/>
          <w:color w:val="auto"/>
          <w:highlight w:val="none"/>
        </w:rPr>
        <w:t>款。</w:t>
      </w:r>
    </w:p>
    <w:p w14:paraId="35C63EDE">
      <w:pPr>
        <w:spacing w:line="360" w:lineRule="exact"/>
        <w:ind w:firstLine="420" w:firstLineChars="200"/>
        <w:rPr>
          <w:rFonts w:ascii="宋体"/>
          <w:color w:val="auto"/>
          <w:highlight w:val="none"/>
        </w:rPr>
      </w:pPr>
      <w:r>
        <w:rPr>
          <w:rFonts w:ascii="宋体"/>
          <w:color w:val="auto"/>
          <w:highlight w:val="none"/>
        </w:rPr>
        <w:t>21.7</w:t>
      </w:r>
      <w:r>
        <w:rPr>
          <w:rFonts w:hint="eastAsia" w:ascii="宋体"/>
          <w:color w:val="auto"/>
          <w:highlight w:val="none"/>
        </w:rPr>
        <w:t>工程竣工后承包人提交</w:t>
      </w:r>
      <w:r>
        <w:rPr>
          <w:rFonts w:hint="eastAsia" w:ascii="宋体" w:cs="宋体"/>
          <w:color w:val="auto"/>
          <w:highlight w:val="none"/>
        </w:rPr>
        <w:t>两</w:t>
      </w:r>
      <w:r>
        <w:rPr>
          <w:rFonts w:hint="eastAsia" w:ascii="宋体" w:cs="Dotum"/>
          <w:color w:val="auto"/>
          <w:highlight w:val="none"/>
        </w:rPr>
        <w:t>套符合城建</w:t>
      </w:r>
      <w:r>
        <w:rPr>
          <w:rFonts w:hint="eastAsia" w:ascii="宋体" w:cs="宋体"/>
          <w:color w:val="auto"/>
          <w:highlight w:val="none"/>
        </w:rPr>
        <w:t>档</w:t>
      </w:r>
      <w:r>
        <w:rPr>
          <w:rFonts w:hint="eastAsia" w:ascii="宋体" w:cs="Dotum"/>
          <w:color w:val="auto"/>
          <w:highlight w:val="none"/>
        </w:rPr>
        <w:t>案装</w:t>
      </w:r>
      <w:r>
        <w:rPr>
          <w:rFonts w:hint="eastAsia" w:ascii="宋体" w:cs="宋体"/>
          <w:color w:val="auto"/>
          <w:highlight w:val="none"/>
        </w:rPr>
        <w:t>订</w:t>
      </w:r>
      <w:r>
        <w:rPr>
          <w:rFonts w:hint="eastAsia" w:ascii="宋体" w:cs="Dotum"/>
          <w:color w:val="auto"/>
          <w:highlight w:val="none"/>
        </w:rPr>
        <w:t>要求竣工</w:t>
      </w:r>
      <w:r>
        <w:rPr>
          <w:rFonts w:hint="eastAsia" w:ascii="宋体" w:cs="宋体"/>
          <w:color w:val="auto"/>
          <w:highlight w:val="none"/>
        </w:rPr>
        <w:t>资</w:t>
      </w:r>
      <w:r>
        <w:rPr>
          <w:rFonts w:hint="eastAsia" w:ascii="宋体" w:cs="Dotum"/>
          <w:color w:val="auto"/>
          <w:highlight w:val="none"/>
        </w:rPr>
        <w:t>料（原件），一套竣工</w:t>
      </w:r>
      <w:r>
        <w:rPr>
          <w:rFonts w:hint="eastAsia" w:ascii="宋体" w:cs="宋体"/>
          <w:color w:val="auto"/>
          <w:highlight w:val="none"/>
        </w:rPr>
        <w:t>结</w:t>
      </w:r>
      <w:r>
        <w:rPr>
          <w:rFonts w:hint="eastAsia" w:ascii="宋体" w:cs="Dotum"/>
          <w:color w:val="auto"/>
          <w:highlight w:val="none"/>
        </w:rPr>
        <w:t>算用的竣工</w:t>
      </w:r>
      <w:r>
        <w:rPr>
          <w:rFonts w:hint="eastAsia" w:ascii="宋体" w:cs="宋体"/>
          <w:color w:val="auto"/>
          <w:highlight w:val="none"/>
        </w:rPr>
        <w:t>资</w:t>
      </w:r>
      <w:r>
        <w:rPr>
          <w:rFonts w:hint="eastAsia" w:ascii="宋体" w:cs="Dotum"/>
          <w:color w:val="auto"/>
          <w:highlight w:val="none"/>
        </w:rPr>
        <w:t>料，</w:t>
      </w:r>
      <w:r>
        <w:rPr>
          <w:rFonts w:hint="eastAsia" w:ascii="宋体" w:cs="宋体"/>
          <w:color w:val="auto"/>
          <w:highlight w:val="none"/>
        </w:rPr>
        <w:t>两</w:t>
      </w:r>
      <w:r>
        <w:rPr>
          <w:rFonts w:hint="eastAsia" w:ascii="宋体" w:cs="Dotum"/>
          <w:color w:val="auto"/>
          <w:highlight w:val="none"/>
        </w:rPr>
        <w:t>套竣工</w:t>
      </w:r>
      <w:r>
        <w:rPr>
          <w:rFonts w:hint="eastAsia" w:ascii="宋体" w:cs="宋体"/>
          <w:color w:val="auto"/>
          <w:highlight w:val="none"/>
        </w:rPr>
        <w:t>结</w:t>
      </w:r>
      <w:r>
        <w:rPr>
          <w:rFonts w:hint="eastAsia" w:ascii="宋体" w:cs="Dotum"/>
          <w:color w:val="auto"/>
          <w:highlight w:val="none"/>
        </w:rPr>
        <w:t>算</w:t>
      </w:r>
      <w:r>
        <w:rPr>
          <w:rFonts w:hint="eastAsia" w:ascii="宋体" w:cs="宋体"/>
          <w:color w:val="auto"/>
          <w:highlight w:val="none"/>
        </w:rPr>
        <w:t>书</w:t>
      </w:r>
      <w:r>
        <w:rPr>
          <w:rFonts w:hint="eastAsia" w:ascii="宋体" w:cs="Dotum"/>
          <w:color w:val="auto"/>
          <w:highlight w:val="none"/>
        </w:rPr>
        <w:t>，竣工</w:t>
      </w:r>
      <w:r>
        <w:rPr>
          <w:rFonts w:hint="eastAsia" w:ascii="宋体" w:cs="宋体"/>
          <w:color w:val="auto"/>
          <w:highlight w:val="none"/>
        </w:rPr>
        <w:t>验</w:t>
      </w:r>
      <w:r>
        <w:rPr>
          <w:rFonts w:hint="eastAsia" w:ascii="宋体" w:cs="Dotum"/>
          <w:color w:val="auto"/>
          <w:highlight w:val="none"/>
        </w:rPr>
        <w:t>收后</w:t>
      </w:r>
      <w:r>
        <w:rPr>
          <w:rFonts w:ascii="宋体"/>
          <w:color w:val="auto"/>
          <w:highlight w:val="none"/>
        </w:rPr>
        <w:t>60</w:t>
      </w:r>
      <w:r>
        <w:rPr>
          <w:rFonts w:hint="eastAsia" w:ascii="宋体"/>
          <w:color w:val="auto"/>
          <w:highlight w:val="none"/>
        </w:rPr>
        <w:t>天</w:t>
      </w:r>
      <w:r>
        <w:rPr>
          <w:rFonts w:hint="eastAsia" w:ascii="宋体" w:cs="宋体"/>
          <w:color w:val="auto"/>
          <w:highlight w:val="none"/>
        </w:rPr>
        <w:t>内</w:t>
      </w:r>
      <w:r>
        <w:rPr>
          <w:rFonts w:hint="eastAsia" w:ascii="宋体" w:cs="Dotum"/>
          <w:color w:val="auto"/>
          <w:highlight w:val="none"/>
        </w:rPr>
        <w:t>提交，如有逾期影</w:t>
      </w:r>
      <w:r>
        <w:rPr>
          <w:rFonts w:hint="eastAsia" w:ascii="宋体" w:cs="宋体"/>
          <w:color w:val="auto"/>
          <w:highlight w:val="none"/>
        </w:rPr>
        <w:t>响</w:t>
      </w:r>
      <w:r>
        <w:rPr>
          <w:rFonts w:hint="eastAsia" w:ascii="宋体" w:cs="Dotum"/>
          <w:color w:val="auto"/>
          <w:highlight w:val="none"/>
        </w:rPr>
        <w:t>竣工</w:t>
      </w:r>
      <w:r>
        <w:rPr>
          <w:rFonts w:hint="eastAsia" w:ascii="宋体" w:cs="宋体"/>
          <w:color w:val="auto"/>
          <w:highlight w:val="none"/>
        </w:rPr>
        <w:t>结</w:t>
      </w:r>
      <w:r>
        <w:rPr>
          <w:rFonts w:hint="eastAsia" w:ascii="宋体" w:cs="Dotum"/>
          <w:color w:val="auto"/>
          <w:highlight w:val="none"/>
        </w:rPr>
        <w:t>算，后果由承包人承担。</w:t>
      </w:r>
    </w:p>
    <w:p w14:paraId="3C19BE8B">
      <w:pPr>
        <w:spacing w:line="360" w:lineRule="exact"/>
        <w:ind w:firstLine="420" w:firstLineChars="200"/>
        <w:rPr>
          <w:rFonts w:ascii="宋体"/>
          <w:color w:val="auto"/>
          <w:highlight w:val="none"/>
        </w:rPr>
      </w:pPr>
      <w:r>
        <w:rPr>
          <w:rFonts w:ascii="宋体"/>
          <w:color w:val="auto"/>
          <w:highlight w:val="none"/>
        </w:rPr>
        <w:t>21.8</w:t>
      </w:r>
      <w:r>
        <w:rPr>
          <w:rFonts w:hint="eastAsia" w:ascii="宋体"/>
          <w:color w:val="auto"/>
          <w:highlight w:val="none"/>
        </w:rPr>
        <w:t>承包人必</w:t>
      </w:r>
      <w:r>
        <w:rPr>
          <w:rFonts w:hint="eastAsia" w:ascii="宋体" w:cs="宋体"/>
          <w:color w:val="auto"/>
          <w:highlight w:val="none"/>
        </w:rPr>
        <w:t>须</w:t>
      </w:r>
      <w:r>
        <w:rPr>
          <w:rFonts w:hint="eastAsia" w:ascii="宋体" w:cs="Dotum"/>
          <w:color w:val="auto"/>
          <w:highlight w:val="none"/>
        </w:rPr>
        <w:t>按</w:t>
      </w:r>
      <w:r>
        <w:rPr>
          <w:rFonts w:hint="eastAsia" w:ascii="宋体" w:cs="宋体"/>
          <w:color w:val="auto"/>
          <w:highlight w:val="none"/>
        </w:rPr>
        <w:t>发</w:t>
      </w:r>
      <w:r>
        <w:rPr>
          <w:rFonts w:hint="eastAsia" w:ascii="宋体" w:cs="Dotum"/>
          <w:color w:val="auto"/>
          <w:highlight w:val="none"/>
        </w:rPr>
        <w:t>包人要求在竣工前及</w:t>
      </w:r>
      <w:r>
        <w:rPr>
          <w:rFonts w:hint="eastAsia" w:ascii="宋体" w:cs="宋体"/>
          <w:color w:val="auto"/>
          <w:highlight w:val="none"/>
        </w:rPr>
        <w:t>时</w:t>
      </w:r>
      <w:r>
        <w:rPr>
          <w:rFonts w:hint="eastAsia" w:ascii="宋体" w:cs="Dotum"/>
          <w:color w:val="auto"/>
          <w:highlight w:val="none"/>
        </w:rPr>
        <w:t>提供</w:t>
      </w:r>
      <w:r>
        <w:rPr>
          <w:rFonts w:hint="eastAsia" w:ascii="宋体" w:cs="宋体"/>
          <w:color w:val="auto"/>
          <w:highlight w:val="none"/>
        </w:rPr>
        <w:t>购买</w:t>
      </w:r>
      <w:r>
        <w:rPr>
          <w:rFonts w:hint="eastAsia" w:ascii="宋体" w:cs="Dotum"/>
          <w:color w:val="auto"/>
          <w:highlight w:val="none"/>
        </w:rPr>
        <w:t>散装水泥、</w:t>
      </w:r>
      <w:r>
        <w:rPr>
          <w:rFonts w:hint="eastAsia" w:ascii="宋体" w:cs="宋体"/>
          <w:color w:val="auto"/>
          <w:highlight w:val="none"/>
        </w:rPr>
        <w:t>购买</w:t>
      </w:r>
      <w:r>
        <w:rPr>
          <w:rFonts w:hint="eastAsia" w:ascii="宋体" w:cs="Dotum"/>
          <w:color w:val="auto"/>
          <w:highlight w:val="none"/>
        </w:rPr>
        <w:t>新型</w:t>
      </w:r>
      <w:r>
        <w:rPr>
          <w:rFonts w:hint="eastAsia" w:ascii="宋体" w:cs="宋体"/>
          <w:color w:val="auto"/>
          <w:highlight w:val="none"/>
        </w:rPr>
        <w:t>墙</w:t>
      </w:r>
      <w:r>
        <w:rPr>
          <w:rFonts w:hint="eastAsia" w:ascii="宋体" w:cs="Dotum"/>
          <w:color w:val="auto"/>
          <w:highlight w:val="none"/>
        </w:rPr>
        <w:t>体材料、</w:t>
      </w:r>
      <w:r>
        <w:rPr>
          <w:rFonts w:hint="eastAsia" w:ascii="宋体" w:cs="宋体"/>
          <w:color w:val="auto"/>
          <w:highlight w:val="none"/>
        </w:rPr>
        <w:t>购买</w:t>
      </w:r>
      <w:r>
        <w:rPr>
          <w:rFonts w:hint="eastAsia" w:ascii="宋体" w:cs="Dotum"/>
          <w:color w:val="auto"/>
          <w:highlight w:val="none"/>
        </w:rPr>
        <w:t>隔</w:t>
      </w:r>
      <w:r>
        <w:rPr>
          <w:rFonts w:hint="eastAsia" w:ascii="宋体" w:cs="宋体"/>
          <w:color w:val="auto"/>
          <w:highlight w:val="none"/>
        </w:rPr>
        <w:t>热</w:t>
      </w:r>
      <w:r>
        <w:rPr>
          <w:rFonts w:hint="eastAsia" w:ascii="宋体" w:cs="Dotum"/>
          <w:color w:val="auto"/>
          <w:highlight w:val="none"/>
        </w:rPr>
        <w:t>保</w:t>
      </w:r>
      <w:r>
        <w:rPr>
          <w:rFonts w:hint="eastAsia" w:ascii="宋体" w:cs="宋体"/>
          <w:color w:val="auto"/>
          <w:highlight w:val="none"/>
        </w:rPr>
        <w:t>温墙</w:t>
      </w:r>
      <w:r>
        <w:rPr>
          <w:rFonts w:hint="eastAsia" w:ascii="宋体" w:cs="Dotum"/>
          <w:color w:val="auto"/>
          <w:highlight w:val="none"/>
        </w:rPr>
        <w:t>体材料的材料</w:t>
      </w:r>
      <w:r>
        <w:rPr>
          <w:rFonts w:hint="eastAsia" w:ascii="宋体" w:cs="宋体"/>
          <w:color w:val="auto"/>
          <w:highlight w:val="none"/>
        </w:rPr>
        <w:t>发</w:t>
      </w:r>
      <w:r>
        <w:rPr>
          <w:rFonts w:hint="eastAsia" w:ascii="宋体" w:cs="Dotum"/>
          <w:color w:val="auto"/>
          <w:highlight w:val="none"/>
        </w:rPr>
        <w:t>票原件及</w:t>
      </w:r>
      <w:r>
        <w:rPr>
          <w:rFonts w:hint="eastAsia" w:ascii="宋体" w:cs="宋体"/>
          <w:color w:val="auto"/>
          <w:highlight w:val="none"/>
        </w:rPr>
        <w:t>复</w:t>
      </w:r>
      <w:r>
        <w:rPr>
          <w:rFonts w:hint="eastAsia" w:ascii="宋体" w:cs="Dotum"/>
          <w:color w:val="auto"/>
          <w:highlight w:val="none"/>
        </w:rPr>
        <w:t>印件及《广西</w:t>
      </w:r>
      <w:r>
        <w:rPr>
          <w:rFonts w:hint="eastAsia" w:ascii="宋体" w:cs="宋体"/>
          <w:color w:val="auto"/>
          <w:highlight w:val="none"/>
        </w:rPr>
        <w:t>壮</w:t>
      </w:r>
      <w:r>
        <w:rPr>
          <w:rFonts w:hint="eastAsia" w:ascii="宋体" w:cs="Dotum"/>
          <w:color w:val="auto"/>
          <w:highlight w:val="none"/>
        </w:rPr>
        <w:t>族自治</w:t>
      </w:r>
      <w:r>
        <w:rPr>
          <w:rFonts w:hint="eastAsia" w:ascii="宋体" w:cs="宋体"/>
          <w:color w:val="auto"/>
          <w:highlight w:val="none"/>
        </w:rPr>
        <w:t>区</w:t>
      </w:r>
      <w:r>
        <w:rPr>
          <w:rFonts w:hint="eastAsia" w:ascii="宋体" w:cs="Dotum"/>
          <w:color w:val="auto"/>
          <w:highlight w:val="none"/>
        </w:rPr>
        <w:t>新型</w:t>
      </w:r>
      <w:r>
        <w:rPr>
          <w:rFonts w:hint="eastAsia" w:ascii="宋体" w:cs="宋体"/>
          <w:color w:val="auto"/>
          <w:highlight w:val="none"/>
        </w:rPr>
        <w:t>墙</w:t>
      </w:r>
      <w:r>
        <w:rPr>
          <w:rFonts w:hint="eastAsia" w:ascii="宋体" w:cs="Dotum"/>
          <w:color w:val="auto"/>
          <w:highlight w:val="none"/>
        </w:rPr>
        <w:t>体材料</w:t>
      </w:r>
      <w:r>
        <w:rPr>
          <w:rFonts w:hint="eastAsia" w:ascii="宋体" w:cs="宋体"/>
          <w:color w:val="auto"/>
          <w:highlight w:val="none"/>
        </w:rPr>
        <w:t>认</w:t>
      </w:r>
      <w:r>
        <w:rPr>
          <w:rFonts w:hint="eastAsia" w:ascii="宋体" w:cs="Dotum"/>
          <w:color w:val="auto"/>
          <w:highlight w:val="none"/>
        </w:rPr>
        <w:t>定</w:t>
      </w:r>
      <w:r>
        <w:rPr>
          <w:rFonts w:hint="eastAsia" w:ascii="宋体" w:cs="宋体"/>
          <w:color w:val="auto"/>
          <w:highlight w:val="none"/>
        </w:rPr>
        <w:t>证书</w:t>
      </w:r>
      <w:r>
        <w:rPr>
          <w:rFonts w:hint="eastAsia" w:ascii="宋体" w:cs="Dotum"/>
          <w:color w:val="auto"/>
          <w:highlight w:val="none"/>
        </w:rPr>
        <w:t>（副本）》</w:t>
      </w:r>
      <w:r>
        <w:rPr>
          <w:rFonts w:hint="eastAsia" w:ascii="宋体" w:cs="宋体"/>
          <w:color w:val="auto"/>
          <w:highlight w:val="none"/>
        </w:rPr>
        <w:t>复</w:t>
      </w:r>
      <w:r>
        <w:rPr>
          <w:rFonts w:hint="eastAsia" w:ascii="宋体" w:cs="Dotum"/>
          <w:color w:val="auto"/>
          <w:highlight w:val="none"/>
        </w:rPr>
        <w:t>印件（加盖生</w:t>
      </w:r>
      <w:r>
        <w:rPr>
          <w:rFonts w:hint="eastAsia" w:ascii="宋体" w:cs="宋体"/>
          <w:color w:val="auto"/>
          <w:highlight w:val="none"/>
        </w:rPr>
        <w:t>产</w:t>
      </w:r>
      <w:r>
        <w:rPr>
          <w:rFonts w:hint="eastAsia" w:ascii="宋体" w:cs="Dotum"/>
          <w:color w:val="auto"/>
          <w:highlight w:val="none"/>
        </w:rPr>
        <w:t>企</w:t>
      </w:r>
      <w:r>
        <w:rPr>
          <w:rFonts w:hint="eastAsia" w:ascii="宋体" w:cs="宋体"/>
          <w:color w:val="auto"/>
          <w:highlight w:val="none"/>
        </w:rPr>
        <w:t>业</w:t>
      </w:r>
      <w:r>
        <w:rPr>
          <w:rFonts w:hint="eastAsia" w:ascii="宋体" w:cs="Dotum"/>
          <w:color w:val="auto"/>
          <w:highlight w:val="none"/>
        </w:rPr>
        <w:t>公章）和隔</w:t>
      </w:r>
      <w:r>
        <w:rPr>
          <w:rFonts w:hint="eastAsia" w:ascii="宋体" w:cs="宋体"/>
          <w:color w:val="auto"/>
          <w:highlight w:val="none"/>
        </w:rPr>
        <w:t>热</w:t>
      </w:r>
      <w:r>
        <w:rPr>
          <w:rFonts w:hint="eastAsia" w:ascii="宋体" w:cs="Dotum"/>
          <w:color w:val="auto"/>
          <w:highlight w:val="none"/>
        </w:rPr>
        <w:t>保</w:t>
      </w:r>
      <w:r>
        <w:rPr>
          <w:rFonts w:hint="eastAsia" w:ascii="宋体" w:cs="宋体"/>
          <w:color w:val="auto"/>
          <w:highlight w:val="none"/>
        </w:rPr>
        <w:t>温</w:t>
      </w:r>
      <w:r>
        <w:rPr>
          <w:rFonts w:hint="eastAsia" w:ascii="宋体" w:cs="Dotum"/>
          <w:color w:val="auto"/>
          <w:highlight w:val="none"/>
        </w:rPr>
        <w:t>材料</w:t>
      </w:r>
      <w:r>
        <w:rPr>
          <w:rFonts w:hint="eastAsia" w:ascii="宋体" w:cs="宋体"/>
          <w:color w:val="auto"/>
          <w:highlight w:val="none"/>
        </w:rPr>
        <w:t>进场</w:t>
      </w:r>
      <w:r>
        <w:rPr>
          <w:rFonts w:hint="eastAsia" w:ascii="宋体" w:cs="Dotum"/>
          <w:color w:val="auto"/>
          <w:highlight w:val="none"/>
        </w:rPr>
        <w:t>的</w:t>
      </w:r>
      <w:r>
        <w:rPr>
          <w:rFonts w:hint="eastAsia" w:ascii="宋体" w:cs="宋体"/>
          <w:color w:val="auto"/>
          <w:highlight w:val="none"/>
        </w:rPr>
        <w:t>热</w:t>
      </w:r>
      <w:r>
        <w:rPr>
          <w:rFonts w:hint="eastAsia" w:ascii="宋体" w:cs="Dotum"/>
          <w:color w:val="auto"/>
          <w:highlight w:val="none"/>
        </w:rPr>
        <w:t>工性能</w:t>
      </w:r>
      <w:r>
        <w:rPr>
          <w:rFonts w:hint="eastAsia" w:ascii="宋体" w:cs="宋体"/>
          <w:color w:val="auto"/>
          <w:highlight w:val="none"/>
        </w:rPr>
        <w:t>检验报</w:t>
      </w:r>
      <w:r>
        <w:rPr>
          <w:rFonts w:hint="eastAsia" w:ascii="宋体" w:cs="Dotum"/>
          <w:color w:val="auto"/>
          <w:highlight w:val="none"/>
        </w:rPr>
        <w:t>告，以便</w:t>
      </w:r>
      <w:r>
        <w:rPr>
          <w:rFonts w:hint="eastAsia" w:ascii="宋体" w:cs="宋体"/>
          <w:color w:val="auto"/>
          <w:highlight w:val="none"/>
        </w:rPr>
        <w:t>发</w:t>
      </w:r>
      <w:r>
        <w:rPr>
          <w:rFonts w:hint="eastAsia" w:ascii="宋体" w:cs="Dotum"/>
          <w:color w:val="auto"/>
          <w:highlight w:val="none"/>
        </w:rPr>
        <w:t>包人到政府有</w:t>
      </w:r>
      <w:r>
        <w:rPr>
          <w:rFonts w:hint="eastAsia" w:ascii="宋体" w:cs="宋体"/>
          <w:color w:val="auto"/>
          <w:highlight w:val="none"/>
        </w:rPr>
        <w:t>关</w:t>
      </w:r>
      <w:r>
        <w:rPr>
          <w:rFonts w:hint="eastAsia" w:ascii="宋体" w:cs="Dotum"/>
          <w:color w:val="auto"/>
          <w:highlight w:val="none"/>
        </w:rPr>
        <w:t>部</w:t>
      </w:r>
      <w:r>
        <w:rPr>
          <w:rFonts w:hint="eastAsia" w:ascii="宋体" w:cs="宋体"/>
          <w:color w:val="auto"/>
          <w:highlight w:val="none"/>
        </w:rPr>
        <w:t>门办</w:t>
      </w:r>
      <w:r>
        <w:rPr>
          <w:rFonts w:hint="eastAsia" w:ascii="宋体" w:cs="Dotum"/>
          <w:color w:val="auto"/>
          <w:highlight w:val="none"/>
        </w:rPr>
        <w:t>理退款手</w:t>
      </w:r>
      <w:r>
        <w:rPr>
          <w:rFonts w:hint="eastAsia" w:ascii="宋体" w:cs="宋体"/>
          <w:color w:val="auto"/>
          <w:highlight w:val="none"/>
        </w:rPr>
        <w:t>续</w:t>
      </w:r>
      <w:r>
        <w:rPr>
          <w:rFonts w:hint="eastAsia" w:ascii="宋体" w:cs="Dotum"/>
          <w:color w:val="auto"/>
          <w:highlight w:val="none"/>
        </w:rPr>
        <w:t>。否</w:t>
      </w:r>
      <w:r>
        <w:rPr>
          <w:rFonts w:hint="eastAsia" w:ascii="宋体" w:cs="宋体"/>
          <w:color w:val="auto"/>
          <w:highlight w:val="none"/>
        </w:rPr>
        <w:t>则</w:t>
      </w:r>
      <w:r>
        <w:rPr>
          <w:rFonts w:hint="eastAsia" w:ascii="宋体" w:cs="Dotum"/>
          <w:color w:val="auto"/>
          <w:highlight w:val="none"/>
        </w:rPr>
        <w:t>，造成不能全</w:t>
      </w:r>
      <w:r>
        <w:rPr>
          <w:rFonts w:hint="eastAsia" w:ascii="宋体" w:cs="宋体"/>
          <w:color w:val="auto"/>
          <w:highlight w:val="none"/>
        </w:rPr>
        <w:t>额</w:t>
      </w:r>
      <w:r>
        <w:rPr>
          <w:rFonts w:hint="eastAsia" w:ascii="宋体" w:cs="Dotum"/>
          <w:color w:val="auto"/>
          <w:highlight w:val="none"/>
        </w:rPr>
        <w:t>退款，其差</w:t>
      </w:r>
      <w:r>
        <w:rPr>
          <w:rFonts w:hint="eastAsia" w:ascii="宋体" w:cs="宋体"/>
          <w:color w:val="auto"/>
          <w:highlight w:val="none"/>
        </w:rPr>
        <w:t>额</w:t>
      </w:r>
      <w:r>
        <w:rPr>
          <w:rFonts w:hint="eastAsia" w:ascii="宋体" w:cs="Dotum"/>
          <w:color w:val="auto"/>
          <w:highlight w:val="none"/>
        </w:rPr>
        <w:t>部分</w:t>
      </w:r>
      <w:r>
        <w:rPr>
          <w:rFonts w:hint="eastAsia" w:ascii="宋体" w:cs="宋体"/>
          <w:color w:val="auto"/>
          <w:highlight w:val="none"/>
        </w:rPr>
        <w:t>发</w:t>
      </w:r>
      <w:r>
        <w:rPr>
          <w:rFonts w:hint="eastAsia" w:ascii="宋体" w:cs="Dotum"/>
          <w:color w:val="auto"/>
          <w:highlight w:val="none"/>
        </w:rPr>
        <w:t>包人有</w:t>
      </w:r>
      <w:r>
        <w:rPr>
          <w:rFonts w:hint="eastAsia" w:ascii="宋体" w:cs="宋体"/>
          <w:color w:val="auto"/>
          <w:highlight w:val="none"/>
        </w:rPr>
        <w:t>权</w:t>
      </w:r>
      <w:r>
        <w:rPr>
          <w:rFonts w:hint="eastAsia" w:ascii="宋体" w:cs="Dotum"/>
          <w:color w:val="auto"/>
          <w:highlight w:val="none"/>
        </w:rPr>
        <w:t>按政府有</w:t>
      </w:r>
      <w:r>
        <w:rPr>
          <w:rFonts w:hint="eastAsia" w:ascii="宋体" w:cs="宋体"/>
          <w:color w:val="auto"/>
          <w:highlight w:val="none"/>
        </w:rPr>
        <w:t>关</w:t>
      </w:r>
      <w:r>
        <w:rPr>
          <w:rFonts w:hint="eastAsia" w:ascii="宋体" w:cs="Dotum"/>
          <w:color w:val="auto"/>
          <w:highlight w:val="none"/>
        </w:rPr>
        <w:t>部</w:t>
      </w:r>
      <w:r>
        <w:rPr>
          <w:rFonts w:hint="eastAsia" w:ascii="宋体" w:cs="宋体"/>
          <w:color w:val="auto"/>
          <w:highlight w:val="none"/>
        </w:rPr>
        <w:t>门</w:t>
      </w:r>
      <w:r>
        <w:rPr>
          <w:rFonts w:hint="eastAsia" w:ascii="宋体" w:cs="Dotum"/>
          <w:color w:val="auto"/>
          <w:highlight w:val="none"/>
        </w:rPr>
        <w:t>收</w:t>
      </w:r>
      <w:r>
        <w:rPr>
          <w:rFonts w:hint="eastAsia" w:ascii="宋体" w:cs="宋体"/>
          <w:color w:val="auto"/>
          <w:highlight w:val="none"/>
        </w:rPr>
        <w:t>缴标</w:t>
      </w:r>
      <w:r>
        <w:rPr>
          <w:rFonts w:hint="eastAsia" w:ascii="宋体" w:cs="Dotum"/>
          <w:color w:val="auto"/>
          <w:highlight w:val="none"/>
        </w:rPr>
        <w:t>准及</w:t>
      </w:r>
      <w:r>
        <w:rPr>
          <w:rFonts w:hint="eastAsia" w:ascii="宋体" w:cs="宋体"/>
          <w:color w:val="auto"/>
          <w:highlight w:val="none"/>
        </w:rPr>
        <w:t>数额</w:t>
      </w:r>
      <w:r>
        <w:rPr>
          <w:rFonts w:hint="eastAsia" w:ascii="宋体" w:cs="Dotum"/>
          <w:color w:val="auto"/>
          <w:highlight w:val="none"/>
        </w:rPr>
        <w:t>在承包人工程尾款中予以扣出。</w:t>
      </w:r>
    </w:p>
    <w:p w14:paraId="0817925B">
      <w:pPr>
        <w:spacing w:line="360" w:lineRule="exact"/>
        <w:ind w:firstLine="420" w:firstLineChars="200"/>
        <w:rPr>
          <w:rFonts w:ascii="宋体"/>
          <w:color w:val="auto"/>
          <w:highlight w:val="none"/>
        </w:rPr>
      </w:pPr>
      <w:r>
        <w:rPr>
          <w:rFonts w:ascii="宋体"/>
          <w:color w:val="auto"/>
          <w:highlight w:val="none"/>
        </w:rPr>
        <w:t xml:space="preserve">21.9 </w:t>
      </w:r>
      <w:r>
        <w:rPr>
          <w:rFonts w:hint="eastAsia" w:ascii="宋体"/>
          <w:color w:val="auto"/>
          <w:highlight w:val="none"/>
        </w:rPr>
        <w:t>工程竣工</w:t>
      </w:r>
      <w:r>
        <w:rPr>
          <w:rFonts w:hint="eastAsia" w:ascii="宋体" w:cs="宋体"/>
          <w:color w:val="auto"/>
          <w:highlight w:val="none"/>
        </w:rPr>
        <w:t>验</w:t>
      </w:r>
      <w:r>
        <w:rPr>
          <w:rFonts w:hint="eastAsia" w:ascii="宋体" w:cs="Dotum"/>
          <w:color w:val="auto"/>
          <w:highlight w:val="none"/>
        </w:rPr>
        <w:t>收通</w:t>
      </w:r>
      <w:r>
        <w:rPr>
          <w:rFonts w:hint="eastAsia" w:ascii="宋体" w:cs="宋体"/>
          <w:color w:val="auto"/>
          <w:highlight w:val="none"/>
        </w:rPr>
        <w:t>过</w:t>
      </w:r>
      <w:r>
        <w:rPr>
          <w:rFonts w:hint="eastAsia" w:ascii="宋体" w:cs="Dotum"/>
          <w:color w:val="auto"/>
          <w:highlight w:val="none"/>
        </w:rPr>
        <w:t>后壹</w:t>
      </w:r>
      <w:r>
        <w:rPr>
          <w:rFonts w:hint="eastAsia" w:ascii="宋体" w:cs="宋体"/>
          <w:color w:val="auto"/>
          <w:highlight w:val="none"/>
        </w:rPr>
        <w:t>个</w:t>
      </w:r>
      <w:r>
        <w:rPr>
          <w:rFonts w:hint="eastAsia" w:ascii="宋体" w:cs="Dotum"/>
          <w:color w:val="auto"/>
          <w:highlight w:val="none"/>
        </w:rPr>
        <w:t>月</w:t>
      </w:r>
      <w:r>
        <w:rPr>
          <w:rFonts w:hint="eastAsia" w:ascii="宋体" w:cs="宋体"/>
          <w:color w:val="auto"/>
          <w:highlight w:val="none"/>
        </w:rPr>
        <w:t>内</w:t>
      </w:r>
      <w:r>
        <w:rPr>
          <w:rFonts w:hint="eastAsia" w:ascii="宋体" w:cs="Dotum"/>
          <w:color w:val="auto"/>
          <w:highlight w:val="none"/>
        </w:rPr>
        <w:t>或根据</w:t>
      </w:r>
      <w:r>
        <w:rPr>
          <w:rFonts w:hint="eastAsia" w:ascii="宋体" w:cs="宋体"/>
          <w:color w:val="auto"/>
          <w:highlight w:val="none"/>
        </w:rPr>
        <w:t>发</w:t>
      </w:r>
      <w:r>
        <w:rPr>
          <w:rFonts w:hint="eastAsia" w:ascii="宋体" w:cs="Dotum"/>
          <w:color w:val="auto"/>
          <w:highlight w:val="none"/>
        </w:rPr>
        <w:t>包方的要求，施工</w:t>
      </w:r>
      <w:r>
        <w:rPr>
          <w:rFonts w:hint="eastAsia" w:ascii="宋体" w:cs="宋体"/>
          <w:color w:val="auto"/>
          <w:highlight w:val="none"/>
        </w:rPr>
        <w:t>单</w:t>
      </w:r>
      <w:r>
        <w:rPr>
          <w:rFonts w:hint="eastAsia" w:ascii="宋体" w:cs="Dotum"/>
          <w:color w:val="auto"/>
          <w:highlight w:val="none"/>
        </w:rPr>
        <w:t>位必</w:t>
      </w:r>
      <w:r>
        <w:rPr>
          <w:rFonts w:hint="eastAsia" w:ascii="宋体" w:cs="宋体"/>
          <w:color w:val="auto"/>
          <w:highlight w:val="none"/>
        </w:rPr>
        <w:t>须</w:t>
      </w:r>
      <w:r>
        <w:rPr>
          <w:rFonts w:hint="eastAsia" w:ascii="宋体" w:cs="Dotum"/>
          <w:color w:val="auto"/>
          <w:highlight w:val="none"/>
        </w:rPr>
        <w:t>退</w:t>
      </w:r>
      <w:r>
        <w:rPr>
          <w:rFonts w:hint="eastAsia" w:ascii="宋体" w:cs="宋体"/>
          <w:color w:val="auto"/>
          <w:highlight w:val="none"/>
        </w:rPr>
        <w:t>场</w:t>
      </w:r>
      <w:r>
        <w:rPr>
          <w:rFonts w:hint="eastAsia" w:ascii="宋体" w:cs="Dotum"/>
          <w:color w:val="auto"/>
          <w:highlight w:val="none"/>
        </w:rPr>
        <w:t>，</w:t>
      </w:r>
      <w:r>
        <w:rPr>
          <w:rFonts w:hint="eastAsia" w:ascii="宋体" w:cs="宋体"/>
          <w:color w:val="auto"/>
          <w:highlight w:val="none"/>
        </w:rPr>
        <w:t>并清</w:t>
      </w:r>
      <w:r>
        <w:rPr>
          <w:rFonts w:hint="eastAsia" w:ascii="宋体" w:cs="Dotum"/>
          <w:color w:val="auto"/>
          <w:highlight w:val="none"/>
        </w:rPr>
        <w:t>理干</w:t>
      </w:r>
      <w:r>
        <w:rPr>
          <w:rFonts w:hint="eastAsia" w:ascii="宋体" w:cs="宋体"/>
          <w:color w:val="auto"/>
          <w:highlight w:val="none"/>
        </w:rPr>
        <w:t>净现场</w:t>
      </w:r>
      <w:r>
        <w:rPr>
          <w:rFonts w:hint="eastAsia" w:ascii="宋体" w:cs="Dotum"/>
          <w:color w:val="auto"/>
          <w:highlight w:val="none"/>
        </w:rPr>
        <w:t>及周</w:t>
      </w:r>
      <w:r>
        <w:rPr>
          <w:rFonts w:hint="eastAsia" w:ascii="宋体" w:cs="宋体"/>
          <w:color w:val="auto"/>
          <w:highlight w:val="none"/>
        </w:rPr>
        <w:t>边</w:t>
      </w:r>
      <w:r>
        <w:rPr>
          <w:rFonts w:hint="eastAsia" w:ascii="宋体" w:cs="Dotum"/>
          <w:color w:val="auto"/>
          <w:highlight w:val="none"/>
        </w:rPr>
        <w:t>所有施工</w:t>
      </w:r>
      <w:r>
        <w:rPr>
          <w:rFonts w:hint="eastAsia" w:ascii="宋体" w:cs="宋体"/>
          <w:color w:val="auto"/>
          <w:highlight w:val="none"/>
        </w:rPr>
        <w:t>单</w:t>
      </w:r>
      <w:r>
        <w:rPr>
          <w:rFonts w:hint="eastAsia" w:ascii="宋体" w:cs="Dotum"/>
          <w:color w:val="auto"/>
          <w:highlight w:val="none"/>
        </w:rPr>
        <w:t>位的建筑材料，施工机械、建筑</w:t>
      </w:r>
      <w:r>
        <w:rPr>
          <w:rFonts w:hint="eastAsia" w:ascii="宋体" w:cs="宋体"/>
          <w:color w:val="auto"/>
          <w:highlight w:val="none"/>
        </w:rPr>
        <w:t>垃</w:t>
      </w:r>
      <w:r>
        <w:rPr>
          <w:rFonts w:hint="eastAsia" w:ascii="宋体" w:cs="Dotum"/>
          <w:color w:val="auto"/>
          <w:highlight w:val="none"/>
        </w:rPr>
        <w:t>圾及</w:t>
      </w:r>
      <w:r>
        <w:rPr>
          <w:rFonts w:hint="eastAsia" w:ascii="宋体" w:cs="宋体"/>
          <w:color w:val="auto"/>
          <w:highlight w:val="none"/>
        </w:rPr>
        <w:t>临时设</w:t>
      </w:r>
      <w:r>
        <w:rPr>
          <w:rFonts w:hint="eastAsia" w:ascii="宋体" w:cs="Dotum"/>
          <w:color w:val="auto"/>
          <w:highlight w:val="none"/>
        </w:rPr>
        <w:t>施拆除，平整</w:t>
      </w:r>
      <w:r>
        <w:rPr>
          <w:rFonts w:hint="eastAsia" w:ascii="宋体" w:cs="宋体"/>
          <w:color w:val="auto"/>
          <w:highlight w:val="none"/>
        </w:rPr>
        <w:t>场</w:t>
      </w:r>
      <w:r>
        <w:rPr>
          <w:rFonts w:hint="eastAsia" w:ascii="宋体" w:cs="Dotum"/>
          <w:color w:val="auto"/>
          <w:highlight w:val="none"/>
        </w:rPr>
        <w:t>地，所有产生的费用由承包人负责（报价时自行考虑），如有逾期按每天</w:t>
      </w:r>
      <w:r>
        <w:rPr>
          <w:rFonts w:ascii="宋体"/>
          <w:color w:val="auto"/>
          <w:highlight w:val="none"/>
        </w:rPr>
        <w:t>5000</w:t>
      </w:r>
      <w:r>
        <w:rPr>
          <w:rFonts w:hint="eastAsia" w:ascii="宋体"/>
          <w:color w:val="auto"/>
          <w:highlight w:val="none"/>
        </w:rPr>
        <w:t>元人民</w:t>
      </w:r>
      <w:r>
        <w:rPr>
          <w:rFonts w:hint="eastAsia" w:ascii="宋体" w:cs="宋体"/>
          <w:color w:val="auto"/>
          <w:highlight w:val="none"/>
        </w:rPr>
        <w:t>币处罚</w:t>
      </w:r>
      <w:r>
        <w:rPr>
          <w:rFonts w:hint="eastAsia" w:ascii="宋体" w:cs="Dotum"/>
          <w:color w:val="auto"/>
          <w:highlight w:val="none"/>
        </w:rPr>
        <w:t>；同</w:t>
      </w:r>
      <w:r>
        <w:rPr>
          <w:rFonts w:hint="eastAsia" w:ascii="宋体" w:cs="宋体"/>
          <w:color w:val="auto"/>
          <w:highlight w:val="none"/>
        </w:rPr>
        <w:t>时</w:t>
      </w:r>
      <w:r>
        <w:rPr>
          <w:rFonts w:hint="eastAsia" w:ascii="宋体" w:cs="Dotum"/>
          <w:color w:val="auto"/>
          <w:highlight w:val="none"/>
        </w:rPr>
        <w:t>，承包方如不按</w:t>
      </w:r>
      <w:r>
        <w:rPr>
          <w:rFonts w:hint="eastAsia" w:ascii="宋体" w:cs="宋体"/>
          <w:color w:val="auto"/>
          <w:highlight w:val="none"/>
        </w:rPr>
        <w:t>发</w:t>
      </w:r>
      <w:r>
        <w:rPr>
          <w:rFonts w:hint="eastAsia" w:ascii="宋体" w:cs="Dotum"/>
          <w:color w:val="auto"/>
          <w:highlight w:val="none"/>
        </w:rPr>
        <w:t>包方的要求</w:t>
      </w:r>
      <w:r>
        <w:rPr>
          <w:rFonts w:hint="eastAsia" w:ascii="宋体" w:cs="宋体"/>
          <w:color w:val="auto"/>
          <w:highlight w:val="none"/>
        </w:rPr>
        <w:t>清</w:t>
      </w:r>
      <w:r>
        <w:rPr>
          <w:rFonts w:hint="eastAsia" w:ascii="宋体" w:cs="Dotum"/>
          <w:color w:val="auto"/>
          <w:highlight w:val="none"/>
        </w:rPr>
        <w:t>理</w:t>
      </w:r>
      <w:r>
        <w:rPr>
          <w:rFonts w:hint="eastAsia" w:ascii="宋体" w:cs="宋体"/>
          <w:color w:val="auto"/>
          <w:highlight w:val="none"/>
        </w:rPr>
        <w:t>场</w:t>
      </w:r>
      <w:r>
        <w:rPr>
          <w:rFonts w:hint="eastAsia" w:ascii="宋体" w:cs="Dotum"/>
          <w:color w:val="auto"/>
          <w:highlight w:val="none"/>
        </w:rPr>
        <w:t>地，</w:t>
      </w:r>
      <w:r>
        <w:rPr>
          <w:rFonts w:hint="eastAsia" w:ascii="宋体" w:cs="宋体"/>
          <w:color w:val="auto"/>
          <w:highlight w:val="none"/>
        </w:rPr>
        <w:t>发</w:t>
      </w:r>
      <w:r>
        <w:rPr>
          <w:rFonts w:hint="eastAsia" w:ascii="宋体" w:cs="Dotum"/>
          <w:color w:val="auto"/>
          <w:highlight w:val="none"/>
        </w:rPr>
        <w:t>包方可以直接安排人</w:t>
      </w:r>
      <w:r>
        <w:rPr>
          <w:rFonts w:hint="eastAsia" w:ascii="宋体" w:cs="宋体"/>
          <w:color w:val="auto"/>
          <w:highlight w:val="none"/>
        </w:rPr>
        <w:t>员清场</w:t>
      </w:r>
      <w:r>
        <w:rPr>
          <w:rFonts w:hint="eastAsia" w:ascii="宋体" w:cs="Dotum"/>
          <w:color w:val="auto"/>
          <w:highlight w:val="none"/>
        </w:rPr>
        <w:t>，所</w:t>
      </w:r>
      <w:r>
        <w:rPr>
          <w:rFonts w:hint="eastAsia" w:ascii="宋体" w:cs="宋体"/>
          <w:color w:val="auto"/>
          <w:highlight w:val="none"/>
        </w:rPr>
        <w:t>发</w:t>
      </w:r>
      <w:r>
        <w:rPr>
          <w:rFonts w:hint="eastAsia" w:ascii="宋体" w:cs="Dotum"/>
          <w:color w:val="auto"/>
          <w:highlight w:val="none"/>
        </w:rPr>
        <w:t>生的一切</w:t>
      </w:r>
      <w:r>
        <w:rPr>
          <w:rFonts w:hint="eastAsia" w:ascii="宋体" w:cs="宋体"/>
          <w:color w:val="auto"/>
          <w:highlight w:val="none"/>
        </w:rPr>
        <w:t>费</w:t>
      </w:r>
      <w:r>
        <w:rPr>
          <w:rFonts w:hint="eastAsia" w:ascii="宋体" w:cs="Dotum"/>
          <w:color w:val="auto"/>
          <w:highlight w:val="none"/>
        </w:rPr>
        <w:t>用和后果由承包方承担。</w:t>
      </w:r>
    </w:p>
    <w:p w14:paraId="6AB99456">
      <w:pPr>
        <w:spacing w:line="360" w:lineRule="exact"/>
        <w:ind w:firstLine="420" w:firstLineChars="200"/>
        <w:rPr>
          <w:rFonts w:ascii="宋体"/>
          <w:color w:val="auto"/>
          <w:highlight w:val="none"/>
        </w:rPr>
      </w:pPr>
      <w:r>
        <w:rPr>
          <w:rFonts w:ascii="宋体"/>
          <w:color w:val="auto"/>
          <w:highlight w:val="none"/>
        </w:rPr>
        <w:t>21.10</w:t>
      </w:r>
      <w:r>
        <w:rPr>
          <w:rFonts w:hint="eastAsia" w:ascii="宋体" w:cs="宋体"/>
          <w:color w:val="auto"/>
          <w:highlight w:val="none"/>
        </w:rPr>
        <w:t>发</w:t>
      </w:r>
      <w:r>
        <w:rPr>
          <w:rFonts w:hint="eastAsia" w:ascii="宋体" w:cs="Dotum"/>
          <w:color w:val="auto"/>
          <w:highlight w:val="none"/>
        </w:rPr>
        <w:t>包人按合同</w:t>
      </w:r>
      <w:r>
        <w:rPr>
          <w:rFonts w:hint="eastAsia" w:ascii="宋体" w:cs="宋体"/>
          <w:color w:val="auto"/>
          <w:highlight w:val="none"/>
        </w:rPr>
        <w:t>约</w:t>
      </w:r>
      <w:r>
        <w:rPr>
          <w:rFonts w:hint="eastAsia" w:ascii="宋体" w:cs="Dotum"/>
          <w:color w:val="auto"/>
          <w:highlight w:val="none"/>
        </w:rPr>
        <w:t>定支付</w:t>
      </w:r>
      <w:r>
        <w:rPr>
          <w:rFonts w:hint="eastAsia" w:ascii="宋体" w:cs="宋体"/>
          <w:color w:val="auto"/>
          <w:highlight w:val="none"/>
        </w:rPr>
        <w:t>给</w:t>
      </w:r>
      <w:r>
        <w:rPr>
          <w:rFonts w:hint="eastAsia" w:ascii="宋体" w:cs="Dotum"/>
          <w:color w:val="auto"/>
          <w:highlight w:val="none"/>
        </w:rPr>
        <w:t>承包人</w:t>
      </w:r>
      <w:r>
        <w:rPr>
          <w:rFonts w:hint="eastAsia" w:ascii="宋体"/>
          <w:color w:val="auto"/>
          <w:highlight w:val="none"/>
        </w:rPr>
        <w:t>的各</w:t>
      </w:r>
      <w:r>
        <w:rPr>
          <w:rFonts w:hint="eastAsia" w:ascii="宋体" w:cs="宋体"/>
          <w:color w:val="auto"/>
          <w:highlight w:val="none"/>
        </w:rPr>
        <w:t>项</w:t>
      </w:r>
      <w:r>
        <w:rPr>
          <w:rFonts w:hint="eastAsia" w:ascii="宋体" w:cs="Dotum"/>
          <w:color w:val="auto"/>
          <w:highlight w:val="none"/>
        </w:rPr>
        <w:t>价款</w:t>
      </w:r>
      <w:r>
        <w:rPr>
          <w:rFonts w:hint="eastAsia" w:ascii="宋体" w:cs="宋体"/>
          <w:color w:val="auto"/>
          <w:highlight w:val="none"/>
        </w:rPr>
        <w:t>应专</w:t>
      </w:r>
      <w:r>
        <w:rPr>
          <w:rFonts w:hint="eastAsia" w:ascii="宋体" w:cs="Dotum"/>
          <w:color w:val="auto"/>
          <w:highlight w:val="none"/>
        </w:rPr>
        <w:t>用于合同工程。承包人承</w:t>
      </w:r>
      <w:r>
        <w:rPr>
          <w:rFonts w:hint="eastAsia" w:ascii="宋体" w:cs="宋体"/>
          <w:color w:val="auto"/>
          <w:highlight w:val="none"/>
        </w:rPr>
        <w:t>诺</w:t>
      </w:r>
      <w:r>
        <w:rPr>
          <w:rFonts w:hint="eastAsia" w:ascii="宋体" w:cs="Dotum"/>
          <w:color w:val="auto"/>
          <w:highlight w:val="none"/>
        </w:rPr>
        <w:t>在施工期</w:t>
      </w:r>
      <w:r>
        <w:rPr>
          <w:rFonts w:hint="eastAsia" w:ascii="宋体" w:cs="宋体"/>
          <w:color w:val="auto"/>
          <w:highlight w:val="none"/>
        </w:rPr>
        <w:t>间</w:t>
      </w:r>
      <w:r>
        <w:rPr>
          <w:rFonts w:hint="eastAsia" w:ascii="宋体" w:cs="Dotum"/>
          <w:color w:val="auto"/>
          <w:highlight w:val="none"/>
        </w:rPr>
        <w:t>必</w:t>
      </w:r>
      <w:r>
        <w:rPr>
          <w:rFonts w:hint="eastAsia" w:ascii="宋体" w:cs="宋体"/>
          <w:color w:val="auto"/>
          <w:highlight w:val="none"/>
        </w:rPr>
        <w:t>须</w:t>
      </w:r>
      <w:r>
        <w:rPr>
          <w:rFonts w:hint="eastAsia" w:ascii="宋体" w:cs="Dotum"/>
          <w:color w:val="auto"/>
          <w:highlight w:val="none"/>
        </w:rPr>
        <w:t>保</w:t>
      </w:r>
      <w:r>
        <w:rPr>
          <w:rFonts w:hint="eastAsia" w:ascii="宋体" w:cs="宋体"/>
          <w:color w:val="auto"/>
          <w:highlight w:val="none"/>
        </w:rPr>
        <w:t>证资</w:t>
      </w:r>
      <w:r>
        <w:rPr>
          <w:rFonts w:hint="eastAsia" w:ascii="宋体" w:cs="Dotum"/>
          <w:color w:val="auto"/>
          <w:highlight w:val="none"/>
        </w:rPr>
        <w:t>金的</w:t>
      </w:r>
      <w:r>
        <w:rPr>
          <w:rFonts w:hint="eastAsia" w:ascii="宋体" w:cs="宋体"/>
          <w:color w:val="auto"/>
          <w:highlight w:val="none"/>
        </w:rPr>
        <w:t>专项</w:t>
      </w:r>
      <w:r>
        <w:rPr>
          <w:rFonts w:hint="eastAsia" w:ascii="宋体" w:cs="Dotum"/>
          <w:color w:val="auto"/>
          <w:highlight w:val="none"/>
        </w:rPr>
        <w:t>使用，不得挪作他用，</w:t>
      </w:r>
      <w:r>
        <w:rPr>
          <w:rFonts w:hint="eastAsia" w:ascii="宋体" w:cs="宋体"/>
          <w:color w:val="auto"/>
          <w:highlight w:val="none"/>
        </w:rPr>
        <w:t>并</w:t>
      </w:r>
      <w:r>
        <w:rPr>
          <w:rFonts w:hint="eastAsia" w:ascii="宋体" w:cs="Dotum"/>
          <w:color w:val="auto"/>
          <w:highlight w:val="none"/>
        </w:rPr>
        <w:t>自</w:t>
      </w:r>
      <w:r>
        <w:rPr>
          <w:rFonts w:hint="eastAsia" w:ascii="宋体" w:cs="宋体"/>
          <w:color w:val="auto"/>
          <w:highlight w:val="none"/>
        </w:rPr>
        <w:t>觉</w:t>
      </w:r>
      <w:r>
        <w:rPr>
          <w:rFonts w:hint="eastAsia" w:ascii="宋体" w:cs="Dotum"/>
          <w:color w:val="auto"/>
          <w:highlight w:val="none"/>
        </w:rPr>
        <w:t>接受</w:t>
      </w:r>
      <w:r>
        <w:rPr>
          <w:rFonts w:hint="eastAsia" w:ascii="宋体" w:cs="宋体"/>
          <w:color w:val="auto"/>
          <w:highlight w:val="none"/>
        </w:rPr>
        <w:t>发</w:t>
      </w:r>
      <w:r>
        <w:rPr>
          <w:rFonts w:hint="eastAsia" w:ascii="宋体" w:cs="Dotum"/>
          <w:color w:val="auto"/>
          <w:highlight w:val="none"/>
        </w:rPr>
        <w:t>包人的</w:t>
      </w:r>
      <w:r>
        <w:rPr>
          <w:rFonts w:hint="eastAsia" w:ascii="宋体" w:cs="宋体"/>
          <w:color w:val="auto"/>
          <w:highlight w:val="none"/>
        </w:rPr>
        <w:t>监</w:t>
      </w:r>
      <w:r>
        <w:rPr>
          <w:rFonts w:hint="eastAsia" w:ascii="宋体" w:cs="Dotum"/>
          <w:color w:val="auto"/>
          <w:highlight w:val="none"/>
        </w:rPr>
        <w:t>督。</w:t>
      </w:r>
      <w:r>
        <w:rPr>
          <w:rFonts w:hint="eastAsia" w:ascii="宋体" w:cs="宋体"/>
          <w:color w:val="auto"/>
          <w:highlight w:val="none"/>
        </w:rPr>
        <w:t>发</w:t>
      </w:r>
      <w:r>
        <w:rPr>
          <w:rFonts w:hint="eastAsia" w:ascii="宋体" w:cs="Dotum"/>
          <w:color w:val="auto"/>
          <w:highlight w:val="none"/>
        </w:rPr>
        <w:t>包人</w:t>
      </w:r>
      <w:r>
        <w:rPr>
          <w:rFonts w:hint="eastAsia" w:ascii="宋体" w:cs="宋体"/>
          <w:color w:val="auto"/>
          <w:highlight w:val="none"/>
        </w:rPr>
        <w:t>仅</w:t>
      </w:r>
      <w:r>
        <w:rPr>
          <w:rFonts w:hint="eastAsia" w:ascii="宋体" w:cs="Dotum"/>
          <w:color w:val="auto"/>
          <w:highlight w:val="none"/>
        </w:rPr>
        <w:t>向合同</w:t>
      </w:r>
      <w:r>
        <w:rPr>
          <w:rFonts w:hint="eastAsia" w:ascii="宋体" w:cs="宋体"/>
          <w:color w:val="auto"/>
          <w:highlight w:val="none"/>
        </w:rPr>
        <w:t>约</w:t>
      </w:r>
      <w:r>
        <w:rPr>
          <w:rFonts w:hint="eastAsia" w:ascii="宋体" w:cs="Dotum"/>
          <w:color w:val="auto"/>
          <w:highlight w:val="none"/>
        </w:rPr>
        <w:t>定的承包人基本</w:t>
      </w:r>
      <w:r>
        <w:rPr>
          <w:rFonts w:hint="eastAsia" w:ascii="宋体" w:cs="宋体"/>
          <w:color w:val="auto"/>
          <w:highlight w:val="none"/>
        </w:rPr>
        <w:t>银</w:t>
      </w:r>
      <w:r>
        <w:rPr>
          <w:rFonts w:hint="eastAsia" w:ascii="宋体" w:cs="Dotum"/>
          <w:color w:val="auto"/>
          <w:highlight w:val="none"/>
        </w:rPr>
        <w:t>行</w:t>
      </w:r>
      <w:r>
        <w:rPr>
          <w:rFonts w:hint="eastAsia" w:ascii="宋体" w:cs="宋体"/>
          <w:color w:val="auto"/>
          <w:highlight w:val="none"/>
        </w:rPr>
        <w:t>账户拨</w:t>
      </w:r>
      <w:r>
        <w:rPr>
          <w:rFonts w:hint="eastAsia" w:ascii="宋体" w:cs="Dotum"/>
          <w:color w:val="auto"/>
          <w:highlight w:val="none"/>
        </w:rPr>
        <w:t>付工程款。</w:t>
      </w:r>
    </w:p>
    <w:p w14:paraId="30CB13AA">
      <w:pPr>
        <w:spacing w:line="360" w:lineRule="exact"/>
        <w:ind w:firstLine="420" w:firstLineChars="200"/>
        <w:rPr>
          <w:rFonts w:ascii="宋体"/>
          <w:color w:val="auto"/>
          <w:highlight w:val="none"/>
        </w:rPr>
      </w:pPr>
      <w:r>
        <w:rPr>
          <w:rFonts w:ascii="宋体"/>
          <w:color w:val="auto"/>
          <w:highlight w:val="none"/>
        </w:rPr>
        <w:t xml:space="preserve">21.11 </w:t>
      </w:r>
      <w:r>
        <w:rPr>
          <w:rFonts w:hint="eastAsia" w:ascii="宋体"/>
          <w:color w:val="auto"/>
          <w:highlight w:val="none"/>
        </w:rPr>
        <w:t>承包人投</w:t>
      </w:r>
      <w:r>
        <w:rPr>
          <w:rFonts w:hint="eastAsia" w:ascii="宋体" w:cs="宋体"/>
          <w:color w:val="auto"/>
          <w:highlight w:val="none"/>
        </w:rPr>
        <w:t>标时</w:t>
      </w:r>
      <w:r>
        <w:rPr>
          <w:rFonts w:hint="eastAsia" w:ascii="宋体" w:cs="Dotum"/>
          <w:color w:val="auto"/>
          <w:highlight w:val="none"/>
        </w:rPr>
        <w:t>所</w:t>
      </w:r>
      <w:r>
        <w:rPr>
          <w:rFonts w:hint="eastAsia" w:ascii="宋体" w:cs="宋体"/>
          <w:color w:val="auto"/>
          <w:highlight w:val="none"/>
        </w:rPr>
        <w:t>报</w:t>
      </w:r>
      <w:r>
        <w:rPr>
          <w:rFonts w:hint="eastAsia" w:ascii="宋体" w:cs="Dotum"/>
          <w:color w:val="auto"/>
          <w:highlight w:val="none"/>
        </w:rPr>
        <w:t>的材料品牌原</w:t>
      </w:r>
      <w:r>
        <w:rPr>
          <w:rFonts w:hint="eastAsia" w:ascii="宋体" w:cs="宋体"/>
          <w:color w:val="auto"/>
          <w:highlight w:val="none"/>
        </w:rPr>
        <w:t>则</w:t>
      </w:r>
      <w:r>
        <w:rPr>
          <w:rFonts w:hint="eastAsia" w:ascii="宋体" w:cs="Dotum"/>
          <w:color w:val="auto"/>
          <w:highlight w:val="none"/>
        </w:rPr>
        <w:t>上不允</w:t>
      </w:r>
      <w:r>
        <w:rPr>
          <w:rFonts w:hint="eastAsia" w:ascii="宋体" w:cs="宋体"/>
          <w:color w:val="auto"/>
          <w:highlight w:val="none"/>
        </w:rPr>
        <w:t>许</w:t>
      </w:r>
      <w:r>
        <w:rPr>
          <w:rFonts w:hint="eastAsia" w:ascii="宋体" w:cs="Dotum"/>
          <w:color w:val="auto"/>
          <w:highlight w:val="none"/>
        </w:rPr>
        <w:t>更</w:t>
      </w:r>
      <w:r>
        <w:rPr>
          <w:rFonts w:hint="eastAsia" w:ascii="宋体" w:cs="宋体"/>
          <w:color w:val="auto"/>
          <w:highlight w:val="none"/>
        </w:rPr>
        <w:t>换</w:t>
      </w:r>
      <w:r>
        <w:rPr>
          <w:rFonts w:hint="eastAsia" w:ascii="宋体" w:cs="Dotum"/>
          <w:color w:val="auto"/>
          <w:highlight w:val="none"/>
        </w:rPr>
        <w:t>，确需更</w:t>
      </w:r>
      <w:r>
        <w:rPr>
          <w:rFonts w:hint="eastAsia" w:ascii="宋体" w:cs="宋体"/>
          <w:color w:val="auto"/>
          <w:highlight w:val="none"/>
        </w:rPr>
        <w:t>换时须经发</w:t>
      </w:r>
      <w:r>
        <w:rPr>
          <w:rFonts w:hint="eastAsia" w:ascii="宋体" w:cs="Dotum"/>
          <w:color w:val="auto"/>
          <w:highlight w:val="none"/>
        </w:rPr>
        <w:t>包人</w:t>
      </w:r>
      <w:r>
        <w:rPr>
          <w:rFonts w:hint="eastAsia" w:ascii="宋体" w:cs="宋体"/>
          <w:color w:val="auto"/>
          <w:highlight w:val="none"/>
        </w:rPr>
        <w:t>认</w:t>
      </w:r>
      <w:r>
        <w:rPr>
          <w:rFonts w:hint="eastAsia" w:ascii="宋体" w:cs="Dotum"/>
          <w:color w:val="auto"/>
          <w:highlight w:val="none"/>
        </w:rPr>
        <w:t>可。否</w:t>
      </w:r>
      <w:r>
        <w:rPr>
          <w:rFonts w:hint="eastAsia" w:ascii="宋体" w:cs="宋体"/>
          <w:color w:val="auto"/>
          <w:highlight w:val="none"/>
        </w:rPr>
        <w:t>则</w:t>
      </w:r>
      <w:r>
        <w:rPr>
          <w:rFonts w:hint="eastAsia" w:ascii="宋体" w:cs="Dotum"/>
          <w:color w:val="auto"/>
          <w:highlight w:val="none"/>
        </w:rPr>
        <w:t>，一</w:t>
      </w:r>
      <w:r>
        <w:rPr>
          <w:rFonts w:hint="eastAsia" w:ascii="宋体" w:cs="宋体"/>
          <w:color w:val="auto"/>
          <w:highlight w:val="none"/>
        </w:rPr>
        <w:t>经发现</w:t>
      </w:r>
      <w:r>
        <w:rPr>
          <w:rFonts w:hint="eastAsia" w:ascii="宋体" w:cs="Dotum"/>
          <w:color w:val="auto"/>
          <w:highlight w:val="none"/>
        </w:rPr>
        <w:t>，承包人</w:t>
      </w:r>
      <w:r>
        <w:rPr>
          <w:rFonts w:hint="eastAsia" w:ascii="宋体" w:cs="宋体"/>
          <w:color w:val="auto"/>
          <w:highlight w:val="none"/>
        </w:rPr>
        <w:t>应</w:t>
      </w:r>
      <w:r>
        <w:rPr>
          <w:rFonts w:hint="eastAsia" w:ascii="宋体" w:cs="Dotum"/>
          <w:color w:val="auto"/>
          <w:highlight w:val="none"/>
        </w:rPr>
        <w:t>立即更</w:t>
      </w:r>
      <w:r>
        <w:rPr>
          <w:rFonts w:hint="eastAsia" w:ascii="宋体" w:cs="宋体"/>
          <w:color w:val="auto"/>
          <w:highlight w:val="none"/>
        </w:rPr>
        <w:t>换</w:t>
      </w:r>
      <w:r>
        <w:rPr>
          <w:rFonts w:hint="eastAsia" w:ascii="宋体" w:cs="Dotum"/>
          <w:color w:val="auto"/>
          <w:highlight w:val="none"/>
        </w:rPr>
        <w:t>，所更</w:t>
      </w:r>
      <w:r>
        <w:rPr>
          <w:rFonts w:hint="eastAsia" w:ascii="宋体" w:cs="宋体"/>
          <w:color w:val="auto"/>
          <w:highlight w:val="none"/>
        </w:rPr>
        <w:t>换</w:t>
      </w:r>
      <w:r>
        <w:rPr>
          <w:rFonts w:hint="eastAsia" w:ascii="宋体" w:cs="Dotum"/>
          <w:color w:val="auto"/>
          <w:highlight w:val="none"/>
        </w:rPr>
        <w:t>的</w:t>
      </w:r>
      <w:r>
        <w:rPr>
          <w:rFonts w:hint="eastAsia" w:ascii="宋体" w:cs="宋体"/>
          <w:color w:val="auto"/>
          <w:highlight w:val="none"/>
        </w:rPr>
        <w:t>产</w:t>
      </w:r>
      <w:r>
        <w:rPr>
          <w:rFonts w:hint="eastAsia" w:ascii="宋体" w:cs="Dotum"/>
          <w:color w:val="auto"/>
          <w:highlight w:val="none"/>
        </w:rPr>
        <w:t>品，</w:t>
      </w:r>
      <w:r>
        <w:rPr>
          <w:rFonts w:hint="eastAsia" w:ascii="宋体" w:cs="宋体"/>
          <w:color w:val="auto"/>
          <w:highlight w:val="none"/>
        </w:rPr>
        <w:t>应</w:t>
      </w:r>
      <w:r>
        <w:rPr>
          <w:rFonts w:hint="eastAsia" w:ascii="宋体" w:cs="Dotum"/>
          <w:color w:val="auto"/>
          <w:highlight w:val="none"/>
        </w:rPr>
        <w:t>再次征得</w:t>
      </w:r>
      <w:r>
        <w:rPr>
          <w:rFonts w:hint="eastAsia" w:ascii="宋体" w:cs="宋体"/>
          <w:color w:val="auto"/>
          <w:highlight w:val="none"/>
        </w:rPr>
        <w:t>发</w:t>
      </w:r>
      <w:r>
        <w:rPr>
          <w:rFonts w:hint="eastAsia" w:ascii="宋体" w:cs="Dotum"/>
          <w:color w:val="auto"/>
          <w:highlight w:val="none"/>
        </w:rPr>
        <w:t>包人的</w:t>
      </w:r>
      <w:r>
        <w:rPr>
          <w:rFonts w:hint="eastAsia" w:ascii="宋体" w:cs="宋体"/>
          <w:color w:val="auto"/>
          <w:highlight w:val="none"/>
        </w:rPr>
        <w:t>书</w:t>
      </w:r>
      <w:r>
        <w:rPr>
          <w:rFonts w:hint="eastAsia" w:ascii="宋体" w:cs="Dotum"/>
          <w:color w:val="auto"/>
          <w:highlight w:val="none"/>
        </w:rPr>
        <w:t>面同意，所有</w:t>
      </w:r>
      <w:r>
        <w:rPr>
          <w:rFonts w:hint="eastAsia" w:ascii="宋体" w:cs="宋体"/>
          <w:color w:val="auto"/>
          <w:highlight w:val="none"/>
        </w:rPr>
        <w:t>费</w:t>
      </w:r>
      <w:r>
        <w:rPr>
          <w:rFonts w:hint="eastAsia" w:ascii="宋体" w:cs="Dotum"/>
          <w:color w:val="auto"/>
          <w:highlight w:val="none"/>
        </w:rPr>
        <w:t>用由承包人承担，由此造成的相</w:t>
      </w:r>
      <w:r>
        <w:rPr>
          <w:rFonts w:hint="eastAsia" w:ascii="宋体" w:cs="宋体"/>
          <w:color w:val="auto"/>
          <w:highlight w:val="none"/>
        </w:rPr>
        <w:t>关损</w:t>
      </w:r>
      <w:r>
        <w:rPr>
          <w:rFonts w:hint="eastAsia" w:ascii="宋体" w:cs="Dotum"/>
          <w:color w:val="auto"/>
          <w:highlight w:val="none"/>
        </w:rPr>
        <w:t>失和</w:t>
      </w:r>
      <w:r>
        <w:rPr>
          <w:rFonts w:hint="eastAsia" w:ascii="宋体" w:cs="宋体"/>
          <w:color w:val="auto"/>
          <w:highlight w:val="none"/>
        </w:rPr>
        <w:t>责</w:t>
      </w:r>
      <w:r>
        <w:rPr>
          <w:rFonts w:hint="eastAsia" w:ascii="宋体" w:cs="Dotum"/>
          <w:color w:val="auto"/>
          <w:highlight w:val="none"/>
        </w:rPr>
        <w:t>任全部由承包人承担。</w:t>
      </w:r>
    </w:p>
    <w:p w14:paraId="72FE4832">
      <w:pPr>
        <w:spacing w:line="360" w:lineRule="exact"/>
        <w:ind w:firstLine="420" w:firstLineChars="200"/>
        <w:rPr>
          <w:rFonts w:ascii="宋体"/>
          <w:color w:val="auto"/>
          <w:highlight w:val="none"/>
        </w:rPr>
      </w:pPr>
      <w:r>
        <w:rPr>
          <w:rFonts w:ascii="宋体"/>
          <w:color w:val="auto"/>
          <w:highlight w:val="none"/>
        </w:rPr>
        <w:t xml:space="preserve">21.12 </w:t>
      </w:r>
      <w:r>
        <w:rPr>
          <w:rFonts w:hint="eastAsia" w:ascii="宋体"/>
          <w:color w:val="auto"/>
          <w:highlight w:val="none"/>
        </w:rPr>
        <w:t>因承包人不能按</w:t>
      </w:r>
      <w:r>
        <w:rPr>
          <w:rFonts w:hint="eastAsia" w:ascii="宋体" w:cs="宋体"/>
          <w:color w:val="auto"/>
          <w:highlight w:val="none"/>
        </w:rPr>
        <w:t>发</w:t>
      </w:r>
      <w:r>
        <w:rPr>
          <w:rFonts w:hint="eastAsia" w:ascii="宋体" w:cs="Dotum"/>
          <w:color w:val="auto"/>
          <w:highlight w:val="none"/>
        </w:rPr>
        <w:t>包方下函要求的</w:t>
      </w:r>
      <w:r>
        <w:rPr>
          <w:rFonts w:hint="eastAsia" w:ascii="宋体" w:cs="宋体"/>
          <w:color w:val="auto"/>
          <w:highlight w:val="none"/>
        </w:rPr>
        <w:t>时间</w:t>
      </w:r>
      <w:r>
        <w:rPr>
          <w:rFonts w:hint="eastAsia" w:ascii="宋体" w:cs="Dotum"/>
          <w:color w:val="auto"/>
          <w:highlight w:val="none"/>
        </w:rPr>
        <w:t>提供有</w:t>
      </w:r>
      <w:r>
        <w:rPr>
          <w:rFonts w:hint="eastAsia" w:ascii="宋体" w:cs="宋体"/>
          <w:color w:val="auto"/>
          <w:highlight w:val="none"/>
        </w:rPr>
        <w:t>关资</w:t>
      </w:r>
      <w:r>
        <w:rPr>
          <w:rFonts w:hint="eastAsia" w:ascii="宋体" w:cs="Dotum"/>
          <w:color w:val="auto"/>
          <w:highlight w:val="none"/>
        </w:rPr>
        <w:t>料，致使</w:t>
      </w:r>
      <w:r>
        <w:rPr>
          <w:rFonts w:hint="eastAsia" w:ascii="宋体" w:cs="宋体"/>
          <w:color w:val="auto"/>
          <w:highlight w:val="none"/>
        </w:rPr>
        <w:t>发</w:t>
      </w:r>
      <w:r>
        <w:rPr>
          <w:rFonts w:hint="eastAsia" w:ascii="宋体" w:cs="Dotum"/>
          <w:color w:val="auto"/>
          <w:highlight w:val="none"/>
        </w:rPr>
        <w:t>包人不能按</w:t>
      </w:r>
      <w:r>
        <w:rPr>
          <w:rFonts w:hint="eastAsia" w:ascii="宋体" w:cs="宋体"/>
          <w:color w:val="auto"/>
          <w:highlight w:val="none"/>
        </w:rPr>
        <w:t>时办</w:t>
      </w:r>
      <w:r>
        <w:rPr>
          <w:rFonts w:hint="eastAsia" w:ascii="宋体" w:cs="Dotum"/>
          <w:color w:val="auto"/>
          <w:highlight w:val="none"/>
        </w:rPr>
        <w:t>理施工</w:t>
      </w:r>
      <w:r>
        <w:rPr>
          <w:rFonts w:hint="eastAsia" w:ascii="宋体" w:cs="宋体"/>
          <w:color w:val="auto"/>
          <w:highlight w:val="none"/>
        </w:rPr>
        <w:t>许</w:t>
      </w:r>
      <w:r>
        <w:rPr>
          <w:rFonts w:hint="eastAsia" w:ascii="宋体" w:cs="Dotum"/>
          <w:color w:val="auto"/>
          <w:highlight w:val="none"/>
        </w:rPr>
        <w:t>可</w:t>
      </w:r>
      <w:r>
        <w:rPr>
          <w:rFonts w:hint="eastAsia" w:ascii="宋体" w:cs="宋体"/>
          <w:color w:val="auto"/>
          <w:highlight w:val="none"/>
        </w:rPr>
        <w:t>证</w:t>
      </w:r>
      <w:r>
        <w:rPr>
          <w:rFonts w:hint="eastAsia" w:ascii="宋体" w:cs="Dotum"/>
          <w:color w:val="auto"/>
          <w:highlight w:val="none"/>
        </w:rPr>
        <w:t>，或致使</w:t>
      </w:r>
      <w:r>
        <w:rPr>
          <w:rFonts w:hint="eastAsia" w:ascii="宋体" w:cs="宋体"/>
          <w:color w:val="auto"/>
          <w:highlight w:val="none"/>
        </w:rPr>
        <w:t>发</w:t>
      </w:r>
      <w:r>
        <w:rPr>
          <w:rFonts w:hint="eastAsia" w:ascii="宋体" w:cs="Dotum"/>
          <w:color w:val="auto"/>
          <w:highlight w:val="none"/>
        </w:rPr>
        <w:t>包人不能</w:t>
      </w:r>
      <w:r>
        <w:rPr>
          <w:rFonts w:hint="eastAsia" w:ascii="宋体" w:cs="宋体"/>
          <w:color w:val="auto"/>
          <w:highlight w:val="none"/>
        </w:rPr>
        <w:t>组织节</w:t>
      </w:r>
      <w:r>
        <w:rPr>
          <w:rFonts w:hint="eastAsia" w:ascii="宋体" w:cs="Dotum"/>
          <w:color w:val="auto"/>
          <w:highlight w:val="none"/>
        </w:rPr>
        <w:t>能、防雷、</w:t>
      </w:r>
      <w:r>
        <w:rPr>
          <w:rFonts w:hint="eastAsia" w:ascii="宋体"/>
          <w:color w:val="auto"/>
          <w:highlight w:val="none"/>
        </w:rPr>
        <w:t>消防</w:t>
      </w:r>
      <w:r>
        <w:rPr>
          <w:rFonts w:hint="eastAsia" w:ascii="宋体" w:cs="宋体"/>
          <w:color w:val="auto"/>
          <w:highlight w:val="none"/>
        </w:rPr>
        <w:t>验</w:t>
      </w:r>
      <w:r>
        <w:rPr>
          <w:rFonts w:hint="eastAsia" w:ascii="宋体" w:cs="Dotum"/>
          <w:color w:val="auto"/>
          <w:highlight w:val="none"/>
        </w:rPr>
        <w:t>收、</w:t>
      </w:r>
      <w:r>
        <w:rPr>
          <w:rFonts w:hint="eastAsia" w:ascii="宋体" w:cs="宋体"/>
          <w:color w:val="auto"/>
          <w:highlight w:val="none"/>
        </w:rPr>
        <w:t>环评验</w:t>
      </w:r>
      <w:r>
        <w:rPr>
          <w:rFonts w:hint="eastAsia" w:ascii="宋体" w:cs="Dotum"/>
          <w:color w:val="auto"/>
          <w:highlight w:val="none"/>
        </w:rPr>
        <w:t>收、竣工</w:t>
      </w:r>
      <w:r>
        <w:rPr>
          <w:rFonts w:hint="eastAsia" w:ascii="宋体" w:cs="宋体"/>
          <w:color w:val="auto"/>
          <w:highlight w:val="none"/>
        </w:rPr>
        <w:t>验</w:t>
      </w:r>
      <w:r>
        <w:rPr>
          <w:rFonts w:hint="eastAsia" w:ascii="宋体" w:cs="Dotum"/>
          <w:color w:val="auto"/>
          <w:highlight w:val="none"/>
        </w:rPr>
        <w:t>收及</w:t>
      </w:r>
      <w:r>
        <w:rPr>
          <w:rFonts w:hint="eastAsia" w:ascii="宋体" w:cs="宋体"/>
          <w:color w:val="auto"/>
          <w:highlight w:val="none"/>
        </w:rPr>
        <w:t>规划验</w:t>
      </w:r>
      <w:r>
        <w:rPr>
          <w:rFonts w:hint="eastAsia" w:ascii="宋体" w:cs="Dotum"/>
          <w:color w:val="auto"/>
          <w:highlight w:val="none"/>
        </w:rPr>
        <w:t>收，造成</w:t>
      </w:r>
      <w:r>
        <w:rPr>
          <w:rFonts w:hint="eastAsia" w:ascii="宋体" w:cs="宋体"/>
          <w:color w:val="auto"/>
          <w:highlight w:val="none"/>
        </w:rPr>
        <w:t>发</w:t>
      </w:r>
      <w:r>
        <w:rPr>
          <w:rFonts w:hint="eastAsia" w:ascii="宋体" w:cs="Dotum"/>
          <w:color w:val="auto"/>
          <w:highlight w:val="none"/>
        </w:rPr>
        <w:t>包人的</w:t>
      </w:r>
      <w:r>
        <w:rPr>
          <w:rFonts w:hint="eastAsia" w:ascii="宋体" w:cs="宋体"/>
          <w:color w:val="auto"/>
          <w:highlight w:val="none"/>
        </w:rPr>
        <w:t>经济损</w:t>
      </w:r>
      <w:r>
        <w:rPr>
          <w:rFonts w:hint="eastAsia" w:ascii="宋体" w:cs="Dotum"/>
          <w:color w:val="auto"/>
          <w:highlight w:val="none"/>
        </w:rPr>
        <w:t>失和相</w:t>
      </w:r>
      <w:r>
        <w:rPr>
          <w:rFonts w:hint="eastAsia" w:ascii="宋体" w:cs="宋体"/>
          <w:color w:val="auto"/>
          <w:highlight w:val="none"/>
        </w:rPr>
        <w:t>关</w:t>
      </w:r>
      <w:r>
        <w:rPr>
          <w:rFonts w:hint="eastAsia" w:ascii="宋体" w:cs="Dotum"/>
          <w:color w:val="auto"/>
          <w:highlight w:val="none"/>
        </w:rPr>
        <w:t>不良后果及危害，均由承包人承担，</w:t>
      </w:r>
      <w:r>
        <w:rPr>
          <w:rFonts w:hint="eastAsia" w:ascii="宋体" w:cs="宋体"/>
          <w:color w:val="auto"/>
          <w:highlight w:val="none"/>
        </w:rPr>
        <w:t>发</w:t>
      </w:r>
      <w:r>
        <w:rPr>
          <w:rFonts w:hint="eastAsia" w:ascii="宋体" w:cs="Dotum"/>
          <w:color w:val="auto"/>
          <w:highlight w:val="none"/>
        </w:rPr>
        <w:t>包方以下函形式要求整改，如不能改</w:t>
      </w:r>
      <w:r>
        <w:rPr>
          <w:rFonts w:hint="eastAsia" w:ascii="宋体" w:cs="宋体"/>
          <w:color w:val="auto"/>
          <w:highlight w:val="none"/>
        </w:rPr>
        <w:t>进</w:t>
      </w:r>
      <w:r>
        <w:rPr>
          <w:rFonts w:hint="eastAsia" w:ascii="宋体" w:cs="Dotum"/>
          <w:color w:val="auto"/>
          <w:highlight w:val="none"/>
        </w:rPr>
        <w:t>，扣除</w:t>
      </w:r>
      <w:r>
        <w:rPr>
          <w:rFonts w:hint="eastAsia" w:ascii="宋体" w:cs="宋体"/>
          <w:color w:val="auto"/>
          <w:highlight w:val="none"/>
        </w:rPr>
        <w:t>违约</w:t>
      </w:r>
      <w:r>
        <w:rPr>
          <w:rFonts w:hint="eastAsia" w:ascii="宋体" w:cs="Dotum"/>
          <w:color w:val="auto"/>
          <w:highlight w:val="none"/>
        </w:rPr>
        <w:t>金，可</w:t>
      </w:r>
      <w:r>
        <w:rPr>
          <w:rFonts w:hint="eastAsia" w:ascii="宋体" w:cs="宋体"/>
          <w:color w:val="auto"/>
          <w:highlight w:val="none"/>
        </w:rPr>
        <w:t>从</w:t>
      </w:r>
      <w:r>
        <w:rPr>
          <w:rFonts w:hint="eastAsia" w:ascii="宋体" w:cs="Dotum"/>
          <w:color w:val="auto"/>
          <w:highlight w:val="none"/>
        </w:rPr>
        <w:t>履</w:t>
      </w:r>
      <w:r>
        <w:rPr>
          <w:rFonts w:hint="eastAsia" w:ascii="宋体" w:cs="宋体"/>
          <w:color w:val="auto"/>
          <w:highlight w:val="none"/>
        </w:rPr>
        <w:t>约</w:t>
      </w:r>
      <w:r>
        <w:rPr>
          <w:rFonts w:hint="eastAsia" w:ascii="宋体" w:cs="Dotum"/>
          <w:color w:val="auto"/>
          <w:highlight w:val="none"/>
        </w:rPr>
        <w:t>金中扣</w:t>
      </w:r>
      <w:r>
        <w:rPr>
          <w:rFonts w:ascii="宋体"/>
          <w:color w:val="auto"/>
          <w:highlight w:val="none"/>
        </w:rPr>
        <w:t>5000-50000</w:t>
      </w:r>
      <w:r>
        <w:rPr>
          <w:rFonts w:hint="eastAsia" w:ascii="宋体"/>
          <w:color w:val="auto"/>
          <w:highlight w:val="none"/>
        </w:rPr>
        <w:t>元</w:t>
      </w:r>
      <w:r>
        <w:rPr>
          <w:rFonts w:ascii="宋体"/>
          <w:color w:val="auto"/>
          <w:highlight w:val="none"/>
        </w:rPr>
        <w:t>/</w:t>
      </w:r>
      <w:r>
        <w:rPr>
          <w:rFonts w:hint="eastAsia" w:ascii="宋体"/>
          <w:color w:val="auto"/>
          <w:highlight w:val="none"/>
        </w:rPr>
        <w:t>天，直至</w:t>
      </w:r>
      <w:r>
        <w:rPr>
          <w:rFonts w:hint="eastAsia" w:ascii="宋体" w:cs="宋体"/>
          <w:color w:val="auto"/>
          <w:highlight w:val="none"/>
        </w:rPr>
        <w:t>达</w:t>
      </w:r>
      <w:r>
        <w:rPr>
          <w:rFonts w:hint="eastAsia" w:ascii="宋体" w:cs="Dotum"/>
          <w:color w:val="auto"/>
          <w:highlight w:val="none"/>
        </w:rPr>
        <w:t>到</w:t>
      </w:r>
      <w:r>
        <w:rPr>
          <w:rFonts w:hint="eastAsia" w:ascii="宋体" w:cs="宋体"/>
          <w:color w:val="auto"/>
          <w:highlight w:val="none"/>
        </w:rPr>
        <w:t>验</w:t>
      </w:r>
      <w:r>
        <w:rPr>
          <w:rFonts w:hint="eastAsia" w:ascii="宋体" w:cs="Dotum"/>
          <w:color w:val="auto"/>
          <w:highlight w:val="none"/>
        </w:rPr>
        <w:t>收合格</w:t>
      </w:r>
      <w:r>
        <w:rPr>
          <w:rFonts w:hint="eastAsia" w:ascii="宋体" w:cs="宋体"/>
          <w:color w:val="auto"/>
          <w:highlight w:val="none"/>
        </w:rPr>
        <w:t>为</w:t>
      </w:r>
      <w:r>
        <w:rPr>
          <w:rFonts w:hint="eastAsia" w:ascii="宋体" w:cs="Dotum"/>
          <w:color w:val="auto"/>
          <w:highlight w:val="none"/>
        </w:rPr>
        <w:t>止。</w:t>
      </w:r>
    </w:p>
    <w:p w14:paraId="6CDFCF92">
      <w:pPr>
        <w:spacing w:line="360" w:lineRule="exact"/>
        <w:ind w:firstLine="420" w:firstLineChars="200"/>
        <w:rPr>
          <w:rFonts w:ascii="宋体"/>
          <w:color w:val="auto"/>
          <w:highlight w:val="none"/>
        </w:rPr>
      </w:pPr>
      <w:r>
        <w:rPr>
          <w:rFonts w:ascii="宋体"/>
          <w:color w:val="auto"/>
          <w:highlight w:val="none"/>
        </w:rPr>
        <w:t>21.13</w:t>
      </w:r>
      <w:r>
        <w:rPr>
          <w:rFonts w:hint="eastAsia" w:ascii="宋体"/>
          <w:color w:val="auto"/>
          <w:highlight w:val="none"/>
        </w:rPr>
        <w:t>承包人必</w:t>
      </w:r>
      <w:r>
        <w:rPr>
          <w:rFonts w:hint="eastAsia" w:ascii="宋体" w:cs="宋体"/>
          <w:color w:val="auto"/>
          <w:highlight w:val="none"/>
        </w:rPr>
        <w:t>须</w:t>
      </w:r>
      <w:r>
        <w:rPr>
          <w:rFonts w:hint="eastAsia" w:ascii="宋体" w:cs="Dotum"/>
          <w:color w:val="auto"/>
          <w:highlight w:val="none"/>
        </w:rPr>
        <w:t>按</w:t>
      </w:r>
      <w:r>
        <w:rPr>
          <w:rFonts w:hint="eastAsia" w:ascii="宋体" w:cs="宋体"/>
          <w:color w:val="auto"/>
          <w:highlight w:val="none"/>
        </w:rPr>
        <w:t>发</w:t>
      </w:r>
      <w:r>
        <w:rPr>
          <w:rFonts w:hint="eastAsia" w:ascii="宋体" w:cs="Dotum"/>
          <w:color w:val="auto"/>
          <w:highlight w:val="none"/>
        </w:rPr>
        <w:t>包方要求的</w:t>
      </w:r>
      <w:r>
        <w:rPr>
          <w:rFonts w:hint="eastAsia" w:ascii="宋体" w:cs="宋体"/>
          <w:color w:val="auto"/>
          <w:highlight w:val="none"/>
        </w:rPr>
        <w:t>时间</w:t>
      </w:r>
      <w:r>
        <w:rPr>
          <w:rFonts w:hint="eastAsia" w:ascii="宋体" w:cs="Dotum"/>
          <w:color w:val="auto"/>
          <w:highlight w:val="none"/>
        </w:rPr>
        <w:t>及</w:t>
      </w:r>
      <w:r>
        <w:rPr>
          <w:rFonts w:hint="eastAsia" w:ascii="宋体" w:cs="宋体"/>
          <w:color w:val="auto"/>
          <w:highlight w:val="none"/>
        </w:rPr>
        <w:t>时</w:t>
      </w:r>
      <w:r>
        <w:rPr>
          <w:rFonts w:hint="eastAsia" w:ascii="宋体" w:cs="Dotum"/>
          <w:color w:val="auto"/>
          <w:highlight w:val="none"/>
        </w:rPr>
        <w:t>完成</w:t>
      </w:r>
      <w:r>
        <w:rPr>
          <w:rFonts w:hint="eastAsia" w:ascii="宋体" w:cs="宋体"/>
          <w:color w:val="auto"/>
          <w:highlight w:val="none"/>
        </w:rPr>
        <w:t>节</w:t>
      </w:r>
      <w:r>
        <w:rPr>
          <w:rFonts w:hint="eastAsia" w:ascii="宋体" w:cs="Dotum"/>
          <w:color w:val="auto"/>
          <w:highlight w:val="none"/>
        </w:rPr>
        <w:t>能、防雷、消防等</w:t>
      </w:r>
      <w:r>
        <w:rPr>
          <w:rFonts w:hint="eastAsia" w:ascii="宋体" w:cs="宋体"/>
          <w:color w:val="auto"/>
          <w:highlight w:val="none"/>
        </w:rPr>
        <w:t>验</w:t>
      </w:r>
      <w:r>
        <w:rPr>
          <w:rFonts w:hint="eastAsia" w:ascii="宋体" w:cs="Dotum"/>
          <w:color w:val="auto"/>
          <w:highlight w:val="none"/>
        </w:rPr>
        <w:t>收；</w:t>
      </w:r>
      <w:r>
        <w:rPr>
          <w:rFonts w:hint="eastAsia" w:ascii="宋体" w:cs="宋体"/>
          <w:color w:val="auto"/>
          <w:highlight w:val="none"/>
        </w:rPr>
        <w:t>积极</w:t>
      </w:r>
      <w:r>
        <w:rPr>
          <w:rFonts w:hint="eastAsia" w:ascii="宋体" w:cs="Dotum"/>
          <w:color w:val="auto"/>
          <w:highlight w:val="none"/>
        </w:rPr>
        <w:t>配合消防、防雷、</w:t>
      </w:r>
      <w:r>
        <w:rPr>
          <w:rFonts w:hint="eastAsia" w:ascii="宋体" w:cs="宋体"/>
          <w:color w:val="auto"/>
          <w:highlight w:val="none"/>
        </w:rPr>
        <w:t>环</w:t>
      </w:r>
      <w:r>
        <w:rPr>
          <w:rFonts w:hint="eastAsia" w:ascii="宋体" w:cs="Dotum"/>
          <w:color w:val="auto"/>
          <w:highlight w:val="none"/>
        </w:rPr>
        <w:t>保、</w:t>
      </w:r>
      <w:r>
        <w:rPr>
          <w:rFonts w:hint="eastAsia" w:ascii="宋体" w:cs="宋体"/>
          <w:color w:val="auto"/>
          <w:highlight w:val="none"/>
        </w:rPr>
        <w:t>节</w:t>
      </w:r>
      <w:r>
        <w:rPr>
          <w:rFonts w:hint="eastAsia" w:ascii="宋体" w:cs="Dotum"/>
          <w:color w:val="auto"/>
          <w:highlight w:val="none"/>
        </w:rPr>
        <w:t>能、</w:t>
      </w:r>
      <w:r>
        <w:rPr>
          <w:rFonts w:hint="eastAsia" w:ascii="宋体" w:cs="宋体"/>
          <w:color w:val="auto"/>
          <w:highlight w:val="none"/>
        </w:rPr>
        <w:t>规划验</w:t>
      </w:r>
      <w:r>
        <w:rPr>
          <w:rFonts w:hint="eastAsia" w:ascii="宋体" w:cs="Dotum"/>
          <w:color w:val="auto"/>
          <w:highlight w:val="none"/>
        </w:rPr>
        <w:t>收，</w:t>
      </w:r>
      <w:r>
        <w:rPr>
          <w:rFonts w:hint="eastAsia" w:ascii="宋体" w:cs="宋体"/>
          <w:color w:val="auto"/>
          <w:highlight w:val="none"/>
        </w:rPr>
        <w:t>验</w:t>
      </w:r>
      <w:r>
        <w:rPr>
          <w:rFonts w:hint="eastAsia" w:ascii="宋体" w:cs="Dotum"/>
          <w:color w:val="auto"/>
          <w:highlight w:val="none"/>
        </w:rPr>
        <w:t>收</w:t>
      </w:r>
      <w:r>
        <w:rPr>
          <w:rFonts w:hint="eastAsia" w:ascii="宋体" w:cs="宋体"/>
          <w:color w:val="auto"/>
          <w:highlight w:val="none"/>
        </w:rPr>
        <w:t>过</w:t>
      </w:r>
      <w:r>
        <w:rPr>
          <w:rFonts w:hint="eastAsia" w:ascii="宋体" w:cs="Dotum"/>
          <w:color w:val="auto"/>
          <w:highlight w:val="none"/>
        </w:rPr>
        <w:t>程中所需的</w:t>
      </w:r>
      <w:r>
        <w:rPr>
          <w:rFonts w:hint="eastAsia" w:ascii="宋体" w:cs="宋体"/>
          <w:color w:val="auto"/>
          <w:highlight w:val="none"/>
        </w:rPr>
        <w:t>检测费</w:t>
      </w:r>
      <w:r>
        <w:rPr>
          <w:rFonts w:hint="eastAsia" w:ascii="宋体" w:cs="Dotum"/>
          <w:color w:val="auto"/>
          <w:highlight w:val="none"/>
        </w:rPr>
        <w:t>用按有</w:t>
      </w:r>
      <w:r>
        <w:rPr>
          <w:rFonts w:hint="eastAsia" w:ascii="宋体" w:cs="宋体"/>
          <w:color w:val="auto"/>
          <w:highlight w:val="none"/>
        </w:rPr>
        <w:t>关</w:t>
      </w:r>
      <w:r>
        <w:rPr>
          <w:rFonts w:hint="eastAsia" w:ascii="宋体" w:cs="Dotum"/>
          <w:color w:val="auto"/>
          <w:highlight w:val="none"/>
        </w:rPr>
        <w:t>文件</w:t>
      </w:r>
      <w:r>
        <w:rPr>
          <w:rFonts w:hint="eastAsia" w:ascii="宋体" w:cs="宋体"/>
          <w:color w:val="auto"/>
          <w:highlight w:val="none"/>
        </w:rPr>
        <w:t>执</w:t>
      </w:r>
      <w:r>
        <w:rPr>
          <w:rFonts w:hint="eastAsia" w:ascii="宋体" w:cs="Dotum"/>
          <w:color w:val="auto"/>
          <w:highlight w:val="none"/>
        </w:rPr>
        <w:t>行。</w:t>
      </w:r>
    </w:p>
    <w:p w14:paraId="37C45825">
      <w:pPr>
        <w:spacing w:line="360" w:lineRule="exact"/>
        <w:ind w:firstLine="420" w:firstLineChars="200"/>
        <w:rPr>
          <w:rFonts w:ascii="宋体"/>
          <w:color w:val="auto"/>
          <w:highlight w:val="none"/>
        </w:rPr>
      </w:pPr>
      <w:r>
        <w:rPr>
          <w:rFonts w:ascii="宋体"/>
          <w:color w:val="auto"/>
          <w:highlight w:val="none"/>
        </w:rPr>
        <w:t>21.14</w:t>
      </w:r>
      <w:r>
        <w:rPr>
          <w:rFonts w:hint="eastAsia" w:ascii="宋体"/>
          <w:color w:val="auto"/>
          <w:highlight w:val="none"/>
        </w:rPr>
        <w:t>基</w:t>
      </w:r>
      <w:r>
        <w:rPr>
          <w:rFonts w:hint="eastAsia" w:ascii="宋体" w:cs="宋体"/>
          <w:color w:val="auto"/>
          <w:highlight w:val="none"/>
        </w:rPr>
        <w:t>础</w:t>
      </w:r>
      <w:r>
        <w:rPr>
          <w:rFonts w:hint="eastAsia" w:ascii="宋体" w:cs="Dotum"/>
          <w:color w:val="auto"/>
          <w:highlight w:val="none"/>
        </w:rPr>
        <w:t>施工</w:t>
      </w:r>
      <w:r>
        <w:rPr>
          <w:rFonts w:hint="eastAsia" w:ascii="宋体" w:cs="宋体"/>
          <w:color w:val="auto"/>
          <w:highlight w:val="none"/>
        </w:rPr>
        <w:t>时</w:t>
      </w:r>
      <w:r>
        <w:rPr>
          <w:rFonts w:hint="eastAsia" w:ascii="宋体" w:cs="Dotum"/>
          <w:color w:val="auto"/>
          <w:highlight w:val="none"/>
        </w:rPr>
        <w:t>遇不良地</w:t>
      </w:r>
      <w:r>
        <w:rPr>
          <w:rFonts w:hint="eastAsia" w:ascii="宋体" w:cs="宋体"/>
          <w:color w:val="auto"/>
          <w:highlight w:val="none"/>
        </w:rPr>
        <w:t>质</w:t>
      </w:r>
      <w:r>
        <w:rPr>
          <w:rFonts w:hint="eastAsia" w:ascii="宋体" w:cs="Dotum"/>
          <w:color w:val="auto"/>
          <w:highlight w:val="none"/>
        </w:rPr>
        <w:t>，需</w:t>
      </w:r>
      <w:r>
        <w:rPr>
          <w:rFonts w:hint="eastAsia" w:ascii="宋体" w:cs="宋体"/>
          <w:color w:val="auto"/>
          <w:highlight w:val="none"/>
        </w:rPr>
        <w:t>进</w:t>
      </w:r>
      <w:r>
        <w:rPr>
          <w:rFonts w:hint="eastAsia" w:ascii="宋体" w:cs="Dotum"/>
          <w:color w:val="auto"/>
          <w:highlight w:val="none"/>
        </w:rPr>
        <w:t>行地基</w:t>
      </w:r>
      <w:r>
        <w:rPr>
          <w:rFonts w:hint="eastAsia" w:ascii="宋体" w:cs="宋体"/>
          <w:color w:val="auto"/>
          <w:highlight w:val="none"/>
        </w:rPr>
        <w:t>处</w:t>
      </w:r>
      <w:r>
        <w:rPr>
          <w:rFonts w:hint="eastAsia" w:ascii="宋体" w:cs="Dotum"/>
          <w:color w:val="auto"/>
          <w:highlight w:val="none"/>
        </w:rPr>
        <w:t>理，</w:t>
      </w:r>
      <w:r>
        <w:rPr>
          <w:rFonts w:hint="eastAsia" w:ascii="宋体" w:cs="宋体"/>
          <w:color w:val="auto"/>
          <w:highlight w:val="none"/>
        </w:rPr>
        <w:t>则</w:t>
      </w:r>
      <w:r>
        <w:rPr>
          <w:rFonts w:hint="eastAsia" w:ascii="宋体" w:cs="Dotum"/>
          <w:color w:val="auto"/>
          <w:highlight w:val="none"/>
        </w:rPr>
        <w:t>施工</w:t>
      </w:r>
      <w:r>
        <w:rPr>
          <w:rFonts w:hint="eastAsia" w:ascii="宋体" w:cs="宋体"/>
          <w:color w:val="auto"/>
          <w:highlight w:val="none"/>
        </w:rPr>
        <w:t>单</w:t>
      </w:r>
      <w:r>
        <w:rPr>
          <w:rFonts w:hint="eastAsia" w:ascii="宋体" w:cs="Dotum"/>
          <w:color w:val="auto"/>
          <w:highlight w:val="none"/>
        </w:rPr>
        <w:t>位需根据地理</w:t>
      </w:r>
      <w:r>
        <w:rPr>
          <w:rFonts w:hint="eastAsia" w:ascii="宋体" w:cs="宋体"/>
          <w:color w:val="auto"/>
          <w:highlight w:val="none"/>
        </w:rPr>
        <w:t>处</w:t>
      </w:r>
      <w:r>
        <w:rPr>
          <w:rFonts w:hint="eastAsia" w:ascii="宋体" w:cs="Dotum"/>
          <w:color w:val="auto"/>
          <w:highlight w:val="none"/>
        </w:rPr>
        <w:t>理</w:t>
      </w:r>
      <w:r>
        <w:rPr>
          <w:rFonts w:hint="eastAsia" w:ascii="宋体" w:cs="宋体"/>
          <w:color w:val="auto"/>
          <w:highlight w:val="none"/>
        </w:rPr>
        <w:t>设计图纸编</w:t>
      </w:r>
      <w:r>
        <w:rPr>
          <w:rFonts w:hint="eastAsia" w:ascii="宋体" w:cs="Dotum"/>
          <w:color w:val="auto"/>
          <w:highlight w:val="none"/>
        </w:rPr>
        <w:t>制</w:t>
      </w:r>
      <w:r>
        <w:rPr>
          <w:rFonts w:hint="eastAsia" w:ascii="宋体" w:cs="宋体"/>
          <w:color w:val="auto"/>
          <w:highlight w:val="none"/>
        </w:rPr>
        <w:t>专项</w:t>
      </w:r>
      <w:r>
        <w:rPr>
          <w:rFonts w:hint="eastAsia" w:ascii="宋体" w:cs="Dotum"/>
          <w:color w:val="auto"/>
          <w:highlight w:val="none"/>
        </w:rPr>
        <w:t>施工方案，</w:t>
      </w:r>
      <w:r>
        <w:rPr>
          <w:rFonts w:hint="eastAsia" w:ascii="宋体" w:cs="宋体"/>
          <w:color w:val="auto"/>
          <w:highlight w:val="none"/>
        </w:rPr>
        <w:t>并报发</w:t>
      </w:r>
      <w:r>
        <w:rPr>
          <w:rFonts w:hint="eastAsia" w:ascii="宋体" w:cs="Dotum"/>
          <w:color w:val="auto"/>
          <w:highlight w:val="none"/>
        </w:rPr>
        <w:t>包人的</w:t>
      </w:r>
      <w:r>
        <w:rPr>
          <w:rFonts w:hint="eastAsia" w:ascii="宋体" w:cs="宋体"/>
          <w:color w:val="auto"/>
          <w:highlight w:val="none"/>
        </w:rPr>
        <w:t>监</w:t>
      </w:r>
      <w:r>
        <w:rPr>
          <w:rFonts w:hint="eastAsia" w:ascii="宋体" w:cs="Dotum"/>
          <w:color w:val="auto"/>
          <w:highlight w:val="none"/>
        </w:rPr>
        <w:t>理人</w:t>
      </w:r>
      <w:r>
        <w:rPr>
          <w:rFonts w:hint="eastAsia" w:ascii="宋体" w:cs="宋体"/>
          <w:color w:val="auto"/>
          <w:highlight w:val="none"/>
        </w:rPr>
        <w:t>认</w:t>
      </w:r>
      <w:r>
        <w:rPr>
          <w:rFonts w:hint="eastAsia" w:ascii="宋体" w:cs="Dotum"/>
          <w:color w:val="auto"/>
          <w:highlight w:val="none"/>
        </w:rPr>
        <w:t>可，确</w:t>
      </w:r>
      <w:r>
        <w:rPr>
          <w:rFonts w:hint="eastAsia" w:ascii="宋体" w:cs="宋体"/>
          <w:color w:val="auto"/>
          <w:highlight w:val="none"/>
        </w:rPr>
        <w:t>认</w:t>
      </w:r>
      <w:r>
        <w:rPr>
          <w:rFonts w:hint="eastAsia" w:ascii="宋体" w:cs="Dotum"/>
          <w:color w:val="auto"/>
          <w:highlight w:val="none"/>
        </w:rPr>
        <w:t>的</w:t>
      </w:r>
      <w:r>
        <w:rPr>
          <w:rFonts w:hint="eastAsia" w:ascii="宋体" w:cs="宋体"/>
          <w:color w:val="auto"/>
          <w:highlight w:val="none"/>
        </w:rPr>
        <w:t>专项</w:t>
      </w:r>
      <w:r>
        <w:rPr>
          <w:rFonts w:hint="eastAsia" w:ascii="宋体" w:cs="Dotum"/>
          <w:color w:val="auto"/>
          <w:highlight w:val="none"/>
        </w:rPr>
        <w:t>施工方案涉及</w:t>
      </w:r>
      <w:r>
        <w:rPr>
          <w:rFonts w:hint="eastAsia" w:ascii="宋体"/>
          <w:color w:val="auto"/>
          <w:highlight w:val="none"/>
        </w:rPr>
        <w:t>的施工机械，施工</w:t>
      </w:r>
      <w:r>
        <w:rPr>
          <w:rFonts w:hint="eastAsia" w:ascii="宋体" w:cs="宋体"/>
          <w:color w:val="auto"/>
          <w:highlight w:val="none"/>
        </w:rPr>
        <w:t>单</w:t>
      </w:r>
      <w:r>
        <w:rPr>
          <w:rFonts w:hint="eastAsia" w:ascii="宋体" w:cs="Dotum"/>
          <w:color w:val="auto"/>
          <w:highlight w:val="none"/>
        </w:rPr>
        <w:t>位需足</w:t>
      </w:r>
      <w:r>
        <w:rPr>
          <w:rFonts w:hint="eastAsia" w:ascii="宋体" w:cs="宋体"/>
          <w:color w:val="auto"/>
          <w:highlight w:val="none"/>
        </w:rPr>
        <w:t>额进场</w:t>
      </w:r>
      <w:r>
        <w:rPr>
          <w:rFonts w:hint="eastAsia" w:ascii="宋体" w:cs="Dotum"/>
          <w:color w:val="auto"/>
          <w:highlight w:val="none"/>
        </w:rPr>
        <w:t>施工，否</w:t>
      </w:r>
      <w:r>
        <w:rPr>
          <w:rFonts w:hint="eastAsia" w:ascii="宋体" w:cs="宋体"/>
          <w:color w:val="auto"/>
          <w:highlight w:val="none"/>
        </w:rPr>
        <w:t>则</w:t>
      </w:r>
      <w:r>
        <w:rPr>
          <w:rFonts w:hint="eastAsia" w:ascii="宋体" w:cs="Dotum"/>
          <w:color w:val="auto"/>
          <w:highlight w:val="none"/>
        </w:rPr>
        <w:t>，</w:t>
      </w:r>
      <w:r>
        <w:rPr>
          <w:rFonts w:hint="eastAsia" w:ascii="宋体" w:cs="宋体"/>
          <w:color w:val="auto"/>
          <w:highlight w:val="none"/>
        </w:rPr>
        <w:t>视为</w:t>
      </w:r>
      <w:r>
        <w:rPr>
          <w:rFonts w:hint="eastAsia" w:ascii="宋体" w:cs="Dotum"/>
          <w:color w:val="auto"/>
          <w:highlight w:val="none"/>
        </w:rPr>
        <w:t>施工</w:t>
      </w:r>
      <w:r>
        <w:rPr>
          <w:rFonts w:hint="eastAsia" w:ascii="宋体" w:cs="宋体"/>
          <w:color w:val="auto"/>
          <w:highlight w:val="none"/>
        </w:rPr>
        <w:t>单</w:t>
      </w:r>
      <w:r>
        <w:rPr>
          <w:rFonts w:hint="eastAsia" w:ascii="宋体" w:cs="Dotum"/>
          <w:color w:val="auto"/>
          <w:highlight w:val="none"/>
        </w:rPr>
        <w:t>位</w:t>
      </w:r>
      <w:r>
        <w:rPr>
          <w:rFonts w:hint="eastAsia" w:ascii="宋体" w:cs="宋体"/>
          <w:color w:val="auto"/>
          <w:highlight w:val="none"/>
        </w:rPr>
        <w:t>违约</w:t>
      </w:r>
      <w:r>
        <w:rPr>
          <w:rFonts w:hint="eastAsia" w:ascii="宋体" w:cs="Dotum"/>
          <w:color w:val="auto"/>
          <w:highlight w:val="none"/>
        </w:rPr>
        <w:t>，造成的工期延</w:t>
      </w:r>
      <w:r>
        <w:rPr>
          <w:rFonts w:hint="eastAsia" w:ascii="宋体" w:cs="宋体"/>
          <w:color w:val="auto"/>
          <w:highlight w:val="none"/>
        </w:rPr>
        <w:t>误</w:t>
      </w:r>
      <w:r>
        <w:rPr>
          <w:rFonts w:hint="eastAsia" w:ascii="宋体" w:cs="Dotum"/>
          <w:color w:val="auto"/>
          <w:highlight w:val="none"/>
        </w:rPr>
        <w:t>，</w:t>
      </w:r>
      <w:r>
        <w:rPr>
          <w:rFonts w:hint="eastAsia" w:ascii="宋体" w:cs="宋体"/>
          <w:color w:val="auto"/>
          <w:highlight w:val="none"/>
        </w:rPr>
        <w:t>发</w:t>
      </w:r>
      <w:r>
        <w:rPr>
          <w:rFonts w:hint="eastAsia" w:ascii="宋体" w:cs="Dotum"/>
          <w:color w:val="auto"/>
          <w:highlight w:val="none"/>
        </w:rPr>
        <w:t>包人有</w:t>
      </w:r>
      <w:r>
        <w:rPr>
          <w:rFonts w:hint="eastAsia" w:ascii="宋体" w:cs="宋体"/>
          <w:color w:val="auto"/>
          <w:highlight w:val="none"/>
        </w:rPr>
        <w:t>权</w:t>
      </w:r>
      <w:r>
        <w:rPr>
          <w:rFonts w:hint="eastAsia" w:ascii="宋体" w:cs="Dotum"/>
          <w:color w:val="auto"/>
          <w:highlight w:val="none"/>
        </w:rPr>
        <w:t>按每延</w:t>
      </w:r>
      <w:r>
        <w:rPr>
          <w:rFonts w:hint="eastAsia" w:ascii="宋体" w:cs="宋体"/>
          <w:color w:val="auto"/>
          <w:highlight w:val="none"/>
        </w:rPr>
        <w:t>误</w:t>
      </w:r>
      <w:r>
        <w:rPr>
          <w:rFonts w:hint="eastAsia" w:ascii="宋体" w:cs="Dotum"/>
          <w:color w:val="auto"/>
          <w:highlight w:val="none"/>
        </w:rPr>
        <w:t>一天</w:t>
      </w:r>
      <w:r>
        <w:rPr>
          <w:rFonts w:ascii="宋体"/>
          <w:color w:val="auto"/>
          <w:highlight w:val="none"/>
        </w:rPr>
        <w:t>2</w:t>
      </w:r>
      <w:r>
        <w:rPr>
          <w:rFonts w:hint="eastAsia" w:ascii="宋体"/>
          <w:color w:val="auto"/>
          <w:highlight w:val="none"/>
        </w:rPr>
        <w:t>万元</w:t>
      </w:r>
      <w:r>
        <w:rPr>
          <w:rFonts w:hint="eastAsia" w:ascii="宋体" w:cs="宋体"/>
          <w:color w:val="auto"/>
          <w:highlight w:val="none"/>
        </w:rPr>
        <w:t>进</w:t>
      </w:r>
      <w:r>
        <w:rPr>
          <w:rFonts w:hint="eastAsia" w:ascii="宋体" w:cs="Dotum"/>
          <w:color w:val="auto"/>
          <w:highlight w:val="none"/>
        </w:rPr>
        <w:t>行</w:t>
      </w:r>
      <w:r>
        <w:rPr>
          <w:rFonts w:hint="eastAsia" w:ascii="宋体" w:cs="宋体"/>
          <w:color w:val="auto"/>
          <w:highlight w:val="none"/>
        </w:rPr>
        <w:t>违约处罚</w:t>
      </w:r>
      <w:r>
        <w:rPr>
          <w:rFonts w:hint="eastAsia" w:ascii="宋体" w:cs="Dotum"/>
          <w:color w:val="auto"/>
          <w:highlight w:val="none"/>
        </w:rPr>
        <w:t>，直至地基</w:t>
      </w:r>
      <w:r>
        <w:rPr>
          <w:rFonts w:hint="eastAsia" w:ascii="宋体" w:cs="宋体"/>
          <w:color w:val="auto"/>
          <w:highlight w:val="none"/>
        </w:rPr>
        <w:t>处</w:t>
      </w:r>
      <w:r>
        <w:rPr>
          <w:rFonts w:hint="eastAsia" w:ascii="宋体" w:cs="Dotum"/>
          <w:color w:val="auto"/>
          <w:highlight w:val="none"/>
        </w:rPr>
        <w:t>理完</w:t>
      </w:r>
      <w:r>
        <w:rPr>
          <w:rFonts w:hint="eastAsia" w:ascii="宋体" w:cs="宋体"/>
          <w:color w:val="auto"/>
          <w:highlight w:val="none"/>
        </w:rPr>
        <w:t>毕</w:t>
      </w:r>
      <w:r>
        <w:rPr>
          <w:rFonts w:hint="eastAsia" w:ascii="宋体" w:cs="Dotum"/>
          <w:color w:val="auto"/>
          <w:highlight w:val="none"/>
        </w:rPr>
        <w:t>。因</w:t>
      </w:r>
      <w:r>
        <w:rPr>
          <w:rFonts w:hint="eastAsia" w:ascii="宋体" w:cs="宋体"/>
          <w:color w:val="auto"/>
          <w:highlight w:val="none"/>
        </w:rPr>
        <w:t>处</w:t>
      </w:r>
      <w:r>
        <w:rPr>
          <w:rFonts w:hint="eastAsia" w:ascii="宋体" w:cs="Dotum"/>
          <w:color w:val="auto"/>
          <w:highlight w:val="none"/>
        </w:rPr>
        <w:t>理特殊地基所造成的工期延</w:t>
      </w:r>
      <w:r>
        <w:rPr>
          <w:rFonts w:hint="eastAsia" w:ascii="宋体" w:cs="宋体"/>
          <w:color w:val="auto"/>
          <w:highlight w:val="none"/>
        </w:rPr>
        <w:t>误</w:t>
      </w:r>
      <w:r>
        <w:rPr>
          <w:rFonts w:hint="eastAsia" w:ascii="宋体" w:cs="Dotum"/>
          <w:color w:val="auto"/>
          <w:highlight w:val="none"/>
        </w:rPr>
        <w:t>，</w:t>
      </w:r>
      <w:r>
        <w:rPr>
          <w:rFonts w:hint="eastAsia" w:ascii="宋体" w:cs="宋体"/>
          <w:color w:val="auto"/>
          <w:highlight w:val="none"/>
        </w:rPr>
        <w:t>将视</w:t>
      </w:r>
      <w:r>
        <w:rPr>
          <w:rFonts w:hint="eastAsia" w:ascii="宋体" w:cs="Dotum"/>
          <w:color w:val="auto"/>
          <w:highlight w:val="none"/>
        </w:rPr>
        <w:t>具体情</w:t>
      </w:r>
      <w:r>
        <w:rPr>
          <w:rFonts w:hint="eastAsia" w:ascii="宋体" w:cs="宋体"/>
          <w:color w:val="auto"/>
          <w:highlight w:val="none"/>
        </w:rPr>
        <w:t>况补偿</w:t>
      </w:r>
      <w:r>
        <w:rPr>
          <w:rFonts w:hint="eastAsia" w:ascii="宋体" w:cs="Dotum"/>
          <w:color w:val="auto"/>
          <w:highlight w:val="none"/>
        </w:rPr>
        <w:t>。</w:t>
      </w:r>
    </w:p>
    <w:p w14:paraId="5B2305A5">
      <w:pPr>
        <w:spacing w:line="360" w:lineRule="exact"/>
        <w:ind w:firstLine="420" w:firstLineChars="200"/>
        <w:rPr>
          <w:rFonts w:ascii="宋体"/>
          <w:color w:val="auto"/>
          <w:highlight w:val="none"/>
        </w:rPr>
      </w:pPr>
      <w:r>
        <w:rPr>
          <w:rFonts w:ascii="宋体"/>
          <w:color w:val="auto"/>
          <w:highlight w:val="none"/>
        </w:rPr>
        <w:t>21.15</w:t>
      </w:r>
      <w:r>
        <w:rPr>
          <w:rFonts w:hint="eastAsia" w:ascii="宋体" w:cs="宋体"/>
          <w:color w:val="auto"/>
          <w:highlight w:val="none"/>
        </w:rPr>
        <w:t>对</w:t>
      </w:r>
      <w:r>
        <w:rPr>
          <w:rFonts w:hint="eastAsia" w:ascii="宋体" w:cs="Dotum"/>
          <w:color w:val="auto"/>
          <w:highlight w:val="none"/>
        </w:rPr>
        <w:t>承包人的</w:t>
      </w:r>
      <w:r>
        <w:rPr>
          <w:rFonts w:hint="eastAsia" w:ascii="宋体" w:cs="宋体"/>
          <w:color w:val="auto"/>
          <w:highlight w:val="none"/>
        </w:rPr>
        <w:t>违约罚</w:t>
      </w:r>
      <w:r>
        <w:rPr>
          <w:rFonts w:hint="eastAsia" w:ascii="宋体" w:cs="Dotum"/>
          <w:color w:val="auto"/>
          <w:highlight w:val="none"/>
        </w:rPr>
        <w:t>金或扣款，</w:t>
      </w:r>
      <w:r>
        <w:rPr>
          <w:rFonts w:hint="eastAsia" w:ascii="宋体" w:cs="宋体"/>
          <w:color w:val="auto"/>
          <w:highlight w:val="none"/>
        </w:rPr>
        <w:t>发</w:t>
      </w:r>
      <w:r>
        <w:rPr>
          <w:rFonts w:hint="eastAsia" w:ascii="宋体" w:cs="Dotum"/>
          <w:color w:val="auto"/>
          <w:highlight w:val="none"/>
        </w:rPr>
        <w:t>包人有</w:t>
      </w:r>
      <w:r>
        <w:rPr>
          <w:rFonts w:hint="eastAsia" w:ascii="宋体" w:cs="宋体"/>
          <w:color w:val="auto"/>
          <w:highlight w:val="none"/>
        </w:rPr>
        <w:t>权从</w:t>
      </w:r>
      <w:r>
        <w:rPr>
          <w:rFonts w:hint="eastAsia" w:ascii="宋体" w:cs="Dotum"/>
          <w:color w:val="auto"/>
          <w:highlight w:val="none"/>
        </w:rPr>
        <w:t>支付其工程款中或</w:t>
      </w:r>
      <w:r>
        <w:rPr>
          <w:rFonts w:hint="eastAsia" w:ascii="宋体" w:cs="宋体"/>
          <w:color w:val="auto"/>
          <w:highlight w:val="none"/>
        </w:rPr>
        <w:t>从</w:t>
      </w:r>
      <w:r>
        <w:rPr>
          <w:rFonts w:hint="eastAsia" w:ascii="宋体" w:cs="Dotum"/>
          <w:color w:val="auto"/>
          <w:highlight w:val="none"/>
        </w:rPr>
        <w:t>承包方的履</w:t>
      </w:r>
      <w:r>
        <w:rPr>
          <w:rFonts w:hint="eastAsia" w:ascii="宋体" w:cs="宋体"/>
          <w:color w:val="auto"/>
          <w:highlight w:val="none"/>
        </w:rPr>
        <w:t>约</w:t>
      </w:r>
      <w:r>
        <w:rPr>
          <w:rFonts w:hint="eastAsia" w:ascii="宋体" w:cs="Dotum"/>
          <w:color w:val="auto"/>
          <w:highlight w:val="none"/>
        </w:rPr>
        <w:t>保</w:t>
      </w:r>
      <w:r>
        <w:rPr>
          <w:rFonts w:hint="eastAsia" w:ascii="宋体" w:cs="宋体"/>
          <w:color w:val="auto"/>
          <w:highlight w:val="none"/>
        </w:rPr>
        <w:t>证</w:t>
      </w:r>
      <w:r>
        <w:rPr>
          <w:rFonts w:hint="eastAsia" w:ascii="宋体" w:cs="Dotum"/>
          <w:color w:val="auto"/>
          <w:highlight w:val="none"/>
        </w:rPr>
        <w:t>金中扣除。</w:t>
      </w:r>
    </w:p>
    <w:p w14:paraId="3C445624">
      <w:pPr>
        <w:spacing w:line="360" w:lineRule="exact"/>
        <w:ind w:firstLine="420" w:firstLineChars="200"/>
        <w:rPr>
          <w:rFonts w:ascii="宋体"/>
          <w:color w:val="auto"/>
          <w:highlight w:val="none"/>
        </w:rPr>
      </w:pPr>
      <w:r>
        <w:rPr>
          <w:rFonts w:ascii="宋体"/>
          <w:color w:val="auto"/>
          <w:highlight w:val="none"/>
        </w:rPr>
        <w:t>21.16</w:t>
      </w:r>
      <w:r>
        <w:rPr>
          <w:rFonts w:hint="eastAsia" w:ascii="宋体"/>
          <w:color w:val="auto"/>
          <w:highlight w:val="none"/>
        </w:rPr>
        <w:t>承包人如不按投</w:t>
      </w:r>
      <w:r>
        <w:rPr>
          <w:rFonts w:hint="eastAsia" w:ascii="宋体" w:cs="宋体"/>
          <w:color w:val="auto"/>
          <w:highlight w:val="none"/>
        </w:rPr>
        <w:t>标</w:t>
      </w:r>
      <w:r>
        <w:rPr>
          <w:rFonts w:hint="eastAsia" w:ascii="宋体" w:cs="Dotum"/>
          <w:color w:val="auto"/>
          <w:highlight w:val="none"/>
        </w:rPr>
        <w:t>文件或合同的承</w:t>
      </w:r>
      <w:r>
        <w:rPr>
          <w:rFonts w:hint="eastAsia" w:ascii="宋体" w:cs="宋体"/>
          <w:color w:val="auto"/>
          <w:highlight w:val="none"/>
        </w:rPr>
        <w:t>诺</w:t>
      </w:r>
      <w:r>
        <w:rPr>
          <w:rFonts w:hint="eastAsia" w:ascii="宋体" w:cs="Dotum"/>
          <w:color w:val="auto"/>
          <w:highlight w:val="none"/>
        </w:rPr>
        <w:t>，投入人</w:t>
      </w:r>
      <w:r>
        <w:rPr>
          <w:rFonts w:hint="eastAsia" w:ascii="宋体" w:cs="宋体"/>
          <w:color w:val="auto"/>
          <w:highlight w:val="none"/>
        </w:rPr>
        <w:t>员</w:t>
      </w:r>
      <w:r>
        <w:rPr>
          <w:rFonts w:hint="eastAsia" w:ascii="宋体" w:cs="Dotum"/>
          <w:color w:val="auto"/>
          <w:highlight w:val="none"/>
        </w:rPr>
        <w:t>及机械施工，超</w:t>
      </w:r>
      <w:r>
        <w:rPr>
          <w:rFonts w:hint="eastAsia" w:ascii="宋体" w:cs="宋体"/>
          <w:color w:val="auto"/>
          <w:highlight w:val="none"/>
        </w:rPr>
        <w:t>过</w:t>
      </w:r>
      <w:r>
        <w:rPr>
          <w:rFonts w:ascii="宋体"/>
          <w:color w:val="auto"/>
          <w:highlight w:val="none"/>
        </w:rPr>
        <w:t>10</w:t>
      </w:r>
      <w:r>
        <w:rPr>
          <w:rFonts w:hint="eastAsia" w:ascii="宋体"/>
          <w:color w:val="auto"/>
          <w:highlight w:val="none"/>
        </w:rPr>
        <w:t>日的，招</w:t>
      </w:r>
      <w:r>
        <w:rPr>
          <w:rFonts w:hint="eastAsia" w:ascii="宋体" w:cs="宋体"/>
          <w:color w:val="auto"/>
          <w:highlight w:val="none"/>
        </w:rPr>
        <w:t>标</w:t>
      </w:r>
      <w:r>
        <w:rPr>
          <w:rFonts w:hint="eastAsia" w:ascii="宋体" w:cs="Dotum"/>
          <w:color w:val="auto"/>
          <w:highlight w:val="none"/>
        </w:rPr>
        <w:t>人有</w:t>
      </w:r>
      <w:r>
        <w:rPr>
          <w:rFonts w:hint="eastAsia" w:ascii="宋体" w:cs="宋体"/>
          <w:color w:val="auto"/>
          <w:highlight w:val="none"/>
        </w:rPr>
        <w:t>权终</w:t>
      </w:r>
      <w:r>
        <w:rPr>
          <w:rFonts w:hint="eastAsia" w:ascii="宋体" w:cs="Dotum"/>
          <w:color w:val="auto"/>
          <w:highlight w:val="none"/>
        </w:rPr>
        <w:t>止合同，另</w:t>
      </w:r>
      <w:r>
        <w:rPr>
          <w:rFonts w:hint="eastAsia" w:ascii="宋体" w:cs="宋体"/>
          <w:color w:val="auto"/>
          <w:highlight w:val="none"/>
        </w:rPr>
        <w:t>择</w:t>
      </w:r>
      <w:r>
        <w:rPr>
          <w:rFonts w:hint="eastAsia" w:ascii="宋体" w:cs="Dotum"/>
          <w:color w:val="auto"/>
          <w:highlight w:val="none"/>
        </w:rPr>
        <w:t>施工</w:t>
      </w:r>
      <w:r>
        <w:rPr>
          <w:rFonts w:hint="eastAsia" w:ascii="宋体" w:cs="宋体"/>
          <w:color w:val="auto"/>
          <w:highlight w:val="none"/>
        </w:rPr>
        <w:t>单</w:t>
      </w:r>
      <w:r>
        <w:rPr>
          <w:rFonts w:hint="eastAsia" w:ascii="宋体" w:cs="Dotum"/>
          <w:color w:val="auto"/>
          <w:highlight w:val="none"/>
        </w:rPr>
        <w:t>位。</w:t>
      </w:r>
    </w:p>
    <w:p w14:paraId="7826A1C9">
      <w:pPr>
        <w:spacing w:line="360" w:lineRule="exact"/>
        <w:ind w:firstLine="420" w:firstLineChars="200"/>
        <w:rPr>
          <w:rFonts w:ascii="宋体"/>
          <w:color w:val="auto"/>
          <w:highlight w:val="none"/>
        </w:rPr>
      </w:pPr>
      <w:r>
        <w:rPr>
          <w:rFonts w:ascii="宋体"/>
          <w:color w:val="auto"/>
          <w:highlight w:val="none"/>
        </w:rPr>
        <w:t>21.17</w:t>
      </w:r>
      <w:r>
        <w:rPr>
          <w:rFonts w:hint="eastAsia" w:ascii="宋体"/>
          <w:color w:val="auto"/>
          <w:highlight w:val="none"/>
        </w:rPr>
        <w:t>未</w:t>
      </w:r>
      <w:r>
        <w:rPr>
          <w:rFonts w:hint="eastAsia" w:ascii="宋体" w:cs="宋体"/>
          <w:color w:val="auto"/>
          <w:highlight w:val="none"/>
        </w:rPr>
        <w:t>经监</w:t>
      </w:r>
      <w:r>
        <w:rPr>
          <w:rFonts w:hint="eastAsia" w:ascii="宋体" w:cs="Dotum"/>
          <w:color w:val="auto"/>
          <w:highlight w:val="none"/>
        </w:rPr>
        <w:t>理工程</w:t>
      </w:r>
      <w:r>
        <w:rPr>
          <w:rFonts w:hint="eastAsia" w:ascii="宋体" w:cs="宋体"/>
          <w:color w:val="auto"/>
          <w:highlight w:val="none"/>
        </w:rPr>
        <w:t>师审查</w:t>
      </w:r>
      <w:r>
        <w:rPr>
          <w:rFonts w:hint="eastAsia" w:ascii="宋体" w:cs="Dotum"/>
          <w:color w:val="auto"/>
          <w:highlight w:val="none"/>
        </w:rPr>
        <w:t>批准，施工期</w:t>
      </w:r>
      <w:r>
        <w:rPr>
          <w:rFonts w:hint="eastAsia" w:ascii="宋体" w:cs="宋体"/>
          <w:color w:val="auto"/>
          <w:highlight w:val="none"/>
        </w:rPr>
        <w:t>内</w:t>
      </w:r>
      <w:r>
        <w:rPr>
          <w:rFonts w:hint="eastAsia" w:ascii="宋体" w:cs="Dotum"/>
          <w:color w:val="auto"/>
          <w:highlight w:val="none"/>
        </w:rPr>
        <w:t>自行</w:t>
      </w:r>
      <w:r>
        <w:rPr>
          <w:rFonts w:hint="eastAsia" w:ascii="宋体" w:cs="宋体"/>
          <w:color w:val="auto"/>
          <w:highlight w:val="none"/>
        </w:rPr>
        <w:t>调</w:t>
      </w:r>
      <w:r>
        <w:rPr>
          <w:rFonts w:hint="eastAsia" w:ascii="宋体" w:cs="Dotum"/>
          <w:color w:val="auto"/>
          <w:highlight w:val="none"/>
        </w:rPr>
        <w:t>走主要施工机械，</w:t>
      </w:r>
      <w:r>
        <w:rPr>
          <w:rFonts w:hint="eastAsia" w:ascii="宋体" w:cs="宋体"/>
          <w:color w:val="auto"/>
          <w:highlight w:val="none"/>
        </w:rPr>
        <w:t>经发现</w:t>
      </w:r>
      <w:r>
        <w:rPr>
          <w:rFonts w:hint="eastAsia" w:ascii="宋体" w:cs="Dotum"/>
          <w:color w:val="auto"/>
          <w:highlight w:val="none"/>
        </w:rPr>
        <w:t>不及</w:t>
      </w:r>
      <w:r>
        <w:rPr>
          <w:rFonts w:hint="eastAsia" w:ascii="宋体" w:cs="宋体"/>
          <w:color w:val="auto"/>
          <w:highlight w:val="none"/>
        </w:rPr>
        <w:t>时调</w:t>
      </w:r>
      <w:r>
        <w:rPr>
          <w:rFonts w:hint="eastAsia" w:ascii="宋体" w:cs="Dotum"/>
          <w:color w:val="auto"/>
          <w:highlight w:val="none"/>
        </w:rPr>
        <w:t>回的，</w:t>
      </w:r>
      <w:r>
        <w:rPr>
          <w:rFonts w:hint="eastAsia" w:ascii="宋体" w:cs="宋体"/>
          <w:color w:val="auto"/>
          <w:highlight w:val="none"/>
        </w:rPr>
        <w:t>视为</w:t>
      </w:r>
      <w:r>
        <w:rPr>
          <w:rFonts w:hint="eastAsia" w:ascii="宋体" w:cs="Dotum"/>
          <w:color w:val="auto"/>
          <w:highlight w:val="none"/>
        </w:rPr>
        <w:t>承包人</w:t>
      </w:r>
      <w:r>
        <w:rPr>
          <w:rFonts w:hint="eastAsia" w:ascii="宋体" w:cs="宋体"/>
          <w:color w:val="auto"/>
          <w:highlight w:val="none"/>
        </w:rPr>
        <w:t>违约</w:t>
      </w:r>
      <w:r>
        <w:rPr>
          <w:rFonts w:hint="eastAsia" w:ascii="宋体" w:cs="Dotum"/>
          <w:color w:val="auto"/>
          <w:highlight w:val="none"/>
        </w:rPr>
        <w:t>，</w:t>
      </w:r>
      <w:r>
        <w:rPr>
          <w:rFonts w:hint="eastAsia" w:ascii="宋体" w:cs="宋体"/>
          <w:color w:val="auto"/>
          <w:highlight w:val="none"/>
        </w:rPr>
        <w:t>发</w:t>
      </w:r>
      <w:r>
        <w:rPr>
          <w:rFonts w:hint="eastAsia" w:ascii="宋体" w:cs="Dotum"/>
          <w:color w:val="auto"/>
          <w:highlight w:val="none"/>
        </w:rPr>
        <w:t>包人有</w:t>
      </w:r>
      <w:r>
        <w:rPr>
          <w:rFonts w:hint="eastAsia" w:ascii="宋体" w:cs="宋体"/>
          <w:color w:val="auto"/>
          <w:highlight w:val="none"/>
        </w:rPr>
        <w:t>权处罚</w:t>
      </w:r>
      <w:r>
        <w:rPr>
          <w:rFonts w:hint="eastAsia" w:ascii="宋体" w:cs="Dotum"/>
          <w:color w:val="auto"/>
          <w:highlight w:val="none"/>
        </w:rPr>
        <w:t>承</w:t>
      </w:r>
      <w:r>
        <w:rPr>
          <w:rFonts w:hint="eastAsia" w:ascii="宋体"/>
          <w:color w:val="auto"/>
          <w:highlight w:val="none"/>
        </w:rPr>
        <w:t>包人的</w:t>
      </w:r>
      <w:r>
        <w:rPr>
          <w:rFonts w:hint="eastAsia" w:ascii="宋体" w:cs="宋体"/>
          <w:color w:val="auto"/>
          <w:highlight w:val="none"/>
        </w:rPr>
        <w:t>违约</w:t>
      </w:r>
      <w:r>
        <w:rPr>
          <w:rFonts w:hint="eastAsia" w:ascii="宋体" w:cs="Dotum"/>
          <w:color w:val="auto"/>
          <w:highlight w:val="none"/>
        </w:rPr>
        <w:t>金</w:t>
      </w:r>
      <w:r>
        <w:rPr>
          <w:rFonts w:hint="eastAsia" w:ascii="宋体" w:cs="宋体"/>
          <w:color w:val="auto"/>
          <w:highlight w:val="none"/>
        </w:rPr>
        <w:t>标</w:t>
      </w:r>
      <w:r>
        <w:rPr>
          <w:rFonts w:hint="eastAsia" w:ascii="宋体" w:cs="Dotum"/>
          <w:color w:val="auto"/>
          <w:highlight w:val="none"/>
        </w:rPr>
        <w:t>准</w:t>
      </w:r>
      <w:r>
        <w:rPr>
          <w:rFonts w:hint="eastAsia" w:ascii="宋体" w:cs="宋体"/>
          <w:color w:val="auto"/>
          <w:highlight w:val="none"/>
        </w:rPr>
        <w:t>为</w:t>
      </w:r>
      <w:r>
        <w:rPr>
          <w:rFonts w:hint="eastAsia" w:ascii="宋体" w:cs="Dotum"/>
          <w:color w:val="auto"/>
          <w:highlight w:val="none"/>
        </w:rPr>
        <w:t>：履</w:t>
      </w:r>
      <w:r>
        <w:rPr>
          <w:rFonts w:hint="eastAsia" w:ascii="宋体" w:cs="宋体"/>
          <w:color w:val="auto"/>
          <w:highlight w:val="none"/>
        </w:rPr>
        <w:t>约</w:t>
      </w:r>
      <w:r>
        <w:rPr>
          <w:rFonts w:hint="eastAsia" w:ascii="宋体" w:cs="Dotum"/>
          <w:color w:val="auto"/>
          <w:highlight w:val="none"/>
        </w:rPr>
        <w:t>保</w:t>
      </w:r>
      <w:r>
        <w:rPr>
          <w:rFonts w:hint="eastAsia" w:ascii="宋体" w:cs="宋体"/>
          <w:color w:val="auto"/>
          <w:highlight w:val="none"/>
        </w:rPr>
        <w:t>证</w:t>
      </w:r>
      <w:r>
        <w:rPr>
          <w:rFonts w:hint="eastAsia" w:ascii="宋体" w:cs="Dotum"/>
          <w:color w:val="auto"/>
          <w:highlight w:val="none"/>
        </w:rPr>
        <w:t>金金</w:t>
      </w:r>
      <w:r>
        <w:rPr>
          <w:rFonts w:hint="eastAsia" w:ascii="宋体" w:cs="宋体"/>
          <w:color w:val="auto"/>
          <w:highlight w:val="none"/>
        </w:rPr>
        <w:t>额</w:t>
      </w:r>
      <w:r>
        <w:rPr>
          <w:rFonts w:hint="eastAsia" w:ascii="宋体" w:cs="Dotum"/>
          <w:color w:val="auto"/>
          <w:highlight w:val="none"/>
        </w:rPr>
        <w:t>（依据的金</w:t>
      </w:r>
      <w:r>
        <w:rPr>
          <w:rFonts w:hint="eastAsia" w:ascii="宋体" w:cs="宋体"/>
          <w:color w:val="auto"/>
          <w:highlight w:val="none"/>
        </w:rPr>
        <w:t>额</w:t>
      </w:r>
      <w:r>
        <w:rPr>
          <w:rFonts w:hint="eastAsia" w:ascii="宋体" w:cs="Dotum"/>
          <w:color w:val="auto"/>
          <w:highlight w:val="none"/>
        </w:rPr>
        <w:t>按中</w:t>
      </w:r>
      <w:r>
        <w:rPr>
          <w:rFonts w:hint="eastAsia" w:ascii="宋体" w:cs="宋体"/>
          <w:color w:val="auto"/>
          <w:highlight w:val="none"/>
        </w:rPr>
        <w:t>标</w:t>
      </w:r>
      <w:r>
        <w:rPr>
          <w:rFonts w:hint="eastAsia" w:ascii="宋体" w:cs="Dotum"/>
          <w:color w:val="auto"/>
          <w:highlight w:val="none"/>
        </w:rPr>
        <w:t>价的</w:t>
      </w:r>
      <w:r>
        <w:rPr>
          <w:rFonts w:ascii="宋体"/>
          <w:color w:val="auto"/>
          <w:highlight w:val="none"/>
        </w:rPr>
        <w:t>8%</w:t>
      </w:r>
      <w:r>
        <w:rPr>
          <w:rFonts w:hint="eastAsia" w:ascii="宋体" w:cs="宋体"/>
          <w:color w:val="auto"/>
          <w:highlight w:val="none"/>
        </w:rPr>
        <w:t>计</w:t>
      </w:r>
      <w:r>
        <w:rPr>
          <w:rFonts w:hint="eastAsia" w:ascii="宋体" w:cs="Dotum"/>
          <w:color w:val="auto"/>
          <w:highlight w:val="none"/>
        </w:rPr>
        <w:t>算）的</w:t>
      </w:r>
      <w:r>
        <w:rPr>
          <w:rFonts w:ascii="宋体"/>
          <w:color w:val="auto"/>
          <w:highlight w:val="none"/>
        </w:rPr>
        <w:t>10%-50%</w:t>
      </w:r>
      <w:r>
        <w:rPr>
          <w:rFonts w:hint="eastAsia" w:ascii="宋体"/>
          <w:color w:val="auto"/>
          <w:highlight w:val="none"/>
        </w:rPr>
        <w:t>（</w:t>
      </w:r>
      <w:r>
        <w:rPr>
          <w:rFonts w:hint="eastAsia" w:ascii="宋体" w:cs="宋体"/>
          <w:color w:val="auto"/>
          <w:highlight w:val="none"/>
        </w:rPr>
        <w:t>视</w:t>
      </w:r>
      <w:r>
        <w:rPr>
          <w:rFonts w:hint="eastAsia" w:ascii="宋体" w:cs="Dotum"/>
          <w:color w:val="auto"/>
          <w:highlight w:val="none"/>
        </w:rPr>
        <w:t>情</w:t>
      </w:r>
      <w:r>
        <w:rPr>
          <w:rFonts w:hint="eastAsia" w:ascii="宋体" w:cs="宋体"/>
          <w:color w:val="auto"/>
          <w:highlight w:val="none"/>
        </w:rPr>
        <w:t>节严</w:t>
      </w:r>
      <w:r>
        <w:rPr>
          <w:rFonts w:hint="eastAsia" w:ascii="宋体" w:cs="Dotum"/>
          <w:color w:val="auto"/>
          <w:highlight w:val="none"/>
        </w:rPr>
        <w:t>重而定）。</w:t>
      </w:r>
    </w:p>
    <w:p w14:paraId="4EA65FF9">
      <w:pPr>
        <w:spacing w:line="360" w:lineRule="exact"/>
        <w:ind w:firstLine="420" w:firstLineChars="200"/>
        <w:rPr>
          <w:rFonts w:ascii="宋体"/>
          <w:color w:val="auto"/>
          <w:highlight w:val="none"/>
        </w:rPr>
      </w:pPr>
      <w:r>
        <w:rPr>
          <w:rFonts w:ascii="宋体"/>
          <w:color w:val="auto"/>
          <w:highlight w:val="none"/>
        </w:rPr>
        <w:t>21.18</w:t>
      </w:r>
      <w:r>
        <w:rPr>
          <w:rFonts w:hint="eastAsia" w:ascii="宋体"/>
          <w:color w:val="auto"/>
          <w:highlight w:val="none"/>
        </w:rPr>
        <w:t>材料</w:t>
      </w:r>
      <w:r>
        <w:rPr>
          <w:rFonts w:hint="eastAsia" w:ascii="宋体" w:cs="宋体"/>
          <w:color w:val="auto"/>
          <w:highlight w:val="none"/>
        </w:rPr>
        <w:t>设备</w:t>
      </w:r>
      <w:r>
        <w:rPr>
          <w:rFonts w:hint="eastAsia" w:ascii="宋体" w:cs="Dotum"/>
          <w:color w:val="auto"/>
          <w:highlight w:val="none"/>
        </w:rPr>
        <w:t>品牌、</w:t>
      </w:r>
      <w:r>
        <w:rPr>
          <w:rFonts w:hint="eastAsia" w:ascii="宋体" w:cs="宋体"/>
          <w:color w:val="auto"/>
          <w:highlight w:val="none"/>
        </w:rPr>
        <w:t>规</w:t>
      </w:r>
      <w:r>
        <w:rPr>
          <w:rFonts w:hint="eastAsia" w:ascii="宋体" w:cs="Dotum"/>
          <w:color w:val="auto"/>
          <w:highlight w:val="none"/>
        </w:rPr>
        <w:t>格型</w:t>
      </w:r>
      <w:r>
        <w:rPr>
          <w:rFonts w:hint="eastAsia" w:ascii="宋体" w:cs="宋体"/>
          <w:color w:val="auto"/>
          <w:highlight w:val="none"/>
        </w:rPr>
        <w:t>号</w:t>
      </w:r>
      <w:r>
        <w:rPr>
          <w:rFonts w:hint="eastAsia" w:ascii="宋体" w:cs="Dotum"/>
          <w:color w:val="auto"/>
          <w:highlight w:val="none"/>
        </w:rPr>
        <w:t>原</w:t>
      </w:r>
      <w:r>
        <w:rPr>
          <w:rFonts w:hint="eastAsia" w:ascii="宋体" w:cs="宋体"/>
          <w:color w:val="auto"/>
          <w:highlight w:val="none"/>
        </w:rPr>
        <w:t>则</w:t>
      </w:r>
      <w:r>
        <w:rPr>
          <w:rFonts w:hint="eastAsia" w:ascii="宋体" w:cs="Dotum"/>
          <w:color w:val="auto"/>
          <w:highlight w:val="none"/>
        </w:rPr>
        <w:t>上不</w:t>
      </w:r>
      <w:r>
        <w:rPr>
          <w:rFonts w:hint="eastAsia" w:ascii="宋体" w:cs="宋体"/>
          <w:color w:val="auto"/>
          <w:highlight w:val="none"/>
        </w:rPr>
        <w:t>变</w:t>
      </w:r>
      <w:r>
        <w:rPr>
          <w:rFonts w:hint="eastAsia" w:ascii="宋体" w:cs="Dotum"/>
          <w:color w:val="auto"/>
          <w:highlight w:val="none"/>
        </w:rPr>
        <w:t>更，如需</w:t>
      </w:r>
      <w:r>
        <w:rPr>
          <w:rFonts w:hint="eastAsia" w:ascii="宋体" w:cs="宋体"/>
          <w:color w:val="auto"/>
          <w:highlight w:val="none"/>
        </w:rPr>
        <w:t>变</w:t>
      </w:r>
      <w:r>
        <w:rPr>
          <w:rFonts w:hint="eastAsia" w:ascii="宋体" w:cs="Dotum"/>
          <w:color w:val="auto"/>
          <w:highlight w:val="none"/>
        </w:rPr>
        <w:t>更，</w:t>
      </w:r>
      <w:r>
        <w:rPr>
          <w:rFonts w:hint="eastAsia" w:ascii="宋体" w:cs="宋体"/>
          <w:color w:val="auto"/>
          <w:highlight w:val="none"/>
        </w:rPr>
        <w:t>变</w:t>
      </w:r>
      <w:r>
        <w:rPr>
          <w:rFonts w:hint="eastAsia" w:ascii="宋体" w:cs="Dotum"/>
          <w:color w:val="auto"/>
          <w:highlight w:val="none"/>
        </w:rPr>
        <w:t>更造价</w:t>
      </w:r>
      <w:r>
        <w:rPr>
          <w:rFonts w:hint="eastAsia" w:ascii="宋体" w:cs="宋体"/>
          <w:color w:val="auto"/>
          <w:highlight w:val="none"/>
        </w:rPr>
        <w:t>调</w:t>
      </w:r>
      <w:r>
        <w:rPr>
          <w:rFonts w:hint="eastAsia" w:ascii="宋体" w:cs="Dotum"/>
          <w:color w:val="auto"/>
          <w:highlight w:val="none"/>
        </w:rPr>
        <w:t>整原</w:t>
      </w:r>
      <w:r>
        <w:rPr>
          <w:rFonts w:hint="eastAsia" w:ascii="宋体" w:cs="宋体"/>
          <w:color w:val="auto"/>
          <w:highlight w:val="none"/>
        </w:rPr>
        <w:t>则为</w:t>
      </w:r>
      <w:r>
        <w:rPr>
          <w:rFonts w:hint="eastAsia" w:ascii="宋体" w:cs="Dotum"/>
          <w:color w:val="auto"/>
          <w:highlight w:val="none"/>
        </w:rPr>
        <w:t>：承包人在施工</w:t>
      </w:r>
      <w:r>
        <w:rPr>
          <w:rFonts w:hint="eastAsia" w:ascii="宋体" w:cs="宋体"/>
          <w:color w:val="auto"/>
          <w:highlight w:val="none"/>
        </w:rPr>
        <w:t>过</w:t>
      </w:r>
      <w:r>
        <w:rPr>
          <w:rFonts w:hint="eastAsia" w:ascii="宋体" w:cs="Dotum"/>
          <w:color w:val="auto"/>
          <w:highlight w:val="none"/>
        </w:rPr>
        <w:t>程中需要使用代用材料</w:t>
      </w:r>
      <w:r>
        <w:rPr>
          <w:rFonts w:hint="eastAsia" w:ascii="宋体" w:cs="宋体"/>
          <w:color w:val="auto"/>
          <w:highlight w:val="none"/>
        </w:rPr>
        <w:t>设备</w:t>
      </w:r>
      <w:r>
        <w:rPr>
          <w:rFonts w:hint="eastAsia" w:ascii="宋体" w:cs="Dotum"/>
          <w:color w:val="auto"/>
          <w:highlight w:val="none"/>
        </w:rPr>
        <w:t>或</w:t>
      </w:r>
      <w:r>
        <w:rPr>
          <w:rFonts w:hint="eastAsia" w:ascii="宋体" w:cs="宋体"/>
          <w:color w:val="auto"/>
          <w:highlight w:val="none"/>
        </w:rPr>
        <w:t>调</w:t>
      </w:r>
      <w:r>
        <w:rPr>
          <w:rFonts w:hint="eastAsia" w:ascii="宋体" w:cs="Dotum"/>
          <w:color w:val="auto"/>
          <w:highlight w:val="none"/>
        </w:rPr>
        <w:t>整材料</w:t>
      </w:r>
      <w:r>
        <w:rPr>
          <w:rFonts w:hint="eastAsia" w:ascii="宋体" w:cs="宋体"/>
          <w:color w:val="auto"/>
          <w:highlight w:val="none"/>
        </w:rPr>
        <w:t>设备</w:t>
      </w:r>
      <w:r>
        <w:rPr>
          <w:rFonts w:hint="eastAsia" w:ascii="宋体" w:cs="Dotum"/>
          <w:color w:val="auto"/>
          <w:highlight w:val="none"/>
        </w:rPr>
        <w:t>的生</w:t>
      </w:r>
      <w:r>
        <w:rPr>
          <w:rFonts w:hint="eastAsia" w:ascii="宋体" w:cs="宋体"/>
          <w:color w:val="auto"/>
          <w:highlight w:val="none"/>
        </w:rPr>
        <w:t>产厂</w:t>
      </w:r>
      <w:r>
        <w:rPr>
          <w:rFonts w:hint="eastAsia" w:ascii="宋体" w:cs="Dotum"/>
          <w:color w:val="auto"/>
          <w:highlight w:val="none"/>
        </w:rPr>
        <w:t>家、</w:t>
      </w:r>
      <w:r>
        <w:rPr>
          <w:rFonts w:hint="eastAsia" w:ascii="宋体" w:cs="宋体"/>
          <w:color w:val="auto"/>
          <w:highlight w:val="none"/>
        </w:rPr>
        <w:t>产</w:t>
      </w:r>
      <w:r>
        <w:rPr>
          <w:rFonts w:hint="eastAsia" w:ascii="宋体" w:cs="Dotum"/>
          <w:color w:val="auto"/>
          <w:highlight w:val="none"/>
        </w:rPr>
        <w:t>地、</w:t>
      </w:r>
      <w:r>
        <w:rPr>
          <w:rFonts w:hint="eastAsia" w:ascii="宋体" w:cs="宋体"/>
          <w:color w:val="auto"/>
          <w:highlight w:val="none"/>
        </w:rPr>
        <w:t>产</w:t>
      </w:r>
      <w:r>
        <w:rPr>
          <w:rFonts w:hint="eastAsia" w:ascii="宋体" w:cs="Dotum"/>
          <w:color w:val="auto"/>
          <w:highlight w:val="none"/>
        </w:rPr>
        <w:t>品型</w:t>
      </w:r>
      <w:r>
        <w:rPr>
          <w:rFonts w:hint="eastAsia" w:ascii="宋体" w:cs="宋体"/>
          <w:color w:val="auto"/>
          <w:highlight w:val="none"/>
        </w:rPr>
        <w:t>号</w:t>
      </w:r>
      <w:r>
        <w:rPr>
          <w:rFonts w:hint="eastAsia" w:ascii="宋体" w:cs="Dotum"/>
          <w:color w:val="auto"/>
          <w:highlight w:val="none"/>
        </w:rPr>
        <w:t>、品牌，需</w:t>
      </w:r>
      <w:r>
        <w:rPr>
          <w:rFonts w:hint="eastAsia" w:ascii="宋体" w:cs="宋体"/>
          <w:color w:val="auto"/>
          <w:highlight w:val="none"/>
        </w:rPr>
        <w:t>发</w:t>
      </w:r>
      <w:r>
        <w:rPr>
          <w:rFonts w:hint="eastAsia" w:ascii="宋体" w:cs="Dotum"/>
          <w:color w:val="auto"/>
          <w:highlight w:val="none"/>
        </w:rPr>
        <w:t>包人</w:t>
      </w:r>
      <w:r>
        <w:rPr>
          <w:rFonts w:hint="eastAsia" w:ascii="宋体" w:cs="宋体"/>
          <w:color w:val="auto"/>
          <w:highlight w:val="none"/>
        </w:rPr>
        <w:t>审查并书</w:t>
      </w:r>
      <w:r>
        <w:rPr>
          <w:rFonts w:hint="eastAsia" w:ascii="宋体" w:cs="Dotum"/>
          <w:color w:val="auto"/>
          <w:highlight w:val="none"/>
        </w:rPr>
        <w:t>面批准：</w:t>
      </w:r>
      <w:r>
        <w:rPr>
          <w:rFonts w:hint="eastAsia" w:ascii="宋体" w:cs="宋体"/>
          <w:color w:val="auto"/>
          <w:highlight w:val="none"/>
        </w:rPr>
        <w:t>变</w:t>
      </w:r>
      <w:r>
        <w:rPr>
          <w:rFonts w:hint="eastAsia" w:ascii="宋体" w:cs="Dotum"/>
          <w:color w:val="auto"/>
          <w:highlight w:val="none"/>
        </w:rPr>
        <w:t>更后的材料</w:t>
      </w:r>
      <w:r>
        <w:rPr>
          <w:rFonts w:hint="eastAsia" w:ascii="宋体" w:cs="宋体"/>
          <w:color w:val="auto"/>
          <w:highlight w:val="none"/>
        </w:rPr>
        <w:t>设备</w:t>
      </w:r>
      <w:r>
        <w:rPr>
          <w:rFonts w:hint="eastAsia" w:ascii="宋体" w:cs="Dotum"/>
          <w:color w:val="auto"/>
          <w:highlight w:val="none"/>
        </w:rPr>
        <w:t>高于原材料</w:t>
      </w:r>
      <w:r>
        <w:rPr>
          <w:rFonts w:hint="eastAsia" w:ascii="宋体" w:cs="宋体"/>
          <w:color w:val="auto"/>
          <w:highlight w:val="none"/>
        </w:rPr>
        <w:t>设备</w:t>
      </w:r>
      <w:r>
        <w:rPr>
          <w:rFonts w:hint="eastAsia" w:ascii="宋体" w:cs="Dotum"/>
          <w:color w:val="auto"/>
          <w:highlight w:val="none"/>
        </w:rPr>
        <w:t>合同价的部分由承包人承担，低于原材料</w:t>
      </w:r>
      <w:r>
        <w:rPr>
          <w:rFonts w:hint="eastAsia" w:ascii="宋体" w:cs="宋体"/>
          <w:color w:val="auto"/>
          <w:highlight w:val="none"/>
        </w:rPr>
        <w:t>设备</w:t>
      </w:r>
      <w:r>
        <w:rPr>
          <w:rFonts w:hint="eastAsia" w:ascii="宋体" w:cs="Dotum"/>
          <w:color w:val="auto"/>
          <w:highlight w:val="none"/>
        </w:rPr>
        <w:t>合同价的，按</w:t>
      </w:r>
      <w:r>
        <w:rPr>
          <w:rFonts w:hint="eastAsia" w:ascii="宋体" w:cs="宋体"/>
          <w:color w:val="auto"/>
          <w:highlight w:val="none"/>
        </w:rPr>
        <w:t>实际调</w:t>
      </w:r>
      <w:r>
        <w:rPr>
          <w:rFonts w:hint="eastAsia" w:ascii="宋体" w:cs="Dotum"/>
          <w:color w:val="auto"/>
          <w:highlight w:val="none"/>
        </w:rPr>
        <w:t>整</w:t>
      </w:r>
      <w:r>
        <w:rPr>
          <w:rFonts w:hint="eastAsia" w:ascii="宋体" w:cs="宋体"/>
          <w:color w:val="auto"/>
          <w:highlight w:val="none"/>
        </w:rPr>
        <w:t>减</w:t>
      </w:r>
      <w:r>
        <w:rPr>
          <w:rFonts w:hint="eastAsia" w:ascii="宋体" w:cs="Dotum"/>
          <w:color w:val="auto"/>
          <w:highlight w:val="none"/>
        </w:rPr>
        <w:t>少的价款</w:t>
      </w:r>
      <w:r>
        <w:rPr>
          <w:rFonts w:hint="eastAsia" w:ascii="宋体" w:cs="宋体"/>
          <w:color w:val="auto"/>
          <w:highlight w:val="none"/>
        </w:rPr>
        <w:t>从</w:t>
      </w:r>
      <w:r>
        <w:rPr>
          <w:rFonts w:hint="eastAsia" w:ascii="宋体" w:cs="Dotum"/>
          <w:color w:val="auto"/>
          <w:highlight w:val="none"/>
        </w:rPr>
        <w:t>原合同价中扣</w:t>
      </w:r>
      <w:r>
        <w:rPr>
          <w:rFonts w:hint="eastAsia" w:ascii="宋体" w:cs="宋体"/>
          <w:color w:val="auto"/>
          <w:highlight w:val="none"/>
        </w:rPr>
        <w:t>减</w:t>
      </w:r>
      <w:r>
        <w:rPr>
          <w:rFonts w:hint="eastAsia" w:ascii="宋体" w:cs="Dotum"/>
          <w:color w:val="auto"/>
          <w:highlight w:val="none"/>
        </w:rPr>
        <w:t>，在材料</w:t>
      </w:r>
      <w:r>
        <w:rPr>
          <w:rFonts w:hint="eastAsia" w:ascii="宋体" w:cs="宋体"/>
          <w:color w:val="auto"/>
          <w:highlight w:val="none"/>
        </w:rPr>
        <w:t>设备</w:t>
      </w:r>
      <w:r>
        <w:rPr>
          <w:rFonts w:hint="eastAsia" w:ascii="宋体" w:cs="Dotum"/>
          <w:color w:val="auto"/>
          <w:highlight w:val="none"/>
        </w:rPr>
        <w:t>技</w:t>
      </w:r>
      <w:r>
        <w:rPr>
          <w:rFonts w:hint="eastAsia" w:ascii="宋体" w:cs="宋体"/>
          <w:color w:val="auto"/>
          <w:highlight w:val="none"/>
        </w:rPr>
        <w:t>术规</w:t>
      </w:r>
      <w:r>
        <w:rPr>
          <w:rFonts w:hint="eastAsia" w:ascii="宋体" w:cs="Dotum"/>
          <w:color w:val="auto"/>
          <w:highlight w:val="none"/>
        </w:rPr>
        <w:t>格要求</w:t>
      </w:r>
      <w:r>
        <w:rPr>
          <w:rFonts w:hint="eastAsia" w:ascii="宋体" w:cs="宋体"/>
          <w:color w:val="auto"/>
          <w:highlight w:val="none"/>
        </w:rPr>
        <w:t>类</w:t>
      </w:r>
      <w:r>
        <w:rPr>
          <w:rFonts w:hint="eastAsia" w:ascii="宋体" w:cs="Dotum"/>
          <w:color w:val="auto"/>
          <w:highlight w:val="none"/>
        </w:rPr>
        <w:t>似的前提下，若</w:t>
      </w:r>
      <w:r>
        <w:rPr>
          <w:rFonts w:hint="eastAsia" w:ascii="宋体" w:cs="宋体"/>
          <w:color w:val="auto"/>
          <w:highlight w:val="none"/>
        </w:rPr>
        <w:t>调</w:t>
      </w:r>
      <w:r>
        <w:rPr>
          <w:rFonts w:hint="eastAsia" w:ascii="宋体" w:cs="Dotum"/>
          <w:color w:val="auto"/>
          <w:highlight w:val="none"/>
        </w:rPr>
        <w:t>整的品牌在招</w:t>
      </w:r>
      <w:r>
        <w:rPr>
          <w:rFonts w:hint="eastAsia" w:ascii="宋体" w:cs="宋体"/>
          <w:color w:val="auto"/>
          <w:highlight w:val="none"/>
        </w:rPr>
        <w:t>标</w:t>
      </w:r>
      <w:r>
        <w:rPr>
          <w:rFonts w:hint="eastAsia" w:ascii="宋体" w:cs="Dotum"/>
          <w:color w:val="auto"/>
          <w:highlight w:val="none"/>
        </w:rPr>
        <w:t>推荐品牌中的，不予</w:t>
      </w:r>
      <w:r>
        <w:rPr>
          <w:rFonts w:hint="eastAsia" w:ascii="宋体" w:cs="宋体"/>
          <w:color w:val="auto"/>
          <w:highlight w:val="none"/>
        </w:rPr>
        <w:t>调</w:t>
      </w:r>
      <w:r>
        <w:rPr>
          <w:rFonts w:hint="eastAsia" w:ascii="宋体" w:cs="Dotum"/>
          <w:color w:val="auto"/>
          <w:highlight w:val="none"/>
        </w:rPr>
        <w:t>整造价。施工</w:t>
      </w:r>
      <w:r>
        <w:rPr>
          <w:rFonts w:hint="eastAsia" w:ascii="宋体" w:cs="宋体"/>
          <w:color w:val="auto"/>
          <w:highlight w:val="none"/>
        </w:rPr>
        <w:t>过</w:t>
      </w:r>
      <w:r>
        <w:rPr>
          <w:rFonts w:hint="eastAsia" w:ascii="宋体" w:cs="Dotum"/>
          <w:color w:val="auto"/>
          <w:highlight w:val="none"/>
        </w:rPr>
        <w:t>程中</w:t>
      </w:r>
      <w:r>
        <w:rPr>
          <w:rFonts w:hint="eastAsia" w:ascii="宋体" w:cs="宋体"/>
          <w:color w:val="auto"/>
          <w:highlight w:val="none"/>
        </w:rPr>
        <w:t>发</w:t>
      </w:r>
      <w:r>
        <w:rPr>
          <w:rFonts w:hint="eastAsia" w:ascii="宋体" w:cs="Dotum"/>
          <w:color w:val="auto"/>
          <w:highlight w:val="none"/>
        </w:rPr>
        <w:t>包人可根据</w:t>
      </w:r>
      <w:r>
        <w:rPr>
          <w:rFonts w:hint="eastAsia" w:ascii="宋体"/>
          <w:color w:val="auto"/>
          <w:highlight w:val="none"/>
        </w:rPr>
        <w:t>工程需要</w:t>
      </w:r>
      <w:r>
        <w:rPr>
          <w:rFonts w:hint="eastAsia" w:ascii="宋体" w:cs="宋体"/>
          <w:color w:val="auto"/>
          <w:highlight w:val="none"/>
        </w:rPr>
        <w:t>进</w:t>
      </w:r>
      <w:r>
        <w:rPr>
          <w:rFonts w:hint="eastAsia" w:ascii="宋体" w:cs="Dotum"/>
          <w:color w:val="auto"/>
          <w:highlight w:val="none"/>
        </w:rPr>
        <w:t>行材料</w:t>
      </w:r>
      <w:r>
        <w:rPr>
          <w:rFonts w:hint="eastAsia" w:ascii="宋体" w:cs="宋体"/>
          <w:color w:val="auto"/>
          <w:highlight w:val="none"/>
        </w:rPr>
        <w:t>设备</w:t>
      </w:r>
      <w:r>
        <w:rPr>
          <w:rFonts w:hint="eastAsia" w:ascii="宋体" w:cs="Dotum"/>
          <w:color w:val="auto"/>
          <w:highlight w:val="none"/>
        </w:rPr>
        <w:t>品牌</w:t>
      </w:r>
      <w:r>
        <w:rPr>
          <w:rFonts w:ascii="宋体"/>
          <w:color w:val="auto"/>
          <w:highlight w:val="none"/>
        </w:rPr>
        <w:t>(</w:t>
      </w:r>
      <w:r>
        <w:rPr>
          <w:rFonts w:hint="eastAsia" w:ascii="宋体"/>
          <w:color w:val="auto"/>
          <w:highlight w:val="none"/>
        </w:rPr>
        <w:t>技</w:t>
      </w:r>
      <w:r>
        <w:rPr>
          <w:rFonts w:hint="eastAsia" w:ascii="宋体" w:cs="宋体"/>
          <w:color w:val="auto"/>
          <w:highlight w:val="none"/>
        </w:rPr>
        <w:t>术规</w:t>
      </w:r>
      <w:r>
        <w:rPr>
          <w:rFonts w:hint="eastAsia" w:ascii="宋体" w:cs="Dotum"/>
          <w:color w:val="auto"/>
          <w:highlight w:val="none"/>
        </w:rPr>
        <w:t>格要求</w:t>
      </w:r>
      <w:r>
        <w:rPr>
          <w:rFonts w:hint="eastAsia" w:ascii="宋体" w:cs="宋体"/>
          <w:color w:val="auto"/>
          <w:highlight w:val="none"/>
        </w:rPr>
        <w:t>应类</w:t>
      </w:r>
      <w:r>
        <w:rPr>
          <w:rFonts w:hint="eastAsia" w:ascii="宋体" w:cs="Dotum"/>
          <w:color w:val="auto"/>
          <w:highlight w:val="none"/>
        </w:rPr>
        <w:t>似</w:t>
      </w:r>
      <w:r>
        <w:rPr>
          <w:rFonts w:ascii="宋体"/>
          <w:color w:val="auto"/>
          <w:highlight w:val="none"/>
        </w:rPr>
        <w:t>)</w:t>
      </w:r>
      <w:r>
        <w:rPr>
          <w:rFonts w:hint="eastAsia" w:ascii="宋体"/>
          <w:color w:val="auto"/>
          <w:highlight w:val="none"/>
        </w:rPr>
        <w:t>的</w:t>
      </w:r>
      <w:r>
        <w:rPr>
          <w:rFonts w:hint="eastAsia" w:ascii="宋体" w:cs="宋体"/>
          <w:color w:val="auto"/>
          <w:highlight w:val="none"/>
        </w:rPr>
        <w:t>变</w:t>
      </w:r>
      <w:r>
        <w:rPr>
          <w:rFonts w:hint="eastAsia" w:ascii="宋体" w:cs="Dotum"/>
          <w:color w:val="auto"/>
          <w:highlight w:val="none"/>
        </w:rPr>
        <w:t>更，若</w:t>
      </w:r>
      <w:r>
        <w:rPr>
          <w:rFonts w:hint="eastAsia" w:ascii="宋体" w:cs="宋体"/>
          <w:color w:val="auto"/>
          <w:highlight w:val="none"/>
        </w:rPr>
        <w:t>变</w:t>
      </w:r>
      <w:r>
        <w:rPr>
          <w:rFonts w:hint="eastAsia" w:ascii="宋体" w:cs="Dotum"/>
          <w:color w:val="auto"/>
          <w:highlight w:val="none"/>
        </w:rPr>
        <w:t>更的品牌在</w:t>
      </w:r>
      <w:r>
        <w:rPr>
          <w:rFonts w:hint="eastAsia" w:ascii="宋体" w:cs="宋体"/>
          <w:color w:val="auto"/>
          <w:highlight w:val="none"/>
        </w:rPr>
        <w:t>发</w:t>
      </w:r>
      <w:r>
        <w:rPr>
          <w:rFonts w:hint="eastAsia" w:ascii="宋体" w:cs="Dotum"/>
          <w:color w:val="auto"/>
          <w:highlight w:val="none"/>
        </w:rPr>
        <w:t>包人推荐的品牌列表中，工程造价不予</w:t>
      </w:r>
      <w:r>
        <w:rPr>
          <w:rFonts w:hint="eastAsia" w:ascii="宋体" w:cs="宋体"/>
          <w:color w:val="auto"/>
          <w:highlight w:val="none"/>
        </w:rPr>
        <w:t>调</w:t>
      </w:r>
      <w:r>
        <w:rPr>
          <w:rFonts w:hint="eastAsia" w:ascii="宋体" w:cs="Dotum"/>
          <w:color w:val="auto"/>
          <w:highlight w:val="none"/>
        </w:rPr>
        <w:t>整；若</w:t>
      </w:r>
      <w:r>
        <w:rPr>
          <w:rFonts w:hint="eastAsia" w:ascii="宋体" w:cs="宋体"/>
          <w:color w:val="auto"/>
          <w:highlight w:val="none"/>
        </w:rPr>
        <w:t>变</w:t>
      </w:r>
      <w:r>
        <w:rPr>
          <w:rFonts w:hint="eastAsia" w:ascii="宋体" w:cs="Dotum"/>
          <w:color w:val="auto"/>
          <w:highlight w:val="none"/>
        </w:rPr>
        <w:t>更的品牌，不在</w:t>
      </w:r>
      <w:r>
        <w:rPr>
          <w:rFonts w:hint="eastAsia" w:ascii="宋体" w:cs="宋体"/>
          <w:color w:val="auto"/>
          <w:highlight w:val="none"/>
        </w:rPr>
        <w:t>发</w:t>
      </w:r>
      <w:r>
        <w:rPr>
          <w:rFonts w:hint="eastAsia" w:ascii="宋体" w:cs="Dotum"/>
          <w:color w:val="auto"/>
          <w:highlight w:val="none"/>
        </w:rPr>
        <w:t>包人推荐的品牌列表中</w:t>
      </w:r>
      <w:r>
        <w:rPr>
          <w:rFonts w:ascii="宋体"/>
          <w:color w:val="auto"/>
          <w:highlight w:val="none"/>
        </w:rPr>
        <w:t>(</w:t>
      </w:r>
      <w:r>
        <w:rPr>
          <w:rFonts w:hint="eastAsia" w:ascii="宋体"/>
          <w:color w:val="auto"/>
          <w:highlight w:val="none"/>
        </w:rPr>
        <w:t>或在</w:t>
      </w:r>
      <w:r>
        <w:rPr>
          <w:rFonts w:hint="eastAsia" w:ascii="宋体" w:cs="宋体"/>
          <w:color w:val="auto"/>
          <w:highlight w:val="none"/>
        </w:rPr>
        <w:t>发</w:t>
      </w:r>
      <w:r>
        <w:rPr>
          <w:rFonts w:hint="eastAsia" w:ascii="宋体" w:cs="Dotum"/>
          <w:color w:val="auto"/>
          <w:highlight w:val="none"/>
        </w:rPr>
        <w:t>包人推荐的品牌列表中但技</w:t>
      </w:r>
      <w:r>
        <w:rPr>
          <w:rFonts w:hint="eastAsia" w:ascii="宋体" w:cs="宋体"/>
          <w:color w:val="auto"/>
          <w:highlight w:val="none"/>
        </w:rPr>
        <w:t>术规</w:t>
      </w:r>
      <w:r>
        <w:rPr>
          <w:rFonts w:hint="eastAsia" w:ascii="宋体" w:cs="Dotum"/>
          <w:color w:val="auto"/>
          <w:highlight w:val="none"/>
        </w:rPr>
        <w:t>格要求</w:t>
      </w:r>
      <w:r>
        <w:rPr>
          <w:rFonts w:hint="eastAsia" w:ascii="宋体" w:cs="宋体"/>
          <w:color w:val="auto"/>
          <w:highlight w:val="none"/>
        </w:rPr>
        <w:t>发</w:t>
      </w:r>
      <w:r>
        <w:rPr>
          <w:rFonts w:hint="eastAsia" w:ascii="宋体" w:cs="Dotum"/>
          <w:color w:val="auto"/>
          <w:highlight w:val="none"/>
        </w:rPr>
        <w:t>生</w:t>
      </w:r>
      <w:r>
        <w:rPr>
          <w:rFonts w:hint="eastAsia" w:ascii="宋体" w:cs="宋体"/>
          <w:color w:val="auto"/>
          <w:highlight w:val="none"/>
        </w:rPr>
        <w:t>变</w:t>
      </w:r>
      <w:r>
        <w:rPr>
          <w:rFonts w:hint="eastAsia" w:ascii="宋体" w:cs="Dotum"/>
          <w:color w:val="auto"/>
          <w:highlight w:val="none"/>
        </w:rPr>
        <w:t>化</w:t>
      </w:r>
      <w:r>
        <w:rPr>
          <w:rFonts w:ascii="宋体"/>
          <w:color w:val="auto"/>
          <w:highlight w:val="none"/>
        </w:rPr>
        <w:t>)</w:t>
      </w:r>
      <w:r>
        <w:rPr>
          <w:rFonts w:hint="eastAsia" w:ascii="宋体"/>
          <w:color w:val="auto"/>
          <w:highlight w:val="none"/>
        </w:rPr>
        <w:t>，材料</w:t>
      </w:r>
      <w:r>
        <w:rPr>
          <w:rFonts w:hint="eastAsia" w:ascii="宋体" w:cs="宋体"/>
          <w:color w:val="auto"/>
          <w:highlight w:val="none"/>
        </w:rPr>
        <w:t>设备</w:t>
      </w:r>
      <w:r>
        <w:rPr>
          <w:rFonts w:hint="eastAsia" w:ascii="宋体" w:cs="Dotum"/>
          <w:color w:val="auto"/>
          <w:highlight w:val="none"/>
        </w:rPr>
        <w:t>价格差价</w:t>
      </w:r>
      <w:r>
        <w:rPr>
          <w:rFonts w:hint="eastAsia" w:ascii="宋体" w:cs="宋体"/>
          <w:color w:val="auto"/>
          <w:highlight w:val="none"/>
        </w:rPr>
        <w:t>调</w:t>
      </w:r>
      <w:r>
        <w:rPr>
          <w:rFonts w:hint="eastAsia" w:ascii="宋体" w:cs="Dotum"/>
          <w:color w:val="auto"/>
          <w:highlight w:val="none"/>
        </w:rPr>
        <w:t>整，按照材料</w:t>
      </w:r>
      <w:r>
        <w:rPr>
          <w:rFonts w:hint="eastAsia" w:ascii="宋体" w:cs="宋体"/>
          <w:color w:val="auto"/>
          <w:highlight w:val="none"/>
        </w:rPr>
        <w:t>设备变</w:t>
      </w:r>
      <w:r>
        <w:rPr>
          <w:rFonts w:hint="eastAsia" w:ascii="宋体" w:cs="Dotum"/>
          <w:color w:val="auto"/>
          <w:highlight w:val="none"/>
        </w:rPr>
        <w:t>更</w:t>
      </w:r>
      <w:r>
        <w:rPr>
          <w:rFonts w:hint="eastAsia" w:ascii="宋体" w:cs="宋体"/>
          <w:color w:val="auto"/>
          <w:highlight w:val="none"/>
        </w:rPr>
        <w:t>时两</w:t>
      </w:r>
      <w:r>
        <w:rPr>
          <w:rFonts w:hint="eastAsia" w:ascii="宋体" w:cs="Dotum"/>
          <w:color w:val="auto"/>
          <w:highlight w:val="none"/>
        </w:rPr>
        <w:t>品牌</w:t>
      </w:r>
      <w:r>
        <w:rPr>
          <w:rFonts w:ascii="宋体"/>
          <w:color w:val="auto"/>
          <w:highlight w:val="none"/>
        </w:rPr>
        <w:t>(</w:t>
      </w:r>
      <w:r>
        <w:rPr>
          <w:rFonts w:hint="eastAsia" w:ascii="宋体"/>
          <w:color w:val="auto"/>
          <w:highlight w:val="none"/>
        </w:rPr>
        <w:t>同</w:t>
      </w:r>
      <w:r>
        <w:rPr>
          <w:rFonts w:hint="eastAsia" w:ascii="宋体" w:cs="宋体"/>
          <w:color w:val="auto"/>
          <w:highlight w:val="none"/>
        </w:rPr>
        <w:t>时</w:t>
      </w:r>
      <w:r>
        <w:rPr>
          <w:rFonts w:hint="eastAsia" w:ascii="宋体" w:cs="Dotum"/>
          <w:color w:val="auto"/>
          <w:highlight w:val="none"/>
        </w:rPr>
        <w:t>考</w:t>
      </w:r>
      <w:r>
        <w:rPr>
          <w:rFonts w:hint="eastAsia" w:ascii="宋体" w:cs="宋体"/>
          <w:color w:val="auto"/>
          <w:highlight w:val="none"/>
        </w:rPr>
        <w:t>虑</w:t>
      </w:r>
      <w:r>
        <w:rPr>
          <w:rFonts w:hint="eastAsia" w:ascii="宋体" w:cs="Dotum"/>
          <w:color w:val="auto"/>
          <w:highlight w:val="none"/>
        </w:rPr>
        <w:t>技</w:t>
      </w:r>
      <w:r>
        <w:rPr>
          <w:rFonts w:hint="eastAsia" w:ascii="宋体" w:cs="宋体"/>
          <w:color w:val="auto"/>
          <w:highlight w:val="none"/>
        </w:rPr>
        <w:t>术规</w:t>
      </w:r>
      <w:r>
        <w:rPr>
          <w:rFonts w:hint="eastAsia" w:ascii="宋体" w:cs="Dotum"/>
          <w:color w:val="auto"/>
          <w:highlight w:val="none"/>
        </w:rPr>
        <w:t>格要求</w:t>
      </w:r>
      <w:r>
        <w:rPr>
          <w:rFonts w:ascii="宋体"/>
          <w:color w:val="auto"/>
          <w:highlight w:val="none"/>
        </w:rPr>
        <w:t>)</w:t>
      </w:r>
      <w:r>
        <w:rPr>
          <w:rFonts w:hint="eastAsia" w:ascii="宋体"/>
          <w:color w:val="auto"/>
          <w:highlight w:val="none"/>
        </w:rPr>
        <w:t>之</w:t>
      </w:r>
      <w:r>
        <w:rPr>
          <w:rFonts w:hint="eastAsia" w:ascii="宋体" w:cs="宋体"/>
          <w:color w:val="auto"/>
          <w:highlight w:val="none"/>
        </w:rPr>
        <w:t>间</w:t>
      </w:r>
      <w:r>
        <w:rPr>
          <w:rFonts w:hint="eastAsia" w:ascii="宋体" w:cs="Dotum"/>
          <w:color w:val="auto"/>
          <w:highlight w:val="none"/>
        </w:rPr>
        <w:t>的信息价价差</w:t>
      </w:r>
      <w:r>
        <w:rPr>
          <w:rFonts w:ascii="宋体"/>
          <w:color w:val="auto"/>
          <w:highlight w:val="none"/>
        </w:rPr>
        <w:t>(</w:t>
      </w:r>
      <w:r>
        <w:rPr>
          <w:rFonts w:hint="eastAsia" w:ascii="宋体"/>
          <w:color w:val="auto"/>
          <w:highlight w:val="none"/>
        </w:rPr>
        <w:t>在</w:t>
      </w:r>
      <w:r>
        <w:rPr>
          <w:rFonts w:hint="eastAsia" w:ascii="宋体" w:cs="宋体"/>
          <w:color w:val="auto"/>
          <w:highlight w:val="none"/>
        </w:rPr>
        <w:t>当</w:t>
      </w:r>
      <w:r>
        <w:rPr>
          <w:rFonts w:hint="eastAsia" w:ascii="宋体" w:cs="Dotum"/>
          <w:color w:val="auto"/>
          <w:highlight w:val="none"/>
        </w:rPr>
        <w:t>期《桂林市建</w:t>
      </w:r>
      <w:r>
        <w:rPr>
          <w:rFonts w:hint="eastAsia" w:ascii="宋体" w:cs="宋体"/>
          <w:color w:val="auto"/>
          <w:highlight w:val="none"/>
        </w:rPr>
        <w:t>设</w:t>
      </w:r>
      <w:r>
        <w:rPr>
          <w:rFonts w:hint="eastAsia" w:ascii="宋体" w:cs="Dotum"/>
          <w:color w:val="auto"/>
          <w:highlight w:val="none"/>
        </w:rPr>
        <w:t>工程造价信息》</w:t>
      </w:r>
      <w:r>
        <w:rPr>
          <w:rFonts w:hint="eastAsia" w:ascii="宋体" w:cs="宋体"/>
          <w:color w:val="auto"/>
          <w:highlight w:val="none"/>
        </w:rPr>
        <w:t>临</w:t>
      </w:r>
      <w:r>
        <w:rPr>
          <w:rFonts w:hint="eastAsia" w:ascii="宋体" w:cs="Dotum"/>
          <w:color w:val="auto"/>
          <w:highlight w:val="none"/>
        </w:rPr>
        <w:t>桂</w:t>
      </w:r>
      <w:r>
        <w:rPr>
          <w:rFonts w:hint="eastAsia" w:ascii="宋体" w:cs="宋体"/>
          <w:color w:val="auto"/>
          <w:highlight w:val="none"/>
        </w:rPr>
        <w:t>县</w:t>
      </w:r>
      <w:r>
        <w:rPr>
          <w:rFonts w:hint="eastAsia" w:ascii="宋体" w:cs="Dotum"/>
          <w:color w:val="auto"/>
          <w:highlight w:val="none"/>
        </w:rPr>
        <w:t>部分中能找到</w:t>
      </w:r>
      <w:r>
        <w:rPr>
          <w:rFonts w:hint="eastAsia" w:ascii="宋体" w:cs="宋体"/>
          <w:color w:val="auto"/>
          <w:highlight w:val="none"/>
        </w:rPr>
        <w:t>类</w:t>
      </w:r>
      <w:r>
        <w:rPr>
          <w:rFonts w:hint="eastAsia" w:ascii="宋体" w:cs="Dotum"/>
          <w:color w:val="auto"/>
          <w:highlight w:val="none"/>
        </w:rPr>
        <w:t>似材料</w:t>
      </w:r>
      <w:r>
        <w:rPr>
          <w:rFonts w:hint="eastAsia" w:ascii="宋体" w:cs="宋体"/>
          <w:color w:val="auto"/>
          <w:highlight w:val="none"/>
        </w:rPr>
        <w:t>设备</w:t>
      </w:r>
      <w:r>
        <w:rPr>
          <w:rFonts w:hint="eastAsia" w:ascii="宋体" w:cs="Dotum"/>
          <w:color w:val="auto"/>
          <w:highlight w:val="none"/>
        </w:rPr>
        <w:t>的前提下</w:t>
      </w:r>
      <w:r>
        <w:rPr>
          <w:rFonts w:ascii="宋体"/>
          <w:color w:val="auto"/>
          <w:highlight w:val="none"/>
        </w:rPr>
        <w:t>)</w:t>
      </w:r>
      <w:r>
        <w:rPr>
          <w:rFonts w:hint="eastAsia" w:ascii="宋体"/>
          <w:color w:val="auto"/>
          <w:highlight w:val="none"/>
        </w:rPr>
        <w:t>的具体</w:t>
      </w:r>
      <w:r>
        <w:rPr>
          <w:rFonts w:hint="eastAsia" w:ascii="宋体" w:cs="宋体"/>
          <w:color w:val="auto"/>
          <w:highlight w:val="none"/>
        </w:rPr>
        <w:t>计</w:t>
      </w:r>
      <w:r>
        <w:rPr>
          <w:rFonts w:hint="eastAsia" w:ascii="宋体" w:cs="Dotum"/>
          <w:color w:val="auto"/>
          <w:highlight w:val="none"/>
        </w:rPr>
        <w:t>价原</w:t>
      </w:r>
      <w:r>
        <w:rPr>
          <w:rFonts w:hint="eastAsia" w:ascii="宋体" w:cs="宋体"/>
          <w:color w:val="auto"/>
          <w:highlight w:val="none"/>
        </w:rPr>
        <w:t>则进</w:t>
      </w:r>
      <w:r>
        <w:rPr>
          <w:rFonts w:hint="eastAsia" w:ascii="宋体" w:cs="Dotum"/>
          <w:color w:val="auto"/>
          <w:highlight w:val="none"/>
        </w:rPr>
        <w:t>行</w:t>
      </w:r>
      <w:r>
        <w:rPr>
          <w:rFonts w:hint="eastAsia" w:ascii="宋体" w:cs="宋体"/>
          <w:color w:val="auto"/>
          <w:highlight w:val="none"/>
        </w:rPr>
        <w:t>计</w:t>
      </w:r>
      <w:r>
        <w:rPr>
          <w:rFonts w:hint="eastAsia" w:ascii="宋体" w:cs="Dotum"/>
          <w:color w:val="auto"/>
          <w:highlight w:val="none"/>
        </w:rPr>
        <w:t>算，若在</w:t>
      </w:r>
      <w:r>
        <w:rPr>
          <w:rFonts w:hint="eastAsia" w:ascii="宋体" w:cs="宋体"/>
          <w:color w:val="auto"/>
          <w:highlight w:val="none"/>
        </w:rPr>
        <w:t>当</w:t>
      </w:r>
      <w:r>
        <w:rPr>
          <w:rFonts w:hint="eastAsia" w:ascii="宋体" w:cs="Dotum"/>
          <w:color w:val="auto"/>
          <w:highlight w:val="none"/>
        </w:rPr>
        <w:t>期《桂林市建</w:t>
      </w:r>
      <w:r>
        <w:rPr>
          <w:rFonts w:hint="eastAsia" w:ascii="宋体" w:cs="宋体"/>
          <w:color w:val="auto"/>
          <w:highlight w:val="none"/>
        </w:rPr>
        <w:t>设</w:t>
      </w:r>
      <w:r>
        <w:rPr>
          <w:rFonts w:hint="eastAsia" w:ascii="宋体" w:cs="Dotum"/>
          <w:color w:val="auto"/>
          <w:highlight w:val="none"/>
        </w:rPr>
        <w:t>工程造价信息》</w:t>
      </w:r>
      <w:r>
        <w:rPr>
          <w:rFonts w:hint="eastAsia" w:ascii="宋体" w:cs="宋体"/>
          <w:color w:val="auto"/>
          <w:highlight w:val="none"/>
        </w:rPr>
        <w:t>临</w:t>
      </w:r>
      <w:r>
        <w:rPr>
          <w:rFonts w:hint="eastAsia" w:ascii="宋体" w:cs="Dotum"/>
          <w:color w:val="auto"/>
          <w:highlight w:val="none"/>
        </w:rPr>
        <w:t>桂</w:t>
      </w:r>
      <w:r>
        <w:rPr>
          <w:rFonts w:hint="eastAsia" w:ascii="宋体" w:cs="宋体"/>
          <w:color w:val="auto"/>
          <w:highlight w:val="none"/>
        </w:rPr>
        <w:t>县</w:t>
      </w:r>
      <w:r>
        <w:rPr>
          <w:rFonts w:hint="eastAsia" w:ascii="宋体" w:cs="Dotum"/>
          <w:color w:val="auto"/>
          <w:highlight w:val="none"/>
        </w:rPr>
        <w:t>部分中找不到</w:t>
      </w:r>
      <w:r>
        <w:rPr>
          <w:rFonts w:hint="eastAsia" w:ascii="宋体" w:cs="宋体"/>
          <w:color w:val="auto"/>
          <w:highlight w:val="none"/>
        </w:rPr>
        <w:t>类</w:t>
      </w:r>
      <w:r>
        <w:rPr>
          <w:rFonts w:hint="eastAsia" w:ascii="宋体" w:cs="Dotum"/>
          <w:color w:val="auto"/>
          <w:highlight w:val="none"/>
        </w:rPr>
        <w:t>似材料</w:t>
      </w:r>
      <w:r>
        <w:rPr>
          <w:rFonts w:hint="eastAsia" w:ascii="宋体" w:cs="宋体"/>
          <w:color w:val="auto"/>
          <w:highlight w:val="none"/>
        </w:rPr>
        <w:t>设备</w:t>
      </w:r>
      <w:r>
        <w:rPr>
          <w:rFonts w:hint="eastAsia" w:ascii="宋体" w:cs="Dotum"/>
          <w:color w:val="auto"/>
          <w:highlight w:val="none"/>
        </w:rPr>
        <w:t>的，按</w:t>
      </w:r>
      <w:r>
        <w:rPr>
          <w:rFonts w:hint="eastAsia" w:ascii="宋体" w:cs="宋体"/>
          <w:color w:val="auto"/>
          <w:highlight w:val="none"/>
        </w:rPr>
        <w:t>发</w:t>
      </w:r>
      <w:r>
        <w:rPr>
          <w:rFonts w:hint="eastAsia" w:ascii="宋体" w:cs="Dotum"/>
          <w:color w:val="auto"/>
          <w:highlight w:val="none"/>
        </w:rPr>
        <w:t>包人市</w:t>
      </w:r>
      <w:r>
        <w:rPr>
          <w:rFonts w:hint="eastAsia" w:ascii="宋体" w:cs="宋体"/>
          <w:color w:val="auto"/>
          <w:highlight w:val="none"/>
        </w:rPr>
        <w:t>场询</w:t>
      </w:r>
      <w:r>
        <w:rPr>
          <w:rFonts w:hint="eastAsia" w:ascii="宋体" w:cs="Dotum"/>
          <w:color w:val="auto"/>
          <w:highlight w:val="none"/>
        </w:rPr>
        <w:t>价价差（即不考</w:t>
      </w:r>
      <w:r>
        <w:rPr>
          <w:rFonts w:hint="eastAsia" w:ascii="宋体" w:cs="宋体"/>
          <w:color w:val="auto"/>
          <w:highlight w:val="none"/>
        </w:rPr>
        <w:t>虑</w:t>
      </w:r>
      <w:r>
        <w:rPr>
          <w:rFonts w:hint="eastAsia" w:ascii="宋体" w:cs="Dotum"/>
          <w:color w:val="auto"/>
          <w:highlight w:val="none"/>
        </w:rPr>
        <w:t>投</w:t>
      </w:r>
      <w:r>
        <w:rPr>
          <w:rFonts w:hint="eastAsia" w:ascii="宋体" w:cs="宋体"/>
          <w:color w:val="auto"/>
          <w:highlight w:val="none"/>
        </w:rPr>
        <w:t>标报</w:t>
      </w:r>
      <w:r>
        <w:rPr>
          <w:rFonts w:hint="eastAsia" w:ascii="宋体" w:cs="Dotum"/>
          <w:color w:val="auto"/>
          <w:highlight w:val="none"/>
        </w:rPr>
        <w:t>价，按承包方、</w:t>
      </w:r>
      <w:r>
        <w:rPr>
          <w:rFonts w:hint="eastAsia" w:ascii="宋体" w:cs="宋体"/>
          <w:color w:val="auto"/>
          <w:highlight w:val="none"/>
        </w:rPr>
        <w:t>发</w:t>
      </w:r>
      <w:r>
        <w:rPr>
          <w:rFonts w:hint="eastAsia" w:ascii="宋体" w:cs="Dotum"/>
          <w:color w:val="auto"/>
          <w:highlight w:val="none"/>
        </w:rPr>
        <w:t>包方</w:t>
      </w:r>
      <w:r>
        <w:rPr>
          <w:rFonts w:hint="eastAsia" w:ascii="宋体" w:cs="宋体"/>
          <w:color w:val="auto"/>
          <w:highlight w:val="none"/>
        </w:rPr>
        <w:t>双</w:t>
      </w:r>
      <w:r>
        <w:rPr>
          <w:rFonts w:hint="eastAsia" w:ascii="宋体" w:cs="Dotum"/>
          <w:color w:val="auto"/>
          <w:highlight w:val="none"/>
        </w:rPr>
        <w:t>方市</w:t>
      </w:r>
      <w:r>
        <w:rPr>
          <w:rFonts w:hint="eastAsia" w:ascii="宋体" w:cs="宋体"/>
          <w:color w:val="auto"/>
          <w:highlight w:val="none"/>
        </w:rPr>
        <w:t>场询</w:t>
      </w:r>
      <w:r>
        <w:rPr>
          <w:rFonts w:hint="eastAsia" w:ascii="宋体" w:cs="Dotum"/>
          <w:color w:val="auto"/>
          <w:highlight w:val="none"/>
        </w:rPr>
        <w:t>价，</w:t>
      </w:r>
      <w:r>
        <w:rPr>
          <w:rFonts w:hint="eastAsia" w:ascii="宋体" w:cs="宋体"/>
          <w:color w:val="auto"/>
          <w:highlight w:val="none"/>
        </w:rPr>
        <w:t>减</w:t>
      </w:r>
      <w:r>
        <w:rPr>
          <w:rFonts w:hint="eastAsia" w:ascii="宋体" w:cs="Dotum"/>
          <w:color w:val="auto"/>
          <w:highlight w:val="none"/>
        </w:rPr>
        <w:t>去原</w:t>
      </w:r>
      <w:r>
        <w:rPr>
          <w:rFonts w:hint="eastAsia" w:ascii="宋体" w:cs="宋体"/>
          <w:color w:val="auto"/>
          <w:highlight w:val="none"/>
        </w:rPr>
        <w:t>标</w:t>
      </w:r>
      <w:r>
        <w:rPr>
          <w:rFonts w:hint="eastAsia" w:ascii="宋体" w:cs="Dotum"/>
          <w:color w:val="auto"/>
          <w:highlight w:val="none"/>
        </w:rPr>
        <w:t>底</w:t>
      </w:r>
      <w:r>
        <w:rPr>
          <w:rFonts w:ascii="宋体"/>
          <w:color w:val="auto"/>
          <w:highlight w:val="none"/>
        </w:rPr>
        <w:t>&lt;</w:t>
      </w:r>
      <w:r>
        <w:rPr>
          <w:rFonts w:hint="eastAsia" w:ascii="宋体" w:cs="宋体"/>
          <w:color w:val="auto"/>
          <w:highlight w:val="none"/>
        </w:rPr>
        <w:t>经审</w:t>
      </w:r>
      <w:r>
        <w:rPr>
          <w:rFonts w:hint="eastAsia" w:ascii="宋体" w:cs="Dotum"/>
          <w:color w:val="auto"/>
          <w:highlight w:val="none"/>
        </w:rPr>
        <w:t>定未下浮的工程</w:t>
      </w:r>
      <w:r>
        <w:rPr>
          <w:rFonts w:hint="eastAsia" w:ascii="宋体" w:cs="宋体"/>
          <w:color w:val="auto"/>
          <w:highlight w:val="none"/>
        </w:rPr>
        <w:t>预</w:t>
      </w:r>
      <w:r>
        <w:rPr>
          <w:rFonts w:hint="eastAsia" w:ascii="宋体" w:cs="Dotum"/>
          <w:color w:val="auto"/>
          <w:highlight w:val="none"/>
        </w:rPr>
        <w:t>算价</w:t>
      </w:r>
      <w:r>
        <w:rPr>
          <w:rFonts w:ascii="宋体"/>
          <w:color w:val="auto"/>
          <w:highlight w:val="none"/>
        </w:rPr>
        <w:t>&gt;</w:t>
      </w:r>
      <w:r>
        <w:rPr>
          <w:rFonts w:hint="eastAsia" w:ascii="宋体"/>
          <w:color w:val="auto"/>
          <w:highlight w:val="none"/>
        </w:rPr>
        <w:t>材料</w:t>
      </w:r>
      <w:r>
        <w:rPr>
          <w:rFonts w:hint="eastAsia" w:ascii="宋体" w:cs="宋体"/>
          <w:color w:val="auto"/>
          <w:highlight w:val="none"/>
        </w:rPr>
        <w:t>设备</w:t>
      </w:r>
      <w:r>
        <w:rPr>
          <w:rFonts w:hint="eastAsia" w:ascii="宋体" w:cs="Dotum"/>
          <w:color w:val="auto"/>
          <w:highlight w:val="none"/>
        </w:rPr>
        <w:t>的差价</w:t>
      </w:r>
      <w:r>
        <w:rPr>
          <w:rFonts w:hint="eastAsia" w:ascii="宋体" w:cs="宋体"/>
          <w:color w:val="auto"/>
          <w:highlight w:val="none"/>
        </w:rPr>
        <w:t>进</w:t>
      </w:r>
      <w:r>
        <w:rPr>
          <w:rFonts w:hint="eastAsia" w:ascii="宋体" w:cs="Dotum"/>
          <w:color w:val="auto"/>
          <w:highlight w:val="none"/>
        </w:rPr>
        <w:t>行</w:t>
      </w:r>
      <w:r>
        <w:rPr>
          <w:rFonts w:hint="eastAsia" w:ascii="宋体" w:cs="宋体"/>
          <w:color w:val="auto"/>
          <w:highlight w:val="none"/>
        </w:rPr>
        <w:t>计</w:t>
      </w:r>
      <w:r>
        <w:rPr>
          <w:rFonts w:hint="eastAsia" w:ascii="宋体" w:cs="Dotum"/>
          <w:color w:val="auto"/>
          <w:highlight w:val="none"/>
        </w:rPr>
        <w:t>算），以上差价</w:t>
      </w:r>
      <w:r>
        <w:rPr>
          <w:rFonts w:hint="eastAsia" w:ascii="宋体" w:cs="宋体"/>
          <w:color w:val="auto"/>
          <w:highlight w:val="none"/>
        </w:rPr>
        <w:t>调</w:t>
      </w:r>
      <w:r>
        <w:rPr>
          <w:rFonts w:hint="eastAsia" w:ascii="宋体" w:cs="Dotum"/>
          <w:color w:val="auto"/>
          <w:highlight w:val="none"/>
        </w:rPr>
        <w:t>整均不受投</w:t>
      </w:r>
      <w:r>
        <w:rPr>
          <w:rFonts w:hint="eastAsia" w:ascii="宋体" w:cs="宋体"/>
          <w:color w:val="auto"/>
          <w:highlight w:val="none"/>
        </w:rPr>
        <w:t>标报</w:t>
      </w:r>
      <w:r>
        <w:rPr>
          <w:rFonts w:hint="eastAsia" w:ascii="宋体" w:cs="Dotum"/>
          <w:color w:val="auto"/>
          <w:highlight w:val="none"/>
        </w:rPr>
        <w:t>价</w:t>
      </w:r>
      <w:r>
        <w:rPr>
          <w:rFonts w:hint="eastAsia" w:ascii="宋体"/>
          <w:color w:val="auto"/>
          <w:highlight w:val="none"/>
        </w:rPr>
        <w:t>影</w:t>
      </w:r>
      <w:r>
        <w:rPr>
          <w:rFonts w:hint="eastAsia" w:ascii="宋体" w:cs="宋体"/>
          <w:color w:val="auto"/>
          <w:highlight w:val="none"/>
        </w:rPr>
        <w:t>响</w:t>
      </w:r>
      <w:r>
        <w:rPr>
          <w:rFonts w:hint="eastAsia" w:ascii="宋体" w:cs="Dotum"/>
          <w:color w:val="auto"/>
          <w:highlight w:val="none"/>
        </w:rPr>
        <w:t>，且差价部分</w:t>
      </w:r>
      <w:r>
        <w:rPr>
          <w:rFonts w:hint="eastAsia" w:ascii="宋体" w:cs="宋体"/>
          <w:color w:val="auto"/>
          <w:highlight w:val="none"/>
        </w:rPr>
        <w:t>仅计</w:t>
      </w:r>
      <w:r>
        <w:rPr>
          <w:rFonts w:hint="eastAsia" w:ascii="宋体" w:cs="Dotum"/>
          <w:color w:val="auto"/>
          <w:highlight w:val="none"/>
        </w:rPr>
        <w:t>取</w:t>
      </w:r>
      <w:r>
        <w:rPr>
          <w:rFonts w:hint="eastAsia" w:ascii="宋体" w:cs="宋体"/>
          <w:color w:val="auto"/>
          <w:highlight w:val="none"/>
        </w:rPr>
        <w:t>税</w:t>
      </w:r>
      <w:r>
        <w:rPr>
          <w:rFonts w:hint="eastAsia" w:ascii="宋体" w:cs="Dotum"/>
          <w:color w:val="auto"/>
          <w:highlight w:val="none"/>
        </w:rPr>
        <w:t>金，其他取</w:t>
      </w:r>
      <w:r>
        <w:rPr>
          <w:rFonts w:hint="eastAsia" w:ascii="宋体" w:cs="宋体"/>
          <w:color w:val="auto"/>
          <w:highlight w:val="none"/>
        </w:rPr>
        <w:t>费</w:t>
      </w:r>
      <w:r>
        <w:rPr>
          <w:rFonts w:hint="eastAsia" w:ascii="宋体" w:cs="Dotum"/>
          <w:color w:val="auto"/>
          <w:highlight w:val="none"/>
        </w:rPr>
        <w:t>不予</w:t>
      </w:r>
      <w:r>
        <w:rPr>
          <w:rFonts w:hint="eastAsia" w:ascii="宋体" w:cs="宋体"/>
          <w:color w:val="auto"/>
          <w:highlight w:val="none"/>
        </w:rPr>
        <w:t>调</w:t>
      </w:r>
      <w:r>
        <w:rPr>
          <w:rFonts w:hint="eastAsia" w:ascii="宋体" w:cs="Dotum"/>
          <w:color w:val="auto"/>
          <w:highlight w:val="none"/>
        </w:rPr>
        <w:t>整。</w:t>
      </w:r>
    </w:p>
    <w:p w14:paraId="665DD90E">
      <w:pPr>
        <w:spacing w:line="360" w:lineRule="exact"/>
        <w:ind w:firstLine="420" w:firstLineChars="200"/>
        <w:rPr>
          <w:rFonts w:ascii="宋体"/>
          <w:color w:val="auto"/>
          <w:highlight w:val="none"/>
        </w:rPr>
      </w:pPr>
      <w:r>
        <w:rPr>
          <w:rFonts w:ascii="宋体"/>
          <w:color w:val="auto"/>
          <w:highlight w:val="none"/>
        </w:rPr>
        <w:t>21.19</w:t>
      </w:r>
      <w:r>
        <w:rPr>
          <w:rFonts w:hint="eastAsia" w:ascii="宋体"/>
          <w:color w:val="auto"/>
          <w:highlight w:val="none"/>
        </w:rPr>
        <w:t>本工程中由</w:t>
      </w:r>
      <w:r>
        <w:rPr>
          <w:rFonts w:hint="eastAsia" w:ascii="宋体" w:cs="宋体"/>
          <w:color w:val="auto"/>
          <w:highlight w:val="none"/>
        </w:rPr>
        <w:t>发</w:t>
      </w:r>
      <w:r>
        <w:rPr>
          <w:rFonts w:hint="eastAsia" w:ascii="宋体" w:cs="Dotum"/>
          <w:color w:val="auto"/>
          <w:highlight w:val="none"/>
        </w:rPr>
        <w:t>包方自理的</w:t>
      </w:r>
      <w:r>
        <w:rPr>
          <w:rFonts w:hint="eastAsia" w:ascii="宋体" w:cs="宋体"/>
          <w:color w:val="auto"/>
          <w:highlight w:val="none"/>
        </w:rPr>
        <w:t>项</w:t>
      </w:r>
      <w:r>
        <w:rPr>
          <w:rFonts w:hint="eastAsia" w:ascii="宋体" w:cs="Dotum"/>
          <w:color w:val="auto"/>
          <w:highlight w:val="none"/>
        </w:rPr>
        <w:t>目（如入</w:t>
      </w:r>
      <w:r>
        <w:rPr>
          <w:rFonts w:hint="eastAsia" w:ascii="宋体" w:cs="宋体"/>
          <w:color w:val="auto"/>
          <w:highlight w:val="none"/>
        </w:rPr>
        <w:t>户门</w:t>
      </w:r>
      <w:r>
        <w:rPr>
          <w:rFonts w:hint="eastAsia" w:ascii="宋体" w:cs="Dotum"/>
          <w:color w:val="auto"/>
          <w:highlight w:val="none"/>
        </w:rPr>
        <w:t>、弱</w:t>
      </w:r>
      <w:r>
        <w:rPr>
          <w:rFonts w:hint="eastAsia" w:ascii="宋体" w:cs="宋体"/>
          <w:color w:val="auto"/>
          <w:highlight w:val="none"/>
        </w:rPr>
        <w:t>电</w:t>
      </w:r>
      <w:r>
        <w:rPr>
          <w:rFonts w:hint="eastAsia" w:ascii="宋体" w:cs="Dotum"/>
          <w:color w:val="auto"/>
          <w:highlight w:val="none"/>
        </w:rPr>
        <w:t>等），承包方</w:t>
      </w:r>
      <w:r>
        <w:rPr>
          <w:rFonts w:hint="eastAsia" w:ascii="宋体" w:cs="宋体"/>
          <w:color w:val="auto"/>
          <w:highlight w:val="none"/>
        </w:rPr>
        <w:t>应积极</w:t>
      </w:r>
      <w:r>
        <w:rPr>
          <w:rFonts w:hint="eastAsia" w:ascii="宋体" w:cs="Dotum"/>
          <w:color w:val="auto"/>
          <w:highlight w:val="none"/>
        </w:rPr>
        <w:t>予以配合，提供施工便利，不得以任何理由阻</w:t>
      </w:r>
      <w:r>
        <w:rPr>
          <w:rFonts w:hint="eastAsia" w:ascii="宋体" w:cs="宋体"/>
          <w:color w:val="auto"/>
          <w:highlight w:val="none"/>
        </w:rPr>
        <w:t>挠</w:t>
      </w:r>
      <w:r>
        <w:rPr>
          <w:rFonts w:hint="eastAsia" w:ascii="宋体" w:cs="Dotum"/>
          <w:color w:val="auto"/>
          <w:highlight w:val="none"/>
        </w:rPr>
        <w:t>或拖延施工。在工程</w:t>
      </w:r>
      <w:r>
        <w:rPr>
          <w:rFonts w:hint="eastAsia" w:ascii="宋体" w:cs="宋体"/>
          <w:color w:val="auto"/>
          <w:highlight w:val="none"/>
        </w:rPr>
        <w:t>总</w:t>
      </w:r>
      <w:r>
        <w:rPr>
          <w:rFonts w:hint="eastAsia" w:ascii="宋体" w:cs="Dotum"/>
          <w:color w:val="auto"/>
          <w:highlight w:val="none"/>
        </w:rPr>
        <w:t>价中已包含配合</w:t>
      </w:r>
      <w:r>
        <w:rPr>
          <w:rFonts w:hint="eastAsia" w:ascii="宋体" w:cs="宋体"/>
          <w:color w:val="auto"/>
          <w:highlight w:val="none"/>
        </w:rPr>
        <w:t>费</w:t>
      </w:r>
      <w:r>
        <w:rPr>
          <w:rFonts w:hint="eastAsia" w:ascii="宋体" w:cs="Dotum"/>
          <w:color w:val="auto"/>
          <w:highlight w:val="none"/>
        </w:rPr>
        <w:t>的</w:t>
      </w:r>
      <w:r>
        <w:rPr>
          <w:rFonts w:hint="eastAsia" w:ascii="宋体" w:cs="宋体"/>
          <w:color w:val="auto"/>
          <w:highlight w:val="none"/>
        </w:rPr>
        <w:t>项</w:t>
      </w:r>
      <w:r>
        <w:rPr>
          <w:rFonts w:hint="eastAsia" w:ascii="宋体" w:cs="Dotum"/>
          <w:color w:val="auto"/>
          <w:highlight w:val="none"/>
        </w:rPr>
        <w:t>目，在施工</w:t>
      </w:r>
      <w:r>
        <w:rPr>
          <w:rFonts w:hint="eastAsia" w:ascii="宋体" w:cs="宋体"/>
          <w:color w:val="auto"/>
          <w:highlight w:val="none"/>
        </w:rPr>
        <w:t>过</w:t>
      </w:r>
      <w:r>
        <w:rPr>
          <w:rFonts w:hint="eastAsia" w:ascii="宋体" w:cs="Dotum"/>
          <w:color w:val="auto"/>
          <w:highlight w:val="none"/>
        </w:rPr>
        <w:t>程中不得以任何理由向</w:t>
      </w:r>
      <w:r>
        <w:rPr>
          <w:rFonts w:hint="eastAsia" w:ascii="宋体" w:cs="宋体"/>
          <w:color w:val="auto"/>
          <w:highlight w:val="none"/>
        </w:rPr>
        <w:t>发</w:t>
      </w:r>
      <w:r>
        <w:rPr>
          <w:rFonts w:hint="eastAsia" w:ascii="宋体" w:cs="Dotum"/>
          <w:color w:val="auto"/>
          <w:highlight w:val="none"/>
        </w:rPr>
        <w:t>包方索要其他</w:t>
      </w:r>
      <w:r>
        <w:rPr>
          <w:rFonts w:hint="eastAsia" w:ascii="宋体" w:cs="宋体"/>
          <w:color w:val="auto"/>
          <w:highlight w:val="none"/>
        </w:rPr>
        <w:t>费</w:t>
      </w:r>
      <w:r>
        <w:rPr>
          <w:rFonts w:hint="eastAsia" w:ascii="宋体" w:cs="Dotum"/>
          <w:color w:val="auto"/>
          <w:highlight w:val="none"/>
        </w:rPr>
        <w:t>用，</w:t>
      </w:r>
      <w:r>
        <w:rPr>
          <w:rFonts w:hint="eastAsia" w:ascii="宋体" w:cs="宋体"/>
          <w:color w:val="auto"/>
          <w:highlight w:val="none"/>
        </w:rPr>
        <w:t>并应</w:t>
      </w:r>
      <w:r>
        <w:rPr>
          <w:rFonts w:hint="eastAsia" w:ascii="宋体" w:cs="Dotum"/>
          <w:color w:val="auto"/>
          <w:highlight w:val="none"/>
        </w:rPr>
        <w:t>在</w:t>
      </w:r>
      <w:r>
        <w:rPr>
          <w:rFonts w:hint="eastAsia" w:ascii="宋体" w:cs="宋体"/>
          <w:color w:val="auto"/>
          <w:highlight w:val="none"/>
        </w:rPr>
        <w:t>该项</w:t>
      </w:r>
      <w:r>
        <w:rPr>
          <w:rFonts w:hint="eastAsia" w:ascii="宋体" w:cs="Dotum"/>
          <w:color w:val="auto"/>
          <w:highlight w:val="none"/>
        </w:rPr>
        <w:t>目施工完</w:t>
      </w:r>
      <w:r>
        <w:rPr>
          <w:rFonts w:hint="eastAsia" w:ascii="宋体" w:cs="宋体"/>
          <w:color w:val="auto"/>
          <w:highlight w:val="none"/>
        </w:rPr>
        <w:t>毕</w:t>
      </w:r>
      <w:r>
        <w:rPr>
          <w:rFonts w:hint="eastAsia" w:ascii="宋体" w:cs="Dotum"/>
          <w:color w:val="auto"/>
          <w:highlight w:val="none"/>
        </w:rPr>
        <w:t>后做好成品保</w:t>
      </w:r>
      <w:r>
        <w:rPr>
          <w:rFonts w:hint="eastAsia" w:ascii="宋体" w:cs="宋体"/>
          <w:color w:val="auto"/>
          <w:highlight w:val="none"/>
        </w:rPr>
        <w:t>护</w:t>
      </w:r>
      <w:r>
        <w:rPr>
          <w:rFonts w:hint="eastAsia" w:ascii="宋体" w:cs="Dotum"/>
          <w:color w:val="auto"/>
          <w:highlight w:val="none"/>
        </w:rPr>
        <w:t>，如</w:t>
      </w:r>
      <w:r>
        <w:rPr>
          <w:rFonts w:hint="eastAsia" w:ascii="宋体" w:cs="宋体"/>
          <w:color w:val="auto"/>
          <w:highlight w:val="none"/>
        </w:rPr>
        <w:t>发</w:t>
      </w:r>
      <w:r>
        <w:rPr>
          <w:rFonts w:hint="eastAsia" w:ascii="宋体" w:cs="Dotum"/>
          <w:color w:val="auto"/>
          <w:highlight w:val="none"/>
        </w:rPr>
        <w:t>生</w:t>
      </w:r>
      <w:r>
        <w:rPr>
          <w:rFonts w:hint="eastAsia" w:ascii="宋体" w:cs="宋体"/>
          <w:color w:val="auto"/>
          <w:highlight w:val="none"/>
        </w:rPr>
        <w:t>恶</w:t>
      </w:r>
      <w:r>
        <w:rPr>
          <w:rFonts w:hint="eastAsia" w:ascii="宋体" w:cs="Dotum"/>
          <w:color w:val="auto"/>
          <w:highlight w:val="none"/>
        </w:rPr>
        <w:t>意</w:t>
      </w:r>
      <w:r>
        <w:rPr>
          <w:rFonts w:hint="eastAsia" w:ascii="宋体" w:cs="宋体"/>
          <w:color w:val="auto"/>
          <w:highlight w:val="none"/>
        </w:rPr>
        <w:t>损</w:t>
      </w:r>
      <w:r>
        <w:rPr>
          <w:rFonts w:hint="eastAsia" w:ascii="宋体" w:cs="Dotum"/>
          <w:color w:val="auto"/>
          <w:highlight w:val="none"/>
        </w:rPr>
        <w:t>坏，由承包方</w:t>
      </w:r>
      <w:r>
        <w:rPr>
          <w:rFonts w:hint="eastAsia" w:ascii="宋体" w:cs="宋体"/>
          <w:color w:val="auto"/>
          <w:highlight w:val="none"/>
        </w:rPr>
        <w:t>负责赔偿</w:t>
      </w:r>
      <w:r>
        <w:rPr>
          <w:rFonts w:hint="eastAsia" w:ascii="宋体" w:cs="Dotum"/>
          <w:color w:val="auto"/>
          <w:highlight w:val="none"/>
        </w:rPr>
        <w:t>。</w:t>
      </w:r>
    </w:p>
    <w:p w14:paraId="284F247E">
      <w:pPr>
        <w:spacing w:line="360" w:lineRule="exact"/>
        <w:ind w:firstLine="420" w:firstLineChars="200"/>
        <w:rPr>
          <w:rFonts w:ascii="宋体"/>
          <w:color w:val="auto"/>
          <w:highlight w:val="none"/>
        </w:rPr>
      </w:pPr>
      <w:r>
        <w:rPr>
          <w:rFonts w:ascii="宋体"/>
          <w:color w:val="auto"/>
          <w:highlight w:val="none"/>
        </w:rPr>
        <w:t>21.20</w:t>
      </w:r>
      <w:r>
        <w:rPr>
          <w:rFonts w:hint="eastAsia" w:ascii="宋体"/>
          <w:color w:val="auto"/>
          <w:highlight w:val="none"/>
        </w:rPr>
        <w:t>本工程在合同期</w:t>
      </w:r>
      <w:r>
        <w:rPr>
          <w:rFonts w:hint="eastAsia" w:ascii="宋体" w:cs="宋体"/>
          <w:color w:val="auto"/>
          <w:highlight w:val="none"/>
        </w:rPr>
        <w:t>内发</w:t>
      </w:r>
      <w:r>
        <w:rPr>
          <w:rFonts w:hint="eastAsia" w:ascii="宋体" w:cs="Dotum"/>
          <w:color w:val="auto"/>
          <w:highlight w:val="none"/>
        </w:rPr>
        <w:t>生政策性</w:t>
      </w:r>
      <w:r>
        <w:rPr>
          <w:rFonts w:hint="eastAsia" w:ascii="宋体" w:cs="宋体"/>
          <w:color w:val="auto"/>
          <w:highlight w:val="none"/>
        </w:rPr>
        <w:t>调</w:t>
      </w:r>
      <w:r>
        <w:rPr>
          <w:rFonts w:hint="eastAsia" w:ascii="宋体" w:cs="Dotum"/>
          <w:color w:val="auto"/>
          <w:highlight w:val="none"/>
        </w:rPr>
        <w:t>整按相</w:t>
      </w:r>
      <w:r>
        <w:rPr>
          <w:rFonts w:hint="eastAsia" w:ascii="宋体" w:cs="宋体"/>
          <w:color w:val="auto"/>
          <w:highlight w:val="none"/>
        </w:rPr>
        <w:t>关</w:t>
      </w:r>
      <w:r>
        <w:rPr>
          <w:rFonts w:hint="eastAsia" w:ascii="宋体" w:cs="Dotum"/>
          <w:color w:val="auto"/>
          <w:highlight w:val="none"/>
        </w:rPr>
        <w:t>政策</w:t>
      </w:r>
      <w:r>
        <w:rPr>
          <w:rFonts w:hint="eastAsia" w:ascii="宋体" w:cs="宋体"/>
          <w:color w:val="auto"/>
          <w:highlight w:val="none"/>
        </w:rPr>
        <w:t>执</w:t>
      </w:r>
      <w:r>
        <w:rPr>
          <w:rFonts w:hint="eastAsia" w:ascii="宋体" w:cs="Dotum"/>
          <w:color w:val="auto"/>
          <w:highlight w:val="none"/>
        </w:rPr>
        <w:t>行。如施工</w:t>
      </w:r>
      <w:r>
        <w:rPr>
          <w:rFonts w:hint="eastAsia" w:ascii="宋体" w:cs="宋体"/>
          <w:color w:val="auto"/>
          <w:highlight w:val="none"/>
        </w:rPr>
        <w:t>单</w:t>
      </w:r>
      <w:r>
        <w:rPr>
          <w:rFonts w:hint="eastAsia" w:ascii="宋体" w:cs="Dotum"/>
          <w:color w:val="auto"/>
          <w:highlight w:val="none"/>
        </w:rPr>
        <w:t>位延</w:t>
      </w:r>
      <w:r>
        <w:rPr>
          <w:rFonts w:hint="eastAsia" w:ascii="宋体" w:cs="宋体"/>
          <w:color w:val="auto"/>
          <w:highlight w:val="none"/>
        </w:rPr>
        <w:t>误</w:t>
      </w:r>
      <w:r>
        <w:rPr>
          <w:rFonts w:hint="eastAsia" w:ascii="宋体" w:cs="Dotum"/>
          <w:color w:val="auto"/>
          <w:highlight w:val="none"/>
        </w:rPr>
        <w:t>工期，延</w:t>
      </w:r>
      <w:r>
        <w:rPr>
          <w:rFonts w:hint="eastAsia" w:ascii="宋体" w:cs="宋体"/>
          <w:color w:val="auto"/>
          <w:highlight w:val="none"/>
        </w:rPr>
        <w:t>误</w:t>
      </w:r>
      <w:r>
        <w:rPr>
          <w:rFonts w:hint="eastAsia" w:ascii="宋体" w:cs="Dotum"/>
          <w:color w:val="auto"/>
          <w:highlight w:val="none"/>
        </w:rPr>
        <w:t>工期</w:t>
      </w:r>
      <w:r>
        <w:rPr>
          <w:rFonts w:hint="eastAsia" w:ascii="宋体" w:cs="宋体"/>
          <w:color w:val="auto"/>
          <w:highlight w:val="none"/>
        </w:rPr>
        <w:t>内发</w:t>
      </w:r>
      <w:r>
        <w:rPr>
          <w:rFonts w:hint="eastAsia" w:ascii="宋体" w:cs="Dotum"/>
          <w:color w:val="auto"/>
          <w:highlight w:val="none"/>
        </w:rPr>
        <w:t>生的政策</w:t>
      </w:r>
      <w:r>
        <w:rPr>
          <w:rFonts w:hint="eastAsia" w:ascii="宋体" w:cs="宋体"/>
          <w:color w:val="auto"/>
          <w:highlight w:val="none"/>
        </w:rPr>
        <w:t>调</w:t>
      </w:r>
      <w:r>
        <w:rPr>
          <w:rFonts w:hint="eastAsia" w:ascii="宋体" w:cs="Dotum"/>
          <w:color w:val="auto"/>
          <w:highlight w:val="none"/>
        </w:rPr>
        <w:t>整，</w:t>
      </w:r>
      <w:r>
        <w:rPr>
          <w:rFonts w:hint="eastAsia" w:ascii="宋体" w:cs="宋体"/>
          <w:color w:val="auto"/>
          <w:highlight w:val="none"/>
        </w:rPr>
        <w:t>发</w:t>
      </w:r>
      <w:r>
        <w:rPr>
          <w:rFonts w:hint="eastAsia" w:ascii="宋体" w:cs="Dotum"/>
          <w:color w:val="auto"/>
          <w:highlight w:val="none"/>
        </w:rPr>
        <w:t>包方不</w:t>
      </w:r>
      <w:r>
        <w:rPr>
          <w:rFonts w:hint="eastAsia" w:ascii="宋体" w:cs="Dotum"/>
          <w:color w:val="auto"/>
          <w:highlight w:val="none"/>
          <w:lang w:eastAsia="zh-CN"/>
        </w:rPr>
        <w:t>予</w:t>
      </w:r>
      <w:r>
        <w:rPr>
          <w:rFonts w:hint="eastAsia" w:ascii="宋体" w:cs="宋体"/>
          <w:color w:val="auto"/>
          <w:highlight w:val="none"/>
        </w:rPr>
        <w:t>执</w:t>
      </w:r>
      <w:r>
        <w:rPr>
          <w:rFonts w:hint="eastAsia" w:ascii="宋体" w:cs="Dotum"/>
          <w:color w:val="auto"/>
          <w:highlight w:val="none"/>
        </w:rPr>
        <w:t>行，其</w:t>
      </w:r>
      <w:r>
        <w:rPr>
          <w:rFonts w:hint="eastAsia" w:ascii="宋体" w:cs="宋体"/>
          <w:color w:val="auto"/>
          <w:highlight w:val="none"/>
        </w:rPr>
        <w:t>风险</w:t>
      </w:r>
      <w:r>
        <w:rPr>
          <w:rFonts w:hint="eastAsia" w:ascii="宋体" w:cs="Dotum"/>
          <w:color w:val="auto"/>
          <w:highlight w:val="none"/>
        </w:rPr>
        <w:t>由施工</w:t>
      </w:r>
      <w:r>
        <w:rPr>
          <w:rFonts w:hint="eastAsia" w:ascii="宋体" w:cs="宋体"/>
          <w:color w:val="auto"/>
          <w:highlight w:val="none"/>
        </w:rPr>
        <w:t>单</w:t>
      </w:r>
      <w:r>
        <w:rPr>
          <w:rFonts w:hint="eastAsia" w:ascii="宋体" w:cs="Dotum"/>
          <w:color w:val="auto"/>
          <w:highlight w:val="none"/>
        </w:rPr>
        <w:t>位承担。</w:t>
      </w:r>
    </w:p>
    <w:p w14:paraId="0BA4A9A8">
      <w:pPr>
        <w:spacing w:line="360" w:lineRule="exact"/>
        <w:ind w:firstLine="420" w:firstLineChars="200"/>
        <w:rPr>
          <w:rFonts w:ascii="宋体"/>
          <w:color w:val="auto"/>
          <w:highlight w:val="none"/>
        </w:rPr>
      </w:pPr>
      <w:r>
        <w:rPr>
          <w:rFonts w:ascii="宋体"/>
          <w:color w:val="auto"/>
          <w:highlight w:val="none"/>
        </w:rPr>
        <w:t>21.21</w:t>
      </w:r>
      <w:r>
        <w:rPr>
          <w:rFonts w:hint="eastAsia" w:ascii="宋体"/>
          <w:color w:val="auto"/>
          <w:highlight w:val="none"/>
        </w:rPr>
        <w:t>如</w:t>
      </w:r>
      <w:r>
        <w:rPr>
          <w:rFonts w:hint="eastAsia" w:ascii="宋体" w:cs="宋体"/>
          <w:color w:val="auto"/>
          <w:highlight w:val="none"/>
        </w:rPr>
        <w:t>发</w:t>
      </w:r>
      <w:r>
        <w:rPr>
          <w:rFonts w:hint="eastAsia" w:ascii="宋体" w:cs="Dotum"/>
          <w:color w:val="auto"/>
          <w:highlight w:val="none"/>
        </w:rPr>
        <w:t>包方下函</w:t>
      </w:r>
      <w:r>
        <w:rPr>
          <w:rFonts w:hint="eastAsia" w:ascii="宋体" w:cs="宋体"/>
          <w:color w:val="auto"/>
          <w:highlight w:val="none"/>
        </w:rPr>
        <w:t>给</w:t>
      </w:r>
      <w:r>
        <w:rPr>
          <w:rFonts w:hint="eastAsia" w:ascii="宋体" w:cs="Dotum"/>
          <w:color w:val="auto"/>
          <w:highlight w:val="none"/>
        </w:rPr>
        <w:t>施工</w:t>
      </w:r>
      <w:r>
        <w:rPr>
          <w:rFonts w:hint="eastAsia" w:ascii="宋体" w:cs="宋体"/>
          <w:color w:val="auto"/>
          <w:highlight w:val="none"/>
        </w:rPr>
        <w:t>单</w:t>
      </w:r>
      <w:r>
        <w:rPr>
          <w:rFonts w:hint="eastAsia" w:ascii="宋体" w:cs="Dotum"/>
          <w:color w:val="auto"/>
          <w:highlight w:val="none"/>
        </w:rPr>
        <w:t>位，拒</w:t>
      </w:r>
      <w:r>
        <w:rPr>
          <w:rFonts w:hint="eastAsia" w:ascii="宋体" w:cs="宋体"/>
          <w:color w:val="auto"/>
          <w:highlight w:val="none"/>
        </w:rPr>
        <w:t>绝</w:t>
      </w:r>
      <w:r>
        <w:rPr>
          <w:rFonts w:hint="eastAsia" w:ascii="宋体" w:cs="Dotum"/>
          <w:color w:val="auto"/>
          <w:highlight w:val="none"/>
        </w:rPr>
        <w:t>接收函件的，</w:t>
      </w:r>
      <w:r>
        <w:rPr>
          <w:rFonts w:hint="eastAsia" w:ascii="宋体" w:cs="宋体"/>
          <w:color w:val="auto"/>
          <w:highlight w:val="none"/>
        </w:rPr>
        <w:t>视为违约</w:t>
      </w:r>
      <w:r>
        <w:rPr>
          <w:rFonts w:hint="eastAsia" w:ascii="宋体" w:cs="Dotum"/>
          <w:color w:val="auto"/>
          <w:highlight w:val="none"/>
        </w:rPr>
        <w:t>，每次</w:t>
      </w:r>
      <w:r>
        <w:rPr>
          <w:rFonts w:hint="eastAsia" w:ascii="宋体" w:cs="宋体"/>
          <w:color w:val="auto"/>
          <w:highlight w:val="none"/>
        </w:rPr>
        <w:t>从</w:t>
      </w:r>
      <w:r>
        <w:rPr>
          <w:rFonts w:hint="eastAsia" w:ascii="宋体" w:cs="Dotum"/>
          <w:color w:val="auto"/>
          <w:highlight w:val="none"/>
        </w:rPr>
        <w:t>履</w:t>
      </w:r>
      <w:r>
        <w:rPr>
          <w:rFonts w:hint="eastAsia" w:ascii="宋体" w:cs="宋体"/>
          <w:color w:val="auto"/>
          <w:highlight w:val="none"/>
        </w:rPr>
        <w:t>约</w:t>
      </w:r>
      <w:r>
        <w:rPr>
          <w:rFonts w:hint="eastAsia" w:ascii="宋体" w:cs="Dotum"/>
          <w:color w:val="auto"/>
          <w:highlight w:val="none"/>
        </w:rPr>
        <w:t>金</w:t>
      </w:r>
      <w:r>
        <w:rPr>
          <w:rFonts w:hint="eastAsia" w:ascii="宋体" w:cs="Dotum"/>
          <w:color w:val="auto"/>
          <w:highlight w:val="none"/>
          <w:lang w:eastAsia="zh-CN"/>
        </w:rPr>
        <w:t>中</w:t>
      </w:r>
      <w:r>
        <w:rPr>
          <w:rFonts w:hint="eastAsia" w:ascii="宋体" w:cs="Dotum"/>
          <w:color w:val="auto"/>
          <w:highlight w:val="none"/>
        </w:rPr>
        <w:t>扣除壹万元，同</w:t>
      </w:r>
      <w:r>
        <w:rPr>
          <w:rFonts w:hint="eastAsia" w:ascii="宋体" w:cs="宋体"/>
          <w:color w:val="auto"/>
          <w:highlight w:val="none"/>
        </w:rPr>
        <w:t>时</w:t>
      </w:r>
      <w:r>
        <w:rPr>
          <w:rFonts w:hint="eastAsia" w:ascii="宋体" w:cs="Dotum"/>
          <w:color w:val="auto"/>
          <w:highlight w:val="none"/>
        </w:rPr>
        <w:t>只要</w:t>
      </w:r>
      <w:r>
        <w:rPr>
          <w:rFonts w:hint="eastAsia" w:ascii="宋体" w:cs="宋体"/>
          <w:color w:val="auto"/>
          <w:highlight w:val="none"/>
        </w:rPr>
        <w:t>监</w:t>
      </w:r>
      <w:r>
        <w:rPr>
          <w:rFonts w:hint="eastAsia" w:ascii="宋体" w:cs="Dotum"/>
          <w:color w:val="auto"/>
          <w:highlight w:val="none"/>
        </w:rPr>
        <w:t>理</w:t>
      </w:r>
      <w:r>
        <w:rPr>
          <w:rFonts w:hint="eastAsia" w:ascii="宋体" w:cs="宋体"/>
          <w:color w:val="auto"/>
          <w:highlight w:val="none"/>
        </w:rPr>
        <w:t>签</w:t>
      </w:r>
      <w:r>
        <w:rPr>
          <w:rFonts w:hint="eastAsia" w:ascii="宋体" w:cs="Dotum"/>
          <w:color w:val="auto"/>
          <w:highlight w:val="none"/>
        </w:rPr>
        <w:t>字</w:t>
      </w:r>
      <w:r>
        <w:rPr>
          <w:rFonts w:hint="eastAsia" w:ascii="宋体" w:cs="宋体"/>
          <w:color w:val="auto"/>
          <w:highlight w:val="none"/>
        </w:rPr>
        <w:t>证</w:t>
      </w:r>
      <w:r>
        <w:rPr>
          <w:rFonts w:hint="eastAsia" w:ascii="宋体" w:cs="Dotum"/>
          <w:color w:val="auto"/>
          <w:highlight w:val="none"/>
        </w:rPr>
        <w:t>明情</w:t>
      </w:r>
      <w:r>
        <w:rPr>
          <w:rFonts w:hint="eastAsia" w:ascii="宋体" w:cs="宋体"/>
          <w:color w:val="auto"/>
          <w:highlight w:val="none"/>
        </w:rPr>
        <w:t>况</w:t>
      </w:r>
      <w:r>
        <w:rPr>
          <w:rFonts w:hint="eastAsia" w:ascii="宋体" w:cs="Dotum"/>
          <w:color w:val="auto"/>
          <w:highlight w:val="none"/>
        </w:rPr>
        <w:t>即</w:t>
      </w:r>
      <w:r>
        <w:rPr>
          <w:rFonts w:hint="eastAsia" w:ascii="宋体" w:cs="宋体"/>
          <w:color w:val="auto"/>
          <w:highlight w:val="none"/>
        </w:rPr>
        <w:t>视为该</w:t>
      </w:r>
      <w:r>
        <w:rPr>
          <w:rFonts w:hint="eastAsia" w:ascii="宋体" w:cs="Dotum"/>
          <w:color w:val="auto"/>
          <w:highlight w:val="none"/>
        </w:rPr>
        <w:t>函件已送</w:t>
      </w:r>
      <w:r>
        <w:rPr>
          <w:rFonts w:hint="eastAsia" w:ascii="宋体" w:cs="宋体"/>
          <w:color w:val="auto"/>
          <w:highlight w:val="none"/>
        </w:rPr>
        <w:t>达</w:t>
      </w:r>
      <w:r>
        <w:rPr>
          <w:rFonts w:hint="eastAsia" w:ascii="宋体" w:cs="Dotum"/>
          <w:color w:val="auto"/>
          <w:highlight w:val="none"/>
        </w:rPr>
        <w:t>。</w:t>
      </w:r>
    </w:p>
    <w:p w14:paraId="648634AA">
      <w:pPr>
        <w:spacing w:line="360" w:lineRule="exact"/>
        <w:ind w:firstLine="420" w:firstLineChars="200"/>
        <w:rPr>
          <w:rFonts w:ascii="宋体"/>
          <w:color w:val="auto"/>
          <w:highlight w:val="none"/>
        </w:rPr>
      </w:pPr>
      <w:r>
        <w:rPr>
          <w:rFonts w:ascii="宋体"/>
          <w:color w:val="auto"/>
          <w:highlight w:val="none"/>
        </w:rPr>
        <w:t xml:space="preserve">21.22 </w:t>
      </w:r>
      <w:r>
        <w:rPr>
          <w:rFonts w:hint="eastAsia" w:ascii="宋体" w:cs="宋体"/>
          <w:color w:val="auto"/>
          <w:highlight w:val="none"/>
        </w:rPr>
        <w:t>发</w:t>
      </w:r>
      <w:r>
        <w:rPr>
          <w:rFonts w:hint="eastAsia" w:ascii="宋体" w:cs="Dotum"/>
          <w:color w:val="auto"/>
          <w:highlight w:val="none"/>
        </w:rPr>
        <w:t>包方扣除履</w:t>
      </w:r>
      <w:r>
        <w:rPr>
          <w:rFonts w:hint="eastAsia" w:ascii="宋体" w:cs="宋体"/>
          <w:color w:val="auto"/>
          <w:highlight w:val="none"/>
        </w:rPr>
        <w:t>约</w:t>
      </w:r>
      <w:r>
        <w:rPr>
          <w:rFonts w:hint="eastAsia" w:ascii="宋体" w:cs="Dotum"/>
          <w:color w:val="auto"/>
          <w:highlight w:val="none"/>
        </w:rPr>
        <w:t>金的</w:t>
      </w:r>
      <w:r>
        <w:rPr>
          <w:rFonts w:hint="eastAsia" w:ascii="宋体" w:cs="宋体"/>
          <w:color w:val="auto"/>
          <w:highlight w:val="none"/>
        </w:rPr>
        <w:t>数额</w:t>
      </w:r>
      <w:r>
        <w:rPr>
          <w:rFonts w:hint="eastAsia" w:ascii="宋体" w:cs="Dotum"/>
          <w:color w:val="auto"/>
          <w:highlight w:val="none"/>
        </w:rPr>
        <w:t>不受本合同的其他</w:t>
      </w:r>
      <w:r>
        <w:rPr>
          <w:rFonts w:hint="eastAsia" w:ascii="宋体" w:cs="宋体"/>
          <w:color w:val="auto"/>
          <w:highlight w:val="none"/>
        </w:rPr>
        <w:t>条</w:t>
      </w:r>
      <w:r>
        <w:rPr>
          <w:rFonts w:hint="eastAsia" w:ascii="宋体" w:cs="Dotum"/>
          <w:color w:val="auto"/>
          <w:highlight w:val="none"/>
        </w:rPr>
        <w:t>款限制，履</w:t>
      </w:r>
      <w:r>
        <w:rPr>
          <w:rFonts w:hint="eastAsia" w:ascii="宋体" w:cs="宋体"/>
          <w:color w:val="auto"/>
          <w:highlight w:val="none"/>
        </w:rPr>
        <w:t>约</w:t>
      </w:r>
      <w:r>
        <w:rPr>
          <w:rFonts w:hint="eastAsia" w:ascii="宋体" w:cs="Dotum"/>
          <w:color w:val="auto"/>
          <w:highlight w:val="none"/>
        </w:rPr>
        <w:t>金不足部分可以直接</w:t>
      </w:r>
      <w:r>
        <w:rPr>
          <w:rFonts w:hint="eastAsia" w:ascii="宋体" w:cs="宋体"/>
          <w:color w:val="auto"/>
          <w:highlight w:val="none"/>
        </w:rPr>
        <w:t>从</w:t>
      </w:r>
      <w:r>
        <w:rPr>
          <w:rFonts w:hint="eastAsia" w:ascii="宋体" w:cs="Dotum"/>
          <w:color w:val="auto"/>
          <w:highlight w:val="none"/>
        </w:rPr>
        <w:t>工程款中扣除或要求另行</w:t>
      </w:r>
      <w:r>
        <w:rPr>
          <w:rFonts w:hint="eastAsia" w:ascii="宋体" w:cs="宋体"/>
          <w:color w:val="auto"/>
          <w:highlight w:val="none"/>
        </w:rPr>
        <w:t>补</w:t>
      </w:r>
      <w:r>
        <w:rPr>
          <w:rFonts w:hint="eastAsia" w:ascii="宋体" w:cs="Dotum"/>
          <w:color w:val="auto"/>
          <w:highlight w:val="none"/>
        </w:rPr>
        <w:t>足。</w:t>
      </w:r>
    </w:p>
    <w:p w14:paraId="0BCA678A">
      <w:pPr>
        <w:spacing w:line="360" w:lineRule="exact"/>
        <w:ind w:firstLine="420" w:firstLineChars="200"/>
        <w:rPr>
          <w:rFonts w:ascii="宋体"/>
          <w:color w:val="auto"/>
          <w:highlight w:val="none"/>
        </w:rPr>
      </w:pPr>
      <w:r>
        <w:rPr>
          <w:rFonts w:ascii="宋体"/>
          <w:color w:val="auto"/>
          <w:highlight w:val="none"/>
        </w:rPr>
        <w:t>21.23</w:t>
      </w:r>
      <w:r>
        <w:rPr>
          <w:rFonts w:hint="eastAsia" w:ascii="宋体" w:cs="宋体"/>
          <w:color w:val="auto"/>
          <w:highlight w:val="none"/>
        </w:rPr>
        <w:t>现场</w:t>
      </w:r>
      <w:r>
        <w:rPr>
          <w:rFonts w:hint="eastAsia" w:ascii="宋体" w:cs="Dotum"/>
          <w:color w:val="auto"/>
          <w:highlight w:val="none"/>
        </w:rPr>
        <w:t>文明施工，采用封</w:t>
      </w:r>
      <w:r>
        <w:rPr>
          <w:rFonts w:hint="eastAsia" w:ascii="宋体" w:cs="宋体"/>
          <w:color w:val="auto"/>
          <w:highlight w:val="none"/>
        </w:rPr>
        <w:t>闭围墙</w:t>
      </w:r>
      <w:r>
        <w:rPr>
          <w:rFonts w:hint="eastAsia" w:ascii="宋体" w:cs="Dotum"/>
          <w:color w:val="auto"/>
          <w:highlight w:val="none"/>
        </w:rPr>
        <w:t>，高度不小于</w:t>
      </w:r>
      <w:r>
        <w:rPr>
          <w:rFonts w:ascii="宋体"/>
          <w:color w:val="auto"/>
          <w:highlight w:val="none"/>
        </w:rPr>
        <w:t>1.8</w:t>
      </w:r>
      <w:r>
        <w:rPr>
          <w:rFonts w:hint="eastAsia" w:ascii="宋体"/>
          <w:color w:val="auto"/>
          <w:highlight w:val="none"/>
        </w:rPr>
        <w:t>米，</w:t>
      </w:r>
      <w:r>
        <w:rPr>
          <w:rFonts w:hint="eastAsia" w:ascii="宋体" w:cs="宋体"/>
          <w:color w:val="auto"/>
          <w:highlight w:val="none"/>
        </w:rPr>
        <w:t>围墙</w:t>
      </w:r>
      <w:r>
        <w:rPr>
          <w:rFonts w:hint="eastAsia" w:ascii="宋体" w:cs="Dotum"/>
          <w:color w:val="auto"/>
          <w:highlight w:val="none"/>
        </w:rPr>
        <w:t>材料必</w:t>
      </w:r>
      <w:r>
        <w:rPr>
          <w:rFonts w:hint="eastAsia" w:ascii="宋体" w:cs="宋体"/>
          <w:color w:val="auto"/>
          <w:highlight w:val="none"/>
        </w:rPr>
        <w:t>须</w:t>
      </w:r>
      <w:r>
        <w:rPr>
          <w:rFonts w:hint="eastAsia" w:ascii="宋体" w:cs="Dotum"/>
          <w:color w:val="auto"/>
          <w:highlight w:val="none"/>
        </w:rPr>
        <w:t>采用</w:t>
      </w:r>
      <w:r>
        <w:rPr>
          <w:rFonts w:hint="eastAsia" w:ascii="宋体" w:cs="宋体"/>
          <w:color w:val="auto"/>
          <w:highlight w:val="none"/>
        </w:rPr>
        <w:t>砖</w:t>
      </w:r>
      <w:r>
        <w:rPr>
          <w:rFonts w:hint="eastAsia" w:ascii="宋体" w:cs="Dotum"/>
          <w:color w:val="auto"/>
          <w:highlight w:val="none"/>
        </w:rPr>
        <w:t>砌体或</w:t>
      </w:r>
      <w:r>
        <w:rPr>
          <w:rFonts w:hint="eastAsia" w:ascii="宋体" w:cs="宋体"/>
          <w:color w:val="auto"/>
          <w:highlight w:val="none"/>
        </w:rPr>
        <w:t>砼</w:t>
      </w:r>
      <w:r>
        <w:rPr>
          <w:rFonts w:hint="eastAsia" w:ascii="宋体" w:cs="Dotum"/>
          <w:color w:val="auto"/>
          <w:highlight w:val="none"/>
        </w:rPr>
        <w:t>砌</w:t>
      </w:r>
      <w:r>
        <w:rPr>
          <w:rFonts w:hint="eastAsia" w:ascii="宋体" w:cs="宋体"/>
          <w:color w:val="auto"/>
          <w:highlight w:val="none"/>
        </w:rPr>
        <w:t>块</w:t>
      </w:r>
      <w:r>
        <w:rPr>
          <w:rFonts w:hint="eastAsia" w:ascii="宋体" w:cs="Dotum"/>
          <w:color w:val="auto"/>
          <w:highlight w:val="none"/>
        </w:rPr>
        <w:t>砌筑</w:t>
      </w:r>
      <w:r>
        <w:rPr>
          <w:rFonts w:hint="eastAsia" w:ascii="宋体" w:cs="宋体"/>
          <w:color w:val="auto"/>
          <w:highlight w:val="none"/>
        </w:rPr>
        <w:t>墙</w:t>
      </w:r>
      <w:r>
        <w:rPr>
          <w:rFonts w:hint="eastAsia" w:ascii="宋体" w:cs="Dotum"/>
          <w:color w:val="auto"/>
          <w:highlight w:val="none"/>
        </w:rPr>
        <w:t>体。</w:t>
      </w:r>
    </w:p>
    <w:p w14:paraId="7C90B41B">
      <w:pPr>
        <w:spacing w:line="360" w:lineRule="exact"/>
        <w:ind w:firstLine="420" w:firstLineChars="200"/>
        <w:rPr>
          <w:rFonts w:ascii="宋体"/>
          <w:color w:val="auto"/>
          <w:highlight w:val="none"/>
        </w:rPr>
      </w:pPr>
      <w:r>
        <w:rPr>
          <w:rFonts w:ascii="宋体"/>
          <w:color w:val="auto"/>
          <w:highlight w:val="none"/>
        </w:rPr>
        <w:t xml:space="preserve">21.24 </w:t>
      </w:r>
      <w:r>
        <w:rPr>
          <w:rFonts w:hint="eastAsia" w:ascii="宋体"/>
          <w:color w:val="auto"/>
          <w:highlight w:val="none"/>
        </w:rPr>
        <w:t>所有</w:t>
      </w:r>
      <w:r>
        <w:rPr>
          <w:rFonts w:hint="eastAsia" w:ascii="宋体" w:cs="宋体"/>
          <w:color w:val="auto"/>
          <w:highlight w:val="none"/>
        </w:rPr>
        <w:t>隐</w:t>
      </w:r>
      <w:r>
        <w:rPr>
          <w:rFonts w:hint="eastAsia" w:ascii="宋体" w:cs="Dotum"/>
          <w:color w:val="auto"/>
          <w:highlight w:val="none"/>
        </w:rPr>
        <w:t>蔽工程（雨水、</w:t>
      </w:r>
      <w:r>
        <w:rPr>
          <w:rFonts w:hint="eastAsia" w:ascii="宋体" w:cs="宋体"/>
          <w:color w:val="auto"/>
          <w:highlight w:val="none"/>
        </w:rPr>
        <w:t>污</w:t>
      </w:r>
      <w:r>
        <w:rPr>
          <w:rFonts w:hint="eastAsia" w:ascii="宋体" w:cs="Dotum"/>
          <w:color w:val="auto"/>
          <w:highlight w:val="none"/>
        </w:rPr>
        <w:t>水、</w:t>
      </w:r>
      <w:r>
        <w:rPr>
          <w:rFonts w:hint="eastAsia" w:ascii="宋体" w:cs="宋体"/>
          <w:color w:val="auto"/>
          <w:highlight w:val="none"/>
        </w:rPr>
        <w:t>给</w:t>
      </w:r>
      <w:r>
        <w:rPr>
          <w:rFonts w:hint="eastAsia" w:ascii="宋体" w:cs="Dotum"/>
          <w:color w:val="auto"/>
          <w:highlight w:val="none"/>
        </w:rPr>
        <w:t>水、</w:t>
      </w:r>
      <w:r>
        <w:rPr>
          <w:rFonts w:hint="eastAsia" w:ascii="宋体" w:cs="宋体"/>
          <w:color w:val="auto"/>
          <w:highlight w:val="none"/>
        </w:rPr>
        <w:t>热</w:t>
      </w:r>
      <w:r>
        <w:rPr>
          <w:rFonts w:hint="eastAsia" w:ascii="宋体" w:cs="Dotum"/>
          <w:color w:val="auto"/>
          <w:highlight w:val="none"/>
        </w:rPr>
        <w:t>水等）掩埋前必</w:t>
      </w:r>
      <w:r>
        <w:rPr>
          <w:rFonts w:hint="eastAsia" w:ascii="宋体" w:cs="宋体"/>
          <w:color w:val="auto"/>
          <w:highlight w:val="none"/>
        </w:rPr>
        <w:t>须</w:t>
      </w:r>
      <w:r>
        <w:rPr>
          <w:rFonts w:hint="eastAsia" w:ascii="宋体" w:cs="Dotum"/>
          <w:color w:val="auto"/>
          <w:highlight w:val="none"/>
        </w:rPr>
        <w:t>通知</w:t>
      </w:r>
      <w:r>
        <w:rPr>
          <w:rFonts w:hint="eastAsia" w:ascii="宋体" w:cs="宋体"/>
          <w:color w:val="auto"/>
          <w:highlight w:val="none"/>
        </w:rPr>
        <w:t>发</w:t>
      </w:r>
      <w:r>
        <w:rPr>
          <w:rFonts w:hint="eastAsia" w:ascii="宋体" w:cs="Dotum"/>
          <w:color w:val="auto"/>
          <w:highlight w:val="none"/>
        </w:rPr>
        <w:t>包方</w:t>
      </w:r>
      <w:r>
        <w:rPr>
          <w:rFonts w:hint="eastAsia" w:ascii="宋体" w:cs="宋体"/>
          <w:color w:val="auto"/>
          <w:highlight w:val="none"/>
        </w:rPr>
        <w:t>检查验</w:t>
      </w:r>
      <w:r>
        <w:rPr>
          <w:rFonts w:hint="eastAsia" w:ascii="宋体" w:cs="Dotum"/>
          <w:color w:val="auto"/>
          <w:highlight w:val="none"/>
        </w:rPr>
        <w:t>收合格后方可掩埋，未</w:t>
      </w:r>
      <w:r>
        <w:rPr>
          <w:rFonts w:hint="eastAsia" w:ascii="宋体" w:cs="宋体"/>
          <w:color w:val="auto"/>
          <w:highlight w:val="none"/>
        </w:rPr>
        <w:t>经发</w:t>
      </w:r>
      <w:r>
        <w:rPr>
          <w:rFonts w:hint="eastAsia" w:ascii="宋体" w:cs="Dotum"/>
          <w:color w:val="auto"/>
          <w:highlight w:val="none"/>
        </w:rPr>
        <w:t>包方</w:t>
      </w:r>
      <w:r>
        <w:rPr>
          <w:rFonts w:hint="eastAsia" w:ascii="宋体" w:cs="宋体"/>
          <w:color w:val="auto"/>
          <w:highlight w:val="none"/>
        </w:rPr>
        <w:t>检查</w:t>
      </w:r>
      <w:r>
        <w:rPr>
          <w:rFonts w:hint="eastAsia" w:ascii="宋体" w:cs="Dotum"/>
          <w:color w:val="auto"/>
          <w:highlight w:val="none"/>
        </w:rPr>
        <w:t>就掩埋的，</w:t>
      </w:r>
      <w:r>
        <w:rPr>
          <w:rFonts w:hint="eastAsia" w:ascii="宋体" w:cs="宋体"/>
          <w:color w:val="auto"/>
          <w:highlight w:val="none"/>
        </w:rPr>
        <w:t>发现</w:t>
      </w:r>
      <w:r>
        <w:rPr>
          <w:rFonts w:hint="eastAsia" w:ascii="宋体" w:cs="Dotum"/>
          <w:color w:val="auto"/>
          <w:highlight w:val="none"/>
        </w:rPr>
        <w:t>一次</w:t>
      </w:r>
      <w:r>
        <w:rPr>
          <w:rFonts w:hint="eastAsia" w:ascii="宋体" w:cs="宋体"/>
          <w:color w:val="auto"/>
          <w:highlight w:val="none"/>
        </w:rPr>
        <w:t>罚</w:t>
      </w:r>
      <w:r>
        <w:rPr>
          <w:rFonts w:hint="eastAsia" w:ascii="宋体" w:cs="Dotum"/>
          <w:color w:val="auto"/>
          <w:highlight w:val="none"/>
        </w:rPr>
        <w:t>款</w:t>
      </w:r>
      <w:r>
        <w:rPr>
          <w:rFonts w:ascii="宋体"/>
          <w:color w:val="auto"/>
          <w:highlight w:val="none"/>
        </w:rPr>
        <w:t>1</w:t>
      </w:r>
      <w:r>
        <w:rPr>
          <w:rFonts w:hint="eastAsia" w:ascii="宋体"/>
          <w:color w:val="auto"/>
          <w:highlight w:val="none"/>
        </w:rPr>
        <w:t>万元，同</w:t>
      </w:r>
      <w:r>
        <w:rPr>
          <w:rFonts w:hint="eastAsia" w:ascii="宋体" w:cs="宋体"/>
          <w:color w:val="auto"/>
          <w:highlight w:val="none"/>
        </w:rPr>
        <w:t>时</w:t>
      </w:r>
      <w:r>
        <w:rPr>
          <w:rFonts w:hint="eastAsia" w:ascii="宋体" w:cs="Dotum"/>
          <w:color w:val="auto"/>
          <w:highlight w:val="none"/>
        </w:rPr>
        <w:t>施工方必</w:t>
      </w:r>
      <w:r>
        <w:rPr>
          <w:rFonts w:hint="eastAsia" w:ascii="宋体" w:cs="宋体"/>
          <w:color w:val="auto"/>
          <w:highlight w:val="none"/>
        </w:rPr>
        <w:t>须</w:t>
      </w:r>
      <w:r>
        <w:rPr>
          <w:rFonts w:hint="eastAsia" w:ascii="宋体" w:cs="Dotum"/>
          <w:color w:val="auto"/>
          <w:highlight w:val="none"/>
        </w:rPr>
        <w:t>重新</w:t>
      </w:r>
      <w:r>
        <w:rPr>
          <w:rFonts w:hint="eastAsia" w:ascii="宋体" w:cs="宋体"/>
          <w:color w:val="auto"/>
          <w:highlight w:val="none"/>
        </w:rPr>
        <w:t>开挖</w:t>
      </w:r>
      <w:r>
        <w:rPr>
          <w:rFonts w:hint="eastAsia" w:ascii="宋体" w:cs="Dotum"/>
          <w:color w:val="auto"/>
          <w:highlight w:val="none"/>
        </w:rPr>
        <w:t>接受</w:t>
      </w:r>
      <w:r>
        <w:rPr>
          <w:rFonts w:hint="eastAsia" w:ascii="宋体" w:cs="宋体"/>
          <w:color w:val="auto"/>
          <w:highlight w:val="none"/>
        </w:rPr>
        <w:t>发</w:t>
      </w:r>
      <w:r>
        <w:rPr>
          <w:rFonts w:hint="eastAsia" w:ascii="宋体" w:cs="Dotum"/>
          <w:color w:val="auto"/>
          <w:highlight w:val="none"/>
        </w:rPr>
        <w:t>包方的</w:t>
      </w:r>
      <w:r>
        <w:rPr>
          <w:rFonts w:hint="eastAsia" w:ascii="宋体" w:cs="宋体"/>
          <w:color w:val="auto"/>
          <w:highlight w:val="none"/>
        </w:rPr>
        <w:t>检查</w:t>
      </w:r>
      <w:r>
        <w:rPr>
          <w:rFonts w:hint="eastAsia" w:ascii="宋体" w:cs="Dotum"/>
          <w:color w:val="auto"/>
          <w:highlight w:val="none"/>
        </w:rPr>
        <w:t>，由此</w:t>
      </w:r>
      <w:r>
        <w:rPr>
          <w:rFonts w:hint="eastAsia" w:ascii="宋体" w:cs="宋体"/>
          <w:color w:val="auto"/>
          <w:highlight w:val="none"/>
        </w:rPr>
        <w:t>产</w:t>
      </w:r>
      <w:r>
        <w:rPr>
          <w:rFonts w:hint="eastAsia" w:ascii="宋体" w:cs="Dotum"/>
          <w:color w:val="auto"/>
          <w:highlight w:val="none"/>
        </w:rPr>
        <w:t>生的一切</w:t>
      </w:r>
      <w:r>
        <w:rPr>
          <w:rFonts w:hint="eastAsia" w:ascii="宋体" w:cs="宋体"/>
          <w:color w:val="auto"/>
          <w:highlight w:val="none"/>
        </w:rPr>
        <w:t>费</w:t>
      </w:r>
      <w:r>
        <w:rPr>
          <w:rFonts w:hint="eastAsia" w:ascii="宋体" w:cs="宋体"/>
          <w:color w:val="auto"/>
          <w:highlight w:val="none"/>
          <w:lang w:eastAsia="zh-CN"/>
        </w:rPr>
        <w:t>用由</w:t>
      </w:r>
      <w:r>
        <w:rPr>
          <w:rFonts w:hint="eastAsia" w:ascii="宋体" w:cs="Dotum"/>
          <w:color w:val="auto"/>
          <w:highlight w:val="none"/>
        </w:rPr>
        <w:t>施工方</w:t>
      </w:r>
      <w:r>
        <w:rPr>
          <w:rFonts w:hint="eastAsia" w:ascii="宋体" w:cs="宋体"/>
          <w:color w:val="auto"/>
          <w:highlight w:val="none"/>
        </w:rPr>
        <w:t>负责</w:t>
      </w:r>
      <w:r>
        <w:rPr>
          <w:rFonts w:hint="eastAsia" w:ascii="宋体" w:cs="Dotum"/>
          <w:color w:val="auto"/>
          <w:highlight w:val="none"/>
        </w:rPr>
        <w:t>。</w:t>
      </w:r>
    </w:p>
    <w:p w14:paraId="027A932B">
      <w:pPr>
        <w:spacing w:line="360" w:lineRule="exact"/>
        <w:ind w:firstLine="420" w:firstLineChars="200"/>
        <w:rPr>
          <w:rFonts w:ascii="宋体" w:cs="Dotum"/>
          <w:color w:val="auto"/>
          <w:highlight w:val="none"/>
        </w:rPr>
      </w:pPr>
      <w:r>
        <w:rPr>
          <w:rFonts w:ascii="宋体"/>
          <w:color w:val="auto"/>
          <w:highlight w:val="none"/>
        </w:rPr>
        <w:t xml:space="preserve">21.25 </w:t>
      </w:r>
      <w:r>
        <w:rPr>
          <w:rFonts w:hint="eastAsia" w:ascii="宋体"/>
          <w:color w:val="auto"/>
          <w:highlight w:val="none"/>
        </w:rPr>
        <w:t>施工方不按工程</w:t>
      </w:r>
      <w:r>
        <w:rPr>
          <w:rFonts w:hint="eastAsia" w:ascii="宋体" w:cs="宋体"/>
          <w:color w:val="auto"/>
          <w:highlight w:val="none"/>
        </w:rPr>
        <w:t>进</w:t>
      </w:r>
      <w:r>
        <w:rPr>
          <w:rFonts w:hint="eastAsia" w:ascii="宋体" w:cs="Dotum"/>
          <w:color w:val="auto"/>
          <w:highlight w:val="none"/>
        </w:rPr>
        <w:t>度</w:t>
      </w:r>
      <w:r>
        <w:rPr>
          <w:rFonts w:hint="eastAsia" w:ascii="宋体" w:cs="宋体"/>
          <w:color w:val="auto"/>
          <w:highlight w:val="none"/>
        </w:rPr>
        <w:t>组织</w:t>
      </w:r>
      <w:r>
        <w:rPr>
          <w:rFonts w:hint="eastAsia" w:ascii="宋体" w:cs="Dotum"/>
          <w:color w:val="auto"/>
          <w:highlight w:val="none"/>
        </w:rPr>
        <w:t>施工，</w:t>
      </w:r>
      <w:r>
        <w:rPr>
          <w:rFonts w:hint="eastAsia" w:ascii="宋体" w:cs="宋体"/>
          <w:color w:val="auto"/>
          <w:highlight w:val="none"/>
        </w:rPr>
        <w:t>经监</w:t>
      </w:r>
      <w:r>
        <w:rPr>
          <w:rFonts w:hint="eastAsia" w:ascii="宋体" w:cs="Dotum"/>
          <w:color w:val="auto"/>
          <w:highlight w:val="none"/>
        </w:rPr>
        <w:t>理、</w:t>
      </w:r>
      <w:r>
        <w:rPr>
          <w:rFonts w:hint="eastAsia" w:ascii="宋体" w:cs="宋体"/>
          <w:color w:val="auto"/>
          <w:highlight w:val="none"/>
        </w:rPr>
        <w:t>发</w:t>
      </w:r>
      <w:r>
        <w:rPr>
          <w:rFonts w:hint="eastAsia" w:ascii="宋体" w:cs="Dotum"/>
          <w:color w:val="auto"/>
          <w:highlight w:val="none"/>
        </w:rPr>
        <w:t>包方</w:t>
      </w:r>
      <w:r>
        <w:rPr>
          <w:rFonts w:hint="eastAsia" w:ascii="宋体" w:cs="宋体"/>
          <w:color w:val="auto"/>
          <w:highlight w:val="none"/>
        </w:rPr>
        <w:t>两</w:t>
      </w:r>
      <w:r>
        <w:rPr>
          <w:rFonts w:hint="eastAsia" w:ascii="宋体" w:cs="Dotum"/>
          <w:color w:val="auto"/>
          <w:highlight w:val="none"/>
        </w:rPr>
        <w:t>次函告后仍</w:t>
      </w:r>
      <w:r>
        <w:rPr>
          <w:rFonts w:hint="eastAsia" w:ascii="宋体" w:cs="宋体"/>
          <w:color w:val="auto"/>
          <w:highlight w:val="none"/>
        </w:rPr>
        <w:t>没</w:t>
      </w:r>
      <w:r>
        <w:rPr>
          <w:rFonts w:hint="eastAsia" w:ascii="宋体" w:cs="Dotum"/>
          <w:color w:val="auto"/>
          <w:highlight w:val="none"/>
        </w:rPr>
        <w:t>有采取</w:t>
      </w:r>
      <w:r>
        <w:rPr>
          <w:rFonts w:hint="eastAsia" w:ascii="宋体" w:cs="宋体"/>
          <w:color w:val="auto"/>
          <w:highlight w:val="none"/>
        </w:rPr>
        <w:t>积极</w:t>
      </w:r>
      <w:r>
        <w:rPr>
          <w:rFonts w:hint="eastAsia" w:ascii="宋体" w:cs="Dotum"/>
          <w:color w:val="auto"/>
          <w:highlight w:val="none"/>
        </w:rPr>
        <w:t>措施赶上</w:t>
      </w:r>
      <w:r>
        <w:rPr>
          <w:rFonts w:hint="eastAsia" w:ascii="宋体" w:cs="宋体"/>
          <w:color w:val="auto"/>
          <w:highlight w:val="none"/>
        </w:rPr>
        <w:t>进</w:t>
      </w:r>
      <w:r>
        <w:rPr>
          <w:rFonts w:hint="eastAsia" w:ascii="宋体" w:cs="Dotum"/>
          <w:color w:val="auto"/>
          <w:highlight w:val="none"/>
        </w:rPr>
        <w:t>度的，</w:t>
      </w:r>
      <w:r>
        <w:rPr>
          <w:rFonts w:hint="eastAsia" w:ascii="宋体" w:cs="宋体"/>
          <w:color w:val="auto"/>
          <w:highlight w:val="none"/>
        </w:rPr>
        <w:t>发</w:t>
      </w:r>
      <w:r>
        <w:rPr>
          <w:rFonts w:hint="eastAsia" w:ascii="宋体" w:cs="Dotum"/>
          <w:color w:val="auto"/>
          <w:highlight w:val="none"/>
        </w:rPr>
        <w:t>包方有</w:t>
      </w:r>
      <w:r>
        <w:rPr>
          <w:rFonts w:hint="eastAsia" w:ascii="宋体" w:cs="宋体"/>
          <w:color w:val="auto"/>
          <w:highlight w:val="none"/>
        </w:rPr>
        <w:t>权</w:t>
      </w:r>
      <w:r>
        <w:rPr>
          <w:rFonts w:hint="eastAsia" w:ascii="宋体" w:cs="Dotum"/>
          <w:color w:val="auto"/>
          <w:highlight w:val="none"/>
        </w:rPr>
        <w:t>采取其他措施，一切</w:t>
      </w:r>
      <w:r>
        <w:rPr>
          <w:rFonts w:hint="eastAsia" w:ascii="宋体" w:cs="宋体"/>
          <w:color w:val="auto"/>
          <w:highlight w:val="none"/>
        </w:rPr>
        <w:t>责</w:t>
      </w:r>
      <w:r>
        <w:rPr>
          <w:rFonts w:hint="eastAsia" w:ascii="宋体" w:cs="Dotum"/>
          <w:color w:val="auto"/>
          <w:highlight w:val="none"/>
        </w:rPr>
        <w:t>任由施工方承担。</w:t>
      </w:r>
    </w:p>
    <w:p w14:paraId="075FDEB6">
      <w:pPr>
        <w:spacing w:line="360" w:lineRule="exact"/>
        <w:ind w:firstLine="420" w:firstLineChars="200"/>
        <w:rPr>
          <w:rFonts w:ascii="宋体"/>
          <w:color w:val="auto"/>
          <w:highlight w:val="none"/>
        </w:rPr>
      </w:pPr>
      <w:r>
        <w:rPr>
          <w:rFonts w:ascii="宋体"/>
          <w:color w:val="auto"/>
          <w:highlight w:val="none"/>
        </w:rPr>
        <w:t>21.26</w:t>
      </w:r>
      <w:r>
        <w:rPr>
          <w:rFonts w:hint="eastAsia" w:ascii="宋体"/>
          <w:color w:val="auto"/>
          <w:highlight w:val="none"/>
        </w:rPr>
        <w:t>现场土方开挖费用不因工程量进行调价。</w:t>
      </w:r>
    </w:p>
    <w:p w14:paraId="6964709F">
      <w:pPr>
        <w:spacing w:line="360" w:lineRule="exact"/>
        <w:ind w:firstLine="420" w:firstLineChars="200"/>
        <w:rPr>
          <w:rFonts w:ascii="宋体"/>
          <w:color w:val="auto"/>
          <w:highlight w:val="none"/>
        </w:rPr>
      </w:pPr>
      <w:r>
        <w:rPr>
          <w:rFonts w:hint="eastAsia" w:ascii="宋体"/>
          <w:color w:val="auto"/>
          <w:highlight w:val="none"/>
        </w:rPr>
        <w:t>21.27本项目以发包方通知进场时间为准（办理相关施工许可），在通知进场之前产生的费用由施工方自行负责、风险自行承担。</w:t>
      </w:r>
    </w:p>
    <w:p w14:paraId="71A8B01A">
      <w:pPr>
        <w:pStyle w:val="270"/>
        <w:spacing w:line="400" w:lineRule="exact"/>
        <w:rPr>
          <w:rFonts w:ascii="宋体"/>
          <w:color w:val="auto"/>
          <w:highlight w:val="none"/>
        </w:rPr>
      </w:pPr>
      <w:r>
        <w:rPr>
          <w:rFonts w:ascii="宋体"/>
          <w:color w:val="auto"/>
          <w:highlight w:val="none"/>
        </w:rPr>
        <w:t>21.2</w:t>
      </w:r>
      <w:r>
        <w:rPr>
          <w:rFonts w:hint="eastAsia" w:ascii="宋体"/>
          <w:color w:val="auto"/>
          <w:highlight w:val="none"/>
        </w:rPr>
        <w:t>8</w:t>
      </w:r>
      <w:r>
        <w:rPr>
          <w:rFonts w:hint="eastAsia" w:ascii="宋体" w:cs="宋体"/>
          <w:color w:val="auto"/>
          <w:highlight w:val="none"/>
        </w:rPr>
        <w:t>双</w:t>
      </w:r>
      <w:r>
        <w:rPr>
          <w:rFonts w:hint="eastAsia" w:ascii="宋体" w:cs="Dotum"/>
          <w:color w:val="auto"/>
          <w:highlight w:val="none"/>
        </w:rPr>
        <w:t>方</w:t>
      </w:r>
      <w:r>
        <w:rPr>
          <w:rFonts w:hint="eastAsia" w:ascii="宋体" w:cs="宋体"/>
          <w:color w:val="auto"/>
          <w:highlight w:val="none"/>
        </w:rPr>
        <w:t>约</w:t>
      </w:r>
      <w:r>
        <w:rPr>
          <w:rFonts w:hint="eastAsia" w:ascii="宋体" w:cs="Dotum"/>
          <w:color w:val="auto"/>
          <w:highlight w:val="none"/>
        </w:rPr>
        <w:t>定合同</w:t>
      </w:r>
      <w:r>
        <w:rPr>
          <w:rFonts w:hint="eastAsia" w:ascii="宋体" w:cs="宋体"/>
          <w:color w:val="auto"/>
          <w:highlight w:val="none"/>
        </w:rPr>
        <w:t>份数</w:t>
      </w:r>
      <w:r>
        <w:rPr>
          <w:rFonts w:hint="eastAsia" w:ascii="宋体" w:cs="Dotum"/>
          <w:color w:val="auto"/>
          <w:highlight w:val="none"/>
        </w:rPr>
        <w:t>：</w:t>
      </w:r>
      <w:r>
        <w:rPr>
          <w:rFonts w:hint="eastAsia" w:ascii="宋体" w:hAnsi="宋体"/>
          <w:color w:val="auto"/>
          <w:highlight w:val="none"/>
        </w:rPr>
        <w:t>一式八份，甲方执陆份，乙方执贰份</w:t>
      </w:r>
    </w:p>
    <w:p w14:paraId="5D060D41">
      <w:pPr>
        <w:pStyle w:val="229"/>
        <w:rPr>
          <w:color w:val="auto"/>
          <w:highlight w:val="none"/>
        </w:rPr>
      </w:pPr>
    </w:p>
    <w:p w14:paraId="67208E9E">
      <w:pPr>
        <w:pStyle w:val="229"/>
        <w:rPr>
          <w:color w:val="auto"/>
          <w:highlight w:val="none"/>
        </w:rPr>
      </w:pPr>
      <w:r>
        <w:rPr>
          <w:rFonts w:hint="eastAsia"/>
          <w:color w:val="auto"/>
          <w:highlight w:val="none"/>
        </w:rPr>
        <w:t>未尽事宜，经双方协商另签订补充协议。</w:t>
      </w:r>
    </w:p>
    <w:p w14:paraId="670C2AB9">
      <w:pPr>
        <w:pStyle w:val="229"/>
        <w:rPr>
          <w:color w:val="auto"/>
          <w:highlight w:val="none"/>
        </w:rPr>
      </w:pPr>
      <w:r>
        <w:rPr>
          <w:color w:val="auto"/>
          <w:szCs w:val="21"/>
          <w:highlight w:val="none"/>
        </w:rPr>
        <w:br w:type="page"/>
      </w:r>
      <w:r>
        <w:rPr>
          <w:rFonts w:hint="eastAsia"/>
          <w:color w:val="auto"/>
          <w:highlight w:val="none"/>
        </w:rPr>
        <w:t>附件：</w:t>
      </w:r>
    </w:p>
    <w:p w14:paraId="58CFE78D">
      <w:pPr>
        <w:pStyle w:val="229"/>
        <w:rPr>
          <w:color w:val="auto"/>
          <w:highlight w:val="none"/>
        </w:rPr>
      </w:pPr>
      <w:r>
        <w:rPr>
          <w:rFonts w:hint="eastAsia"/>
          <w:color w:val="auto"/>
          <w:highlight w:val="none"/>
        </w:rPr>
        <w:t>1.承包人承揽工程项目一览表</w:t>
      </w:r>
    </w:p>
    <w:p w14:paraId="3AF2FF17">
      <w:pPr>
        <w:pStyle w:val="229"/>
        <w:rPr>
          <w:color w:val="auto"/>
          <w:highlight w:val="none"/>
        </w:rPr>
      </w:pPr>
      <w:r>
        <w:rPr>
          <w:rFonts w:hint="eastAsia"/>
          <w:color w:val="auto"/>
          <w:highlight w:val="none"/>
        </w:rPr>
        <w:t>2.发包人供应材料设备一览表</w:t>
      </w:r>
    </w:p>
    <w:p w14:paraId="1730DA4B">
      <w:pPr>
        <w:pStyle w:val="229"/>
        <w:rPr>
          <w:color w:val="auto"/>
          <w:highlight w:val="none"/>
        </w:rPr>
      </w:pPr>
      <w:r>
        <w:rPr>
          <w:rFonts w:hint="eastAsia"/>
          <w:color w:val="auto"/>
          <w:highlight w:val="none"/>
        </w:rPr>
        <w:t>3.工程质量保修书</w:t>
      </w:r>
    </w:p>
    <w:p w14:paraId="483326EB">
      <w:pPr>
        <w:pStyle w:val="229"/>
        <w:rPr>
          <w:color w:val="auto"/>
          <w:highlight w:val="none"/>
        </w:rPr>
      </w:pPr>
      <w:r>
        <w:rPr>
          <w:rFonts w:hint="eastAsia"/>
          <w:color w:val="auto"/>
          <w:highlight w:val="none"/>
        </w:rPr>
        <w:t>4.主要建设工程文件目录</w:t>
      </w:r>
    </w:p>
    <w:p w14:paraId="6D68DDA2">
      <w:pPr>
        <w:pStyle w:val="229"/>
        <w:rPr>
          <w:color w:val="auto"/>
          <w:highlight w:val="none"/>
        </w:rPr>
      </w:pPr>
      <w:r>
        <w:rPr>
          <w:rFonts w:hint="eastAsia"/>
          <w:color w:val="auto"/>
          <w:highlight w:val="none"/>
        </w:rPr>
        <w:t>5.承包人用于本工程施工的机械设备表</w:t>
      </w:r>
    </w:p>
    <w:p w14:paraId="6B0B8F01">
      <w:pPr>
        <w:pStyle w:val="229"/>
        <w:rPr>
          <w:color w:val="auto"/>
          <w:highlight w:val="none"/>
        </w:rPr>
      </w:pPr>
      <w:r>
        <w:rPr>
          <w:rFonts w:hint="eastAsia"/>
          <w:color w:val="auto"/>
          <w:highlight w:val="none"/>
        </w:rPr>
        <w:t>6.承包人主要施工管理人员表</w:t>
      </w:r>
    </w:p>
    <w:p w14:paraId="3579FCA5">
      <w:pPr>
        <w:pStyle w:val="229"/>
        <w:rPr>
          <w:color w:val="auto"/>
          <w:highlight w:val="none"/>
        </w:rPr>
      </w:pPr>
      <w:r>
        <w:rPr>
          <w:rFonts w:hint="eastAsia"/>
          <w:color w:val="auto"/>
          <w:highlight w:val="none"/>
        </w:rPr>
        <w:t>7.广西壮族自治区建设工程安全文明施工措施项目清单内容</w:t>
      </w:r>
    </w:p>
    <w:p w14:paraId="23DE1358">
      <w:pPr>
        <w:pStyle w:val="229"/>
        <w:rPr>
          <w:color w:val="auto"/>
          <w:highlight w:val="none"/>
        </w:rPr>
      </w:pPr>
      <w:r>
        <w:rPr>
          <w:color w:val="auto"/>
          <w:highlight w:val="none"/>
        </w:rPr>
        <w:t>8</w:t>
      </w:r>
      <w:r>
        <w:rPr>
          <w:rFonts w:hint="eastAsia"/>
          <w:color w:val="auto"/>
          <w:highlight w:val="none"/>
        </w:rPr>
        <w:t>.暂估价一览表</w:t>
      </w:r>
    </w:p>
    <w:p w14:paraId="1998E2CD">
      <w:pPr>
        <w:pStyle w:val="229"/>
        <w:rPr>
          <w:color w:val="auto"/>
          <w:highlight w:val="none"/>
        </w:rPr>
      </w:pPr>
      <w:r>
        <w:rPr>
          <w:rFonts w:hint="eastAsia"/>
          <w:color w:val="auto"/>
          <w:highlight w:val="none"/>
        </w:rPr>
        <w:t>9.履约担保</w:t>
      </w:r>
    </w:p>
    <w:p w14:paraId="19417F0F">
      <w:pPr>
        <w:pStyle w:val="229"/>
        <w:rPr>
          <w:color w:val="auto"/>
          <w:highlight w:val="none"/>
        </w:rPr>
      </w:pPr>
      <w:r>
        <w:rPr>
          <w:rFonts w:hint="eastAsia"/>
          <w:color w:val="auto"/>
          <w:highlight w:val="none"/>
        </w:rPr>
        <w:t>10.履约保函</w:t>
      </w:r>
    </w:p>
    <w:p w14:paraId="00B418DA">
      <w:pPr>
        <w:pStyle w:val="229"/>
        <w:rPr>
          <w:color w:val="auto"/>
          <w:highlight w:val="none"/>
        </w:rPr>
      </w:pPr>
      <w:r>
        <w:rPr>
          <w:rFonts w:hint="eastAsia"/>
          <w:color w:val="auto"/>
          <w:highlight w:val="none"/>
        </w:rPr>
        <w:t>11.预付款担保</w:t>
      </w:r>
    </w:p>
    <w:p w14:paraId="182A11BB">
      <w:pPr>
        <w:pStyle w:val="229"/>
        <w:rPr>
          <w:color w:val="auto"/>
          <w:highlight w:val="none"/>
        </w:rPr>
      </w:pPr>
      <w:r>
        <w:rPr>
          <w:rFonts w:hint="eastAsia"/>
          <w:color w:val="auto"/>
          <w:highlight w:val="none"/>
        </w:rPr>
        <w:t>12.预付款保函</w:t>
      </w:r>
    </w:p>
    <w:p w14:paraId="20F6DEB2">
      <w:pPr>
        <w:pStyle w:val="229"/>
        <w:rPr>
          <w:color w:val="auto"/>
          <w:highlight w:val="none"/>
        </w:rPr>
      </w:pPr>
      <w:r>
        <w:rPr>
          <w:rFonts w:hint="eastAsia"/>
          <w:color w:val="auto"/>
          <w:highlight w:val="none"/>
        </w:rPr>
        <w:t>13.安全生产协议书</w:t>
      </w:r>
    </w:p>
    <w:p w14:paraId="39CA14A4">
      <w:pPr>
        <w:pStyle w:val="229"/>
        <w:rPr>
          <w:color w:val="auto"/>
          <w:highlight w:val="none"/>
        </w:rPr>
      </w:pPr>
      <w:r>
        <w:rPr>
          <w:rFonts w:hint="eastAsia"/>
          <w:color w:val="auto"/>
          <w:highlight w:val="none"/>
        </w:rPr>
        <w:t>14.允许调整价格的主要材料和工程设备一览表</w:t>
      </w:r>
    </w:p>
    <w:bookmarkEnd w:id="103"/>
    <w:p w14:paraId="18869BBA">
      <w:pPr>
        <w:pStyle w:val="229"/>
        <w:rPr>
          <w:color w:val="auto"/>
          <w:highlight w:val="none"/>
        </w:rPr>
        <w:sectPr>
          <w:footerReference r:id="rId11" w:type="first"/>
          <w:headerReference r:id="rId8" w:type="default"/>
          <w:footerReference r:id="rId9" w:type="default"/>
          <w:footerReference r:id="rId10" w:type="even"/>
          <w:pgSz w:w="11906" w:h="16838"/>
          <w:pgMar w:top="720" w:right="720" w:bottom="720" w:left="720" w:header="851" w:footer="992" w:gutter="0"/>
          <w:cols w:space="720" w:num="1"/>
          <w:docGrid w:type="lines" w:linePitch="312" w:charSpace="0"/>
        </w:sectPr>
      </w:pPr>
    </w:p>
    <w:p w14:paraId="7F10FCF1">
      <w:pPr>
        <w:pStyle w:val="229"/>
        <w:rPr>
          <w:color w:val="auto"/>
          <w:highlight w:val="none"/>
        </w:rPr>
      </w:pPr>
      <w:r>
        <w:rPr>
          <w:rFonts w:hint="eastAsia"/>
          <w:color w:val="auto"/>
          <w:highlight w:val="none"/>
        </w:rPr>
        <w:t>附件1：</w:t>
      </w:r>
    </w:p>
    <w:p w14:paraId="49C4A99A">
      <w:pPr>
        <w:pStyle w:val="229"/>
        <w:ind w:firstLine="422"/>
        <w:jc w:val="center"/>
        <w:rPr>
          <w:color w:val="auto"/>
          <w:highlight w:val="none"/>
        </w:rPr>
      </w:pPr>
      <w:r>
        <w:rPr>
          <w:rFonts w:hint="eastAsia"/>
          <w:b/>
          <w:bCs/>
          <w:color w:val="auto"/>
          <w:highlight w:val="none"/>
        </w:rPr>
        <w:t>承包人承揽工程项目一览表</w:t>
      </w:r>
    </w:p>
    <w:tbl>
      <w:tblPr>
        <w:tblStyle w:val="46"/>
        <w:tblW w:w="10228" w:type="dxa"/>
        <w:jc w:val="center"/>
        <w:tblLayout w:type="fixed"/>
        <w:tblCellMar>
          <w:top w:w="0" w:type="dxa"/>
          <w:left w:w="0" w:type="dxa"/>
          <w:bottom w:w="0" w:type="dxa"/>
          <w:right w:w="0" w:type="dxa"/>
        </w:tblCellMar>
      </w:tblPr>
      <w:tblGrid>
        <w:gridCol w:w="1186"/>
        <w:gridCol w:w="640"/>
        <w:gridCol w:w="1225"/>
        <w:gridCol w:w="735"/>
        <w:gridCol w:w="700"/>
        <w:gridCol w:w="660"/>
        <w:gridCol w:w="720"/>
        <w:gridCol w:w="1527"/>
        <w:gridCol w:w="1276"/>
        <w:gridCol w:w="1559"/>
      </w:tblGrid>
      <w:tr w14:paraId="765E6C9B">
        <w:tblPrEx>
          <w:tblCellMar>
            <w:top w:w="0" w:type="dxa"/>
            <w:left w:w="0" w:type="dxa"/>
            <w:bottom w:w="0" w:type="dxa"/>
            <w:right w:w="0" w:type="dxa"/>
          </w:tblCellMar>
        </w:tblPrEx>
        <w:trPr>
          <w:trHeight w:val="1115" w:hRule="atLeast"/>
          <w:jc w:val="center"/>
        </w:trPr>
        <w:tc>
          <w:tcPr>
            <w:tcW w:w="1186"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18AB631F">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单位工程名称</w:t>
            </w:r>
          </w:p>
        </w:tc>
        <w:tc>
          <w:tcPr>
            <w:tcW w:w="6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2065E81">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建设规模</w:t>
            </w:r>
          </w:p>
        </w:tc>
        <w:tc>
          <w:tcPr>
            <w:tcW w:w="122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49641DDB">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建筑面积</w:t>
            </w:r>
            <w:r>
              <w:rPr>
                <w:rFonts w:ascii="宋体" w:hAnsi="宋体" w:cs="宋体"/>
                <w:color w:val="auto"/>
                <w:kern w:val="0"/>
                <w:sz w:val="28"/>
                <w:szCs w:val="20"/>
                <w:highlight w:val="none"/>
              </w:rPr>
              <w:t>（</w:t>
            </w:r>
            <w:r>
              <w:rPr>
                <w:rFonts w:hint="eastAsia" w:ascii="宋体" w:hAnsi="宋体" w:cs="宋体"/>
                <w:color w:val="auto"/>
                <w:kern w:val="0"/>
                <w:sz w:val="28"/>
                <w:szCs w:val="20"/>
                <w:highlight w:val="none"/>
              </w:rPr>
              <w:t>平方米</w:t>
            </w:r>
            <w:r>
              <w:rPr>
                <w:rFonts w:ascii="宋体" w:hAnsi="宋体" w:cs="宋体"/>
                <w:color w:val="auto"/>
                <w:kern w:val="0"/>
                <w:sz w:val="28"/>
                <w:szCs w:val="20"/>
                <w:highlight w:val="none"/>
              </w:rPr>
              <w:t>）</w:t>
            </w:r>
          </w:p>
        </w:tc>
        <w:tc>
          <w:tcPr>
            <w:tcW w:w="73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0DA2DBC">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结构形式</w:t>
            </w:r>
          </w:p>
        </w:tc>
        <w:tc>
          <w:tcPr>
            <w:tcW w:w="70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6D19413D">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层数</w:t>
            </w:r>
          </w:p>
        </w:tc>
        <w:tc>
          <w:tcPr>
            <w:tcW w:w="66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CE8A6FC">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生产能力</w:t>
            </w:r>
          </w:p>
        </w:tc>
        <w:tc>
          <w:tcPr>
            <w:tcW w:w="72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45B0C0F">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设备安装内容</w:t>
            </w:r>
          </w:p>
        </w:tc>
        <w:tc>
          <w:tcPr>
            <w:tcW w:w="1527"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33EA4E54">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合同价格（元）</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3ECBACCE">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开工日期</w:t>
            </w:r>
          </w:p>
        </w:tc>
        <w:tc>
          <w:tcPr>
            <w:tcW w:w="1559"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26B12ED5">
            <w:pPr>
              <w:snapToGrid w:val="0"/>
              <w:spacing w:line="420" w:lineRule="exact"/>
              <w:jc w:val="center"/>
              <w:rPr>
                <w:rFonts w:ascii="宋体" w:cs="宋体"/>
                <w:color w:val="auto"/>
                <w:kern w:val="0"/>
                <w:sz w:val="28"/>
                <w:szCs w:val="20"/>
                <w:highlight w:val="none"/>
              </w:rPr>
            </w:pPr>
            <w:r>
              <w:rPr>
                <w:rFonts w:hint="eastAsia" w:ascii="宋体" w:hAnsi="宋体" w:cs="宋体"/>
                <w:color w:val="auto"/>
                <w:kern w:val="0"/>
                <w:sz w:val="28"/>
                <w:szCs w:val="20"/>
                <w:highlight w:val="none"/>
              </w:rPr>
              <w:t>竣工日期</w:t>
            </w:r>
          </w:p>
        </w:tc>
      </w:tr>
      <w:tr w14:paraId="1A9A660E">
        <w:tblPrEx>
          <w:tblCellMar>
            <w:top w:w="0" w:type="dxa"/>
            <w:left w:w="0" w:type="dxa"/>
            <w:bottom w:w="0" w:type="dxa"/>
            <w:right w:w="0" w:type="dxa"/>
          </w:tblCellMar>
        </w:tblPrEx>
        <w:trPr>
          <w:trHeight w:val="602" w:hRule="atLeast"/>
          <w:jc w:val="center"/>
        </w:trPr>
        <w:tc>
          <w:tcPr>
            <w:tcW w:w="1186"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F795E3D">
            <w:pPr>
              <w:jc w:val="center"/>
              <w:rPr>
                <w:rFonts w:ascii="宋体" w:cs="宋体"/>
                <w:color w:val="auto"/>
                <w:kern w:val="0"/>
                <w:sz w:val="24"/>
                <w:highlight w:val="none"/>
              </w:rPr>
            </w:pPr>
            <w:r>
              <w:rPr>
                <w:rFonts w:ascii="宋体" w:hAnsi="宋体" w:cs="宋体"/>
                <w:color w:val="auto"/>
                <w:kern w:val="0"/>
                <w:highlight w:val="none"/>
              </w:rPr>
              <w:t xml:space="preserve">                          </w:t>
            </w:r>
          </w:p>
        </w:tc>
        <w:tc>
          <w:tcPr>
            <w:tcW w:w="6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E20FB3E">
            <w:pPr>
              <w:jc w:val="center"/>
              <w:rPr>
                <w:rFonts w:ascii="宋体" w:cs="宋体"/>
                <w:color w:val="auto"/>
                <w:kern w:val="0"/>
                <w:szCs w:val="20"/>
                <w:highlight w:val="none"/>
              </w:rPr>
            </w:pPr>
            <w:r>
              <w:rPr>
                <w:rFonts w:ascii="宋体" w:hAnsi="宋体" w:cs="宋体"/>
                <w:color w:val="auto"/>
                <w:kern w:val="0"/>
                <w:sz w:val="30"/>
                <w:szCs w:val="20"/>
                <w:highlight w:val="none"/>
              </w:rPr>
              <w:t>/</w:t>
            </w:r>
          </w:p>
        </w:tc>
        <w:tc>
          <w:tcPr>
            <w:tcW w:w="122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2532C07">
            <w:pPr>
              <w:jc w:val="center"/>
              <w:rPr>
                <w:rFonts w:ascii="宋体" w:cs="宋体"/>
                <w:color w:val="auto"/>
                <w:kern w:val="0"/>
                <w:sz w:val="24"/>
                <w:highlight w:val="none"/>
              </w:rPr>
            </w:pPr>
          </w:p>
        </w:tc>
        <w:tc>
          <w:tcPr>
            <w:tcW w:w="73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CCCC5A">
            <w:pPr>
              <w:jc w:val="center"/>
              <w:rPr>
                <w:rFonts w:ascii="宋体" w:cs="宋体"/>
                <w:color w:val="auto"/>
                <w:kern w:val="0"/>
                <w:sz w:val="24"/>
                <w:highlight w:val="none"/>
              </w:rPr>
            </w:pPr>
          </w:p>
        </w:tc>
        <w:tc>
          <w:tcPr>
            <w:tcW w:w="70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C8814C">
            <w:pPr>
              <w:jc w:val="center"/>
              <w:rPr>
                <w:rFonts w:ascii="宋体" w:cs="宋体"/>
                <w:color w:val="auto"/>
                <w:kern w:val="0"/>
                <w:szCs w:val="20"/>
                <w:highlight w:val="none"/>
              </w:rPr>
            </w:pPr>
          </w:p>
        </w:tc>
        <w:tc>
          <w:tcPr>
            <w:tcW w:w="66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1509F6">
            <w:pPr>
              <w:jc w:val="center"/>
              <w:rPr>
                <w:rFonts w:ascii="宋体" w:cs="宋体"/>
                <w:color w:val="auto"/>
                <w:kern w:val="0"/>
                <w:sz w:val="24"/>
                <w:highlight w:val="none"/>
              </w:rPr>
            </w:pPr>
          </w:p>
        </w:tc>
        <w:tc>
          <w:tcPr>
            <w:tcW w:w="72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2C1BE6">
            <w:pPr>
              <w:jc w:val="center"/>
              <w:rPr>
                <w:rFonts w:ascii="宋体" w:cs="宋体"/>
                <w:color w:val="auto"/>
                <w:kern w:val="0"/>
                <w:szCs w:val="20"/>
                <w:highlight w:val="none"/>
              </w:rPr>
            </w:pPr>
            <w:r>
              <w:rPr>
                <w:rFonts w:ascii="宋体" w:hAnsi="宋体" w:cs="宋体"/>
                <w:color w:val="auto"/>
                <w:kern w:val="0"/>
                <w:sz w:val="30"/>
                <w:szCs w:val="20"/>
                <w:highlight w:val="none"/>
              </w:rPr>
              <w:t>/</w:t>
            </w:r>
          </w:p>
        </w:tc>
        <w:tc>
          <w:tcPr>
            <w:tcW w:w="1527"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2373839">
            <w:pPr>
              <w:jc w:val="center"/>
              <w:rPr>
                <w:rFonts w:ascii="宋体" w:cs="宋体"/>
                <w:color w:val="auto"/>
                <w:kern w:val="0"/>
                <w:sz w:val="24"/>
                <w:highlight w:val="none"/>
              </w:rPr>
            </w:pPr>
            <w:r>
              <w:rPr>
                <w:rFonts w:ascii="宋体" w:hAnsi="宋体"/>
                <w:color w:val="auto"/>
                <w:spacing w:val="-91"/>
                <w:highlight w:val="none"/>
              </w:rPr>
              <w:t xml:space="preserve"> </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74AB3D">
            <w:pPr>
              <w:jc w:val="center"/>
              <w:rPr>
                <w:rFonts w:ascii="宋体" w:cs="宋体"/>
                <w:color w:val="auto"/>
                <w:kern w:val="0"/>
                <w:sz w:val="24"/>
                <w:highlight w:val="none"/>
              </w:rPr>
            </w:pPr>
          </w:p>
        </w:tc>
        <w:tc>
          <w:tcPr>
            <w:tcW w:w="1559"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5DA1669">
            <w:pPr>
              <w:jc w:val="center"/>
              <w:rPr>
                <w:rFonts w:ascii="宋体" w:cs="宋体"/>
                <w:color w:val="auto"/>
                <w:kern w:val="0"/>
                <w:sz w:val="24"/>
                <w:highlight w:val="none"/>
              </w:rPr>
            </w:pPr>
          </w:p>
        </w:tc>
      </w:tr>
      <w:tr w14:paraId="68DB6FA3">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3049EB7F">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1EDC3AC2">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01C6F33B">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486DCE3D">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378DCFA8">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5664342D">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5D327B83">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74B93045">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7F7DC58B">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171056B7">
            <w:pPr>
              <w:snapToGrid w:val="0"/>
              <w:spacing w:line="420" w:lineRule="exact"/>
              <w:rPr>
                <w:rFonts w:ascii="宋体" w:cs="宋体"/>
                <w:color w:val="auto"/>
                <w:kern w:val="0"/>
                <w:sz w:val="30"/>
                <w:szCs w:val="20"/>
                <w:highlight w:val="none"/>
              </w:rPr>
            </w:pPr>
          </w:p>
        </w:tc>
      </w:tr>
      <w:tr w14:paraId="47E53DA3">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4556B328">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2A23D16F">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B26693D">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4BA021CD">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593D8ABD">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290069A0">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0FE0E75C">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42186BCB">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3DEC2D81">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289A70C7">
            <w:pPr>
              <w:snapToGrid w:val="0"/>
              <w:spacing w:line="420" w:lineRule="exact"/>
              <w:rPr>
                <w:rFonts w:ascii="宋体" w:cs="宋体"/>
                <w:color w:val="auto"/>
                <w:kern w:val="0"/>
                <w:sz w:val="30"/>
                <w:szCs w:val="20"/>
                <w:highlight w:val="none"/>
              </w:rPr>
            </w:pPr>
          </w:p>
        </w:tc>
      </w:tr>
      <w:tr w14:paraId="7F9BB062">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407A6AA9">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335AA412">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75515BD">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562FCD46">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02E2D990">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53C128B3">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34434E7F">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15272519">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19C6E416">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7E28D5B6">
            <w:pPr>
              <w:snapToGrid w:val="0"/>
              <w:spacing w:line="420" w:lineRule="exact"/>
              <w:rPr>
                <w:rFonts w:ascii="宋体" w:cs="宋体"/>
                <w:color w:val="auto"/>
                <w:kern w:val="0"/>
                <w:sz w:val="30"/>
                <w:szCs w:val="20"/>
                <w:highlight w:val="none"/>
              </w:rPr>
            </w:pPr>
          </w:p>
        </w:tc>
      </w:tr>
      <w:tr w14:paraId="5EF04BB3">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12CA96D1">
            <w:pPr>
              <w:snapToGrid w:val="0"/>
              <w:spacing w:line="420" w:lineRule="exact"/>
              <w:rPr>
                <w:rFonts w:ascii="宋体" w:cs="宋体"/>
                <w:color w:val="auto"/>
                <w:kern w:val="0"/>
                <w:sz w:val="30"/>
                <w:szCs w:val="20"/>
                <w:highlight w:val="none"/>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0108831B">
            <w:pPr>
              <w:snapToGrid w:val="0"/>
              <w:spacing w:line="420" w:lineRule="exact"/>
              <w:rPr>
                <w:rFonts w:ascii="宋体" w:cs="宋体"/>
                <w:color w:val="auto"/>
                <w:kern w:val="0"/>
                <w:sz w:val="30"/>
                <w:szCs w:val="20"/>
                <w:highlight w:val="none"/>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E9A589C">
            <w:pPr>
              <w:snapToGrid w:val="0"/>
              <w:spacing w:line="420" w:lineRule="exact"/>
              <w:rPr>
                <w:rFonts w:ascii="宋体" w:cs="宋体"/>
                <w:color w:val="auto"/>
                <w:kern w:val="0"/>
                <w:sz w:val="30"/>
                <w:szCs w:val="20"/>
                <w:highlight w:val="none"/>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42461C2F">
            <w:pPr>
              <w:snapToGrid w:val="0"/>
              <w:spacing w:line="420" w:lineRule="exact"/>
              <w:rPr>
                <w:rFonts w:ascii="宋体" w:cs="宋体"/>
                <w:color w:val="auto"/>
                <w:kern w:val="0"/>
                <w:sz w:val="30"/>
                <w:szCs w:val="20"/>
                <w:highlight w:val="none"/>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16B40F45">
            <w:pPr>
              <w:snapToGrid w:val="0"/>
              <w:spacing w:line="420" w:lineRule="exact"/>
              <w:rPr>
                <w:rFonts w:ascii="宋体" w:cs="宋体"/>
                <w:color w:val="auto"/>
                <w:kern w:val="0"/>
                <w:sz w:val="30"/>
                <w:szCs w:val="20"/>
                <w:highlight w:val="none"/>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14BA7587">
            <w:pPr>
              <w:snapToGrid w:val="0"/>
              <w:spacing w:line="420" w:lineRule="exact"/>
              <w:rPr>
                <w:rFonts w:ascii="宋体" w:cs="宋体"/>
                <w:color w:val="auto"/>
                <w:kern w:val="0"/>
                <w:sz w:val="30"/>
                <w:szCs w:val="20"/>
                <w:highlight w:val="none"/>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503B7D01">
            <w:pPr>
              <w:snapToGrid w:val="0"/>
              <w:spacing w:line="420" w:lineRule="exact"/>
              <w:rPr>
                <w:rFonts w:ascii="宋体" w:cs="宋体"/>
                <w:color w:val="auto"/>
                <w:kern w:val="0"/>
                <w:sz w:val="30"/>
                <w:szCs w:val="20"/>
                <w:highlight w:val="none"/>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15377BB6">
            <w:pPr>
              <w:snapToGrid w:val="0"/>
              <w:spacing w:line="420" w:lineRule="exact"/>
              <w:rPr>
                <w:rFonts w:ascii="宋体" w:cs="宋体"/>
                <w:color w:val="auto"/>
                <w:kern w:val="0"/>
                <w:sz w:val="30"/>
                <w:szCs w:val="20"/>
                <w:highlight w:val="none"/>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0C91C19F">
            <w:pPr>
              <w:snapToGrid w:val="0"/>
              <w:spacing w:line="420" w:lineRule="exact"/>
              <w:rPr>
                <w:rFonts w:ascii="宋体" w:cs="宋体"/>
                <w:color w:val="auto"/>
                <w:kern w:val="0"/>
                <w:sz w:val="30"/>
                <w:szCs w:val="20"/>
                <w:highlight w:val="none"/>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4EBDB5B2">
            <w:pPr>
              <w:snapToGrid w:val="0"/>
              <w:spacing w:line="420" w:lineRule="exact"/>
              <w:rPr>
                <w:rFonts w:ascii="宋体" w:cs="宋体"/>
                <w:color w:val="auto"/>
                <w:kern w:val="0"/>
                <w:sz w:val="30"/>
                <w:szCs w:val="20"/>
                <w:highlight w:val="none"/>
              </w:rPr>
            </w:pPr>
          </w:p>
        </w:tc>
      </w:tr>
      <w:tr w14:paraId="773575D6">
        <w:tblPrEx>
          <w:tblCellMar>
            <w:top w:w="0" w:type="dxa"/>
            <w:left w:w="0" w:type="dxa"/>
            <w:bottom w:w="0" w:type="dxa"/>
            <w:right w:w="0" w:type="dxa"/>
          </w:tblCellMar>
        </w:tblPrEx>
        <w:trPr>
          <w:trHeight w:val="602" w:hRule="atLeast"/>
          <w:jc w:val="center"/>
        </w:trPr>
        <w:tc>
          <w:tcPr>
            <w:tcW w:w="1186"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4394EA4B">
            <w:pPr>
              <w:snapToGrid w:val="0"/>
              <w:spacing w:line="420" w:lineRule="exact"/>
              <w:rPr>
                <w:rFonts w:ascii="宋体" w:cs="宋体"/>
                <w:color w:val="auto"/>
                <w:kern w:val="0"/>
                <w:sz w:val="30"/>
                <w:szCs w:val="20"/>
                <w:highlight w:val="none"/>
              </w:rPr>
            </w:pPr>
          </w:p>
        </w:tc>
        <w:tc>
          <w:tcPr>
            <w:tcW w:w="6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42ED1809">
            <w:pPr>
              <w:snapToGrid w:val="0"/>
              <w:spacing w:line="420" w:lineRule="exact"/>
              <w:rPr>
                <w:rFonts w:ascii="宋体" w:cs="宋体"/>
                <w:color w:val="auto"/>
                <w:kern w:val="0"/>
                <w:sz w:val="30"/>
                <w:szCs w:val="20"/>
                <w:highlight w:val="none"/>
              </w:rPr>
            </w:pPr>
          </w:p>
        </w:tc>
        <w:tc>
          <w:tcPr>
            <w:tcW w:w="122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CBFF47A">
            <w:pPr>
              <w:snapToGrid w:val="0"/>
              <w:spacing w:line="420" w:lineRule="exact"/>
              <w:rPr>
                <w:rFonts w:ascii="宋体" w:cs="宋体"/>
                <w:color w:val="auto"/>
                <w:kern w:val="0"/>
                <w:sz w:val="30"/>
                <w:szCs w:val="20"/>
                <w:highlight w:val="none"/>
              </w:rPr>
            </w:pPr>
          </w:p>
        </w:tc>
        <w:tc>
          <w:tcPr>
            <w:tcW w:w="73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B12B2AE">
            <w:pPr>
              <w:snapToGrid w:val="0"/>
              <w:spacing w:line="420" w:lineRule="exact"/>
              <w:rPr>
                <w:rFonts w:ascii="宋体" w:cs="宋体"/>
                <w:color w:val="auto"/>
                <w:kern w:val="0"/>
                <w:sz w:val="30"/>
                <w:szCs w:val="20"/>
                <w:highlight w:val="none"/>
              </w:rPr>
            </w:pPr>
          </w:p>
        </w:tc>
        <w:tc>
          <w:tcPr>
            <w:tcW w:w="70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75D8630">
            <w:pPr>
              <w:snapToGrid w:val="0"/>
              <w:spacing w:line="420" w:lineRule="exact"/>
              <w:rPr>
                <w:rFonts w:ascii="宋体" w:cs="宋体"/>
                <w:color w:val="auto"/>
                <w:kern w:val="0"/>
                <w:sz w:val="30"/>
                <w:szCs w:val="20"/>
                <w:highlight w:val="none"/>
              </w:rPr>
            </w:pPr>
          </w:p>
        </w:tc>
        <w:tc>
          <w:tcPr>
            <w:tcW w:w="66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9F1DC7F">
            <w:pPr>
              <w:snapToGrid w:val="0"/>
              <w:spacing w:line="420" w:lineRule="exact"/>
              <w:rPr>
                <w:rFonts w:ascii="宋体" w:cs="宋体"/>
                <w:color w:val="auto"/>
                <w:kern w:val="0"/>
                <w:sz w:val="30"/>
                <w:szCs w:val="20"/>
                <w:highlight w:val="none"/>
              </w:rPr>
            </w:pPr>
          </w:p>
        </w:tc>
        <w:tc>
          <w:tcPr>
            <w:tcW w:w="72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EA4ADAF">
            <w:pPr>
              <w:snapToGrid w:val="0"/>
              <w:spacing w:line="420" w:lineRule="exact"/>
              <w:rPr>
                <w:rFonts w:ascii="宋体" w:cs="宋体"/>
                <w:color w:val="auto"/>
                <w:kern w:val="0"/>
                <w:sz w:val="30"/>
                <w:szCs w:val="20"/>
                <w:highlight w:val="none"/>
              </w:rPr>
            </w:pPr>
          </w:p>
        </w:tc>
        <w:tc>
          <w:tcPr>
            <w:tcW w:w="1527"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2EA7D93C">
            <w:pPr>
              <w:snapToGrid w:val="0"/>
              <w:spacing w:line="420" w:lineRule="exact"/>
              <w:rPr>
                <w:rFonts w:ascii="宋体" w:cs="宋体"/>
                <w:color w:val="auto"/>
                <w:kern w:val="0"/>
                <w:sz w:val="30"/>
                <w:szCs w:val="20"/>
                <w:highlight w:val="none"/>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8459149">
            <w:pPr>
              <w:snapToGrid w:val="0"/>
              <w:spacing w:line="420" w:lineRule="exact"/>
              <w:rPr>
                <w:rFonts w:ascii="宋体" w:cs="宋体"/>
                <w:color w:val="auto"/>
                <w:kern w:val="0"/>
                <w:sz w:val="30"/>
                <w:szCs w:val="20"/>
                <w:highlight w:val="none"/>
              </w:rPr>
            </w:pPr>
          </w:p>
        </w:tc>
        <w:tc>
          <w:tcPr>
            <w:tcW w:w="1559"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1FE38A18">
            <w:pPr>
              <w:snapToGrid w:val="0"/>
              <w:spacing w:line="420" w:lineRule="exact"/>
              <w:rPr>
                <w:rFonts w:ascii="宋体" w:cs="宋体"/>
                <w:color w:val="auto"/>
                <w:kern w:val="0"/>
                <w:sz w:val="30"/>
                <w:szCs w:val="20"/>
                <w:highlight w:val="none"/>
              </w:rPr>
            </w:pPr>
          </w:p>
        </w:tc>
      </w:tr>
    </w:tbl>
    <w:p w14:paraId="58F678A5">
      <w:pPr>
        <w:pStyle w:val="229"/>
        <w:rPr>
          <w:color w:val="auto"/>
          <w:highlight w:val="none"/>
        </w:rPr>
      </w:pPr>
      <w:r>
        <w:rPr>
          <w:rFonts w:hint="eastAsia"/>
          <w:color w:val="auto"/>
          <w:highlight w:val="none"/>
        </w:rPr>
        <w:br w:type="page"/>
      </w:r>
      <w:r>
        <w:rPr>
          <w:rFonts w:hint="eastAsia"/>
          <w:color w:val="auto"/>
          <w:highlight w:val="none"/>
        </w:rPr>
        <w:t>附件2：</w:t>
      </w:r>
    </w:p>
    <w:p w14:paraId="027F2CFC">
      <w:pPr>
        <w:pStyle w:val="229"/>
        <w:ind w:firstLine="422"/>
        <w:jc w:val="center"/>
        <w:rPr>
          <w:b/>
          <w:bCs/>
          <w:color w:val="auto"/>
          <w:highlight w:val="none"/>
        </w:rPr>
      </w:pPr>
      <w:r>
        <w:rPr>
          <w:rFonts w:hint="eastAsia"/>
          <w:b/>
          <w:bCs/>
          <w:color w:val="auto"/>
          <w:highlight w:val="none"/>
        </w:rPr>
        <w:t>发包人供应材料设备一览表</w:t>
      </w:r>
    </w:p>
    <w:tbl>
      <w:tblPr>
        <w:tblStyle w:val="46"/>
        <w:tblW w:w="10227"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074"/>
        <w:gridCol w:w="930"/>
      </w:tblGrid>
      <w:tr w14:paraId="3E2124C7">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63ED6742">
            <w:pPr>
              <w:pStyle w:val="229"/>
              <w:ind w:firstLine="0" w:firstLineChars="0"/>
              <w:jc w:val="center"/>
              <w:rPr>
                <w:color w:val="auto"/>
                <w:highlight w:val="none"/>
              </w:rPr>
            </w:pPr>
            <w:r>
              <w:rPr>
                <w:rFonts w:hint="eastAsia"/>
                <w:color w:val="auto"/>
                <w:highlight w:val="none"/>
              </w:rPr>
              <w:t>序号</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59F3329">
            <w:pPr>
              <w:pStyle w:val="229"/>
              <w:ind w:firstLine="0" w:firstLineChars="0"/>
              <w:jc w:val="center"/>
              <w:rPr>
                <w:color w:val="auto"/>
                <w:highlight w:val="none"/>
              </w:rPr>
            </w:pPr>
            <w:r>
              <w:rPr>
                <w:rFonts w:hint="eastAsia"/>
                <w:color w:val="auto"/>
                <w:highlight w:val="none"/>
              </w:rPr>
              <w:t>材料、设备品种</w:t>
            </w:r>
          </w:p>
        </w:tc>
        <w:tc>
          <w:tcPr>
            <w:tcW w:w="1418"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677A70C0">
            <w:pPr>
              <w:pStyle w:val="229"/>
              <w:ind w:firstLine="0" w:firstLineChars="0"/>
              <w:jc w:val="center"/>
              <w:rPr>
                <w:color w:val="auto"/>
                <w:highlight w:val="none"/>
              </w:rPr>
            </w:pPr>
            <w:r>
              <w:rPr>
                <w:rFonts w:hint="eastAsia"/>
                <w:color w:val="auto"/>
                <w:highlight w:val="none"/>
              </w:rPr>
              <w:t>规格型号</w:t>
            </w:r>
          </w:p>
        </w:tc>
        <w:tc>
          <w:tcPr>
            <w:tcW w:w="9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F44732E">
            <w:pPr>
              <w:pStyle w:val="229"/>
              <w:ind w:firstLine="0" w:firstLineChars="0"/>
              <w:jc w:val="center"/>
              <w:rPr>
                <w:color w:val="auto"/>
                <w:highlight w:val="none"/>
              </w:rPr>
            </w:pPr>
            <w:r>
              <w:rPr>
                <w:rFonts w:hint="eastAsia"/>
                <w:color w:val="auto"/>
                <w:highlight w:val="none"/>
              </w:rPr>
              <w:t>单位</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60038819">
            <w:pPr>
              <w:pStyle w:val="229"/>
              <w:ind w:firstLine="0" w:firstLineChars="0"/>
              <w:jc w:val="center"/>
              <w:rPr>
                <w:color w:val="auto"/>
                <w:highlight w:val="none"/>
              </w:rPr>
            </w:pPr>
            <w:r>
              <w:rPr>
                <w:rFonts w:hint="eastAsia"/>
                <w:color w:val="auto"/>
                <w:highlight w:val="none"/>
              </w:rPr>
              <w:t>数量</w:t>
            </w:r>
          </w:p>
        </w:tc>
        <w:tc>
          <w:tcPr>
            <w:tcW w:w="104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288FF80">
            <w:pPr>
              <w:pStyle w:val="229"/>
              <w:ind w:firstLine="0" w:firstLineChars="0"/>
              <w:jc w:val="center"/>
              <w:rPr>
                <w:color w:val="auto"/>
                <w:highlight w:val="none"/>
              </w:rPr>
            </w:pPr>
            <w:r>
              <w:rPr>
                <w:rFonts w:hint="eastAsia"/>
                <w:color w:val="auto"/>
                <w:highlight w:val="none"/>
              </w:rPr>
              <w:t>单价（元）</w:t>
            </w:r>
          </w:p>
        </w:tc>
        <w:tc>
          <w:tcPr>
            <w:tcW w:w="992"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CBE91DD">
            <w:pPr>
              <w:pStyle w:val="229"/>
              <w:ind w:firstLine="0" w:firstLineChars="0"/>
              <w:jc w:val="center"/>
              <w:rPr>
                <w:color w:val="auto"/>
                <w:highlight w:val="none"/>
              </w:rPr>
            </w:pPr>
            <w:r>
              <w:rPr>
                <w:rFonts w:hint="eastAsia"/>
                <w:color w:val="auto"/>
                <w:highlight w:val="none"/>
              </w:rPr>
              <w:t>质量等级</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5EEA641">
            <w:pPr>
              <w:pStyle w:val="229"/>
              <w:ind w:firstLine="0" w:firstLineChars="0"/>
              <w:jc w:val="center"/>
              <w:rPr>
                <w:color w:val="auto"/>
                <w:highlight w:val="none"/>
              </w:rPr>
            </w:pPr>
            <w:r>
              <w:rPr>
                <w:rFonts w:hint="eastAsia"/>
                <w:color w:val="auto"/>
                <w:highlight w:val="none"/>
              </w:rPr>
              <w:t>供应时间</w:t>
            </w:r>
          </w:p>
        </w:tc>
        <w:tc>
          <w:tcPr>
            <w:tcW w:w="107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F6CC35B">
            <w:pPr>
              <w:pStyle w:val="229"/>
              <w:ind w:firstLine="0" w:firstLineChars="0"/>
              <w:jc w:val="center"/>
              <w:rPr>
                <w:color w:val="auto"/>
                <w:highlight w:val="none"/>
              </w:rPr>
            </w:pPr>
            <w:r>
              <w:rPr>
                <w:rFonts w:hint="eastAsia"/>
                <w:color w:val="auto"/>
                <w:highlight w:val="none"/>
              </w:rPr>
              <w:t>送达地点</w:t>
            </w:r>
          </w:p>
        </w:tc>
        <w:tc>
          <w:tcPr>
            <w:tcW w:w="930"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0A8F7FA9">
            <w:pPr>
              <w:pStyle w:val="229"/>
              <w:ind w:firstLine="0" w:firstLineChars="0"/>
              <w:jc w:val="center"/>
              <w:rPr>
                <w:color w:val="auto"/>
                <w:highlight w:val="none"/>
              </w:rPr>
            </w:pPr>
            <w:r>
              <w:rPr>
                <w:rFonts w:hint="eastAsia"/>
                <w:color w:val="auto"/>
                <w:highlight w:val="none"/>
              </w:rPr>
              <w:t>备注</w:t>
            </w:r>
          </w:p>
        </w:tc>
      </w:tr>
      <w:tr w14:paraId="20257A7E">
        <w:tblPrEx>
          <w:tblCellMar>
            <w:top w:w="0" w:type="dxa"/>
            <w:left w:w="0" w:type="dxa"/>
            <w:bottom w:w="0" w:type="dxa"/>
            <w:right w:w="0" w:type="dxa"/>
          </w:tblCellMar>
        </w:tblPrEx>
        <w:trPr>
          <w:trHeight w:val="567" w:hRule="atLeast"/>
          <w:jc w:val="center"/>
        </w:trPr>
        <w:tc>
          <w:tcPr>
            <w:tcW w:w="851"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88CAA7B">
            <w:pPr>
              <w:pStyle w:val="229"/>
              <w:ind w:firstLine="0" w:firstLineChars="0"/>
              <w:jc w:val="center"/>
              <w:rPr>
                <w:color w:val="auto"/>
                <w:highlight w:val="none"/>
              </w:rPr>
            </w:pPr>
            <w:r>
              <w:rPr>
                <w:rFonts w:hint="eastAsia"/>
                <w:color w:val="auto"/>
                <w:highlight w:val="none"/>
              </w:rPr>
              <w:t>无</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74EF66">
            <w:pPr>
              <w:pStyle w:val="229"/>
              <w:ind w:firstLine="0" w:firstLineChars="0"/>
              <w:jc w:val="center"/>
              <w:rPr>
                <w:color w:val="auto"/>
                <w:highlight w:val="none"/>
              </w:rPr>
            </w:pPr>
            <w:r>
              <w:rPr>
                <w:rFonts w:hint="eastAsia"/>
                <w:color w:val="auto"/>
                <w:highlight w:val="none"/>
              </w:rPr>
              <w:t>无</w:t>
            </w:r>
          </w:p>
        </w:tc>
        <w:tc>
          <w:tcPr>
            <w:tcW w:w="1418"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C10F72C">
            <w:pPr>
              <w:pStyle w:val="229"/>
              <w:ind w:firstLine="0" w:firstLineChars="0"/>
              <w:jc w:val="center"/>
              <w:rPr>
                <w:color w:val="auto"/>
                <w:highlight w:val="none"/>
              </w:rPr>
            </w:pPr>
            <w:r>
              <w:rPr>
                <w:rFonts w:hint="eastAsia"/>
                <w:color w:val="auto"/>
                <w:highlight w:val="none"/>
              </w:rPr>
              <w:t>无</w:t>
            </w:r>
          </w:p>
        </w:tc>
        <w:tc>
          <w:tcPr>
            <w:tcW w:w="9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1E701AB">
            <w:pPr>
              <w:pStyle w:val="229"/>
              <w:ind w:firstLine="0" w:firstLineChars="0"/>
              <w:jc w:val="center"/>
              <w:rPr>
                <w:color w:val="auto"/>
                <w:highlight w:val="none"/>
              </w:rPr>
            </w:pPr>
            <w:r>
              <w:rPr>
                <w:rFonts w:hint="eastAsia"/>
                <w:color w:val="auto"/>
                <w:highlight w:val="none"/>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637B6D2">
            <w:pPr>
              <w:pStyle w:val="229"/>
              <w:ind w:firstLine="0" w:firstLineChars="0"/>
              <w:jc w:val="center"/>
              <w:rPr>
                <w:color w:val="auto"/>
                <w:highlight w:val="none"/>
              </w:rPr>
            </w:pPr>
            <w:r>
              <w:rPr>
                <w:rFonts w:hint="eastAsia"/>
                <w:color w:val="auto"/>
                <w:highlight w:val="none"/>
              </w:rPr>
              <w:t>无</w:t>
            </w:r>
          </w:p>
        </w:tc>
        <w:tc>
          <w:tcPr>
            <w:tcW w:w="104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6D4485">
            <w:pPr>
              <w:pStyle w:val="229"/>
              <w:ind w:firstLine="0" w:firstLineChars="0"/>
              <w:jc w:val="center"/>
              <w:rPr>
                <w:color w:val="auto"/>
                <w:highlight w:val="none"/>
              </w:rPr>
            </w:pPr>
            <w:r>
              <w:rPr>
                <w:rFonts w:hint="eastAsia"/>
                <w:color w:val="auto"/>
                <w:highlight w:val="none"/>
              </w:rPr>
              <w:t>无</w:t>
            </w:r>
          </w:p>
        </w:tc>
        <w:tc>
          <w:tcPr>
            <w:tcW w:w="992"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EA95EE">
            <w:pPr>
              <w:pStyle w:val="229"/>
              <w:ind w:firstLine="0" w:firstLineChars="0"/>
              <w:jc w:val="center"/>
              <w:rPr>
                <w:color w:val="auto"/>
                <w:highlight w:val="none"/>
              </w:rPr>
            </w:pPr>
            <w:r>
              <w:rPr>
                <w:rFonts w:hint="eastAsia"/>
                <w:color w:val="auto"/>
                <w:highlight w:val="none"/>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686AFCB">
            <w:pPr>
              <w:pStyle w:val="229"/>
              <w:ind w:firstLine="0" w:firstLineChars="0"/>
              <w:jc w:val="center"/>
              <w:rPr>
                <w:color w:val="auto"/>
                <w:highlight w:val="none"/>
              </w:rPr>
            </w:pPr>
            <w:r>
              <w:rPr>
                <w:rFonts w:hint="eastAsia"/>
                <w:color w:val="auto"/>
                <w:highlight w:val="none"/>
              </w:rPr>
              <w:t>无</w:t>
            </w:r>
          </w:p>
        </w:tc>
        <w:tc>
          <w:tcPr>
            <w:tcW w:w="107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12BA8A">
            <w:pPr>
              <w:pStyle w:val="229"/>
              <w:ind w:firstLine="0" w:firstLineChars="0"/>
              <w:jc w:val="center"/>
              <w:rPr>
                <w:color w:val="auto"/>
                <w:highlight w:val="none"/>
              </w:rPr>
            </w:pPr>
            <w:r>
              <w:rPr>
                <w:rFonts w:hint="eastAsia"/>
                <w:color w:val="auto"/>
                <w:highlight w:val="none"/>
              </w:rPr>
              <w:t>无</w:t>
            </w:r>
          </w:p>
        </w:tc>
        <w:tc>
          <w:tcPr>
            <w:tcW w:w="930"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18B1807">
            <w:pPr>
              <w:pStyle w:val="229"/>
              <w:ind w:firstLine="0" w:firstLineChars="0"/>
              <w:jc w:val="center"/>
              <w:rPr>
                <w:color w:val="auto"/>
                <w:highlight w:val="none"/>
              </w:rPr>
            </w:pPr>
            <w:r>
              <w:rPr>
                <w:rFonts w:hint="eastAsia"/>
                <w:color w:val="auto"/>
                <w:highlight w:val="none"/>
              </w:rPr>
              <w:t>无</w:t>
            </w:r>
          </w:p>
        </w:tc>
      </w:tr>
      <w:tr w14:paraId="02A346C0">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58D90538">
            <w:pPr>
              <w:pStyle w:val="229"/>
              <w:rPr>
                <w:color w:val="auto"/>
                <w:highlight w:val="none"/>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8AA2032">
            <w:pPr>
              <w:pStyle w:val="229"/>
              <w:rPr>
                <w:color w:val="auto"/>
                <w:highlight w:val="none"/>
              </w:rPr>
            </w:pPr>
          </w:p>
        </w:tc>
        <w:tc>
          <w:tcPr>
            <w:tcW w:w="1418"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51A1D263">
            <w:pPr>
              <w:pStyle w:val="229"/>
              <w:rPr>
                <w:color w:val="auto"/>
                <w:highlight w:val="none"/>
              </w:rPr>
            </w:pPr>
          </w:p>
        </w:tc>
        <w:tc>
          <w:tcPr>
            <w:tcW w:w="9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481110F5">
            <w:pPr>
              <w:pStyle w:val="229"/>
              <w:rPr>
                <w:color w:val="auto"/>
                <w:highlight w:val="none"/>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51C45D8C">
            <w:pPr>
              <w:pStyle w:val="229"/>
              <w:rPr>
                <w:color w:val="auto"/>
                <w:highlight w:val="none"/>
              </w:rPr>
            </w:pPr>
          </w:p>
        </w:tc>
        <w:tc>
          <w:tcPr>
            <w:tcW w:w="104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54595D4">
            <w:pPr>
              <w:pStyle w:val="229"/>
              <w:rPr>
                <w:color w:val="auto"/>
                <w:highlight w:val="none"/>
              </w:rPr>
            </w:pPr>
          </w:p>
        </w:tc>
        <w:tc>
          <w:tcPr>
            <w:tcW w:w="992"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991DB48">
            <w:pPr>
              <w:pStyle w:val="229"/>
              <w:rPr>
                <w:color w:val="auto"/>
                <w:highlight w:val="none"/>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3B9616F9">
            <w:pPr>
              <w:pStyle w:val="229"/>
              <w:rPr>
                <w:color w:val="auto"/>
                <w:highlight w:val="none"/>
              </w:rPr>
            </w:pPr>
          </w:p>
        </w:tc>
        <w:tc>
          <w:tcPr>
            <w:tcW w:w="107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7FC22AE">
            <w:pPr>
              <w:pStyle w:val="229"/>
              <w:rPr>
                <w:color w:val="auto"/>
                <w:highlight w:val="none"/>
              </w:rPr>
            </w:pPr>
          </w:p>
        </w:tc>
        <w:tc>
          <w:tcPr>
            <w:tcW w:w="930"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6ECB26FA">
            <w:pPr>
              <w:pStyle w:val="229"/>
              <w:rPr>
                <w:color w:val="auto"/>
                <w:highlight w:val="none"/>
              </w:rPr>
            </w:pPr>
          </w:p>
        </w:tc>
      </w:tr>
      <w:tr w14:paraId="11660AF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CDDE607">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7CE6FD0">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A4642A">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EA384C9">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29F194">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E259D72">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41600CC">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29588B">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C369C71">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61C93FD">
            <w:pPr>
              <w:pStyle w:val="229"/>
              <w:rPr>
                <w:color w:val="auto"/>
                <w:highlight w:val="none"/>
              </w:rPr>
            </w:pPr>
          </w:p>
        </w:tc>
      </w:tr>
      <w:tr w14:paraId="2046929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2C01042">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3C7BFB">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46D3B61">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D8BC0FF">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577B86C">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EAF382">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8C87C3">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410CE5">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8988ADB">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F13A8FC">
            <w:pPr>
              <w:pStyle w:val="229"/>
              <w:rPr>
                <w:color w:val="auto"/>
                <w:highlight w:val="none"/>
              </w:rPr>
            </w:pPr>
          </w:p>
        </w:tc>
      </w:tr>
      <w:tr w14:paraId="613C48F8">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E721919">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39AC0D">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8A2BA3">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CB8FFE8">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3E2C24">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C303825">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0E6BFD4">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F5A006E">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CF62AF">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109D4FA">
            <w:pPr>
              <w:pStyle w:val="229"/>
              <w:rPr>
                <w:color w:val="auto"/>
                <w:highlight w:val="none"/>
              </w:rPr>
            </w:pPr>
          </w:p>
        </w:tc>
      </w:tr>
      <w:tr w14:paraId="1F833ED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0C83D3D">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CE2439E">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F490B46">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0422E1D">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5EFAC10">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A884A8">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9F5F4A4">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B6EF7A">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40DE222">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3A8D86B">
            <w:pPr>
              <w:pStyle w:val="229"/>
              <w:rPr>
                <w:color w:val="auto"/>
                <w:highlight w:val="none"/>
              </w:rPr>
            </w:pPr>
          </w:p>
        </w:tc>
      </w:tr>
      <w:tr w14:paraId="3C1BE7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090E79E7">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674473">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B9A5BB">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17A204">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9AF5E4D">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7C18A90">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6ED80F0">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0787418">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80A8EB0">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7810EB32">
            <w:pPr>
              <w:pStyle w:val="229"/>
              <w:rPr>
                <w:color w:val="auto"/>
                <w:highlight w:val="none"/>
              </w:rPr>
            </w:pPr>
          </w:p>
        </w:tc>
      </w:tr>
      <w:tr w14:paraId="1855009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591FF1B">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F46CB4">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FAEA37">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F81BFF">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C56BB37">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658DB95">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9ECE295">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BD46EC">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568894">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1C25C21">
            <w:pPr>
              <w:pStyle w:val="229"/>
              <w:rPr>
                <w:color w:val="auto"/>
                <w:highlight w:val="none"/>
              </w:rPr>
            </w:pPr>
          </w:p>
        </w:tc>
      </w:tr>
      <w:tr w14:paraId="73923C1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0051102">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D6A23EA">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F08599">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5422443">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75E479">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CAD065">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DA995BF">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DE29F2C">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012C34">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4A09C332">
            <w:pPr>
              <w:pStyle w:val="229"/>
              <w:rPr>
                <w:color w:val="auto"/>
                <w:highlight w:val="none"/>
              </w:rPr>
            </w:pPr>
          </w:p>
        </w:tc>
      </w:tr>
      <w:tr w14:paraId="24CD9BD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C191467">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309499">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C1A1F9">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6FB8FB">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1841C2">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9FA1BF">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0CD003">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D94E2B4">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3C9BE2D">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D919353">
            <w:pPr>
              <w:pStyle w:val="229"/>
              <w:rPr>
                <w:color w:val="auto"/>
                <w:highlight w:val="none"/>
              </w:rPr>
            </w:pPr>
          </w:p>
        </w:tc>
      </w:tr>
      <w:tr w14:paraId="4B2F346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EE13669">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0F16524">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C1C774">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00DA1E2">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6080E6D">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E1E55B3">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CCA6F4B">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1C8415">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0412CA">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79519E34">
            <w:pPr>
              <w:pStyle w:val="229"/>
              <w:rPr>
                <w:color w:val="auto"/>
                <w:highlight w:val="none"/>
              </w:rPr>
            </w:pPr>
          </w:p>
        </w:tc>
      </w:tr>
      <w:tr w14:paraId="6EDEA29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CF9B1C6">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25E3C7">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A02408">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4931F79">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2B3341">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5A3DB2">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FDC3E2">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D509670">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A7F84A">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1ED122A">
            <w:pPr>
              <w:pStyle w:val="229"/>
              <w:rPr>
                <w:color w:val="auto"/>
                <w:highlight w:val="none"/>
              </w:rPr>
            </w:pPr>
          </w:p>
        </w:tc>
      </w:tr>
      <w:tr w14:paraId="49D8002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E101959">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AA968D5">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027BD2C">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911C53">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F85FBD">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F7DA95A">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D6DDC8">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806ED57">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CBF87A">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580819F0">
            <w:pPr>
              <w:pStyle w:val="229"/>
              <w:rPr>
                <w:color w:val="auto"/>
                <w:highlight w:val="none"/>
              </w:rPr>
            </w:pPr>
          </w:p>
        </w:tc>
      </w:tr>
      <w:tr w14:paraId="39080EA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E8B9F14">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D62AF36">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E888A7">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CF46EF">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6E1179C">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453C53E">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CC2A1E2">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C92415">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7A1052">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1D0F9B3">
            <w:pPr>
              <w:pStyle w:val="229"/>
              <w:rPr>
                <w:color w:val="auto"/>
                <w:highlight w:val="none"/>
              </w:rPr>
            </w:pPr>
          </w:p>
        </w:tc>
      </w:tr>
      <w:tr w14:paraId="67214AF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0528346E">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70262A">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752107">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F80E87A">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636F7B">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4B88F62">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7618A4D">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40394CB">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703472">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398C745">
            <w:pPr>
              <w:pStyle w:val="229"/>
              <w:rPr>
                <w:color w:val="auto"/>
                <w:highlight w:val="none"/>
              </w:rPr>
            </w:pPr>
          </w:p>
        </w:tc>
      </w:tr>
      <w:tr w14:paraId="0C4EC78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03463968">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15036E">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93152BB">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43F8A28">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A3D92D">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CCF7979">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E7406E6">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4398DC9">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00FE89">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54318F2E">
            <w:pPr>
              <w:pStyle w:val="229"/>
              <w:rPr>
                <w:color w:val="auto"/>
                <w:highlight w:val="none"/>
              </w:rPr>
            </w:pPr>
          </w:p>
        </w:tc>
      </w:tr>
      <w:tr w14:paraId="1E9075B1">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5487A01">
            <w:pPr>
              <w:pStyle w:val="229"/>
              <w:rPr>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87D3F8D">
            <w:pPr>
              <w:pStyle w:val="229"/>
              <w:rPr>
                <w:color w:val="auto"/>
                <w:highlight w:val="none"/>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7FBA6C4">
            <w:pPr>
              <w:pStyle w:val="229"/>
              <w:rPr>
                <w:color w:val="auto"/>
                <w:highlight w:val="none"/>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397CEE">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7A7420">
            <w:pPr>
              <w:pStyle w:val="229"/>
              <w:rPr>
                <w:color w:val="auto"/>
                <w:highlight w:val="none"/>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C5DC45">
            <w:pPr>
              <w:pStyle w:val="229"/>
              <w:rPr>
                <w:color w:val="auto"/>
                <w:highlight w:val="none"/>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A02B70">
            <w:pPr>
              <w:pStyle w:val="229"/>
              <w:rPr>
                <w:color w:val="auto"/>
                <w:highlight w:val="none"/>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0AF68DD">
            <w:pPr>
              <w:pStyle w:val="229"/>
              <w:rPr>
                <w:color w:val="auto"/>
                <w:highlight w:val="none"/>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56C5D2">
            <w:pPr>
              <w:pStyle w:val="229"/>
              <w:rPr>
                <w:color w:val="auto"/>
                <w:highlight w:val="none"/>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FEFD378">
            <w:pPr>
              <w:pStyle w:val="229"/>
              <w:rPr>
                <w:color w:val="auto"/>
                <w:highlight w:val="none"/>
              </w:rPr>
            </w:pPr>
          </w:p>
        </w:tc>
      </w:tr>
      <w:tr w14:paraId="0CBC99C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12" w:space="0"/>
              <w:right w:val="single" w:color="000000" w:sz="6" w:space="0"/>
            </w:tcBorders>
            <w:tcMar>
              <w:top w:w="0" w:type="dxa"/>
              <w:left w:w="28" w:type="dxa"/>
              <w:bottom w:w="0" w:type="dxa"/>
              <w:right w:w="28" w:type="dxa"/>
            </w:tcMar>
            <w:vAlign w:val="center"/>
          </w:tcPr>
          <w:p w14:paraId="26FFCBA3">
            <w:pPr>
              <w:pStyle w:val="229"/>
              <w:rPr>
                <w:color w:val="auto"/>
                <w:highlight w:val="none"/>
              </w:rPr>
            </w:pPr>
          </w:p>
        </w:tc>
        <w:tc>
          <w:tcPr>
            <w:tcW w:w="1276"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3E33F8DE">
            <w:pPr>
              <w:pStyle w:val="229"/>
              <w:rPr>
                <w:color w:val="auto"/>
                <w:highlight w:val="none"/>
              </w:rPr>
            </w:pPr>
          </w:p>
        </w:tc>
        <w:tc>
          <w:tcPr>
            <w:tcW w:w="1418"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6ADF2F84">
            <w:pPr>
              <w:pStyle w:val="229"/>
              <w:rPr>
                <w:color w:val="auto"/>
                <w:highlight w:val="none"/>
              </w:rPr>
            </w:pPr>
          </w:p>
        </w:tc>
        <w:tc>
          <w:tcPr>
            <w:tcW w:w="940"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0F2ED71D">
            <w:pPr>
              <w:pStyle w:val="229"/>
              <w:rPr>
                <w:color w:val="auto"/>
                <w:highlight w:val="none"/>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2FF2644">
            <w:pPr>
              <w:pStyle w:val="229"/>
              <w:rPr>
                <w:color w:val="auto"/>
                <w:highlight w:val="none"/>
              </w:rPr>
            </w:pPr>
          </w:p>
        </w:tc>
        <w:tc>
          <w:tcPr>
            <w:tcW w:w="104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616BB10E">
            <w:pPr>
              <w:pStyle w:val="229"/>
              <w:rPr>
                <w:color w:val="auto"/>
                <w:highlight w:val="none"/>
              </w:rPr>
            </w:pPr>
          </w:p>
        </w:tc>
        <w:tc>
          <w:tcPr>
            <w:tcW w:w="992"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7B744252">
            <w:pPr>
              <w:pStyle w:val="229"/>
              <w:rPr>
                <w:color w:val="auto"/>
                <w:highlight w:val="none"/>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362134A2">
            <w:pPr>
              <w:pStyle w:val="229"/>
              <w:rPr>
                <w:color w:val="auto"/>
                <w:highlight w:val="none"/>
              </w:rPr>
            </w:pPr>
          </w:p>
        </w:tc>
        <w:tc>
          <w:tcPr>
            <w:tcW w:w="107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32ECF39C">
            <w:pPr>
              <w:pStyle w:val="229"/>
              <w:rPr>
                <w:color w:val="auto"/>
                <w:highlight w:val="none"/>
              </w:rPr>
            </w:pPr>
          </w:p>
        </w:tc>
        <w:tc>
          <w:tcPr>
            <w:tcW w:w="930" w:type="dxa"/>
            <w:tcBorders>
              <w:top w:val="single" w:color="000000" w:sz="6" w:space="0"/>
              <w:left w:val="single" w:color="000000" w:sz="6" w:space="0"/>
              <w:bottom w:val="single" w:color="000000" w:sz="12" w:space="0"/>
              <w:right w:val="single" w:color="000000" w:sz="12" w:space="0"/>
            </w:tcBorders>
            <w:tcMar>
              <w:top w:w="0" w:type="dxa"/>
              <w:left w:w="28" w:type="dxa"/>
              <w:bottom w:w="0" w:type="dxa"/>
              <w:right w:w="28" w:type="dxa"/>
            </w:tcMar>
            <w:vAlign w:val="center"/>
          </w:tcPr>
          <w:p w14:paraId="474A6975">
            <w:pPr>
              <w:pStyle w:val="229"/>
              <w:rPr>
                <w:color w:val="auto"/>
                <w:highlight w:val="none"/>
              </w:rPr>
            </w:pPr>
          </w:p>
        </w:tc>
      </w:tr>
    </w:tbl>
    <w:p w14:paraId="3A642CD4">
      <w:pPr>
        <w:pStyle w:val="229"/>
        <w:rPr>
          <w:color w:val="auto"/>
          <w:highlight w:val="none"/>
        </w:rPr>
      </w:pPr>
    </w:p>
    <w:p w14:paraId="30188A12">
      <w:pPr>
        <w:pStyle w:val="229"/>
        <w:rPr>
          <w:color w:val="auto"/>
          <w:highlight w:val="none"/>
        </w:rPr>
      </w:pPr>
    </w:p>
    <w:p w14:paraId="3875B233">
      <w:pPr>
        <w:pStyle w:val="229"/>
        <w:rPr>
          <w:color w:val="auto"/>
          <w:highlight w:val="none"/>
        </w:rPr>
      </w:pPr>
    </w:p>
    <w:p w14:paraId="16422A51">
      <w:pPr>
        <w:pStyle w:val="229"/>
        <w:rPr>
          <w:color w:val="auto"/>
          <w:highlight w:val="none"/>
        </w:rPr>
        <w:sectPr>
          <w:pgSz w:w="11906" w:h="16838"/>
          <w:pgMar w:top="840" w:right="1006" w:bottom="1440" w:left="1020" w:header="851" w:footer="992" w:gutter="0"/>
          <w:cols w:space="720" w:num="1"/>
          <w:titlePg/>
          <w:docGrid w:type="lines" w:linePitch="312" w:charSpace="0"/>
        </w:sectPr>
      </w:pPr>
    </w:p>
    <w:p w14:paraId="035E2C76">
      <w:pPr>
        <w:pStyle w:val="229"/>
        <w:rPr>
          <w:color w:val="auto"/>
          <w:highlight w:val="none"/>
        </w:rPr>
      </w:pPr>
      <w:r>
        <w:rPr>
          <w:rFonts w:hint="eastAsia"/>
          <w:color w:val="auto"/>
          <w:highlight w:val="none"/>
        </w:rPr>
        <w:t xml:space="preserve">附件3：    </w:t>
      </w:r>
    </w:p>
    <w:p w14:paraId="4EDC65D6">
      <w:pPr>
        <w:pStyle w:val="229"/>
        <w:ind w:firstLine="422"/>
        <w:jc w:val="center"/>
        <w:rPr>
          <w:b/>
          <w:bCs/>
          <w:color w:val="auto"/>
          <w:highlight w:val="none"/>
        </w:rPr>
      </w:pPr>
      <w:r>
        <w:rPr>
          <w:rFonts w:hint="eastAsia"/>
          <w:b/>
          <w:bCs/>
          <w:color w:val="auto"/>
          <w:highlight w:val="none"/>
        </w:rPr>
        <w:t>工程质量保修书（房屋建筑工程）</w:t>
      </w:r>
    </w:p>
    <w:p w14:paraId="783B9AB4">
      <w:pPr>
        <w:pStyle w:val="229"/>
        <w:rPr>
          <w:color w:val="auto"/>
          <w:highlight w:val="none"/>
        </w:rPr>
      </w:pPr>
      <w:r>
        <w:rPr>
          <w:rFonts w:hint="eastAsia"/>
          <w:color w:val="auto"/>
          <w:highlight w:val="none"/>
        </w:rPr>
        <w:t xml:space="preserve">发包人（全称）：桂林医科大学          </w:t>
      </w:r>
    </w:p>
    <w:p w14:paraId="21AAF509">
      <w:pPr>
        <w:pStyle w:val="229"/>
        <w:rPr>
          <w:color w:val="auto"/>
          <w:highlight w:val="none"/>
          <w:u w:val="single"/>
        </w:rPr>
      </w:pPr>
      <w:r>
        <w:rPr>
          <w:rFonts w:hint="eastAsia"/>
          <w:color w:val="auto"/>
          <w:highlight w:val="none"/>
        </w:rPr>
        <w:t>承包人（全称）：</w:t>
      </w:r>
      <w:r>
        <w:rPr>
          <w:rFonts w:hint="eastAsia"/>
          <w:color w:val="auto"/>
          <w:highlight w:val="none"/>
          <w:u w:val="single"/>
        </w:rPr>
        <w:t xml:space="preserve">                       </w:t>
      </w:r>
    </w:p>
    <w:p w14:paraId="368727AC">
      <w:pPr>
        <w:pStyle w:val="229"/>
        <w:rPr>
          <w:color w:val="auto"/>
          <w:highlight w:val="none"/>
        </w:rPr>
      </w:pPr>
      <w:r>
        <w:rPr>
          <w:rFonts w:hint="eastAsia"/>
          <w:color w:val="auto"/>
          <w:highlight w:val="none"/>
        </w:rPr>
        <w:t>发包人和承包人根据《中华人民共和国建筑法》和《建设工程质量管理条例》，经协商一致</w:t>
      </w:r>
      <w:r>
        <w:rPr>
          <w:rFonts w:hint="eastAsia"/>
          <w:color w:val="auto"/>
          <w:highlight w:val="none"/>
        </w:rPr>
        <w:t>就</w:t>
      </w:r>
      <w:r>
        <w:rPr>
          <w:rFonts w:hint="eastAsia"/>
          <w:color w:val="auto"/>
          <w:spacing w:val="-5"/>
          <w:highlight w:val="none"/>
          <w:u w:val="single"/>
        </w:rPr>
        <w:t xml:space="preserve">     </w:t>
      </w:r>
      <w:r>
        <w:rPr>
          <w:rFonts w:hint="eastAsia"/>
          <w:b/>
          <w:bCs/>
          <w:color w:val="auto"/>
          <w:highlight w:val="none"/>
          <w:u w:val="single"/>
        </w:rPr>
        <w:t xml:space="preserve">   </w:t>
      </w:r>
      <w:r>
        <w:rPr>
          <w:rFonts w:hint="eastAsia"/>
          <w:color w:val="auto"/>
          <w:highlight w:val="none"/>
        </w:rPr>
        <w:t>（工程全称）签订工程质量保修书。</w:t>
      </w:r>
    </w:p>
    <w:p w14:paraId="7A09BD4F">
      <w:pPr>
        <w:pStyle w:val="229"/>
        <w:rPr>
          <w:color w:val="auto"/>
          <w:highlight w:val="none"/>
        </w:rPr>
      </w:pPr>
      <w:r>
        <w:rPr>
          <w:rFonts w:hint="eastAsia"/>
          <w:color w:val="auto"/>
          <w:highlight w:val="none"/>
        </w:rPr>
        <w:t>一、工程质量保修范围和内容</w:t>
      </w:r>
    </w:p>
    <w:p w14:paraId="62B07902">
      <w:pPr>
        <w:pStyle w:val="229"/>
        <w:rPr>
          <w:color w:val="auto"/>
          <w:highlight w:val="none"/>
        </w:rPr>
      </w:pPr>
      <w:r>
        <w:rPr>
          <w:rFonts w:hint="eastAsia"/>
          <w:color w:val="auto"/>
          <w:highlight w:val="none"/>
        </w:rPr>
        <w:t>承包人在质量保修期内，按照有关法律规定和合同约定，承担工程质量保修责任。</w:t>
      </w:r>
    </w:p>
    <w:p w14:paraId="271F1E91">
      <w:pPr>
        <w:pStyle w:val="229"/>
        <w:rPr>
          <w:color w:val="auto"/>
          <w:highlight w:val="none"/>
        </w:rPr>
      </w:pPr>
      <w:r>
        <w:rPr>
          <w:rFonts w:hint="eastAsia"/>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14:paraId="6FE4562C">
      <w:pPr>
        <w:pStyle w:val="229"/>
        <w:rPr>
          <w:color w:val="auto"/>
          <w:highlight w:val="none"/>
        </w:rPr>
      </w:pPr>
      <w:r>
        <w:rPr>
          <w:rFonts w:hint="eastAsia"/>
          <w:color w:val="auto"/>
          <w:highlight w:val="none"/>
        </w:rPr>
        <w:t>具体保修的内容，双方约定如下： 在承包人承包范围内，属承包人责任造成的工程质量问题，由承包人承担质量保修责任。</w:t>
      </w:r>
    </w:p>
    <w:p w14:paraId="25CACA5A">
      <w:pPr>
        <w:pStyle w:val="229"/>
        <w:rPr>
          <w:color w:val="auto"/>
          <w:highlight w:val="none"/>
        </w:rPr>
      </w:pPr>
      <w:r>
        <w:rPr>
          <w:rFonts w:hint="eastAsia"/>
          <w:color w:val="auto"/>
          <w:highlight w:val="none"/>
        </w:rPr>
        <w:t>二、质量保修期</w:t>
      </w:r>
    </w:p>
    <w:p w14:paraId="6FC1959D">
      <w:pPr>
        <w:pStyle w:val="229"/>
        <w:rPr>
          <w:color w:val="auto"/>
          <w:highlight w:val="none"/>
        </w:rPr>
      </w:pPr>
      <w:r>
        <w:rPr>
          <w:rFonts w:hint="eastAsia"/>
          <w:color w:val="auto"/>
          <w:highlight w:val="none"/>
        </w:rPr>
        <w:t>根据《建设工程质量管理条例》及有关规定，工程的质量保修期如下：</w:t>
      </w:r>
    </w:p>
    <w:p w14:paraId="7095ADB4">
      <w:pPr>
        <w:pStyle w:val="229"/>
        <w:rPr>
          <w:color w:val="auto"/>
          <w:highlight w:val="none"/>
        </w:rPr>
      </w:pPr>
      <w:r>
        <w:rPr>
          <w:rFonts w:hint="eastAsia"/>
          <w:color w:val="auto"/>
          <w:highlight w:val="none"/>
        </w:rPr>
        <w:t>1.地基基础工程和主体结构工程为设计文件规定的工程合理使用年限；</w:t>
      </w:r>
    </w:p>
    <w:p w14:paraId="3935D464">
      <w:pPr>
        <w:pStyle w:val="229"/>
        <w:rPr>
          <w:color w:val="auto"/>
          <w:highlight w:val="none"/>
        </w:rPr>
      </w:pPr>
      <w:r>
        <w:rPr>
          <w:rFonts w:hint="eastAsia"/>
          <w:color w:val="auto"/>
          <w:highlight w:val="none"/>
        </w:rPr>
        <w:t>2.屋面防水工程、有防水要求的卫生间、房间和外墙面的防渗为</w:t>
      </w:r>
      <w:r>
        <w:rPr>
          <w:rFonts w:hint="eastAsia"/>
          <w:color w:val="auto"/>
          <w:highlight w:val="none"/>
          <w:u w:val="single"/>
        </w:rPr>
        <w:t xml:space="preserve">   5  </w:t>
      </w:r>
      <w:r>
        <w:rPr>
          <w:rFonts w:hint="eastAsia"/>
          <w:color w:val="auto"/>
          <w:highlight w:val="none"/>
        </w:rPr>
        <w:t>年；</w:t>
      </w:r>
    </w:p>
    <w:p w14:paraId="6121DFDC">
      <w:pPr>
        <w:pStyle w:val="229"/>
        <w:rPr>
          <w:color w:val="auto"/>
          <w:highlight w:val="none"/>
        </w:rPr>
      </w:pPr>
      <w:r>
        <w:rPr>
          <w:rFonts w:hint="eastAsia"/>
          <w:color w:val="auto"/>
          <w:highlight w:val="none"/>
        </w:rPr>
        <w:t>3.装修工程为</w:t>
      </w:r>
      <w:r>
        <w:rPr>
          <w:rFonts w:hint="eastAsia"/>
          <w:color w:val="auto"/>
          <w:highlight w:val="none"/>
          <w:u w:val="single"/>
        </w:rPr>
        <w:t xml:space="preserve">   2    </w:t>
      </w:r>
      <w:r>
        <w:rPr>
          <w:rFonts w:hint="eastAsia"/>
          <w:color w:val="auto"/>
          <w:highlight w:val="none"/>
        </w:rPr>
        <w:t>年；</w:t>
      </w:r>
    </w:p>
    <w:p w14:paraId="6B95EB76">
      <w:pPr>
        <w:pStyle w:val="229"/>
        <w:rPr>
          <w:color w:val="auto"/>
          <w:highlight w:val="none"/>
        </w:rPr>
      </w:pPr>
      <w:r>
        <w:rPr>
          <w:rFonts w:hint="eastAsia"/>
          <w:color w:val="auto"/>
          <w:highlight w:val="none"/>
        </w:rPr>
        <w:t>4.电气管线、给排水管道、设备安装工程为</w:t>
      </w:r>
      <w:r>
        <w:rPr>
          <w:rFonts w:hint="eastAsia"/>
          <w:color w:val="auto"/>
          <w:highlight w:val="none"/>
          <w:u w:val="single"/>
        </w:rPr>
        <w:t xml:space="preserve">   2   </w:t>
      </w:r>
      <w:r>
        <w:rPr>
          <w:rFonts w:hint="eastAsia"/>
          <w:color w:val="auto"/>
          <w:highlight w:val="none"/>
        </w:rPr>
        <w:t>年；</w:t>
      </w:r>
    </w:p>
    <w:p w14:paraId="71770753">
      <w:pPr>
        <w:pStyle w:val="229"/>
        <w:rPr>
          <w:color w:val="auto"/>
          <w:highlight w:val="none"/>
        </w:rPr>
      </w:pPr>
      <w:r>
        <w:rPr>
          <w:rFonts w:hint="eastAsia"/>
          <w:color w:val="auto"/>
          <w:highlight w:val="none"/>
        </w:rPr>
        <w:t>5.供热与供冷系统为</w:t>
      </w:r>
      <w:r>
        <w:rPr>
          <w:rFonts w:hint="eastAsia"/>
          <w:color w:val="auto"/>
          <w:highlight w:val="none"/>
          <w:u w:val="single"/>
        </w:rPr>
        <w:t xml:space="preserve">   2    </w:t>
      </w:r>
      <w:r>
        <w:rPr>
          <w:rFonts w:hint="eastAsia"/>
          <w:color w:val="auto"/>
          <w:highlight w:val="none"/>
        </w:rPr>
        <w:t>个采暖期、供冷期；</w:t>
      </w:r>
    </w:p>
    <w:p w14:paraId="7E60E5EC">
      <w:pPr>
        <w:pStyle w:val="229"/>
        <w:rPr>
          <w:color w:val="auto"/>
          <w:highlight w:val="none"/>
        </w:rPr>
      </w:pPr>
      <w:r>
        <w:rPr>
          <w:rFonts w:hint="eastAsia"/>
          <w:color w:val="auto"/>
          <w:highlight w:val="none"/>
        </w:rPr>
        <w:t>6.住宅小区内的给排水设施、道路等配套工程为</w:t>
      </w:r>
      <w:r>
        <w:rPr>
          <w:rFonts w:hint="eastAsia"/>
          <w:color w:val="auto"/>
          <w:highlight w:val="none"/>
          <w:u w:val="single"/>
        </w:rPr>
        <w:t xml:space="preserve">   2  </w:t>
      </w:r>
      <w:r>
        <w:rPr>
          <w:rFonts w:hint="eastAsia"/>
          <w:color w:val="auto"/>
          <w:highlight w:val="none"/>
        </w:rPr>
        <w:t>年；</w:t>
      </w:r>
    </w:p>
    <w:p w14:paraId="666188CA">
      <w:pPr>
        <w:pStyle w:val="229"/>
        <w:rPr>
          <w:color w:val="auto"/>
          <w:highlight w:val="none"/>
        </w:rPr>
      </w:pPr>
      <w:r>
        <w:rPr>
          <w:rFonts w:hint="eastAsia"/>
          <w:color w:val="auto"/>
          <w:highlight w:val="none"/>
        </w:rPr>
        <w:t>7.其他项目保修期限约定如下：</w:t>
      </w:r>
      <w:r>
        <w:rPr>
          <w:rFonts w:hint="eastAsia"/>
          <w:color w:val="auto"/>
          <w:highlight w:val="none"/>
          <w:u w:val="single"/>
        </w:rPr>
        <w:t xml:space="preserve"> 执行国家相关规定    。</w:t>
      </w:r>
    </w:p>
    <w:p w14:paraId="46C9A98A">
      <w:pPr>
        <w:pStyle w:val="229"/>
        <w:rPr>
          <w:color w:val="auto"/>
          <w:highlight w:val="none"/>
        </w:rPr>
      </w:pPr>
      <w:r>
        <w:rPr>
          <w:rFonts w:hint="eastAsia"/>
          <w:color w:val="auto"/>
          <w:highlight w:val="none"/>
        </w:rPr>
        <w:t>质量保修期自工程竣工验收合格之日起计算。</w:t>
      </w:r>
    </w:p>
    <w:p w14:paraId="4179EC26">
      <w:pPr>
        <w:pStyle w:val="229"/>
        <w:rPr>
          <w:color w:val="auto"/>
          <w:highlight w:val="none"/>
        </w:rPr>
      </w:pPr>
      <w:r>
        <w:rPr>
          <w:rFonts w:hint="eastAsia"/>
          <w:color w:val="auto"/>
          <w:highlight w:val="none"/>
        </w:rPr>
        <w:t>三、缺陷责任期</w:t>
      </w:r>
    </w:p>
    <w:p w14:paraId="7D653F8C">
      <w:pPr>
        <w:pStyle w:val="229"/>
        <w:rPr>
          <w:color w:val="auto"/>
          <w:highlight w:val="none"/>
        </w:rPr>
      </w:pPr>
      <w:r>
        <w:rPr>
          <w:rFonts w:hint="eastAsia"/>
          <w:color w:val="auto"/>
          <w:highlight w:val="none"/>
        </w:rPr>
        <w:t>工程缺陷责任期为</w:t>
      </w:r>
      <w:r>
        <w:rPr>
          <w:rFonts w:hint="eastAsia"/>
          <w:color w:val="auto"/>
          <w:highlight w:val="none"/>
          <w:u w:val="single"/>
        </w:rPr>
        <w:t xml:space="preserve">  24  </w:t>
      </w:r>
      <w:r>
        <w:rPr>
          <w:rFonts w:hint="eastAsia"/>
          <w:color w:val="auto"/>
          <w:highlight w:val="none"/>
        </w:rPr>
        <w:t>个月（最长不超过24个月），缺陷责任期自工程竣工验收合格之日起计算。单位工程先于全部工程进行验收，单位工程缺陷责任期自单位工程验收合格之日起算。</w:t>
      </w:r>
    </w:p>
    <w:p w14:paraId="3043E495">
      <w:pPr>
        <w:pStyle w:val="229"/>
        <w:rPr>
          <w:color w:val="auto"/>
          <w:highlight w:val="none"/>
        </w:rPr>
      </w:pPr>
      <w:r>
        <w:rPr>
          <w:rFonts w:hint="eastAsia"/>
          <w:color w:val="auto"/>
          <w:highlight w:val="none"/>
        </w:rPr>
        <w:t>缺陷责任期终止后，发包人应退还剩余的质量保证金。</w:t>
      </w:r>
    </w:p>
    <w:p w14:paraId="37A4F262">
      <w:pPr>
        <w:pStyle w:val="229"/>
        <w:rPr>
          <w:color w:val="auto"/>
          <w:highlight w:val="none"/>
        </w:rPr>
      </w:pPr>
      <w:r>
        <w:rPr>
          <w:rFonts w:hint="eastAsia"/>
          <w:color w:val="auto"/>
          <w:highlight w:val="none"/>
        </w:rPr>
        <w:t>四、质量保修责任</w:t>
      </w:r>
    </w:p>
    <w:p w14:paraId="4DF373AA">
      <w:pPr>
        <w:pStyle w:val="229"/>
        <w:rPr>
          <w:color w:val="auto"/>
          <w:highlight w:val="none"/>
        </w:rPr>
      </w:pPr>
      <w:r>
        <w:rPr>
          <w:rFonts w:hint="eastAsia"/>
          <w:color w:val="auto"/>
          <w:highlight w:val="none"/>
        </w:rPr>
        <w:t>1.属于保修范围、内容的项目，承包人应当在接到保修通知之日起 7 天内派人保修。承包人不在约定期限内派人保修的，发包人可以委托他人修理。</w:t>
      </w:r>
    </w:p>
    <w:p w14:paraId="0FA92757">
      <w:pPr>
        <w:pStyle w:val="229"/>
        <w:rPr>
          <w:color w:val="auto"/>
          <w:highlight w:val="none"/>
        </w:rPr>
      </w:pPr>
      <w:r>
        <w:rPr>
          <w:rFonts w:hint="eastAsia"/>
          <w:color w:val="auto"/>
          <w:highlight w:val="none"/>
        </w:rPr>
        <w:t xml:space="preserve">2.发生紧急事故需抢修的，承包人在接到事故通知后，应当立即到达事故现场抢修。 </w:t>
      </w:r>
    </w:p>
    <w:p w14:paraId="6756DB44">
      <w:pPr>
        <w:pStyle w:val="229"/>
        <w:rPr>
          <w:color w:val="auto"/>
          <w:highlight w:val="none"/>
        </w:rPr>
      </w:pPr>
      <w:r>
        <w:rPr>
          <w:rFonts w:hint="eastAsia"/>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color w:val="auto"/>
          <w:highlight w:val="none"/>
          <w:lang w:eastAsia="zh-CN"/>
        </w:rPr>
        <w:t>，由</w:t>
      </w:r>
      <w:r>
        <w:rPr>
          <w:rFonts w:hint="eastAsia"/>
          <w:color w:val="auto"/>
          <w:highlight w:val="none"/>
        </w:rPr>
        <w:t>承包人实施保修。</w:t>
      </w:r>
    </w:p>
    <w:p w14:paraId="0A26B56B">
      <w:pPr>
        <w:pStyle w:val="229"/>
        <w:rPr>
          <w:color w:val="auto"/>
          <w:highlight w:val="none"/>
        </w:rPr>
      </w:pPr>
      <w:r>
        <w:rPr>
          <w:rFonts w:hint="eastAsia"/>
          <w:color w:val="auto"/>
          <w:highlight w:val="none"/>
        </w:rPr>
        <w:t xml:space="preserve">4.质量保修完成后，由发包人组织验收。 </w:t>
      </w:r>
    </w:p>
    <w:p w14:paraId="0A0A8B10">
      <w:pPr>
        <w:pStyle w:val="229"/>
        <w:rPr>
          <w:color w:val="auto"/>
          <w:highlight w:val="none"/>
        </w:rPr>
      </w:pPr>
      <w:r>
        <w:rPr>
          <w:rFonts w:hint="eastAsia"/>
          <w:color w:val="auto"/>
          <w:highlight w:val="none"/>
        </w:rPr>
        <w:t xml:space="preserve">五、保修费用 </w:t>
      </w:r>
    </w:p>
    <w:p w14:paraId="51859956">
      <w:pPr>
        <w:pStyle w:val="229"/>
        <w:rPr>
          <w:color w:val="auto"/>
          <w:highlight w:val="none"/>
        </w:rPr>
      </w:pPr>
      <w:r>
        <w:rPr>
          <w:rFonts w:hint="eastAsia"/>
          <w:color w:val="auto"/>
          <w:highlight w:val="none"/>
        </w:rPr>
        <w:t xml:space="preserve">保修费用由造成质量缺陷的责任方承担。 </w:t>
      </w:r>
    </w:p>
    <w:p w14:paraId="0D585EBF">
      <w:pPr>
        <w:pStyle w:val="229"/>
        <w:rPr>
          <w:color w:val="auto"/>
          <w:highlight w:val="none"/>
        </w:rPr>
      </w:pPr>
      <w:r>
        <w:rPr>
          <w:rFonts w:hint="eastAsia"/>
          <w:color w:val="auto"/>
          <w:highlight w:val="none"/>
        </w:rPr>
        <w:t xml:space="preserve">六、双方约定的其他工程质量保修事项： </w:t>
      </w:r>
    </w:p>
    <w:p w14:paraId="12378B73">
      <w:pPr>
        <w:pStyle w:val="229"/>
        <w:rPr>
          <w:color w:val="auto"/>
          <w:highlight w:val="none"/>
        </w:rPr>
      </w:pPr>
      <w:r>
        <w:rPr>
          <w:rFonts w:hint="eastAsia"/>
          <w:color w:val="auto"/>
          <w:highlight w:val="none"/>
        </w:rPr>
        <w:t xml:space="preserve">双方约定的其他工程质量保修事项：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金额的部分，承包人应当在接到缴款通知书之日起 7 日内付清，否则按应缴款额的 2‰/日向发包人支付违约金。在扣除承包人应支付的违约金和维修费用后，发包人在缺陷责任期满2年后 14 个工作日内无息退还质量保证金。每次退还质量保证金前，承包人须向发包人书面申请退还质量保证金验收，按相关规定验收合格后方可拨付。 </w:t>
      </w:r>
    </w:p>
    <w:p w14:paraId="77ED67E2">
      <w:pPr>
        <w:pStyle w:val="229"/>
        <w:rPr>
          <w:color w:val="auto"/>
          <w:highlight w:val="none"/>
        </w:rPr>
      </w:pPr>
      <w:r>
        <w:rPr>
          <w:rFonts w:hint="eastAsia"/>
          <w:color w:val="auto"/>
          <w:highlight w:val="none"/>
        </w:rPr>
        <w:t>承包人未按照法律法规有关规定和合同约定履行质量保修义务的，发包人有权从质量保证金中扣留用于质量保修的各项支出。质量保证金的退还并不代表免除承包人的相关责任。</w:t>
      </w:r>
    </w:p>
    <w:p w14:paraId="69B73047">
      <w:pPr>
        <w:pStyle w:val="229"/>
        <w:rPr>
          <w:color w:val="auto"/>
          <w:highlight w:val="none"/>
        </w:rPr>
      </w:pPr>
      <w:r>
        <w:rPr>
          <w:rFonts w:hint="eastAsia"/>
          <w:color w:val="auto"/>
          <w:highlight w:val="none"/>
        </w:rPr>
        <w:t>工程质量保修书由发包人、承包人在工程竣工验收前共同签署，作为施工合同附件，其有效期限至保修期满。</w:t>
      </w:r>
    </w:p>
    <w:p w14:paraId="33C3F247">
      <w:pPr>
        <w:pStyle w:val="229"/>
        <w:rPr>
          <w:color w:val="auto"/>
          <w:highlight w:val="none"/>
        </w:rPr>
      </w:pPr>
      <w:r>
        <w:rPr>
          <w:rFonts w:hint="eastAsia"/>
          <w:color w:val="auto"/>
          <w:highlight w:val="none"/>
        </w:rPr>
        <w:t>消防工程缺陷责任期从行政主管部门审批同意消防验收通过之日起算。承包人应在工程缺陷责任期到期前三个月，向发包人提出退费申请，经发包人确认后，待工程缺陷责任期期满后方可退还质保金。承包人未按规定时间提出验收申请的，责任自负。</w:t>
      </w:r>
    </w:p>
    <w:p w14:paraId="7F326980">
      <w:pPr>
        <w:pStyle w:val="229"/>
        <w:rPr>
          <w:color w:val="auto"/>
          <w:highlight w:val="none"/>
        </w:rPr>
      </w:pPr>
    </w:p>
    <w:p w14:paraId="4C06604A">
      <w:pPr>
        <w:pStyle w:val="229"/>
        <w:rPr>
          <w:color w:val="auto"/>
          <w:highlight w:val="none"/>
        </w:rPr>
      </w:pPr>
    </w:p>
    <w:p w14:paraId="2BA8DC6A">
      <w:pPr>
        <w:spacing w:line="400" w:lineRule="exact"/>
        <w:rPr>
          <w:rFonts w:ascii="宋体" w:cs="宋体"/>
          <w:color w:val="auto"/>
          <w:highlight w:val="none"/>
        </w:rPr>
      </w:pPr>
      <w:r>
        <w:rPr>
          <w:rFonts w:hint="eastAsia" w:ascii="宋体" w:hAnsi="宋体" w:cs="宋体"/>
          <w:color w:val="auto"/>
          <w:highlight w:val="none"/>
        </w:rPr>
        <w:t>发包人（公章）：</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承包人（公章）：</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p>
    <w:p w14:paraId="081C86B5">
      <w:pPr>
        <w:spacing w:line="400" w:lineRule="exact"/>
        <w:rPr>
          <w:rFonts w:ascii="宋体" w:cs="宋体"/>
          <w:color w:val="auto"/>
          <w:sz w:val="28"/>
          <w:szCs w:val="28"/>
          <w:highlight w:val="none"/>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p>
    <w:p w14:paraId="49688A12">
      <w:pPr>
        <w:spacing w:line="400" w:lineRule="exact"/>
        <w:rPr>
          <w:rFonts w:asci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法定代表人（签字或盖章）：</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4A85B6D8">
      <w:pPr>
        <w:spacing w:line="400" w:lineRule="exact"/>
        <w:rPr>
          <w:rFonts w:asci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w:t>
      </w:r>
      <w:r>
        <w:rPr>
          <w:rFonts w:ascii="宋体" w:hAnsi="宋体" w:cs="宋体"/>
          <w:color w:val="auto"/>
          <w:highlight w:val="none"/>
        </w:rPr>
        <w:t xml:space="preserve">            </w:t>
      </w: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06C4624D">
      <w:pPr>
        <w:spacing w:line="400" w:lineRule="exact"/>
        <w:rPr>
          <w:rFonts w:ascii="宋体" w:cs="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w:t>
      </w:r>
    </w:p>
    <w:p w14:paraId="36FBD1AE">
      <w:pPr>
        <w:snapToGrid w:val="0"/>
        <w:spacing w:line="440" w:lineRule="exact"/>
        <w:rPr>
          <w:rFonts w:ascii="宋体" w:cs="宋体"/>
          <w:bCs/>
          <w:color w:val="auto"/>
          <w:sz w:val="24"/>
          <w:highlight w:val="none"/>
          <w:u w:val="single"/>
        </w:rPr>
      </w:pPr>
      <w:r>
        <w:rPr>
          <w:rFonts w:hint="eastAsia" w:ascii="宋体" w:hAnsi="宋体" w:cs="宋体"/>
          <w:color w:val="auto"/>
          <w:highlight w:val="none"/>
        </w:rPr>
        <w:t>开户银行：</w:t>
      </w:r>
      <w:r>
        <w:rPr>
          <w:rFonts w:ascii="宋体" w:hAnsi="宋体" w:cs="宋体"/>
          <w:color w:val="auto"/>
          <w:highlight w:val="none"/>
          <w:u w:val="single"/>
        </w:rPr>
        <w:t xml:space="preserve"> </w:t>
      </w:r>
      <w:r>
        <w:rPr>
          <w:rFonts w:hint="eastAsia" w:ascii="宋体" w:hAnsi="宋体" w:cs="宋体"/>
          <w:color w:val="auto"/>
          <w:kern w:val="0"/>
          <w:szCs w:val="20"/>
          <w:highlight w:val="none"/>
          <w:u w:val="single"/>
        </w:rPr>
        <w:t xml:space="preserve">                       </w:t>
      </w:r>
      <w:r>
        <w:rPr>
          <w:rFonts w:ascii="宋体" w:hAnsi="宋体" w:cs="宋体"/>
          <w:color w:val="auto"/>
          <w:highlight w:val="none"/>
        </w:rPr>
        <w:t xml:space="preserve">        </w:t>
      </w:r>
      <w:r>
        <w:rPr>
          <w:rFonts w:hint="eastAsia" w:ascii="宋体" w:hAnsi="宋体" w:cs="宋体"/>
          <w:color w:val="auto"/>
          <w:sz w:val="24"/>
          <w:highlight w:val="none"/>
        </w:rPr>
        <w:t>开户银行：</w:t>
      </w:r>
      <w:r>
        <w:rPr>
          <w:rFonts w:hint="eastAsia"/>
          <w:color w:val="auto"/>
          <w:highlight w:val="none"/>
          <w:u w:val="single"/>
        </w:rPr>
        <w:t xml:space="preserve">                             </w:t>
      </w:r>
    </w:p>
    <w:p w14:paraId="75A7D268">
      <w:pPr>
        <w:spacing w:line="440" w:lineRule="exact"/>
        <w:rPr>
          <w:rFonts w:ascii="宋体" w:cs="宋体"/>
          <w:color w:val="auto"/>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hint="eastAsia"/>
          <w:color w:val="auto"/>
          <w:highlight w:val="none"/>
          <w:u w:val="single"/>
        </w:rPr>
        <w:t xml:space="preserve">                               </w:t>
      </w:r>
      <w:r>
        <w:rPr>
          <w:color w:val="auto"/>
          <w:highlight w:val="none"/>
          <w:u w:val="single"/>
        </w:rPr>
        <w:t xml:space="preserve"> </w:t>
      </w:r>
    </w:p>
    <w:p w14:paraId="423FC396">
      <w:pPr>
        <w:spacing w:line="440" w:lineRule="exact"/>
        <w:rPr>
          <w:rFonts w:ascii="宋体" w:cs="宋体"/>
          <w:color w:val="auto"/>
          <w:sz w:val="30"/>
          <w:szCs w:val="30"/>
          <w:highlight w:val="none"/>
        </w:rPr>
        <w:sectPr>
          <w:pgSz w:w="11906" w:h="16838"/>
          <w:pgMar w:top="840" w:right="1006" w:bottom="1440" w:left="1020" w:header="851" w:footer="992" w:gutter="0"/>
          <w:cols w:space="720" w:num="1"/>
          <w:titlePg/>
          <w:docGrid w:type="lines" w:linePitch="312" w:charSpace="0"/>
        </w:sectPr>
      </w:pPr>
      <w:r>
        <w:rPr>
          <w:rFonts w:hint="eastAsia" w:ascii="宋体" w:hAnsi="宋体" w:cs="宋体"/>
          <w:color w:val="auto"/>
          <w:highlight w:val="none"/>
        </w:rPr>
        <w:t>邮政编码：</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sz w:val="28"/>
          <w:szCs w:val="28"/>
          <w:highlight w:val="none"/>
          <w:u w:val="single"/>
        </w:rPr>
        <w:t></w:t>
      </w:r>
    </w:p>
    <w:p w14:paraId="233F293C">
      <w:pPr>
        <w:pStyle w:val="229"/>
        <w:rPr>
          <w:color w:val="auto"/>
          <w:highlight w:val="none"/>
        </w:rPr>
      </w:pPr>
      <w:r>
        <w:rPr>
          <w:rFonts w:hint="eastAsia"/>
          <w:color w:val="auto"/>
          <w:highlight w:val="none"/>
        </w:rPr>
        <w:t>附件4：</w:t>
      </w:r>
    </w:p>
    <w:p w14:paraId="491DB12C">
      <w:pPr>
        <w:pStyle w:val="229"/>
        <w:ind w:firstLine="562"/>
        <w:jc w:val="center"/>
        <w:rPr>
          <w:b/>
          <w:bCs/>
          <w:color w:val="auto"/>
          <w:sz w:val="28"/>
          <w:szCs w:val="28"/>
          <w:highlight w:val="none"/>
        </w:rPr>
      </w:pPr>
      <w:r>
        <w:rPr>
          <w:rFonts w:hint="eastAsia"/>
          <w:b/>
          <w:bCs/>
          <w:color w:val="auto"/>
          <w:sz w:val="28"/>
          <w:szCs w:val="28"/>
          <w:highlight w:val="none"/>
        </w:rPr>
        <w:t>主要建设工程文件目录</w:t>
      </w:r>
    </w:p>
    <w:tbl>
      <w:tblPr>
        <w:tblStyle w:val="46"/>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60"/>
        <w:gridCol w:w="1070"/>
        <w:gridCol w:w="1454"/>
        <w:gridCol w:w="1247"/>
        <w:gridCol w:w="1454"/>
        <w:gridCol w:w="1569"/>
      </w:tblGrid>
      <w:tr w14:paraId="16B8A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322BEAD">
            <w:pPr>
              <w:pStyle w:val="229"/>
              <w:ind w:firstLine="0" w:firstLineChars="0"/>
              <w:jc w:val="center"/>
              <w:rPr>
                <w:color w:val="auto"/>
                <w:highlight w:val="none"/>
              </w:rPr>
            </w:pPr>
            <w:r>
              <w:rPr>
                <w:rFonts w:hint="eastAsia"/>
                <w:color w:val="auto"/>
                <w:highlight w:val="none"/>
              </w:rPr>
              <w:t>文件名称</w:t>
            </w:r>
          </w:p>
        </w:tc>
        <w:tc>
          <w:tcPr>
            <w:tcW w:w="1067" w:type="dxa"/>
            <w:tcBorders>
              <w:top w:val="single" w:color="auto" w:sz="12" w:space="0"/>
              <w:bottom w:val="double" w:color="auto" w:sz="6" w:space="0"/>
            </w:tcBorders>
            <w:vAlign w:val="center"/>
          </w:tcPr>
          <w:p w14:paraId="36F9B695">
            <w:pPr>
              <w:pStyle w:val="229"/>
              <w:ind w:firstLine="0" w:firstLineChars="0"/>
              <w:jc w:val="center"/>
              <w:rPr>
                <w:color w:val="auto"/>
                <w:highlight w:val="none"/>
              </w:rPr>
            </w:pPr>
            <w:r>
              <w:rPr>
                <w:rFonts w:hint="eastAsia"/>
                <w:color w:val="auto"/>
                <w:highlight w:val="none"/>
              </w:rPr>
              <w:t>套数</w:t>
            </w:r>
          </w:p>
        </w:tc>
        <w:tc>
          <w:tcPr>
            <w:tcW w:w="1450" w:type="dxa"/>
            <w:tcBorders>
              <w:top w:val="single" w:color="auto" w:sz="12" w:space="0"/>
              <w:bottom w:val="double" w:color="auto" w:sz="6" w:space="0"/>
            </w:tcBorders>
            <w:vAlign w:val="center"/>
          </w:tcPr>
          <w:p w14:paraId="24DE53C3">
            <w:pPr>
              <w:pStyle w:val="229"/>
              <w:ind w:firstLine="0" w:firstLineChars="0"/>
              <w:jc w:val="center"/>
              <w:rPr>
                <w:color w:val="auto"/>
                <w:highlight w:val="none"/>
              </w:rPr>
            </w:pPr>
            <w:r>
              <w:rPr>
                <w:rFonts w:hint="eastAsia"/>
                <w:color w:val="auto"/>
                <w:highlight w:val="none"/>
              </w:rPr>
              <w:t>费用（元）</w:t>
            </w:r>
          </w:p>
        </w:tc>
        <w:tc>
          <w:tcPr>
            <w:tcW w:w="1243" w:type="dxa"/>
            <w:tcBorders>
              <w:top w:val="single" w:color="auto" w:sz="12" w:space="0"/>
              <w:bottom w:val="double" w:color="auto" w:sz="6" w:space="0"/>
            </w:tcBorders>
            <w:vAlign w:val="center"/>
          </w:tcPr>
          <w:p w14:paraId="00402D52">
            <w:pPr>
              <w:pStyle w:val="229"/>
              <w:ind w:firstLine="0" w:firstLineChars="0"/>
              <w:jc w:val="center"/>
              <w:rPr>
                <w:color w:val="auto"/>
                <w:highlight w:val="none"/>
              </w:rPr>
            </w:pPr>
            <w:r>
              <w:rPr>
                <w:rFonts w:hint="eastAsia"/>
                <w:color w:val="auto"/>
                <w:highlight w:val="none"/>
              </w:rPr>
              <w:t>质量</w:t>
            </w:r>
          </w:p>
        </w:tc>
        <w:tc>
          <w:tcPr>
            <w:tcW w:w="1450" w:type="dxa"/>
            <w:tcBorders>
              <w:top w:val="single" w:color="auto" w:sz="12" w:space="0"/>
              <w:bottom w:val="double" w:color="auto" w:sz="6" w:space="0"/>
            </w:tcBorders>
          </w:tcPr>
          <w:p w14:paraId="39174F39">
            <w:pPr>
              <w:pStyle w:val="229"/>
              <w:ind w:firstLine="0" w:firstLineChars="0"/>
              <w:jc w:val="center"/>
              <w:rPr>
                <w:color w:val="auto"/>
                <w:highlight w:val="none"/>
              </w:rPr>
            </w:pPr>
            <w:r>
              <w:rPr>
                <w:rFonts w:hint="eastAsia"/>
                <w:color w:val="auto"/>
                <w:highlight w:val="none"/>
              </w:rPr>
              <w:t>移交时间</w:t>
            </w:r>
          </w:p>
        </w:tc>
        <w:tc>
          <w:tcPr>
            <w:tcW w:w="1564" w:type="dxa"/>
            <w:tcBorders>
              <w:top w:val="single" w:color="auto" w:sz="12" w:space="0"/>
              <w:bottom w:val="double" w:color="auto" w:sz="6" w:space="0"/>
            </w:tcBorders>
          </w:tcPr>
          <w:p w14:paraId="4E470C88">
            <w:pPr>
              <w:pStyle w:val="229"/>
              <w:ind w:firstLine="0" w:firstLineChars="0"/>
              <w:jc w:val="center"/>
              <w:rPr>
                <w:color w:val="auto"/>
                <w:highlight w:val="none"/>
              </w:rPr>
            </w:pPr>
            <w:r>
              <w:rPr>
                <w:rFonts w:hint="eastAsia"/>
                <w:color w:val="auto"/>
                <w:highlight w:val="none"/>
              </w:rPr>
              <w:t>责任人</w:t>
            </w:r>
          </w:p>
        </w:tc>
      </w:tr>
      <w:tr w14:paraId="16BA3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45357F0A">
            <w:pPr>
              <w:pStyle w:val="229"/>
              <w:rPr>
                <w:color w:val="auto"/>
                <w:highlight w:val="none"/>
              </w:rPr>
            </w:pPr>
          </w:p>
        </w:tc>
        <w:tc>
          <w:tcPr>
            <w:tcW w:w="1067" w:type="dxa"/>
            <w:tcBorders>
              <w:top w:val="double" w:color="auto" w:sz="6" w:space="0"/>
            </w:tcBorders>
            <w:vAlign w:val="center"/>
          </w:tcPr>
          <w:p w14:paraId="30576E89">
            <w:pPr>
              <w:pStyle w:val="229"/>
              <w:rPr>
                <w:color w:val="auto"/>
                <w:highlight w:val="none"/>
              </w:rPr>
            </w:pPr>
          </w:p>
        </w:tc>
        <w:tc>
          <w:tcPr>
            <w:tcW w:w="1450" w:type="dxa"/>
            <w:tcBorders>
              <w:top w:val="double" w:color="auto" w:sz="6" w:space="0"/>
            </w:tcBorders>
            <w:vAlign w:val="center"/>
          </w:tcPr>
          <w:p w14:paraId="253857AF">
            <w:pPr>
              <w:pStyle w:val="229"/>
              <w:rPr>
                <w:color w:val="auto"/>
                <w:highlight w:val="none"/>
              </w:rPr>
            </w:pPr>
            <w:r>
              <w:rPr>
                <w:rFonts w:hint="eastAsia"/>
                <w:color w:val="auto"/>
                <w:highlight w:val="none"/>
              </w:rPr>
              <w:t>无</w:t>
            </w:r>
          </w:p>
        </w:tc>
        <w:tc>
          <w:tcPr>
            <w:tcW w:w="1243" w:type="dxa"/>
            <w:tcBorders>
              <w:top w:val="double" w:color="auto" w:sz="6" w:space="0"/>
            </w:tcBorders>
            <w:vAlign w:val="center"/>
          </w:tcPr>
          <w:p w14:paraId="7D88AD36">
            <w:pPr>
              <w:pStyle w:val="229"/>
              <w:rPr>
                <w:color w:val="auto"/>
                <w:highlight w:val="none"/>
              </w:rPr>
            </w:pPr>
          </w:p>
        </w:tc>
        <w:tc>
          <w:tcPr>
            <w:tcW w:w="1450" w:type="dxa"/>
            <w:tcBorders>
              <w:top w:val="double" w:color="auto" w:sz="6" w:space="0"/>
            </w:tcBorders>
            <w:vAlign w:val="center"/>
          </w:tcPr>
          <w:p w14:paraId="7F69EC3F">
            <w:pPr>
              <w:pStyle w:val="229"/>
              <w:rPr>
                <w:color w:val="auto"/>
                <w:highlight w:val="none"/>
              </w:rPr>
            </w:pPr>
          </w:p>
        </w:tc>
        <w:tc>
          <w:tcPr>
            <w:tcW w:w="1564" w:type="dxa"/>
            <w:tcBorders>
              <w:top w:val="double" w:color="auto" w:sz="6" w:space="0"/>
            </w:tcBorders>
            <w:vAlign w:val="center"/>
          </w:tcPr>
          <w:p w14:paraId="1D992201">
            <w:pPr>
              <w:pStyle w:val="229"/>
              <w:rPr>
                <w:color w:val="auto"/>
                <w:highlight w:val="none"/>
              </w:rPr>
            </w:pPr>
          </w:p>
        </w:tc>
      </w:tr>
      <w:tr w14:paraId="7B663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FD996FB">
            <w:pPr>
              <w:pStyle w:val="229"/>
              <w:rPr>
                <w:color w:val="auto"/>
                <w:highlight w:val="none"/>
              </w:rPr>
            </w:pPr>
          </w:p>
        </w:tc>
        <w:tc>
          <w:tcPr>
            <w:tcW w:w="1067" w:type="dxa"/>
            <w:tcBorders>
              <w:top w:val="nil"/>
            </w:tcBorders>
            <w:vAlign w:val="center"/>
          </w:tcPr>
          <w:p w14:paraId="598220EE">
            <w:pPr>
              <w:pStyle w:val="229"/>
              <w:rPr>
                <w:color w:val="auto"/>
                <w:highlight w:val="none"/>
              </w:rPr>
            </w:pPr>
          </w:p>
        </w:tc>
        <w:tc>
          <w:tcPr>
            <w:tcW w:w="1450" w:type="dxa"/>
            <w:tcBorders>
              <w:top w:val="nil"/>
            </w:tcBorders>
            <w:vAlign w:val="center"/>
          </w:tcPr>
          <w:p w14:paraId="70362D24">
            <w:pPr>
              <w:pStyle w:val="229"/>
              <w:rPr>
                <w:color w:val="auto"/>
                <w:highlight w:val="none"/>
              </w:rPr>
            </w:pPr>
          </w:p>
        </w:tc>
        <w:tc>
          <w:tcPr>
            <w:tcW w:w="1243" w:type="dxa"/>
            <w:tcBorders>
              <w:top w:val="nil"/>
            </w:tcBorders>
            <w:vAlign w:val="center"/>
          </w:tcPr>
          <w:p w14:paraId="696EA062">
            <w:pPr>
              <w:pStyle w:val="229"/>
              <w:rPr>
                <w:color w:val="auto"/>
                <w:highlight w:val="none"/>
              </w:rPr>
            </w:pPr>
          </w:p>
        </w:tc>
        <w:tc>
          <w:tcPr>
            <w:tcW w:w="1450" w:type="dxa"/>
            <w:tcBorders>
              <w:top w:val="nil"/>
            </w:tcBorders>
            <w:vAlign w:val="center"/>
          </w:tcPr>
          <w:p w14:paraId="540BB56E">
            <w:pPr>
              <w:pStyle w:val="229"/>
              <w:rPr>
                <w:color w:val="auto"/>
                <w:highlight w:val="none"/>
              </w:rPr>
            </w:pPr>
          </w:p>
        </w:tc>
        <w:tc>
          <w:tcPr>
            <w:tcW w:w="1564" w:type="dxa"/>
            <w:tcBorders>
              <w:top w:val="nil"/>
            </w:tcBorders>
            <w:vAlign w:val="center"/>
          </w:tcPr>
          <w:p w14:paraId="603C1107">
            <w:pPr>
              <w:pStyle w:val="229"/>
              <w:rPr>
                <w:color w:val="auto"/>
                <w:highlight w:val="none"/>
              </w:rPr>
            </w:pPr>
          </w:p>
        </w:tc>
      </w:tr>
      <w:tr w14:paraId="1365F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A9CF341">
            <w:pPr>
              <w:pStyle w:val="229"/>
              <w:rPr>
                <w:color w:val="auto"/>
                <w:highlight w:val="none"/>
              </w:rPr>
            </w:pPr>
          </w:p>
        </w:tc>
        <w:tc>
          <w:tcPr>
            <w:tcW w:w="1067" w:type="dxa"/>
            <w:vAlign w:val="center"/>
          </w:tcPr>
          <w:p w14:paraId="122CB5FF">
            <w:pPr>
              <w:pStyle w:val="229"/>
              <w:rPr>
                <w:color w:val="auto"/>
                <w:highlight w:val="none"/>
              </w:rPr>
            </w:pPr>
          </w:p>
        </w:tc>
        <w:tc>
          <w:tcPr>
            <w:tcW w:w="1450" w:type="dxa"/>
            <w:vAlign w:val="center"/>
          </w:tcPr>
          <w:p w14:paraId="584E9FA6">
            <w:pPr>
              <w:pStyle w:val="229"/>
              <w:rPr>
                <w:color w:val="auto"/>
                <w:highlight w:val="none"/>
              </w:rPr>
            </w:pPr>
          </w:p>
        </w:tc>
        <w:tc>
          <w:tcPr>
            <w:tcW w:w="1243" w:type="dxa"/>
            <w:vAlign w:val="center"/>
          </w:tcPr>
          <w:p w14:paraId="5B4F7CFE">
            <w:pPr>
              <w:pStyle w:val="229"/>
              <w:rPr>
                <w:color w:val="auto"/>
                <w:highlight w:val="none"/>
              </w:rPr>
            </w:pPr>
          </w:p>
        </w:tc>
        <w:tc>
          <w:tcPr>
            <w:tcW w:w="1450" w:type="dxa"/>
            <w:vAlign w:val="center"/>
          </w:tcPr>
          <w:p w14:paraId="137B0660">
            <w:pPr>
              <w:pStyle w:val="229"/>
              <w:rPr>
                <w:color w:val="auto"/>
                <w:highlight w:val="none"/>
              </w:rPr>
            </w:pPr>
          </w:p>
        </w:tc>
        <w:tc>
          <w:tcPr>
            <w:tcW w:w="1564" w:type="dxa"/>
            <w:vAlign w:val="center"/>
          </w:tcPr>
          <w:p w14:paraId="71B04C24">
            <w:pPr>
              <w:pStyle w:val="229"/>
              <w:rPr>
                <w:color w:val="auto"/>
                <w:highlight w:val="none"/>
              </w:rPr>
            </w:pPr>
          </w:p>
        </w:tc>
      </w:tr>
      <w:tr w14:paraId="2CC28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971AE51">
            <w:pPr>
              <w:pStyle w:val="229"/>
              <w:rPr>
                <w:color w:val="auto"/>
                <w:highlight w:val="none"/>
              </w:rPr>
            </w:pPr>
          </w:p>
        </w:tc>
        <w:tc>
          <w:tcPr>
            <w:tcW w:w="1067" w:type="dxa"/>
            <w:vAlign w:val="center"/>
          </w:tcPr>
          <w:p w14:paraId="29393630">
            <w:pPr>
              <w:pStyle w:val="229"/>
              <w:rPr>
                <w:color w:val="auto"/>
                <w:highlight w:val="none"/>
              </w:rPr>
            </w:pPr>
          </w:p>
        </w:tc>
        <w:tc>
          <w:tcPr>
            <w:tcW w:w="1450" w:type="dxa"/>
            <w:vAlign w:val="center"/>
          </w:tcPr>
          <w:p w14:paraId="12E0A456">
            <w:pPr>
              <w:pStyle w:val="229"/>
              <w:rPr>
                <w:color w:val="auto"/>
                <w:highlight w:val="none"/>
              </w:rPr>
            </w:pPr>
          </w:p>
        </w:tc>
        <w:tc>
          <w:tcPr>
            <w:tcW w:w="1243" w:type="dxa"/>
            <w:vAlign w:val="center"/>
          </w:tcPr>
          <w:p w14:paraId="4F0D2300">
            <w:pPr>
              <w:pStyle w:val="229"/>
              <w:rPr>
                <w:color w:val="auto"/>
                <w:highlight w:val="none"/>
              </w:rPr>
            </w:pPr>
          </w:p>
        </w:tc>
        <w:tc>
          <w:tcPr>
            <w:tcW w:w="1450" w:type="dxa"/>
            <w:vAlign w:val="center"/>
          </w:tcPr>
          <w:p w14:paraId="460493D6">
            <w:pPr>
              <w:pStyle w:val="229"/>
              <w:rPr>
                <w:color w:val="auto"/>
                <w:highlight w:val="none"/>
              </w:rPr>
            </w:pPr>
          </w:p>
        </w:tc>
        <w:tc>
          <w:tcPr>
            <w:tcW w:w="1564" w:type="dxa"/>
            <w:vAlign w:val="center"/>
          </w:tcPr>
          <w:p w14:paraId="38A8549B">
            <w:pPr>
              <w:pStyle w:val="229"/>
              <w:rPr>
                <w:color w:val="auto"/>
                <w:highlight w:val="none"/>
              </w:rPr>
            </w:pPr>
          </w:p>
        </w:tc>
      </w:tr>
      <w:tr w14:paraId="682DA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E8D8FE9">
            <w:pPr>
              <w:pStyle w:val="229"/>
              <w:rPr>
                <w:color w:val="auto"/>
                <w:highlight w:val="none"/>
              </w:rPr>
            </w:pPr>
          </w:p>
        </w:tc>
        <w:tc>
          <w:tcPr>
            <w:tcW w:w="1067" w:type="dxa"/>
            <w:vAlign w:val="center"/>
          </w:tcPr>
          <w:p w14:paraId="57D6B5FC">
            <w:pPr>
              <w:pStyle w:val="229"/>
              <w:rPr>
                <w:color w:val="auto"/>
                <w:highlight w:val="none"/>
              </w:rPr>
            </w:pPr>
          </w:p>
        </w:tc>
        <w:tc>
          <w:tcPr>
            <w:tcW w:w="1450" w:type="dxa"/>
            <w:vAlign w:val="center"/>
          </w:tcPr>
          <w:p w14:paraId="6310644E">
            <w:pPr>
              <w:pStyle w:val="229"/>
              <w:rPr>
                <w:color w:val="auto"/>
                <w:highlight w:val="none"/>
              </w:rPr>
            </w:pPr>
          </w:p>
        </w:tc>
        <w:tc>
          <w:tcPr>
            <w:tcW w:w="1243" w:type="dxa"/>
            <w:vAlign w:val="center"/>
          </w:tcPr>
          <w:p w14:paraId="06E4E36C">
            <w:pPr>
              <w:pStyle w:val="229"/>
              <w:rPr>
                <w:color w:val="auto"/>
                <w:highlight w:val="none"/>
              </w:rPr>
            </w:pPr>
          </w:p>
        </w:tc>
        <w:tc>
          <w:tcPr>
            <w:tcW w:w="1450" w:type="dxa"/>
            <w:vAlign w:val="center"/>
          </w:tcPr>
          <w:p w14:paraId="15F56CF8">
            <w:pPr>
              <w:pStyle w:val="229"/>
              <w:rPr>
                <w:color w:val="auto"/>
                <w:highlight w:val="none"/>
              </w:rPr>
            </w:pPr>
          </w:p>
        </w:tc>
        <w:tc>
          <w:tcPr>
            <w:tcW w:w="1564" w:type="dxa"/>
            <w:vAlign w:val="center"/>
          </w:tcPr>
          <w:p w14:paraId="03622B8E">
            <w:pPr>
              <w:pStyle w:val="229"/>
              <w:rPr>
                <w:color w:val="auto"/>
                <w:highlight w:val="none"/>
              </w:rPr>
            </w:pPr>
          </w:p>
        </w:tc>
      </w:tr>
      <w:tr w14:paraId="3D297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AACB044">
            <w:pPr>
              <w:pStyle w:val="229"/>
              <w:rPr>
                <w:color w:val="auto"/>
                <w:highlight w:val="none"/>
              </w:rPr>
            </w:pPr>
          </w:p>
        </w:tc>
        <w:tc>
          <w:tcPr>
            <w:tcW w:w="1067" w:type="dxa"/>
            <w:vAlign w:val="center"/>
          </w:tcPr>
          <w:p w14:paraId="0DF2FC1E">
            <w:pPr>
              <w:pStyle w:val="229"/>
              <w:rPr>
                <w:color w:val="auto"/>
                <w:highlight w:val="none"/>
              </w:rPr>
            </w:pPr>
          </w:p>
        </w:tc>
        <w:tc>
          <w:tcPr>
            <w:tcW w:w="1450" w:type="dxa"/>
            <w:vAlign w:val="center"/>
          </w:tcPr>
          <w:p w14:paraId="3DBED574">
            <w:pPr>
              <w:pStyle w:val="229"/>
              <w:rPr>
                <w:color w:val="auto"/>
                <w:highlight w:val="none"/>
              </w:rPr>
            </w:pPr>
          </w:p>
        </w:tc>
        <w:tc>
          <w:tcPr>
            <w:tcW w:w="1243" w:type="dxa"/>
            <w:vAlign w:val="center"/>
          </w:tcPr>
          <w:p w14:paraId="5D0F92B7">
            <w:pPr>
              <w:pStyle w:val="229"/>
              <w:rPr>
                <w:color w:val="auto"/>
                <w:highlight w:val="none"/>
              </w:rPr>
            </w:pPr>
          </w:p>
        </w:tc>
        <w:tc>
          <w:tcPr>
            <w:tcW w:w="1450" w:type="dxa"/>
            <w:vAlign w:val="center"/>
          </w:tcPr>
          <w:p w14:paraId="397C4C93">
            <w:pPr>
              <w:pStyle w:val="229"/>
              <w:rPr>
                <w:color w:val="auto"/>
                <w:highlight w:val="none"/>
              </w:rPr>
            </w:pPr>
          </w:p>
        </w:tc>
        <w:tc>
          <w:tcPr>
            <w:tcW w:w="1564" w:type="dxa"/>
            <w:vAlign w:val="center"/>
          </w:tcPr>
          <w:p w14:paraId="709271ED">
            <w:pPr>
              <w:pStyle w:val="229"/>
              <w:rPr>
                <w:color w:val="auto"/>
                <w:highlight w:val="none"/>
              </w:rPr>
            </w:pPr>
          </w:p>
        </w:tc>
      </w:tr>
      <w:tr w14:paraId="09F0B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093323">
            <w:pPr>
              <w:pStyle w:val="229"/>
              <w:rPr>
                <w:color w:val="auto"/>
                <w:highlight w:val="none"/>
              </w:rPr>
            </w:pPr>
          </w:p>
        </w:tc>
        <w:tc>
          <w:tcPr>
            <w:tcW w:w="1067" w:type="dxa"/>
            <w:vAlign w:val="center"/>
          </w:tcPr>
          <w:p w14:paraId="2AFBAF11">
            <w:pPr>
              <w:pStyle w:val="229"/>
              <w:rPr>
                <w:color w:val="auto"/>
                <w:highlight w:val="none"/>
              </w:rPr>
            </w:pPr>
          </w:p>
        </w:tc>
        <w:tc>
          <w:tcPr>
            <w:tcW w:w="1450" w:type="dxa"/>
            <w:vAlign w:val="center"/>
          </w:tcPr>
          <w:p w14:paraId="1477E1A4">
            <w:pPr>
              <w:pStyle w:val="229"/>
              <w:rPr>
                <w:color w:val="auto"/>
                <w:highlight w:val="none"/>
              </w:rPr>
            </w:pPr>
          </w:p>
        </w:tc>
        <w:tc>
          <w:tcPr>
            <w:tcW w:w="1243" w:type="dxa"/>
            <w:vAlign w:val="center"/>
          </w:tcPr>
          <w:p w14:paraId="56180879">
            <w:pPr>
              <w:pStyle w:val="229"/>
              <w:rPr>
                <w:color w:val="auto"/>
                <w:highlight w:val="none"/>
              </w:rPr>
            </w:pPr>
          </w:p>
        </w:tc>
        <w:tc>
          <w:tcPr>
            <w:tcW w:w="1450" w:type="dxa"/>
            <w:vAlign w:val="center"/>
          </w:tcPr>
          <w:p w14:paraId="7309F720">
            <w:pPr>
              <w:pStyle w:val="229"/>
              <w:rPr>
                <w:color w:val="auto"/>
                <w:highlight w:val="none"/>
              </w:rPr>
            </w:pPr>
          </w:p>
        </w:tc>
        <w:tc>
          <w:tcPr>
            <w:tcW w:w="1564" w:type="dxa"/>
            <w:vAlign w:val="center"/>
          </w:tcPr>
          <w:p w14:paraId="605A796A">
            <w:pPr>
              <w:pStyle w:val="229"/>
              <w:rPr>
                <w:color w:val="auto"/>
                <w:highlight w:val="none"/>
              </w:rPr>
            </w:pPr>
          </w:p>
        </w:tc>
      </w:tr>
      <w:tr w14:paraId="721C9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362E2E5">
            <w:pPr>
              <w:pStyle w:val="229"/>
              <w:rPr>
                <w:color w:val="auto"/>
                <w:highlight w:val="none"/>
              </w:rPr>
            </w:pPr>
          </w:p>
        </w:tc>
        <w:tc>
          <w:tcPr>
            <w:tcW w:w="1067" w:type="dxa"/>
            <w:vAlign w:val="center"/>
          </w:tcPr>
          <w:p w14:paraId="33A76972">
            <w:pPr>
              <w:pStyle w:val="229"/>
              <w:rPr>
                <w:color w:val="auto"/>
                <w:highlight w:val="none"/>
              </w:rPr>
            </w:pPr>
          </w:p>
        </w:tc>
        <w:tc>
          <w:tcPr>
            <w:tcW w:w="1450" w:type="dxa"/>
            <w:vAlign w:val="center"/>
          </w:tcPr>
          <w:p w14:paraId="388516CD">
            <w:pPr>
              <w:pStyle w:val="229"/>
              <w:rPr>
                <w:color w:val="auto"/>
                <w:highlight w:val="none"/>
              </w:rPr>
            </w:pPr>
          </w:p>
        </w:tc>
        <w:tc>
          <w:tcPr>
            <w:tcW w:w="1243" w:type="dxa"/>
            <w:vAlign w:val="center"/>
          </w:tcPr>
          <w:p w14:paraId="64C88EE3">
            <w:pPr>
              <w:pStyle w:val="229"/>
              <w:rPr>
                <w:color w:val="auto"/>
                <w:highlight w:val="none"/>
              </w:rPr>
            </w:pPr>
          </w:p>
        </w:tc>
        <w:tc>
          <w:tcPr>
            <w:tcW w:w="1450" w:type="dxa"/>
            <w:vAlign w:val="center"/>
          </w:tcPr>
          <w:p w14:paraId="7D1E8130">
            <w:pPr>
              <w:pStyle w:val="229"/>
              <w:rPr>
                <w:color w:val="auto"/>
                <w:highlight w:val="none"/>
              </w:rPr>
            </w:pPr>
          </w:p>
        </w:tc>
        <w:tc>
          <w:tcPr>
            <w:tcW w:w="1564" w:type="dxa"/>
            <w:vAlign w:val="center"/>
          </w:tcPr>
          <w:p w14:paraId="164F0FC4">
            <w:pPr>
              <w:pStyle w:val="229"/>
              <w:rPr>
                <w:color w:val="auto"/>
                <w:highlight w:val="none"/>
              </w:rPr>
            </w:pPr>
          </w:p>
        </w:tc>
      </w:tr>
      <w:tr w14:paraId="317EB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E3813BD">
            <w:pPr>
              <w:pStyle w:val="229"/>
              <w:rPr>
                <w:color w:val="auto"/>
                <w:highlight w:val="none"/>
              </w:rPr>
            </w:pPr>
          </w:p>
        </w:tc>
        <w:tc>
          <w:tcPr>
            <w:tcW w:w="1067" w:type="dxa"/>
          </w:tcPr>
          <w:p w14:paraId="585A2BC6">
            <w:pPr>
              <w:pStyle w:val="229"/>
              <w:rPr>
                <w:color w:val="auto"/>
                <w:highlight w:val="none"/>
              </w:rPr>
            </w:pPr>
          </w:p>
        </w:tc>
        <w:tc>
          <w:tcPr>
            <w:tcW w:w="1450" w:type="dxa"/>
          </w:tcPr>
          <w:p w14:paraId="164E3D46">
            <w:pPr>
              <w:pStyle w:val="229"/>
              <w:rPr>
                <w:color w:val="auto"/>
                <w:highlight w:val="none"/>
              </w:rPr>
            </w:pPr>
          </w:p>
        </w:tc>
        <w:tc>
          <w:tcPr>
            <w:tcW w:w="1243" w:type="dxa"/>
          </w:tcPr>
          <w:p w14:paraId="529160F3">
            <w:pPr>
              <w:pStyle w:val="229"/>
              <w:rPr>
                <w:color w:val="auto"/>
                <w:highlight w:val="none"/>
              </w:rPr>
            </w:pPr>
          </w:p>
        </w:tc>
        <w:tc>
          <w:tcPr>
            <w:tcW w:w="1450" w:type="dxa"/>
          </w:tcPr>
          <w:p w14:paraId="2E411ECC">
            <w:pPr>
              <w:pStyle w:val="229"/>
              <w:rPr>
                <w:color w:val="auto"/>
                <w:highlight w:val="none"/>
              </w:rPr>
            </w:pPr>
          </w:p>
        </w:tc>
        <w:tc>
          <w:tcPr>
            <w:tcW w:w="1564" w:type="dxa"/>
          </w:tcPr>
          <w:p w14:paraId="13474DC1">
            <w:pPr>
              <w:pStyle w:val="229"/>
              <w:rPr>
                <w:color w:val="auto"/>
                <w:highlight w:val="none"/>
              </w:rPr>
            </w:pPr>
          </w:p>
        </w:tc>
      </w:tr>
      <w:tr w14:paraId="51331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3A21CA">
            <w:pPr>
              <w:pStyle w:val="229"/>
              <w:rPr>
                <w:color w:val="auto"/>
                <w:highlight w:val="none"/>
              </w:rPr>
            </w:pPr>
          </w:p>
        </w:tc>
        <w:tc>
          <w:tcPr>
            <w:tcW w:w="1067" w:type="dxa"/>
            <w:vAlign w:val="center"/>
          </w:tcPr>
          <w:p w14:paraId="252F21FE">
            <w:pPr>
              <w:pStyle w:val="229"/>
              <w:rPr>
                <w:color w:val="auto"/>
                <w:highlight w:val="none"/>
              </w:rPr>
            </w:pPr>
          </w:p>
        </w:tc>
        <w:tc>
          <w:tcPr>
            <w:tcW w:w="1450" w:type="dxa"/>
            <w:vAlign w:val="center"/>
          </w:tcPr>
          <w:p w14:paraId="1C37DE6C">
            <w:pPr>
              <w:pStyle w:val="229"/>
              <w:rPr>
                <w:color w:val="auto"/>
                <w:highlight w:val="none"/>
              </w:rPr>
            </w:pPr>
          </w:p>
        </w:tc>
        <w:tc>
          <w:tcPr>
            <w:tcW w:w="1243" w:type="dxa"/>
            <w:vAlign w:val="center"/>
          </w:tcPr>
          <w:p w14:paraId="265CA436">
            <w:pPr>
              <w:pStyle w:val="229"/>
              <w:rPr>
                <w:color w:val="auto"/>
                <w:highlight w:val="none"/>
              </w:rPr>
            </w:pPr>
          </w:p>
        </w:tc>
        <w:tc>
          <w:tcPr>
            <w:tcW w:w="1450" w:type="dxa"/>
            <w:vAlign w:val="center"/>
          </w:tcPr>
          <w:p w14:paraId="4B147053">
            <w:pPr>
              <w:pStyle w:val="229"/>
              <w:rPr>
                <w:color w:val="auto"/>
                <w:highlight w:val="none"/>
              </w:rPr>
            </w:pPr>
          </w:p>
        </w:tc>
        <w:tc>
          <w:tcPr>
            <w:tcW w:w="1564" w:type="dxa"/>
            <w:vAlign w:val="center"/>
          </w:tcPr>
          <w:p w14:paraId="6A260FA5">
            <w:pPr>
              <w:pStyle w:val="229"/>
              <w:rPr>
                <w:color w:val="auto"/>
                <w:highlight w:val="none"/>
              </w:rPr>
            </w:pPr>
          </w:p>
        </w:tc>
      </w:tr>
      <w:tr w14:paraId="6708B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F35E5B5">
            <w:pPr>
              <w:pStyle w:val="229"/>
              <w:rPr>
                <w:color w:val="auto"/>
                <w:highlight w:val="none"/>
              </w:rPr>
            </w:pPr>
          </w:p>
        </w:tc>
        <w:tc>
          <w:tcPr>
            <w:tcW w:w="1067" w:type="dxa"/>
          </w:tcPr>
          <w:p w14:paraId="41BA1829">
            <w:pPr>
              <w:pStyle w:val="229"/>
              <w:rPr>
                <w:color w:val="auto"/>
                <w:highlight w:val="none"/>
              </w:rPr>
            </w:pPr>
          </w:p>
        </w:tc>
        <w:tc>
          <w:tcPr>
            <w:tcW w:w="1450" w:type="dxa"/>
          </w:tcPr>
          <w:p w14:paraId="1B3DBAB5">
            <w:pPr>
              <w:pStyle w:val="229"/>
              <w:rPr>
                <w:color w:val="auto"/>
                <w:highlight w:val="none"/>
              </w:rPr>
            </w:pPr>
          </w:p>
        </w:tc>
        <w:tc>
          <w:tcPr>
            <w:tcW w:w="1243" w:type="dxa"/>
          </w:tcPr>
          <w:p w14:paraId="2A30751E">
            <w:pPr>
              <w:pStyle w:val="229"/>
              <w:rPr>
                <w:color w:val="auto"/>
                <w:highlight w:val="none"/>
              </w:rPr>
            </w:pPr>
          </w:p>
        </w:tc>
        <w:tc>
          <w:tcPr>
            <w:tcW w:w="1450" w:type="dxa"/>
          </w:tcPr>
          <w:p w14:paraId="2009BEB1">
            <w:pPr>
              <w:pStyle w:val="229"/>
              <w:rPr>
                <w:color w:val="auto"/>
                <w:highlight w:val="none"/>
              </w:rPr>
            </w:pPr>
          </w:p>
        </w:tc>
        <w:tc>
          <w:tcPr>
            <w:tcW w:w="1564" w:type="dxa"/>
          </w:tcPr>
          <w:p w14:paraId="30E54805">
            <w:pPr>
              <w:pStyle w:val="229"/>
              <w:rPr>
                <w:color w:val="auto"/>
                <w:highlight w:val="none"/>
              </w:rPr>
            </w:pPr>
          </w:p>
        </w:tc>
      </w:tr>
      <w:tr w14:paraId="59246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4A40B18">
            <w:pPr>
              <w:pStyle w:val="229"/>
              <w:rPr>
                <w:color w:val="auto"/>
                <w:highlight w:val="none"/>
              </w:rPr>
            </w:pPr>
          </w:p>
        </w:tc>
        <w:tc>
          <w:tcPr>
            <w:tcW w:w="1067" w:type="dxa"/>
          </w:tcPr>
          <w:p w14:paraId="344A68CB">
            <w:pPr>
              <w:pStyle w:val="229"/>
              <w:rPr>
                <w:color w:val="auto"/>
                <w:highlight w:val="none"/>
              </w:rPr>
            </w:pPr>
          </w:p>
        </w:tc>
        <w:tc>
          <w:tcPr>
            <w:tcW w:w="1450" w:type="dxa"/>
          </w:tcPr>
          <w:p w14:paraId="25A2FBC1">
            <w:pPr>
              <w:pStyle w:val="229"/>
              <w:rPr>
                <w:color w:val="auto"/>
                <w:highlight w:val="none"/>
              </w:rPr>
            </w:pPr>
          </w:p>
        </w:tc>
        <w:tc>
          <w:tcPr>
            <w:tcW w:w="1243" w:type="dxa"/>
          </w:tcPr>
          <w:p w14:paraId="78A0E3F1">
            <w:pPr>
              <w:pStyle w:val="229"/>
              <w:rPr>
                <w:color w:val="auto"/>
                <w:highlight w:val="none"/>
              </w:rPr>
            </w:pPr>
          </w:p>
        </w:tc>
        <w:tc>
          <w:tcPr>
            <w:tcW w:w="1450" w:type="dxa"/>
          </w:tcPr>
          <w:p w14:paraId="4F5583AB">
            <w:pPr>
              <w:pStyle w:val="229"/>
              <w:rPr>
                <w:color w:val="auto"/>
                <w:highlight w:val="none"/>
              </w:rPr>
            </w:pPr>
          </w:p>
        </w:tc>
        <w:tc>
          <w:tcPr>
            <w:tcW w:w="1564" w:type="dxa"/>
          </w:tcPr>
          <w:p w14:paraId="1EA91F59">
            <w:pPr>
              <w:pStyle w:val="229"/>
              <w:rPr>
                <w:color w:val="auto"/>
                <w:highlight w:val="none"/>
              </w:rPr>
            </w:pPr>
          </w:p>
        </w:tc>
      </w:tr>
      <w:tr w14:paraId="39F5A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471E707">
            <w:pPr>
              <w:pStyle w:val="229"/>
              <w:rPr>
                <w:color w:val="auto"/>
                <w:highlight w:val="none"/>
              </w:rPr>
            </w:pPr>
          </w:p>
        </w:tc>
        <w:tc>
          <w:tcPr>
            <w:tcW w:w="1067" w:type="dxa"/>
          </w:tcPr>
          <w:p w14:paraId="00B8E757">
            <w:pPr>
              <w:pStyle w:val="229"/>
              <w:rPr>
                <w:color w:val="auto"/>
                <w:highlight w:val="none"/>
              </w:rPr>
            </w:pPr>
          </w:p>
        </w:tc>
        <w:tc>
          <w:tcPr>
            <w:tcW w:w="1450" w:type="dxa"/>
          </w:tcPr>
          <w:p w14:paraId="508FA861">
            <w:pPr>
              <w:pStyle w:val="229"/>
              <w:rPr>
                <w:color w:val="auto"/>
                <w:highlight w:val="none"/>
              </w:rPr>
            </w:pPr>
          </w:p>
        </w:tc>
        <w:tc>
          <w:tcPr>
            <w:tcW w:w="1243" w:type="dxa"/>
          </w:tcPr>
          <w:p w14:paraId="323B7EC9">
            <w:pPr>
              <w:pStyle w:val="229"/>
              <w:rPr>
                <w:color w:val="auto"/>
                <w:highlight w:val="none"/>
              </w:rPr>
            </w:pPr>
          </w:p>
        </w:tc>
        <w:tc>
          <w:tcPr>
            <w:tcW w:w="1450" w:type="dxa"/>
          </w:tcPr>
          <w:p w14:paraId="2F7BB964">
            <w:pPr>
              <w:pStyle w:val="229"/>
              <w:rPr>
                <w:color w:val="auto"/>
                <w:highlight w:val="none"/>
              </w:rPr>
            </w:pPr>
          </w:p>
        </w:tc>
        <w:tc>
          <w:tcPr>
            <w:tcW w:w="1564" w:type="dxa"/>
          </w:tcPr>
          <w:p w14:paraId="3883F909">
            <w:pPr>
              <w:pStyle w:val="229"/>
              <w:rPr>
                <w:color w:val="auto"/>
                <w:highlight w:val="none"/>
              </w:rPr>
            </w:pPr>
          </w:p>
        </w:tc>
      </w:tr>
      <w:tr w14:paraId="71A3D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F44F719">
            <w:pPr>
              <w:pStyle w:val="229"/>
              <w:rPr>
                <w:color w:val="auto"/>
                <w:highlight w:val="none"/>
              </w:rPr>
            </w:pPr>
          </w:p>
        </w:tc>
        <w:tc>
          <w:tcPr>
            <w:tcW w:w="1067" w:type="dxa"/>
          </w:tcPr>
          <w:p w14:paraId="33C83A5F">
            <w:pPr>
              <w:pStyle w:val="229"/>
              <w:rPr>
                <w:color w:val="auto"/>
                <w:highlight w:val="none"/>
              </w:rPr>
            </w:pPr>
          </w:p>
        </w:tc>
        <w:tc>
          <w:tcPr>
            <w:tcW w:w="1450" w:type="dxa"/>
          </w:tcPr>
          <w:p w14:paraId="23742282">
            <w:pPr>
              <w:pStyle w:val="229"/>
              <w:rPr>
                <w:color w:val="auto"/>
                <w:highlight w:val="none"/>
              </w:rPr>
            </w:pPr>
          </w:p>
        </w:tc>
        <w:tc>
          <w:tcPr>
            <w:tcW w:w="1243" w:type="dxa"/>
          </w:tcPr>
          <w:p w14:paraId="395CA075">
            <w:pPr>
              <w:pStyle w:val="229"/>
              <w:rPr>
                <w:color w:val="auto"/>
                <w:highlight w:val="none"/>
              </w:rPr>
            </w:pPr>
          </w:p>
        </w:tc>
        <w:tc>
          <w:tcPr>
            <w:tcW w:w="1450" w:type="dxa"/>
          </w:tcPr>
          <w:p w14:paraId="31846A11">
            <w:pPr>
              <w:pStyle w:val="229"/>
              <w:rPr>
                <w:color w:val="auto"/>
                <w:highlight w:val="none"/>
              </w:rPr>
            </w:pPr>
          </w:p>
        </w:tc>
        <w:tc>
          <w:tcPr>
            <w:tcW w:w="1564" w:type="dxa"/>
          </w:tcPr>
          <w:p w14:paraId="3FE5E58B">
            <w:pPr>
              <w:pStyle w:val="229"/>
              <w:rPr>
                <w:color w:val="auto"/>
                <w:highlight w:val="none"/>
              </w:rPr>
            </w:pPr>
          </w:p>
        </w:tc>
      </w:tr>
      <w:tr w14:paraId="1ACF6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58B05A0">
            <w:pPr>
              <w:pStyle w:val="229"/>
              <w:rPr>
                <w:color w:val="auto"/>
                <w:highlight w:val="none"/>
              </w:rPr>
            </w:pPr>
          </w:p>
        </w:tc>
        <w:tc>
          <w:tcPr>
            <w:tcW w:w="1067" w:type="dxa"/>
          </w:tcPr>
          <w:p w14:paraId="31638CFD">
            <w:pPr>
              <w:pStyle w:val="229"/>
              <w:rPr>
                <w:color w:val="auto"/>
                <w:highlight w:val="none"/>
              </w:rPr>
            </w:pPr>
          </w:p>
        </w:tc>
        <w:tc>
          <w:tcPr>
            <w:tcW w:w="1450" w:type="dxa"/>
          </w:tcPr>
          <w:p w14:paraId="532492C9">
            <w:pPr>
              <w:pStyle w:val="229"/>
              <w:rPr>
                <w:color w:val="auto"/>
                <w:highlight w:val="none"/>
              </w:rPr>
            </w:pPr>
          </w:p>
        </w:tc>
        <w:tc>
          <w:tcPr>
            <w:tcW w:w="1243" w:type="dxa"/>
          </w:tcPr>
          <w:p w14:paraId="3D2010CC">
            <w:pPr>
              <w:pStyle w:val="229"/>
              <w:rPr>
                <w:color w:val="auto"/>
                <w:highlight w:val="none"/>
              </w:rPr>
            </w:pPr>
          </w:p>
        </w:tc>
        <w:tc>
          <w:tcPr>
            <w:tcW w:w="1450" w:type="dxa"/>
          </w:tcPr>
          <w:p w14:paraId="12312B8B">
            <w:pPr>
              <w:pStyle w:val="229"/>
              <w:rPr>
                <w:color w:val="auto"/>
                <w:highlight w:val="none"/>
              </w:rPr>
            </w:pPr>
          </w:p>
        </w:tc>
        <w:tc>
          <w:tcPr>
            <w:tcW w:w="1564" w:type="dxa"/>
          </w:tcPr>
          <w:p w14:paraId="03602747">
            <w:pPr>
              <w:pStyle w:val="229"/>
              <w:rPr>
                <w:color w:val="auto"/>
                <w:highlight w:val="none"/>
              </w:rPr>
            </w:pPr>
          </w:p>
        </w:tc>
      </w:tr>
      <w:tr w14:paraId="436CD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2F9A2F1">
            <w:pPr>
              <w:pStyle w:val="229"/>
              <w:rPr>
                <w:color w:val="auto"/>
                <w:highlight w:val="none"/>
              </w:rPr>
            </w:pPr>
          </w:p>
        </w:tc>
        <w:tc>
          <w:tcPr>
            <w:tcW w:w="1067" w:type="dxa"/>
          </w:tcPr>
          <w:p w14:paraId="5DECC746">
            <w:pPr>
              <w:pStyle w:val="229"/>
              <w:rPr>
                <w:color w:val="auto"/>
                <w:highlight w:val="none"/>
              </w:rPr>
            </w:pPr>
          </w:p>
        </w:tc>
        <w:tc>
          <w:tcPr>
            <w:tcW w:w="1450" w:type="dxa"/>
          </w:tcPr>
          <w:p w14:paraId="5FA5AC75">
            <w:pPr>
              <w:pStyle w:val="229"/>
              <w:rPr>
                <w:color w:val="auto"/>
                <w:highlight w:val="none"/>
              </w:rPr>
            </w:pPr>
          </w:p>
        </w:tc>
        <w:tc>
          <w:tcPr>
            <w:tcW w:w="1243" w:type="dxa"/>
          </w:tcPr>
          <w:p w14:paraId="71D5F126">
            <w:pPr>
              <w:pStyle w:val="229"/>
              <w:rPr>
                <w:color w:val="auto"/>
                <w:highlight w:val="none"/>
              </w:rPr>
            </w:pPr>
          </w:p>
        </w:tc>
        <w:tc>
          <w:tcPr>
            <w:tcW w:w="1450" w:type="dxa"/>
          </w:tcPr>
          <w:p w14:paraId="3791272E">
            <w:pPr>
              <w:pStyle w:val="229"/>
              <w:rPr>
                <w:color w:val="auto"/>
                <w:highlight w:val="none"/>
              </w:rPr>
            </w:pPr>
          </w:p>
        </w:tc>
        <w:tc>
          <w:tcPr>
            <w:tcW w:w="1564" w:type="dxa"/>
          </w:tcPr>
          <w:p w14:paraId="5698EA99">
            <w:pPr>
              <w:pStyle w:val="229"/>
              <w:rPr>
                <w:color w:val="auto"/>
                <w:highlight w:val="none"/>
              </w:rPr>
            </w:pPr>
          </w:p>
        </w:tc>
      </w:tr>
      <w:tr w14:paraId="035E2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15DD00D">
            <w:pPr>
              <w:pStyle w:val="229"/>
              <w:rPr>
                <w:color w:val="auto"/>
                <w:highlight w:val="none"/>
              </w:rPr>
            </w:pPr>
          </w:p>
        </w:tc>
        <w:tc>
          <w:tcPr>
            <w:tcW w:w="1067" w:type="dxa"/>
          </w:tcPr>
          <w:p w14:paraId="47035631">
            <w:pPr>
              <w:pStyle w:val="229"/>
              <w:rPr>
                <w:color w:val="auto"/>
                <w:highlight w:val="none"/>
              </w:rPr>
            </w:pPr>
          </w:p>
        </w:tc>
        <w:tc>
          <w:tcPr>
            <w:tcW w:w="1450" w:type="dxa"/>
          </w:tcPr>
          <w:p w14:paraId="660E7CFA">
            <w:pPr>
              <w:pStyle w:val="229"/>
              <w:rPr>
                <w:color w:val="auto"/>
                <w:highlight w:val="none"/>
              </w:rPr>
            </w:pPr>
          </w:p>
        </w:tc>
        <w:tc>
          <w:tcPr>
            <w:tcW w:w="1243" w:type="dxa"/>
          </w:tcPr>
          <w:p w14:paraId="54DD613B">
            <w:pPr>
              <w:pStyle w:val="229"/>
              <w:rPr>
                <w:color w:val="auto"/>
                <w:highlight w:val="none"/>
              </w:rPr>
            </w:pPr>
          </w:p>
        </w:tc>
        <w:tc>
          <w:tcPr>
            <w:tcW w:w="1450" w:type="dxa"/>
          </w:tcPr>
          <w:p w14:paraId="4BE7E92D">
            <w:pPr>
              <w:pStyle w:val="229"/>
              <w:rPr>
                <w:color w:val="auto"/>
                <w:highlight w:val="none"/>
              </w:rPr>
            </w:pPr>
          </w:p>
        </w:tc>
        <w:tc>
          <w:tcPr>
            <w:tcW w:w="1564" w:type="dxa"/>
          </w:tcPr>
          <w:p w14:paraId="1AE94DE6">
            <w:pPr>
              <w:pStyle w:val="229"/>
              <w:rPr>
                <w:color w:val="auto"/>
                <w:highlight w:val="none"/>
              </w:rPr>
            </w:pPr>
          </w:p>
        </w:tc>
      </w:tr>
      <w:tr w14:paraId="633D5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F48452E">
            <w:pPr>
              <w:pStyle w:val="229"/>
              <w:rPr>
                <w:color w:val="auto"/>
                <w:highlight w:val="none"/>
              </w:rPr>
            </w:pPr>
          </w:p>
        </w:tc>
        <w:tc>
          <w:tcPr>
            <w:tcW w:w="1067" w:type="dxa"/>
          </w:tcPr>
          <w:p w14:paraId="2292CAC2">
            <w:pPr>
              <w:pStyle w:val="229"/>
              <w:rPr>
                <w:color w:val="auto"/>
                <w:highlight w:val="none"/>
              </w:rPr>
            </w:pPr>
          </w:p>
        </w:tc>
        <w:tc>
          <w:tcPr>
            <w:tcW w:w="1450" w:type="dxa"/>
          </w:tcPr>
          <w:p w14:paraId="74792E2B">
            <w:pPr>
              <w:pStyle w:val="229"/>
              <w:rPr>
                <w:color w:val="auto"/>
                <w:highlight w:val="none"/>
              </w:rPr>
            </w:pPr>
          </w:p>
        </w:tc>
        <w:tc>
          <w:tcPr>
            <w:tcW w:w="1243" w:type="dxa"/>
          </w:tcPr>
          <w:p w14:paraId="67ED2294">
            <w:pPr>
              <w:pStyle w:val="229"/>
              <w:rPr>
                <w:color w:val="auto"/>
                <w:highlight w:val="none"/>
              </w:rPr>
            </w:pPr>
          </w:p>
        </w:tc>
        <w:tc>
          <w:tcPr>
            <w:tcW w:w="1450" w:type="dxa"/>
          </w:tcPr>
          <w:p w14:paraId="0F546475">
            <w:pPr>
              <w:pStyle w:val="229"/>
              <w:rPr>
                <w:color w:val="auto"/>
                <w:highlight w:val="none"/>
              </w:rPr>
            </w:pPr>
          </w:p>
        </w:tc>
        <w:tc>
          <w:tcPr>
            <w:tcW w:w="1564" w:type="dxa"/>
          </w:tcPr>
          <w:p w14:paraId="339E8411">
            <w:pPr>
              <w:pStyle w:val="229"/>
              <w:rPr>
                <w:color w:val="auto"/>
                <w:highlight w:val="none"/>
              </w:rPr>
            </w:pPr>
          </w:p>
        </w:tc>
      </w:tr>
      <w:tr w14:paraId="6E15C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43292355">
            <w:pPr>
              <w:pStyle w:val="229"/>
              <w:rPr>
                <w:color w:val="auto"/>
                <w:highlight w:val="none"/>
              </w:rPr>
            </w:pPr>
          </w:p>
        </w:tc>
        <w:tc>
          <w:tcPr>
            <w:tcW w:w="1067" w:type="dxa"/>
            <w:tcBorders>
              <w:bottom w:val="single" w:color="auto" w:sz="12" w:space="0"/>
            </w:tcBorders>
          </w:tcPr>
          <w:p w14:paraId="1C3D5344">
            <w:pPr>
              <w:pStyle w:val="229"/>
              <w:rPr>
                <w:color w:val="auto"/>
                <w:highlight w:val="none"/>
              </w:rPr>
            </w:pPr>
          </w:p>
        </w:tc>
        <w:tc>
          <w:tcPr>
            <w:tcW w:w="1450" w:type="dxa"/>
            <w:tcBorders>
              <w:bottom w:val="single" w:color="auto" w:sz="12" w:space="0"/>
            </w:tcBorders>
          </w:tcPr>
          <w:p w14:paraId="77B013F1">
            <w:pPr>
              <w:pStyle w:val="229"/>
              <w:rPr>
                <w:color w:val="auto"/>
                <w:highlight w:val="none"/>
              </w:rPr>
            </w:pPr>
          </w:p>
        </w:tc>
        <w:tc>
          <w:tcPr>
            <w:tcW w:w="1243" w:type="dxa"/>
            <w:tcBorders>
              <w:bottom w:val="single" w:color="auto" w:sz="12" w:space="0"/>
            </w:tcBorders>
          </w:tcPr>
          <w:p w14:paraId="38FA0641">
            <w:pPr>
              <w:pStyle w:val="229"/>
              <w:rPr>
                <w:color w:val="auto"/>
                <w:highlight w:val="none"/>
              </w:rPr>
            </w:pPr>
          </w:p>
        </w:tc>
        <w:tc>
          <w:tcPr>
            <w:tcW w:w="1450" w:type="dxa"/>
            <w:tcBorders>
              <w:bottom w:val="single" w:color="auto" w:sz="12" w:space="0"/>
            </w:tcBorders>
          </w:tcPr>
          <w:p w14:paraId="6ACEAF45">
            <w:pPr>
              <w:pStyle w:val="229"/>
              <w:rPr>
                <w:color w:val="auto"/>
                <w:highlight w:val="none"/>
              </w:rPr>
            </w:pPr>
          </w:p>
        </w:tc>
        <w:tc>
          <w:tcPr>
            <w:tcW w:w="1564" w:type="dxa"/>
            <w:tcBorders>
              <w:bottom w:val="single" w:color="auto" w:sz="12" w:space="0"/>
            </w:tcBorders>
          </w:tcPr>
          <w:p w14:paraId="1626EB19">
            <w:pPr>
              <w:pStyle w:val="229"/>
              <w:rPr>
                <w:color w:val="auto"/>
                <w:highlight w:val="none"/>
              </w:rPr>
            </w:pPr>
          </w:p>
        </w:tc>
      </w:tr>
    </w:tbl>
    <w:p w14:paraId="54DEBA96">
      <w:pPr>
        <w:pStyle w:val="229"/>
        <w:rPr>
          <w:color w:val="auto"/>
          <w:highlight w:val="none"/>
        </w:rPr>
      </w:pPr>
    </w:p>
    <w:p w14:paraId="7FA8FD1B">
      <w:pPr>
        <w:pStyle w:val="229"/>
        <w:rPr>
          <w:color w:val="auto"/>
          <w:highlight w:val="none"/>
        </w:rPr>
      </w:pPr>
    </w:p>
    <w:p w14:paraId="1102F53D">
      <w:pPr>
        <w:pStyle w:val="229"/>
        <w:rPr>
          <w:color w:val="auto"/>
          <w:highlight w:val="none"/>
        </w:rPr>
      </w:pPr>
    </w:p>
    <w:p w14:paraId="3986E586">
      <w:pPr>
        <w:pStyle w:val="229"/>
        <w:rPr>
          <w:color w:val="auto"/>
          <w:highlight w:val="none"/>
        </w:rPr>
      </w:pPr>
    </w:p>
    <w:p w14:paraId="072020A5">
      <w:pPr>
        <w:pStyle w:val="229"/>
        <w:rPr>
          <w:color w:val="auto"/>
          <w:highlight w:val="none"/>
        </w:rPr>
      </w:pPr>
      <w:r>
        <w:rPr>
          <w:rFonts w:hint="eastAsia"/>
          <w:color w:val="auto"/>
          <w:highlight w:val="none"/>
        </w:rPr>
        <w:t>附件5：</w:t>
      </w:r>
    </w:p>
    <w:p w14:paraId="7691210C">
      <w:pPr>
        <w:pStyle w:val="229"/>
        <w:ind w:firstLine="562"/>
        <w:jc w:val="center"/>
        <w:rPr>
          <w:b/>
          <w:bCs/>
          <w:color w:val="auto"/>
          <w:sz w:val="28"/>
          <w:szCs w:val="28"/>
          <w:highlight w:val="none"/>
        </w:rPr>
      </w:pPr>
      <w:r>
        <w:rPr>
          <w:rFonts w:hint="eastAsia"/>
          <w:b/>
          <w:bCs/>
          <w:color w:val="auto"/>
          <w:sz w:val="28"/>
          <w:szCs w:val="28"/>
          <w:highlight w:val="none"/>
        </w:rPr>
        <w:t>承包人用于本工程施工的机械设备表</w:t>
      </w:r>
    </w:p>
    <w:tbl>
      <w:tblPr>
        <w:tblStyle w:val="46"/>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85" w:type="dxa"/>
          <w:bottom w:w="0" w:type="dxa"/>
          <w:right w:w="85" w:type="dxa"/>
        </w:tblCellMar>
      </w:tblPr>
      <w:tblGrid>
        <w:gridCol w:w="616"/>
        <w:gridCol w:w="2032"/>
        <w:gridCol w:w="1280"/>
        <w:gridCol w:w="653"/>
        <w:gridCol w:w="735"/>
        <w:gridCol w:w="812"/>
        <w:gridCol w:w="1042"/>
        <w:gridCol w:w="743"/>
        <w:gridCol w:w="1072"/>
        <w:gridCol w:w="712"/>
      </w:tblGrid>
      <w:tr w14:paraId="1A46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90"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38ADB1A9">
            <w:pPr>
              <w:jc w:val="center"/>
              <w:rPr>
                <w:color w:val="auto"/>
                <w:highlight w:val="none"/>
              </w:rPr>
            </w:pPr>
            <w:r>
              <w:rPr>
                <w:rFonts w:hint="eastAsia"/>
                <w:color w:val="auto"/>
                <w:highlight w:val="none"/>
              </w:rPr>
              <w:t>序号</w:t>
            </w:r>
          </w:p>
        </w:tc>
        <w:tc>
          <w:tcPr>
            <w:tcW w:w="1046" w:type="pct"/>
            <w:tcBorders>
              <w:top w:val="single" w:color="000000" w:sz="6" w:space="0"/>
              <w:left w:val="nil"/>
              <w:bottom w:val="single" w:color="000000" w:sz="6" w:space="0"/>
              <w:right w:val="single" w:color="000000" w:sz="6" w:space="0"/>
            </w:tcBorders>
            <w:vAlign w:val="center"/>
          </w:tcPr>
          <w:p w14:paraId="7A85743C">
            <w:pPr>
              <w:jc w:val="center"/>
              <w:rPr>
                <w:color w:val="auto"/>
                <w:highlight w:val="none"/>
              </w:rPr>
            </w:pPr>
            <w:r>
              <w:rPr>
                <w:rFonts w:hint="eastAsia"/>
                <w:color w:val="auto"/>
                <w:highlight w:val="none"/>
              </w:rPr>
              <w:t>机械或设备名称</w:t>
            </w:r>
          </w:p>
        </w:tc>
        <w:tc>
          <w:tcPr>
            <w:tcW w:w="659" w:type="pct"/>
            <w:tcBorders>
              <w:top w:val="single" w:color="000000" w:sz="6" w:space="0"/>
              <w:left w:val="nil"/>
              <w:bottom w:val="single" w:color="000000" w:sz="6" w:space="0"/>
              <w:right w:val="single" w:color="000000" w:sz="6" w:space="0"/>
            </w:tcBorders>
            <w:vAlign w:val="center"/>
          </w:tcPr>
          <w:p w14:paraId="6CC92BD0">
            <w:pPr>
              <w:jc w:val="center"/>
              <w:rPr>
                <w:color w:val="auto"/>
                <w:highlight w:val="none"/>
              </w:rPr>
            </w:pPr>
            <w:r>
              <w:rPr>
                <w:rFonts w:hint="eastAsia"/>
                <w:color w:val="auto"/>
                <w:highlight w:val="none"/>
              </w:rPr>
              <w:t>型号规格</w:t>
            </w:r>
          </w:p>
        </w:tc>
        <w:tc>
          <w:tcPr>
            <w:tcW w:w="337" w:type="pct"/>
            <w:tcBorders>
              <w:top w:val="single" w:color="000000" w:sz="6" w:space="0"/>
              <w:left w:val="nil"/>
              <w:bottom w:val="single" w:color="000000" w:sz="6" w:space="0"/>
              <w:right w:val="single" w:color="000000" w:sz="6" w:space="0"/>
            </w:tcBorders>
            <w:vAlign w:val="center"/>
          </w:tcPr>
          <w:p w14:paraId="7CA2BAE0">
            <w:pPr>
              <w:jc w:val="center"/>
              <w:rPr>
                <w:color w:val="auto"/>
                <w:highlight w:val="none"/>
              </w:rPr>
            </w:pPr>
            <w:r>
              <w:rPr>
                <w:rFonts w:hint="eastAsia"/>
                <w:color w:val="auto"/>
                <w:highlight w:val="none"/>
              </w:rPr>
              <w:t>数量</w:t>
            </w:r>
          </w:p>
        </w:tc>
        <w:tc>
          <w:tcPr>
            <w:tcW w:w="379" w:type="pct"/>
            <w:tcBorders>
              <w:top w:val="single" w:color="000000" w:sz="6" w:space="0"/>
              <w:left w:val="nil"/>
              <w:bottom w:val="single" w:color="000000" w:sz="6" w:space="0"/>
              <w:right w:val="single" w:color="000000" w:sz="6" w:space="0"/>
            </w:tcBorders>
            <w:vAlign w:val="center"/>
          </w:tcPr>
          <w:p w14:paraId="09E82E5F">
            <w:pPr>
              <w:jc w:val="center"/>
              <w:rPr>
                <w:color w:val="auto"/>
                <w:highlight w:val="none"/>
              </w:rPr>
            </w:pPr>
            <w:r>
              <w:rPr>
                <w:rFonts w:hint="eastAsia"/>
                <w:color w:val="auto"/>
                <w:highlight w:val="none"/>
              </w:rPr>
              <w:t>国别</w:t>
            </w:r>
          </w:p>
          <w:p w14:paraId="2B47A3E4">
            <w:pPr>
              <w:jc w:val="center"/>
              <w:rPr>
                <w:color w:val="auto"/>
                <w:highlight w:val="none"/>
              </w:rPr>
            </w:pPr>
            <w:r>
              <w:rPr>
                <w:rFonts w:hint="eastAsia"/>
                <w:color w:val="auto"/>
                <w:highlight w:val="none"/>
              </w:rPr>
              <w:t>产地</w:t>
            </w:r>
          </w:p>
        </w:tc>
        <w:tc>
          <w:tcPr>
            <w:tcW w:w="419" w:type="pct"/>
            <w:tcBorders>
              <w:top w:val="single" w:color="000000" w:sz="6" w:space="0"/>
              <w:left w:val="nil"/>
              <w:bottom w:val="single" w:color="000000" w:sz="6" w:space="0"/>
              <w:right w:val="single" w:color="000000" w:sz="6" w:space="0"/>
            </w:tcBorders>
            <w:vAlign w:val="center"/>
          </w:tcPr>
          <w:p w14:paraId="76673033">
            <w:pPr>
              <w:jc w:val="center"/>
              <w:rPr>
                <w:color w:val="auto"/>
                <w:highlight w:val="none"/>
              </w:rPr>
            </w:pPr>
            <w:r>
              <w:rPr>
                <w:rFonts w:hint="eastAsia"/>
                <w:color w:val="auto"/>
                <w:highlight w:val="none"/>
              </w:rPr>
              <w:t>制造</w:t>
            </w:r>
          </w:p>
          <w:p w14:paraId="6FB11494">
            <w:pPr>
              <w:jc w:val="center"/>
              <w:rPr>
                <w:color w:val="auto"/>
                <w:highlight w:val="none"/>
              </w:rPr>
            </w:pPr>
            <w:r>
              <w:rPr>
                <w:rFonts w:hint="eastAsia"/>
                <w:color w:val="auto"/>
                <w:highlight w:val="none"/>
              </w:rPr>
              <w:t>年份</w:t>
            </w:r>
          </w:p>
        </w:tc>
        <w:tc>
          <w:tcPr>
            <w:tcW w:w="536" w:type="pct"/>
            <w:tcBorders>
              <w:top w:val="single" w:color="000000" w:sz="6" w:space="0"/>
              <w:left w:val="nil"/>
              <w:bottom w:val="single" w:color="000000" w:sz="6" w:space="0"/>
              <w:right w:val="single" w:color="000000" w:sz="6" w:space="0"/>
            </w:tcBorders>
            <w:vAlign w:val="center"/>
          </w:tcPr>
          <w:p w14:paraId="776F5BF0">
            <w:pPr>
              <w:jc w:val="center"/>
              <w:rPr>
                <w:color w:val="auto"/>
                <w:highlight w:val="none"/>
              </w:rPr>
            </w:pPr>
            <w:r>
              <w:rPr>
                <w:rFonts w:hint="eastAsia"/>
                <w:color w:val="auto"/>
                <w:highlight w:val="none"/>
              </w:rPr>
              <w:t>额定功率（kW）</w:t>
            </w:r>
          </w:p>
        </w:tc>
        <w:tc>
          <w:tcPr>
            <w:tcW w:w="383" w:type="pct"/>
            <w:tcBorders>
              <w:top w:val="single" w:color="000000" w:sz="6" w:space="0"/>
              <w:left w:val="nil"/>
              <w:bottom w:val="single" w:color="000000" w:sz="6" w:space="0"/>
              <w:right w:val="single" w:color="000000" w:sz="6" w:space="0"/>
            </w:tcBorders>
            <w:vAlign w:val="center"/>
          </w:tcPr>
          <w:p w14:paraId="0626EEDE">
            <w:pPr>
              <w:jc w:val="center"/>
              <w:rPr>
                <w:color w:val="auto"/>
                <w:highlight w:val="none"/>
              </w:rPr>
            </w:pPr>
            <w:r>
              <w:rPr>
                <w:rFonts w:hint="eastAsia"/>
                <w:color w:val="auto"/>
                <w:highlight w:val="none"/>
              </w:rPr>
              <w:t>生产</w:t>
            </w:r>
          </w:p>
          <w:p w14:paraId="1EA664B0">
            <w:pPr>
              <w:jc w:val="center"/>
              <w:rPr>
                <w:color w:val="auto"/>
                <w:highlight w:val="none"/>
              </w:rPr>
            </w:pPr>
            <w:r>
              <w:rPr>
                <w:rFonts w:hint="eastAsia"/>
                <w:color w:val="auto"/>
                <w:highlight w:val="none"/>
              </w:rPr>
              <w:t>能力</w:t>
            </w:r>
          </w:p>
        </w:tc>
        <w:tc>
          <w:tcPr>
            <w:tcW w:w="552" w:type="pct"/>
            <w:tcBorders>
              <w:top w:val="single" w:color="000000" w:sz="6" w:space="0"/>
              <w:left w:val="nil"/>
              <w:bottom w:val="single" w:color="000000" w:sz="6" w:space="0"/>
              <w:right w:val="single" w:color="000000" w:sz="6" w:space="0"/>
            </w:tcBorders>
            <w:vAlign w:val="center"/>
          </w:tcPr>
          <w:p w14:paraId="70716397">
            <w:pPr>
              <w:jc w:val="center"/>
              <w:rPr>
                <w:color w:val="auto"/>
                <w:highlight w:val="none"/>
              </w:rPr>
            </w:pPr>
            <w:r>
              <w:rPr>
                <w:rFonts w:hint="eastAsia"/>
                <w:color w:val="auto"/>
                <w:highlight w:val="none"/>
              </w:rPr>
              <w:t>用于施工部位</w:t>
            </w:r>
          </w:p>
        </w:tc>
        <w:tc>
          <w:tcPr>
            <w:tcW w:w="367" w:type="pct"/>
            <w:tcBorders>
              <w:top w:val="single" w:color="000000" w:sz="6" w:space="0"/>
              <w:left w:val="nil"/>
              <w:bottom w:val="single" w:color="000000" w:sz="6" w:space="0"/>
              <w:right w:val="single" w:color="000000" w:sz="6" w:space="0"/>
            </w:tcBorders>
            <w:vAlign w:val="center"/>
          </w:tcPr>
          <w:p w14:paraId="490685C6">
            <w:pPr>
              <w:jc w:val="center"/>
              <w:rPr>
                <w:color w:val="auto"/>
                <w:highlight w:val="none"/>
              </w:rPr>
            </w:pPr>
            <w:r>
              <w:rPr>
                <w:rFonts w:hint="eastAsia"/>
                <w:color w:val="auto"/>
                <w:highlight w:val="none"/>
              </w:rPr>
              <w:t>备注</w:t>
            </w:r>
          </w:p>
        </w:tc>
      </w:tr>
      <w:tr w14:paraId="05674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D5BF634">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3C00E44F">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0943861E">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7E7CD116">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56E2EEF">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3F0B36B4">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2C3E73D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72EF5194">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2197D5F">
            <w:pPr>
              <w:rPr>
                <w:color w:val="auto"/>
                <w:highlight w:val="none"/>
              </w:rPr>
            </w:pPr>
          </w:p>
          <w:p w14:paraId="06EB80DA">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13BAEEC9">
            <w:pPr>
              <w:rPr>
                <w:color w:val="auto"/>
                <w:highlight w:val="none"/>
              </w:rPr>
            </w:pPr>
          </w:p>
        </w:tc>
      </w:tr>
      <w:tr w14:paraId="054F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65694C6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3A5508F">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8102D7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FAC9B20">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0BC7E841">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0F25BFFC">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642ED21">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408FE8E0">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BE5A3B4">
            <w:pPr>
              <w:rPr>
                <w:color w:val="auto"/>
                <w:highlight w:val="none"/>
              </w:rPr>
            </w:pPr>
          </w:p>
          <w:p w14:paraId="63C6116C">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0973EC4">
            <w:pPr>
              <w:rPr>
                <w:color w:val="auto"/>
                <w:highlight w:val="none"/>
              </w:rPr>
            </w:pPr>
          </w:p>
        </w:tc>
      </w:tr>
      <w:tr w14:paraId="6FB6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E8F041B">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2F9D797E">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74AB003">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174F49BF">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7CCD204">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67A1D50B">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676EEEC">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BB8AB19">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688D657">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A93B5E6">
            <w:pPr>
              <w:rPr>
                <w:color w:val="auto"/>
                <w:highlight w:val="none"/>
              </w:rPr>
            </w:pPr>
          </w:p>
        </w:tc>
      </w:tr>
      <w:tr w14:paraId="3554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3914658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5E87FA55">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219B663F">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61AE50C8">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775DF6F3">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6AD7B080">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F9B11D0">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B074762">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14A46F4">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2990DC01">
            <w:pPr>
              <w:rPr>
                <w:color w:val="auto"/>
                <w:highlight w:val="none"/>
              </w:rPr>
            </w:pPr>
          </w:p>
        </w:tc>
      </w:tr>
      <w:tr w14:paraId="2AD8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1213C550">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B854789">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316127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60CEFB7A">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7F926383">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E00A3E2">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99BE25A">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1C477AF4">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7D449776">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B738C3E">
            <w:pPr>
              <w:rPr>
                <w:color w:val="auto"/>
                <w:highlight w:val="none"/>
              </w:rPr>
            </w:pPr>
          </w:p>
        </w:tc>
      </w:tr>
      <w:tr w14:paraId="37F0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3BE33DD6">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17C813D6">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71ADAB17">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E8993F5">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6EFDE88E">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DCF8587">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D423BEC">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101A932">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27C4C28D">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2685777">
            <w:pPr>
              <w:rPr>
                <w:color w:val="auto"/>
                <w:highlight w:val="none"/>
              </w:rPr>
            </w:pPr>
          </w:p>
        </w:tc>
      </w:tr>
      <w:tr w14:paraId="64B39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188FE3A1">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631C44D1">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E890202">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791ED8C5">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F6EF9CD">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F71E73E">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FC11116">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0CB9517C">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C77C961">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A756514">
            <w:pPr>
              <w:rPr>
                <w:color w:val="auto"/>
                <w:highlight w:val="none"/>
              </w:rPr>
            </w:pPr>
          </w:p>
        </w:tc>
      </w:tr>
      <w:tr w14:paraId="4BEB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59C57CF3">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8575BE2">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A6CAC4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6198B43">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D006C06">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043CDE20">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2E223117">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70C2136C">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0700ECB">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5F465A0">
            <w:pPr>
              <w:rPr>
                <w:color w:val="auto"/>
                <w:highlight w:val="none"/>
              </w:rPr>
            </w:pPr>
          </w:p>
        </w:tc>
      </w:tr>
      <w:tr w14:paraId="2D13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613A0FF">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5A1430B3">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539D299A">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4F51EC56">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4E46E98">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A737E69">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BC536A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7CF24A0">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20BCD42F">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724E28C">
            <w:pPr>
              <w:rPr>
                <w:color w:val="auto"/>
                <w:highlight w:val="none"/>
              </w:rPr>
            </w:pPr>
          </w:p>
        </w:tc>
      </w:tr>
      <w:tr w14:paraId="78E7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6CF905E4">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2863F6F0">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E051973">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44AE1676">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65A083DB">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59EF6457">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FE93A24">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41685D6E">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BD52372">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1ABDA821">
            <w:pPr>
              <w:rPr>
                <w:color w:val="auto"/>
                <w:highlight w:val="none"/>
              </w:rPr>
            </w:pPr>
          </w:p>
        </w:tc>
      </w:tr>
      <w:tr w14:paraId="41921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6CD96A2C">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6BCB1816">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967F8CE">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4C0D791">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051AC2A0">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6EA92BA5">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6AFC49A2">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6BA1ACE2">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4723CA2">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1D8CE74C">
            <w:pPr>
              <w:rPr>
                <w:color w:val="auto"/>
                <w:highlight w:val="none"/>
              </w:rPr>
            </w:pPr>
          </w:p>
        </w:tc>
      </w:tr>
      <w:tr w14:paraId="2CF7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1D7A48B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77449474">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D002FA3">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2B303FAE">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7507CA47">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6E7FE5A">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4D15A693">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2A4341C">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007006CB">
            <w:pPr>
              <w:rPr>
                <w:color w:val="auto"/>
                <w:highlight w:val="none"/>
              </w:rPr>
            </w:pPr>
          </w:p>
          <w:p w14:paraId="64C14D72">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66C4F4FD">
            <w:pPr>
              <w:rPr>
                <w:color w:val="auto"/>
                <w:highlight w:val="none"/>
              </w:rPr>
            </w:pPr>
          </w:p>
        </w:tc>
      </w:tr>
      <w:tr w14:paraId="431B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FE00289">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3FCE189D">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6093068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036DDABC">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86D1D8A">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7D12F64B">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5B7FA02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4A307474">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FF05005">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13AAD68">
            <w:pPr>
              <w:rPr>
                <w:color w:val="auto"/>
                <w:highlight w:val="none"/>
              </w:rPr>
            </w:pPr>
          </w:p>
        </w:tc>
      </w:tr>
      <w:tr w14:paraId="6B96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023D7852">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B3D817D">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519D4585">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1980D720">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7EC9ACAE">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9F2890C">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08805253">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DE30023">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48890B37">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4C802847">
            <w:pPr>
              <w:rPr>
                <w:color w:val="auto"/>
                <w:highlight w:val="none"/>
              </w:rPr>
            </w:pPr>
          </w:p>
        </w:tc>
      </w:tr>
      <w:tr w14:paraId="1E11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603E247">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E0CBD19">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19BF32F0">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711E645">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64BBD109">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44F3CA9">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ED6D292">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52590733">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3C761967">
            <w:pPr>
              <w:rPr>
                <w:color w:val="auto"/>
                <w:highlight w:val="none"/>
              </w:rPr>
            </w:pPr>
          </w:p>
          <w:p w14:paraId="19B95126">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756AD247">
            <w:pPr>
              <w:rPr>
                <w:color w:val="auto"/>
                <w:highlight w:val="none"/>
              </w:rPr>
            </w:pPr>
          </w:p>
        </w:tc>
      </w:tr>
      <w:tr w14:paraId="47D1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2FAACF8E">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46E956BF">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00B1C744">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3F362211">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1AC5C005">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2F643697">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28F103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56E64F3">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7239CFC">
            <w:pPr>
              <w:rPr>
                <w:color w:val="auto"/>
                <w:highlight w:val="none"/>
              </w:rPr>
            </w:pPr>
          </w:p>
          <w:p w14:paraId="5C4A602A">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2C580553">
            <w:pPr>
              <w:rPr>
                <w:color w:val="auto"/>
                <w:highlight w:val="none"/>
              </w:rPr>
            </w:pPr>
          </w:p>
        </w:tc>
      </w:tr>
      <w:tr w14:paraId="3CA09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382E402D">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6160CDB2">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59C00D37">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37C7D1DF">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07CB1827">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56A563B">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2B7AC28B">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1F860F50">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7506281B">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83D8EEB">
            <w:pPr>
              <w:rPr>
                <w:color w:val="auto"/>
                <w:highlight w:val="none"/>
              </w:rPr>
            </w:pPr>
          </w:p>
        </w:tc>
      </w:tr>
      <w:tr w14:paraId="4BFE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6FFB988">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4B7D93C3">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2B9A7556">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F942162">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50D18ED5">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1261603E">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3CB5DC5A">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27D33A85">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D78C147">
            <w:pPr>
              <w:rPr>
                <w:color w:val="auto"/>
                <w:highlight w:val="none"/>
              </w:rPr>
            </w:pPr>
          </w:p>
          <w:p w14:paraId="4C9BAD24">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0B4E0ABC">
            <w:pPr>
              <w:rPr>
                <w:color w:val="auto"/>
                <w:highlight w:val="none"/>
              </w:rPr>
            </w:pPr>
          </w:p>
        </w:tc>
      </w:tr>
      <w:tr w14:paraId="3683F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CBA06A0">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79D2782">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3301519C">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4A4AE07">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4CB53303">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5E72C637">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742B1ACC">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34AFF6C0">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5D99FA4A">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7723E137">
            <w:pPr>
              <w:rPr>
                <w:color w:val="auto"/>
                <w:highlight w:val="none"/>
              </w:rPr>
            </w:pPr>
          </w:p>
        </w:tc>
      </w:tr>
      <w:tr w14:paraId="17E69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317" w:type="pct"/>
            <w:tcBorders>
              <w:top w:val="single" w:color="000000" w:sz="6" w:space="0"/>
              <w:left w:val="single" w:color="000000" w:sz="6" w:space="0"/>
              <w:bottom w:val="single" w:color="000000" w:sz="6" w:space="0"/>
              <w:right w:val="single" w:color="000000" w:sz="6" w:space="0"/>
            </w:tcBorders>
            <w:vAlign w:val="center"/>
          </w:tcPr>
          <w:p w14:paraId="7EA45EB3">
            <w:pPr>
              <w:rPr>
                <w:color w:val="auto"/>
                <w:highlight w:val="none"/>
              </w:rPr>
            </w:pPr>
          </w:p>
        </w:tc>
        <w:tc>
          <w:tcPr>
            <w:tcW w:w="1046" w:type="pct"/>
            <w:tcBorders>
              <w:top w:val="single" w:color="000000" w:sz="6" w:space="0"/>
              <w:left w:val="nil"/>
              <w:bottom w:val="single" w:color="000000" w:sz="6" w:space="0"/>
              <w:right w:val="single" w:color="000000" w:sz="6" w:space="0"/>
            </w:tcBorders>
            <w:vAlign w:val="center"/>
          </w:tcPr>
          <w:p w14:paraId="02D1F39D">
            <w:pPr>
              <w:rPr>
                <w:color w:val="auto"/>
                <w:highlight w:val="none"/>
              </w:rPr>
            </w:pPr>
          </w:p>
        </w:tc>
        <w:tc>
          <w:tcPr>
            <w:tcW w:w="659" w:type="pct"/>
            <w:tcBorders>
              <w:top w:val="single" w:color="000000" w:sz="6" w:space="0"/>
              <w:left w:val="nil"/>
              <w:bottom w:val="single" w:color="000000" w:sz="6" w:space="0"/>
              <w:right w:val="single" w:color="000000" w:sz="6" w:space="0"/>
            </w:tcBorders>
            <w:vAlign w:val="center"/>
          </w:tcPr>
          <w:p w14:paraId="4B7B87CE">
            <w:pPr>
              <w:rPr>
                <w:color w:val="auto"/>
                <w:highlight w:val="none"/>
              </w:rPr>
            </w:pPr>
          </w:p>
        </w:tc>
        <w:tc>
          <w:tcPr>
            <w:tcW w:w="337" w:type="pct"/>
            <w:tcBorders>
              <w:top w:val="single" w:color="000000" w:sz="6" w:space="0"/>
              <w:left w:val="nil"/>
              <w:bottom w:val="single" w:color="000000" w:sz="6" w:space="0"/>
              <w:right w:val="single" w:color="000000" w:sz="6" w:space="0"/>
            </w:tcBorders>
            <w:vAlign w:val="center"/>
          </w:tcPr>
          <w:p w14:paraId="5D15C566">
            <w:pPr>
              <w:rPr>
                <w:color w:val="auto"/>
                <w:highlight w:val="none"/>
              </w:rPr>
            </w:pPr>
          </w:p>
        </w:tc>
        <w:tc>
          <w:tcPr>
            <w:tcW w:w="379" w:type="pct"/>
            <w:tcBorders>
              <w:top w:val="single" w:color="000000" w:sz="6" w:space="0"/>
              <w:left w:val="nil"/>
              <w:bottom w:val="single" w:color="000000" w:sz="6" w:space="0"/>
              <w:right w:val="single" w:color="000000" w:sz="6" w:space="0"/>
            </w:tcBorders>
            <w:vAlign w:val="center"/>
          </w:tcPr>
          <w:p w14:paraId="2742C98D">
            <w:pPr>
              <w:rPr>
                <w:color w:val="auto"/>
                <w:highlight w:val="none"/>
              </w:rPr>
            </w:pPr>
          </w:p>
        </w:tc>
        <w:tc>
          <w:tcPr>
            <w:tcW w:w="419" w:type="pct"/>
            <w:tcBorders>
              <w:top w:val="single" w:color="000000" w:sz="6" w:space="0"/>
              <w:left w:val="nil"/>
              <w:bottom w:val="single" w:color="000000" w:sz="6" w:space="0"/>
              <w:right w:val="single" w:color="000000" w:sz="6" w:space="0"/>
            </w:tcBorders>
            <w:vAlign w:val="center"/>
          </w:tcPr>
          <w:p w14:paraId="483AE47D">
            <w:pPr>
              <w:rPr>
                <w:color w:val="auto"/>
                <w:highlight w:val="none"/>
              </w:rPr>
            </w:pPr>
          </w:p>
        </w:tc>
        <w:tc>
          <w:tcPr>
            <w:tcW w:w="536" w:type="pct"/>
            <w:tcBorders>
              <w:top w:val="single" w:color="000000" w:sz="6" w:space="0"/>
              <w:left w:val="nil"/>
              <w:bottom w:val="single" w:color="000000" w:sz="6" w:space="0"/>
              <w:right w:val="single" w:color="000000" w:sz="6" w:space="0"/>
            </w:tcBorders>
            <w:vAlign w:val="center"/>
          </w:tcPr>
          <w:p w14:paraId="165C6714">
            <w:pPr>
              <w:rPr>
                <w:color w:val="auto"/>
                <w:highlight w:val="none"/>
              </w:rPr>
            </w:pPr>
          </w:p>
        </w:tc>
        <w:tc>
          <w:tcPr>
            <w:tcW w:w="383" w:type="pct"/>
            <w:tcBorders>
              <w:top w:val="single" w:color="000000" w:sz="6" w:space="0"/>
              <w:left w:val="nil"/>
              <w:bottom w:val="single" w:color="000000" w:sz="6" w:space="0"/>
              <w:right w:val="single" w:color="000000" w:sz="6" w:space="0"/>
            </w:tcBorders>
            <w:vAlign w:val="center"/>
          </w:tcPr>
          <w:p w14:paraId="71EB31AB">
            <w:pPr>
              <w:rPr>
                <w:color w:val="auto"/>
                <w:highlight w:val="none"/>
              </w:rPr>
            </w:pPr>
          </w:p>
        </w:tc>
        <w:tc>
          <w:tcPr>
            <w:tcW w:w="552" w:type="pct"/>
            <w:tcBorders>
              <w:top w:val="single" w:color="000000" w:sz="6" w:space="0"/>
              <w:left w:val="nil"/>
              <w:bottom w:val="single" w:color="000000" w:sz="6" w:space="0"/>
              <w:right w:val="single" w:color="000000" w:sz="6" w:space="0"/>
            </w:tcBorders>
            <w:vAlign w:val="center"/>
          </w:tcPr>
          <w:p w14:paraId="66DD714B">
            <w:pPr>
              <w:rPr>
                <w:color w:val="auto"/>
                <w:highlight w:val="none"/>
              </w:rPr>
            </w:pPr>
          </w:p>
        </w:tc>
        <w:tc>
          <w:tcPr>
            <w:tcW w:w="367" w:type="pct"/>
            <w:tcBorders>
              <w:top w:val="single" w:color="000000" w:sz="6" w:space="0"/>
              <w:left w:val="nil"/>
              <w:bottom w:val="single" w:color="000000" w:sz="6" w:space="0"/>
              <w:right w:val="single" w:color="000000" w:sz="6" w:space="0"/>
            </w:tcBorders>
            <w:vAlign w:val="center"/>
          </w:tcPr>
          <w:p w14:paraId="585033F8">
            <w:pPr>
              <w:rPr>
                <w:color w:val="auto"/>
                <w:highlight w:val="none"/>
              </w:rPr>
            </w:pPr>
          </w:p>
        </w:tc>
      </w:tr>
    </w:tbl>
    <w:p w14:paraId="041ED0F9">
      <w:pPr>
        <w:pStyle w:val="229"/>
        <w:rPr>
          <w:color w:val="auto"/>
          <w:highlight w:val="none"/>
        </w:rPr>
      </w:pPr>
    </w:p>
    <w:p w14:paraId="2D438B05">
      <w:pPr>
        <w:pStyle w:val="229"/>
        <w:rPr>
          <w:color w:val="auto"/>
          <w:highlight w:val="none"/>
        </w:rPr>
        <w:sectPr>
          <w:pgSz w:w="11906" w:h="16838"/>
          <w:pgMar w:top="935" w:right="1106" w:bottom="1440" w:left="1260" w:header="851" w:footer="992" w:gutter="0"/>
          <w:cols w:space="720" w:num="1"/>
          <w:docGrid w:type="lines" w:linePitch="312" w:charSpace="0"/>
        </w:sectPr>
      </w:pPr>
    </w:p>
    <w:p w14:paraId="1338F8E4">
      <w:pPr>
        <w:pStyle w:val="229"/>
        <w:rPr>
          <w:color w:val="auto"/>
          <w:highlight w:val="none"/>
        </w:rPr>
      </w:pPr>
      <w:r>
        <w:rPr>
          <w:rFonts w:hint="eastAsia"/>
          <w:color w:val="auto"/>
          <w:highlight w:val="none"/>
        </w:rPr>
        <w:t xml:space="preserve">附件6：      </w:t>
      </w:r>
    </w:p>
    <w:p w14:paraId="0BB0ED8A">
      <w:pPr>
        <w:pStyle w:val="229"/>
        <w:ind w:firstLine="562"/>
        <w:jc w:val="center"/>
        <w:rPr>
          <w:b/>
          <w:bCs/>
          <w:color w:val="auto"/>
          <w:sz w:val="28"/>
          <w:szCs w:val="28"/>
          <w:highlight w:val="none"/>
        </w:rPr>
      </w:pPr>
      <w:r>
        <w:rPr>
          <w:rFonts w:hint="eastAsia"/>
          <w:b/>
          <w:bCs/>
          <w:color w:val="auto"/>
          <w:sz w:val="28"/>
          <w:szCs w:val="28"/>
          <w:highlight w:val="none"/>
        </w:rPr>
        <w:t>承包人主要施工管理人员表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64A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D958F24">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vAlign w:val="center"/>
          </w:tcPr>
          <w:p w14:paraId="0DA120E9">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vAlign w:val="center"/>
          </w:tcPr>
          <w:p w14:paraId="79785366">
            <w:pPr>
              <w:pStyle w:val="19"/>
              <w:keepNext/>
              <w:spacing w:after="0" w:line="440" w:lineRule="exact"/>
              <w:ind w:left="63" w:right="63"/>
              <w:jc w:val="center"/>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18245835">
            <w:pPr>
              <w:pStyle w:val="19"/>
              <w:keepNext/>
              <w:spacing w:after="0" w:line="440" w:lineRule="exact"/>
              <w:ind w:left="63" w:right="63"/>
              <w:jc w:val="center"/>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4558AF50">
            <w:pPr>
              <w:pStyle w:val="19"/>
              <w:keepNext/>
              <w:spacing w:after="0" w:line="440" w:lineRule="exact"/>
              <w:ind w:right="63"/>
              <w:jc w:val="center"/>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0F69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ED93F96">
            <w:pPr>
              <w:pStyle w:val="1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4ABD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6F03BF">
            <w:pPr>
              <w:pStyle w:val="1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vAlign w:val="center"/>
          </w:tcPr>
          <w:p w14:paraId="36EF9CD1">
            <w:pPr>
              <w:pStyle w:val="19"/>
              <w:keepNext/>
              <w:spacing w:after="0" w:line="440" w:lineRule="exact"/>
              <w:ind w:left="63" w:right="63"/>
              <w:rPr>
                <w:rFonts w:eastAsia="仿宋_GB2312"/>
                <w:color w:val="auto"/>
                <w:sz w:val="28"/>
                <w:szCs w:val="28"/>
                <w:highlight w:val="none"/>
              </w:rPr>
            </w:pPr>
          </w:p>
        </w:tc>
        <w:tc>
          <w:tcPr>
            <w:tcW w:w="1134" w:type="dxa"/>
            <w:vAlign w:val="center"/>
          </w:tcPr>
          <w:p w14:paraId="215FBD05">
            <w:pPr>
              <w:pStyle w:val="19"/>
              <w:keepNext/>
              <w:spacing w:after="0" w:line="440" w:lineRule="exact"/>
              <w:ind w:left="63" w:right="63"/>
              <w:rPr>
                <w:rFonts w:eastAsia="仿宋_GB2312"/>
                <w:color w:val="auto"/>
                <w:sz w:val="30"/>
                <w:szCs w:val="30"/>
                <w:highlight w:val="none"/>
              </w:rPr>
            </w:pPr>
          </w:p>
        </w:tc>
        <w:tc>
          <w:tcPr>
            <w:tcW w:w="1134" w:type="dxa"/>
            <w:vAlign w:val="center"/>
          </w:tcPr>
          <w:p w14:paraId="70E31A0B">
            <w:pPr>
              <w:pStyle w:val="19"/>
              <w:keepNext/>
              <w:spacing w:after="0" w:line="440" w:lineRule="exact"/>
              <w:ind w:left="63" w:right="63"/>
              <w:rPr>
                <w:rFonts w:eastAsia="仿宋_GB2312"/>
                <w:color w:val="auto"/>
                <w:sz w:val="30"/>
                <w:szCs w:val="30"/>
                <w:highlight w:val="none"/>
              </w:rPr>
            </w:pPr>
          </w:p>
        </w:tc>
        <w:tc>
          <w:tcPr>
            <w:tcW w:w="4252" w:type="dxa"/>
            <w:vAlign w:val="center"/>
          </w:tcPr>
          <w:p w14:paraId="536AFECC">
            <w:pPr>
              <w:pStyle w:val="19"/>
              <w:keepNext/>
              <w:spacing w:after="0" w:line="440" w:lineRule="exact"/>
              <w:ind w:left="63" w:right="63"/>
              <w:rPr>
                <w:rFonts w:eastAsia="仿宋_GB2312"/>
                <w:color w:val="auto"/>
                <w:sz w:val="30"/>
                <w:szCs w:val="30"/>
                <w:highlight w:val="none"/>
              </w:rPr>
            </w:pPr>
          </w:p>
        </w:tc>
      </w:tr>
      <w:tr w14:paraId="203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B96FAFB">
            <w:pPr>
              <w:pStyle w:val="1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vAlign w:val="center"/>
          </w:tcPr>
          <w:p w14:paraId="1A2757DC">
            <w:pPr>
              <w:pStyle w:val="19"/>
              <w:keepNext/>
              <w:spacing w:after="0" w:line="440" w:lineRule="exact"/>
              <w:ind w:left="63" w:right="63"/>
              <w:rPr>
                <w:rFonts w:eastAsia="仿宋_GB2312"/>
                <w:color w:val="auto"/>
                <w:sz w:val="28"/>
                <w:szCs w:val="28"/>
                <w:highlight w:val="none"/>
              </w:rPr>
            </w:pPr>
          </w:p>
        </w:tc>
        <w:tc>
          <w:tcPr>
            <w:tcW w:w="1134" w:type="dxa"/>
            <w:vAlign w:val="center"/>
          </w:tcPr>
          <w:p w14:paraId="72626351">
            <w:pPr>
              <w:pStyle w:val="19"/>
              <w:keepNext/>
              <w:spacing w:after="0" w:line="440" w:lineRule="exact"/>
              <w:ind w:left="63" w:right="63"/>
              <w:rPr>
                <w:rFonts w:eastAsia="仿宋_GB2312"/>
                <w:color w:val="auto"/>
                <w:sz w:val="30"/>
                <w:szCs w:val="30"/>
                <w:highlight w:val="none"/>
              </w:rPr>
            </w:pPr>
          </w:p>
        </w:tc>
        <w:tc>
          <w:tcPr>
            <w:tcW w:w="1134" w:type="dxa"/>
            <w:vAlign w:val="center"/>
          </w:tcPr>
          <w:p w14:paraId="438916CF">
            <w:pPr>
              <w:pStyle w:val="19"/>
              <w:keepNext/>
              <w:spacing w:after="0" w:line="440" w:lineRule="exact"/>
              <w:ind w:left="63" w:right="63"/>
              <w:rPr>
                <w:rFonts w:eastAsia="仿宋_GB2312"/>
                <w:color w:val="auto"/>
                <w:sz w:val="30"/>
                <w:szCs w:val="30"/>
                <w:highlight w:val="none"/>
              </w:rPr>
            </w:pPr>
          </w:p>
        </w:tc>
        <w:tc>
          <w:tcPr>
            <w:tcW w:w="4252" w:type="dxa"/>
            <w:vAlign w:val="center"/>
          </w:tcPr>
          <w:p w14:paraId="7D3CCAC1">
            <w:pPr>
              <w:pStyle w:val="19"/>
              <w:keepNext/>
              <w:spacing w:after="0" w:line="440" w:lineRule="exact"/>
              <w:ind w:left="63" w:right="63"/>
              <w:rPr>
                <w:rFonts w:eastAsia="仿宋_GB2312"/>
                <w:color w:val="auto"/>
                <w:sz w:val="30"/>
                <w:szCs w:val="30"/>
                <w:highlight w:val="none"/>
              </w:rPr>
            </w:pPr>
          </w:p>
        </w:tc>
      </w:tr>
      <w:tr w14:paraId="0D00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B278E8E">
            <w:pPr>
              <w:pStyle w:val="19"/>
              <w:keepNext/>
              <w:spacing w:after="0" w:line="440" w:lineRule="exact"/>
              <w:ind w:left="63" w:right="63"/>
              <w:rPr>
                <w:rFonts w:eastAsia="仿宋_GB2312"/>
                <w:color w:val="auto"/>
                <w:sz w:val="28"/>
                <w:szCs w:val="28"/>
                <w:highlight w:val="none"/>
              </w:rPr>
            </w:pPr>
          </w:p>
        </w:tc>
        <w:tc>
          <w:tcPr>
            <w:tcW w:w="1418" w:type="dxa"/>
            <w:vAlign w:val="center"/>
          </w:tcPr>
          <w:p w14:paraId="5794AB10">
            <w:pPr>
              <w:pStyle w:val="19"/>
              <w:keepNext/>
              <w:spacing w:after="0" w:line="440" w:lineRule="exact"/>
              <w:ind w:left="63" w:right="63"/>
              <w:rPr>
                <w:rFonts w:eastAsia="仿宋_GB2312"/>
                <w:color w:val="auto"/>
                <w:sz w:val="28"/>
                <w:szCs w:val="28"/>
                <w:highlight w:val="none"/>
              </w:rPr>
            </w:pPr>
          </w:p>
        </w:tc>
        <w:tc>
          <w:tcPr>
            <w:tcW w:w="1134" w:type="dxa"/>
            <w:vAlign w:val="center"/>
          </w:tcPr>
          <w:p w14:paraId="7D73579B">
            <w:pPr>
              <w:pStyle w:val="19"/>
              <w:keepNext/>
              <w:spacing w:after="0" w:line="440" w:lineRule="exact"/>
              <w:ind w:left="63" w:right="63"/>
              <w:rPr>
                <w:rFonts w:eastAsia="仿宋_GB2312"/>
                <w:color w:val="auto"/>
                <w:sz w:val="30"/>
                <w:szCs w:val="30"/>
                <w:highlight w:val="none"/>
              </w:rPr>
            </w:pPr>
          </w:p>
        </w:tc>
        <w:tc>
          <w:tcPr>
            <w:tcW w:w="1134" w:type="dxa"/>
            <w:vAlign w:val="center"/>
          </w:tcPr>
          <w:p w14:paraId="4CF4CA7F">
            <w:pPr>
              <w:pStyle w:val="19"/>
              <w:keepNext/>
              <w:spacing w:after="0" w:line="440" w:lineRule="exact"/>
              <w:ind w:left="63" w:right="63"/>
              <w:rPr>
                <w:rFonts w:eastAsia="仿宋_GB2312"/>
                <w:color w:val="auto"/>
                <w:sz w:val="30"/>
                <w:szCs w:val="30"/>
                <w:highlight w:val="none"/>
              </w:rPr>
            </w:pPr>
          </w:p>
        </w:tc>
        <w:tc>
          <w:tcPr>
            <w:tcW w:w="4252" w:type="dxa"/>
            <w:vAlign w:val="center"/>
          </w:tcPr>
          <w:p w14:paraId="66094745">
            <w:pPr>
              <w:pStyle w:val="19"/>
              <w:keepNext/>
              <w:spacing w:after="0" w:line="440" w:lineRule="exact"/>
              <w:ind w:left="63" w:right="63"/>
              <w:rPr>
                <w:rFonts w:eastAsia="仿宋_GB2312"/>
                <w:color w:val="auto"/>
                <w:sz w:val="30"/>
                <w:szCs w:val="30"/>
                <w:highlight w:val="none"/>
              </w:rPr>
            </w:pPr>
          </w:p>
        </w:tc>
      </w:tr>
      <w:tr w14:paraId="025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7EAB15A">
            <w:pPr>
              <w:pStyle w:val="19"/>
              <w:keepNext/>
              <w:spacing w:after="0" w:line="440" w:lineRule="exact"/>
              <w:ind w:left="63" w:right="63"/>
              <w:rPr>
                <w:rFonts w:eastAsia="仿宋_GB2312"/>
                <w:color w:val="auto"/>
                <w:sz w:val="28"/>
                <w:szCs w:val="28"/>
                <w:highlight w:val="none"/>
              </w:rPr>
            </w:pPr>
          </w:p>
        </w:tc>
        <w:tc>
          <w:tcPr>
            <w:tcW w:w="1418" w:type="dxa"/>
            <w:vAlign w:val="center"/>
          </w:tcPr>
          <w:p w14:paraId="61A2A867">
            <w:pPr>
              <w:pStyle w:val="19"/>
              <w:keepNext/>
              <w:spacing w:after="0" w:line="440" w:lineRule="exact"/>
              <w:ind w:left="63" w:right="63"/>
              <w:rPr>
                <w:rFonts w:eastAsia="仿宋_GB2312"/>
                <w:color w:val="auto"/>
                <w:sz w:val="28"/>
                <w:szCs w:val="28"/>
                <w:highlight w:val="none"/>
              </w:rPr>
            </w:pPr>
          </w:p>
        </w:tc>
        <w:tc>
          <w:tcPr>
            <w:tcW w:w="1134" w:type="dxa"/>
            <w:vAlign w:val="center"/>
          </w:tcPr>
          <w:p w14:paraId="38236809">
            <w:pPr>
              <w:pStyle w:val="19"/>
              <w:keepNext/>
              <w:spacing w:after="0" w:line="440" w:lineRule="exact"/>
              <w:ind w:left="63" w:right="63"/>
              <w:rPr>
                <w:rFonts w:eastAsia="仿宋_GB2312"/>
                <w:color w:val="auto"/>
                <w:sz w:val="30"/>
                <w:szCs w:val="30"/>
                <w:highlight w:val="none"/>
              </w:rPr>
            </w:pPr>
          </w:p>
        </w:tc>
        <w:tc>
          <w:tcPr>
            <w:tcW w:w="1134" w:type="dxa"/>
            <w:vAlign w:val="center"/>
          </w:tcPr>
          <w:p w14:paraId="415AFB55">
            <w:pPr>
              <w:pStyle w:val="19"/>
              <w:keepNext/>
              <w:spacing w:after="0" w:line="440" w:lineRule="exact"/>
              <w:ind w:left="63" w:right="63"/>
              <w:rPr>
                <w:rFonts w:eastAsia="仿宋_GB2312"/>
                <w:color w:val="auto"/>
                <w:sz w:val="30"/>
                <w:szCs w:val="30"/>
                <w:highlight w:val="none"/>
              </w:rPr>
            </w:pPr>
          </w:p>
        </w:tc>
        <w:tc>
          <w:tcPr>
            <w:tcW w:w="4252" w:type="dxa"/>
            <w:vAlign w:val="center"/>
          </w:tcPr>
          <w:p w14:paraId="5A68D274">
            <w:pPr>
              <w:pStyle w:val="19"/>
              <w:keepNext/>
              <w:spacing w:after="0" w:line="440" w:lineRule="exact"/>
              <w:ind w:left="63" w:right="63"/>
              <w:rPr>
                <w:rFonts w:eastAsia="仿宋_GB2312"/>
                <w:color w:val="auto"/>
                <w:sz w:val="30"/>
                <w:szCs w:val="30"/>
                <w:highlight w:val="none"/>
              </w:rPr>
            </w:pPr>
          </w:p>
        </w:tc>
      </w:tr>
      <w:tr w14:paraId="3C06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31AF3C2">
            <w:pPr>
              <w:pStyle w:val="1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066A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139DDA5">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vAlign w:val="center"/>
          </w:tcPr>
          <w:p w14:paraId="33F8D8BC">
            <w:pPr>
              <w:pStyle w:val="19"/>
              <w:keepNext/>
              <w:spacing w:after="0" w:line="440" w:lineRule="exact"/>
              <w:ind w:left="63" w:right="63"/>
              <w:rPr>
                <w:rFonts w:eastAsia="仿宋_GB2312"/>
                <w:color w:val="auto"/>
                <w:sz w:val="28"/>
                <w:szCs w:val="28"/>
                <w:highlight w:val="none"/>
              </w:rPr>
            </w:pPr>
          </w:p>
        </w:tc>
        <w:tc>
          <w:tcPr>
            <w:tcW w:w="1134" w:type="dxa"/>
            <w:vAlign w:val="center"/>
          </w:tcPr>
          <w:p w14:paraId="6C9F7D4F">
            <w:pPr>
              <w:pStyle w:val="19"/>
              <w:keepNext/>
              <w:spacing w:after="0" w:line="440" w:lineRule="exact"/>
              <w:ind w:left="63" w:right="63"/>
              <w:rPr>
                <w:rFonts w:eastAsia="仿宋_GB2312"/>
                <w:color w:val="auto"/>
                <w:sz w:val="30"/>
                <w:szCs w:val="30"/>
                <w:highlight w:val="none"/>
              </w:rPr>
            </w:pPr>
          </w:p>
        </w:tc>
        <w:tc>
          <w:tcPr>
            <w:tcW w:w="1134" w:type="dxa"/>
            <w:vAlign w:val="center"/>
          </w:tcPr>
          <w:p w14:paraId="3D9737CF">
            <w:pPr>
              <w:pStyle w:val="19"/>
              <w:keepNext/>
              <w:spacing w:after="0" w:line="440" w:lineRule="exact"/>
              <w:ind w:left="63" w:right="63"/>
              <w:rPr>
                <w:rFonts w:eastAsia="仿宋_GB2312"/>
                <w:color w:val="auto"/>
                <w:sz w:val="30"/>
                <w:szCs w:val="30"/>
                <w:highlight w:val="none"/>
              </w:rPr>
            </w:pPr>
          </w:p>
        </w:tc>
        <w:tc>
          <w:tcPr>
            <w:tcW w:w="4252" w:type="dxa"/>
            <w:vAlign w:val="center"/>
          </w:tcPr>
          <w:p w14:paraId="6D44E0A1">
            <w:pPr>
              <w:pStyle w:val="19"/>
              <w:keepNext/>
              <w:spacing w:after="0" w:line="440" w:lineRule="exact"/>
              <w:ind w:left="63" w:right="63"/>
              <w:rPr>
                <w:rFonts w:eastAsia="仿宋_GB2312"/>
                <w:color w:val="auto"/>
                <w:sz w:val="30"/>
                <w:szCs w:val="30"/>
                <w:highlight w:val="none"/>
              </w:rPr>
            </w:pPr>
          </w:p>
        </w:tc>
      </w:tr>
      <w:tr w14:paraId="0D0F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D878741">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vAlign w:val="center"/>
          </w:tcPr>
          <w:p w14:paraId="135C9F62">
            <w:pPr>
              <w:pStyle w:val="19"/>
              <w:keepNext/>
              <w:spacing w:after="0" w:line="440" w:lineRule="exact"/>
              <w:ind w:left="63" w:right="63"/>
              <w:rPr>
                <w:rFonts w:eastAsia="仿宋_GB2312"/>
                <w:color w:val="auto"/>
                <w:sz w:val="28"/>
                <w:szCs w:val="28"/>
                <w:highlight w:val="none"/>
              </w:rPr>
            </w:pPr>
          </w:p>
        </w:tc>
        <w:tc>
          <w:tcPr>
            <w:tcW w:w="1134" w:type="dxa"/>
            <w:vAlign w:val="center"/>
          </w:tcPr>
          <w:p w14:paraId="635B331D">
            <w:pPr>
              <w:pStyle w:val="19"/>
              <w:keepNext/>
              <w:spacing w:after="0" w:line="440" w:lineRule="exact"/>
              <w:ind w:left="63" w:right="63"/>
              <w:rPr>
                <w:rFonts w:eastAsia="仿宋_GB2312"/>
                <w:color w:val="auto"/>
                <w:sz w:val="30"/>
                <w:szCs w:val="30"/>
                <w:highlight w:val="none"/>
              </w:rPr>
            </w:pPr>
          </w:p>
        </w:tc>
        <w:tc>
          <w:tcPr>
            <w:tcW w:w="1134" w:type="dxa"/>
            <w:vAlign w:val="center"/>
          </w:tcPr>
          <w:p w14:paraId="3CC4C86F">
            <w:pPr>
              <w:pStyle w:val="19"/>
              <w:keepNext/>
              <w:spacing w:after="0" w:line="440" w:lineRule="exact"/>
              <w:ind w:left="63" w:right="63"/>
              <w:rPr>
                <w:rFonts w:eastAsia="仿宋_GB2312"/>
                <w:color w:val="auto"/>
                <w:sz w:val="30"/>
                <w:szCs w:val="30"/>
                <w:highlight w:val="none"/>
              </w:rPr>
            </w:pPr>
          </w:p>
        </w:tc>
        <w:tc>
          <w:tcPr>
            <w:tcW w:w="4252" w:type="dxa"/>
            <w:vAlign w:val="center"/>
          </w:tcPr>
          <w:p w14:paraId="644A2F8D">
            <w:pPr>
              <w:pStyle w:val="19"/>
              <w:keepNext/>
              <w:spacing w:after="0" w:line="440" w:lineRule="exact"/>
              <w:ind w:left="63" w:right="63"/>
              <w:rPr>
                <w:rFonts w:eastAsia="仿宋_GB2312"/>
                <w:color w:val="auto"/>
                <w:sz w:val="30"/>
                <w:szCs w:val="30"/>
                <w:highlight w:val="none"/>
              </w:rPr>
            </w:pPr>
          </w:p>
        </w:tc>
      </w:tr>
      <w:tr w14:paraId="43C3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E2D33C">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vAlign w:val="center"/>
          </w:tcPr>
          <w:p w14:paraId="73CE5F3D">
            <w:pPr>
              <w:pStyle w:val="19"/>
              <w:keepNext/>
              <w:spacing w:after="0" w:line="440" w:lineRule="exact"/>
              <w:ind w:left="63" w:right="63"/>
              <w:rPr>
                <w:rFonts w:eastAsia="仿宋_GB2312"/>
                <w:color w:val="auto"/>
                <w:sz w:val="28"/>
                <w:szCs w:val="28"/>
                <w:highlight w:val="none"/>
              </w:rPr>
            </w:pPr>
          </w:p>
        </w:tc>
        <w:tc>
          <w:tcPr>
            <w:tcW w:w="1134" w:type="dxa"/>
            <w:vAlign w:val="center"/>
          </w:tcPr>
          <w:p w14:paraId="4F289B13">
            <w:pPr>
              <w:pStyle w:val="19"/>
              <w:keepNext/>
              <w:spacing w:after="0" w:line="440" w:lineRule="exact"/>
              <w:ind w:left="63" w:right="63"/>
              <w:rPr>
                <w:rFonts w:eastAsia="仿宋_GB2312"/>
                <w:color w:val="auto"/>
                <w:sz w:val="30"/>
                <w:szCs w:val="30"/>
                <w:highlight w:val="none"/>
              </w:rPr>
            </w:pPr>
          </w:p>
        </w:tc>
        <w:tc>
          <w:tcPr>
            <w:tcW w:w="1134" w:type="dxa"/>
            <w:vAlign w:val="center"/>
          </w:tcPr>
          <w:p w14:paraId="63D201BD">
            <w:pPr>
              <w:pStyle w:val="19"/>
              <w:keepNext/>
              <w:spacing w:after="0" w:line="440" w:lineRule="exact"/>
              <w:ind w:left="63" w:right="63"/>
              <w:rPr>
                <w:rFonts w:eastAsia="仿宋_GB2312"/>
                <w:color w:val="auto"/>
                <w:sz w:val="30"/>
                <w:szCs w:val="30"/>
                <w:highlight w:val="none"/>
              </w:rPr>
            </w:pPr>
          </w:p>
        </w:tc>
        <w:tc>
          <w:tcPr>
            <w:tcW w:w="4252" w:type="dxa"/>
            <w:vAlign w:val="center"/>
          </w:tcPr>
          <w:p w14:paraId="0A99A7B3">
            <w:pPr>
              <w:pStyle w:val="19"/>
              <w:keepNext/>
              <w:spacing w:after="0" w:line="440" w:lineRule="exact"/>
              <w:ind w:left="63" w:right="63"/>
              <w:rPr>
                <w:rFonts w:eastAsia="仿宋_GB2312"/>
                <w:color w:val="auto"/>
                <w:sz w:val="30"/>
                <w:szCs w:val="30"/>
                <w:highlight w:val="none"/>
              </w:rPr>
            </w:pPr>
          </w:p>
        </w:tc>
      </w:tr>
      <w:tr w14:paraId="03A7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23DB450">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vAlign w:val="center"/>
          </w:tcPr>
          <w:p w14:paraId="043B2CD2">
            <w:pPr>
              <w:pStyle w:val="19"/>
              <w:keepNext/>
              <w:spacing w:after="0" w:line="440" w:lineRule="exact"/>
              <w:ind w:left="63" w:right="63"/>
              <w:rPr>
                <w:rFonts w:eastAsia="仿宋_GB2312"/>
                <w:color w:val="auto"/>
                <w:sz w:val="28"/>
                <w:szCs w:val="28"/>
                <w:highlight w:val="none"/>
              </w:rPr>
            </w:pPr>
          </w:p>
        </w:tc>
        <w:tc>
          <w:tcPr>
            <w:tcW w:w="1134" w:type="dxa"/>
            <w:vAlign w:val="center"/>
          </w:tcPr>
          <w:p w14:paraId="6D3319E7">
            <w:pPr>
              <w:pStyle w:val="19"/>
              <w:keepNext/>
              <w:spacing w:after="0" w:line="440" w:lineRule="exact"/>
              <w:ind w:left="63" w:right="63"/>
              <w:rPr>
                <w:rFonts w:eastAsia="仿宋_GB2312"/>
                <w:color w:val="auto"/>
                <w:sz w:val="30"/>
                <w:szCs w:val="30"/>
                <w:highlight w:val="none"/>
              </w:rPr>
            </w:pPr>
          </w:p>
        </w:tc>
        <w:tc>
          <w:tcPr>
            <w:tcW w:w="1134" w:type="dxa"/>
            <w:vAlign w:val="center"/>
          </w:tcPr>
          <w:p w14:paraId="5C7593CD">
            <w:pPr>
              <w:pStyle w:val="19"/>
              <w:keepNext/>
              <w:spacing w:after="0" w:line="440" w:lineRule="exact"/>
              <w:ind w:left="63" w:right="63"/>
              <w:rPr>
                <w:rFonts w:eastAsia="仿宋_GB2312"/>
                <w:color w:val="auto"/>
                <w:sz w:val="30"/>
                <w:szCs w:val="30"/>
                <w:highlight w:val="none"/>
              </w:rPr>
            </w:pPr>
          </w:p>
        </w:tc>
        <w:tc>
          <w:tcPr>
            <w:tcW w:w="4252" w:type="dxa"/>
            <w:vAlign w:val="center"/>
          </w:tcPr>
          <w:p w14:paraId="25B3F412">
            <w:pPr>
              <w:pStyle w:val="19"/>
              <w:keepNext/>
              <w:spacing w:after="0" w:line="440" w:lineRule="exact"/>
              <w:ind w:left="63" w:right="63"/>
              <w:rPr>
                <w:rFonts w:eastAsia="仿宋_GB2312"/>
                <w:color w:val="auto"/>
                <w:sz w:val="30"/>
                <w:szCs w:val="30"/>
                <w:highlight w:val="none"/>
              </w:rPr>
            </w:pPr>
          </w:p>
        </w:tc>
      </w:tr>
      <w:tr w14:paraId="6D5A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AA26857">
            <w:pPr>
              <w:pStyle w:val="19"/>
              <w:keepNext/>
              <w:spacing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vAlign w:val="center"/>
          </w:tcPr>
          <w:p w14:paraId="0389ABF9">
            <w:pPr>
              <w:pStyle w:val="19"/>
              <w:keepNext/>
              <w:spacing w:after="0" w:line="440" w:lineRule="exact"/>
              <w:ind w:left="63" w:right="63"/>
              <w:rPr>
                <w:rFonts w:eastAsia="仿宋_GB2312"/>
                <w:color w:val="auto"/>
                <w:sz w:val="28"/>
                <w:szCs w:val="28"/>
                <w:highlight w:val="none"/>
              </w:rPr>
            </w:pPr>
          </w:p>
        </w:tc>
        <w:tc>
          <w:tcPr>
            <w:tcW w:w="1134" w:type="dxa"/>
            <w:vAlign w:val="center"/>
          </w:tcPr>
          <w:p w14:paraId="5397252E">
            <w:pPr>
              <w:pStyle w:val="19"/>
              <w:keepNext/>
              <w:spacing w:after="0" w:line="440" w:lineRule="exact"/>
              <w:ind w:left="63" w:right="63"/>
              <w:rPr>
                <w:rFonts w:eastAsia="仿宋_GB2312"/>
                <w:color w:val="auto"/>
                <w:sz w:val="30"/>
                <w:szCs w:val="30"/>
                <w:highlight w:val="none"/>
              </w:rPr>
            </w:pPr>
          </w:p>
        </w:tc>
        <w:tc>
          <w:tcPr>
            <w:tcW w:w="1134" w:type="dxa"/>
            <w:vAlign w:val="center"/>
          </w:tcPr>
          <w:p w14:paraId="687A389D">
            <w:pPr>
              <w:pStyle w:val="19"/>
              <w:keepNext/>
              <w:spacing w:after="0" w:line="440" w:lineRule="exact"/>
              <w:ind w:left="63" w:right="63"/>
              <w:rPr>
                <w:rFonts w:eastAsia="仿宋_GB2312"/>
                <w:color w:val="auto"/>
                <w:sz w:val="30"/>
                <w:szCs w:val="30"/>
                <w:highlight w:val="none"/>
              </w:rPr>
            </w:pPr>
          </w:p>
        </w:tc>
        <w:tc>
          <w:tcPr>
            <w:tcW w:w="4252" w:type="dxa"/>
            <w:vAlign w:val="center"/>
          </w:tcPr>
          <w:p w14:paraId="33DAD63F">
            <w:pPr>
              <w:pStyle w:val="19"/>
              <w:keepNext/>
              <w:spacing w:after="0" w:line="440" w:lineRule="exact"/>
              <w:ind w:left="63" w:right="63"/>
              <w:rPr>
                <w:rFonts w:eastAsia="仿宋_GB2312"/>
                <w:color w:val="auto"/>
                <w:sz w:val="30"/>
                <w:szCs w:val="30"/>
                <w:highlight w:val="none"/>
              </w:rPr>
            </w:pPr>
          </w:p>
        </w:tc>
      </w:tr>
      <w:tr w14:paraId="6090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1FF39E4">
            <w:pPr>
              <w:pStyle w:val="19"/>
              <w:keepNext/>
              <w:spacing w:line="440" w:lineRule="exact"/>
              <w:ind w:left="63" w:right="63"/>
              <w:jc w:val="center"/>
              <w:rPr>
                <w:rFonts w:eastAsia="仿宋_GB2312"/>
                <w:color w:val="auto"/>
                <w:sz w:val="28"/>
                <w:szCs w:val="28"/>
                <w:highlight w:val="none"/>
              </w:rPr>
            </w:pPr>
          </w:p>
        </w:tc>
        <w:tc>
          <w:tcPr>
            <w:tcW w:w="1418" w:type="dxa"/>
            <w:vAlign w:val="center"/>
          </w:tcPr>
          <w:p w14:paraId="275CA789">
            <w:pPr>
              <w:pStyle w:val="19"/>
              <w:keepNext/>
              <w:spacing w:after="0" w:line="440" w:lineRule="exact"/>
              <w:ind w:left="63" w:right="63"/>
              <w:rPr>
                <w:rFonts w:eastAsia="仿宋_GB2312"/>
                <w:color w:val="auto"/>
                <w:sz w:val="28"/>
                <w:szCs w:val="28"/>
                <w:highlight w:val="none"/>
              </w:rPr>
            </w:pPr>
          </w:p>
        </w:tc>
        <w:tc>
          <w:tcPr>
            <w:tcW w:w="1134" w:type="dxa"/>
            <w:vAlign w:val="center"/>
          </w:tcPr>
          <w:p w14:paraId="28940617">
            <w:pPr>
              <w:pStyle w:val="19"/>
              <w:keepNext/>
              <w:spacing w:after="0" w:line="440" w:lineRule="exact"/>
              <w:ind w:left="63" w:right="63"/>
              <w:rPr>
                <w:rFonts w:eastAsia="仿宋_GB2312"/>
                <w:color w:val="auto"/>
                <w:sz w:val="30"/>
                <w:szCs w:val="30"/>
                <w:highlight w:val="none"/>
              </w:rPr>
            </w:pPr>
          </w:p>
        </w:tc>
        <w:tc>
          <w:tcPr>
            <w:tcW w:w="1134" w:type="dxa"/>
            <w:vAlign w:val="center"/>
          </w:tcPr>
          <w:p w14:paraId="51BA7998">
            <w:pPr>
              <w:pStyle w:val="19"/>
              <w:keepNext/>
              <w:spacing w:after="0" w:line="440" w:lineRule="exact"/>
              <w:ind w:left="63" w:right="63"/>
              <w:rPr>
                <w:rFonts w:eastAsia="仿宋_GB2312"/>
                <w:color w:val="auto"/>
                <w:sz w:val="30"/>
                <w:szCs w:val="30"/>
                <w:highlight w:val="none"/>
              </w:rPr>
            </w:pPr>
          </w:p>
        </w:tc>
        <w:tc>
          <w:tcPr>
            <w:tcW w:w="4252" w:type="dxa"/>
            <w:vAlign w:val="center"/>
          </w:tcPr>
          <w:p w14:paraId="79D7A2DE">
            <w:pPr>
              <w:pStyle w:val="19"/>
              <w:keepNext/>
              <w:spacing w:after="0" w:line="440" w:lineRule="exact"/>
              <w:ind w:left="63" w:right="63"/>
              <w:rPr>
                <w:rFonts w:eastAsia="仿宋_GB2312"/>
                <w:color w:val="auto"/>
                <w:sz w:val="30"/>
                <w:szCs w:val="30"/>
                <w:highlight w:val="none"/>
              </w:rPr>
            </w:pPr>
          </w:p>
        </w:tc>
      </w:tr>
      <w:tr w14:paraId="3A4C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31C2D08">
            <w:pPr>
              <w:pStyle w:val="19"/>
              <w:keepNext/>
              <w:spacing w:after="0" w:line="440" w:lineRule="exact"/>
              <w:ind w:left="63" w:right="63"/>
              <w:jc w:val="center"/>
              <w:rPr>
                <w:rFonts w:eastAsia="仿宋_GB2312"/>
                <w:color w:val="auto"/>
                <w:sz w:val="28"/>
                <w:szCs w:val="28"/>
                <w:highlight w:val="none"/>
              </w:rPr>
            </w:pPr>
          </w:p>
        </w:tc>
        <w:tc>
          <w:tcPr>
            <w:tcW w:w="1418" w:type="dxa"/>
            <w:vAlign w:val="center"/>
          </w:tcPr>
          <w:p w14:paraId="3AF85470">
            <w:pPr>
              <w:pStyle w:val="19"/>
              <w:keepNext/>
              <w:spacing w:after="0" w:line="440" w:lineRule="exact"/>
              <w:ind w:left="63" w:right="63"/>
              <w:rPr>
                <w:rFonts w:eastAsia="仿宋_GB2312"/>
                <w:color w:val="auto"/>
                <w:sz w:val="28"/>
                <w:szCs w:val="28"/>
                <w:highlight w:val="none"/>
              </w:rPr>
            </w:pPr>
          </w:p>
        </w:tc>
        <w:tc>
          <w:tcPr>
            <w:tcW w:w="1134" w:type="dxa"/>
            <w:vAlign w:val="center"/>
          </w:tcPr>
          <w:p w14:paraId="63CC1FEE">
            <w:pPr>
              <w:pStyle w:val="19"/>
              <w:keepNext/>
              <w:spacing w:after="0" w:line="440" w:lineRule="exact"/>
              <w:ind w:left="63" w:right="63"/>
              <w:rPr>
                <w:rFonts w:eastAsia="仿宋_GB2312"/>
                <w:color w:val="auto"/>
                <w:sz w:val="30"/>
                <w:szCs w:val="30"/>
                <w:highlight w:val="none"/>
              </w:rPr>
            </w:pPr>
          </w:p>
        </w:tc>
        <w:tc>
          <w:tcPr>
            <w:tcW w:w="1134" w:type="dxa"/>
            <w:vAlign w:val="center"/>
          </w:tcPr>
          <w:p w14:paraId="28F1E619">
            <w:pPr>
              <w:pStyle w:val="19"/>
              <w:keepNext/>
              <w:spacing w:after="0" w:line="440" w:lineRule="exact"/>
              <w:ind w:left="63" w:right="63"/>
              <w:rPr>
                <w:rFonts w:eastAsia="仿宋_GB2312"/>
                <w:color w:val="auto"/>
                <w:sz w:val="30"/>
                <w:szCs w:val="30"/>
                <w:highlight w:val="none"/>
              </w:rPr>
            </w:pPr>
          </w:p>
        </w:tc>
        <w:tc>
          <w:tcPr>
            <w:tcW w:w="4252" w:type="dxa"/>
            <w:vAlign w:val="center"/>
          </w:tcPr>
          <w:p w14:paraId="6315117D">
            <w:pPr>
              <w:pStyle w:val="19"/>
              <w:keepNext/>
              <w:spacing w:after="0" w:line="440" w:lineRule="exact"/>
              <w:ind w:left="63" w:right="63"/>
              <w:rPr>
                <w:rFonts w:eastAsia="仿宋_GB2312"/>
                <w:color w:val="auto"/>
                <w:sz w:val="30"/>
                <w:szCs w:val="30"/>
                <w:highlight w:val="none"/>
              </w:rPr>
            </w:pPr>
          </w:p>
        </w:tc>
      </w:tr>
      <w:tr w14:paraId="682C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2960B71">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vAlign w:val="center"/>
          </w:tcPr>
          <w:p w14:paraId="4141C438">
            <w:pPr>
              <w:pStyle w:val="19"/>
              <w:keepNext/>
              <w:spacing w:after="0" w:line="440" w:lineRule="exact"/>
              <w:ind w:left="63" w:right="63"/>
              <w:rPr>
                <w:rFonts w:eastAsia="仿宋_GB2312"/>
                <w:color w:val="auto"/>
                <w:sz w:val="28"/>
                <w:szCs w:val="28"/>
                <w:highlight w:val="none"/>
              </w:rPr>
            </w:pPr>
          </w:p>
        </w:tc>
        <w:tc>
          <w:tcPr>
            <w:tcW w:w="1134" w:type="dxa"/>
            <w:vAlign w:val="center"/>
          </w:tcPr>
          <w:p w14:paraId="13116DD7">
            <w:pPr>
              <w:pStyle w:val="19"/>
              <w:keepNext/>
              <w:spacing w:after="0" w:line="440" w:lineRule="exact"/>
              <w:ind w:left="63" w:right="63"/>
              <w:rPr>
                <w:rFonts w:eastAsia="仿宋_GB2312"/>
                <w:color w:val="auto"/>
                <w:sz w:val="30"/>
                <w:szCs w:val="30"/>
                <w:highlight w:val="none"/>
              </w:rPr>
            </w:pPr>
          </w:p>
        </w:tc>
        <w:tc>
          <w:tcPr>
            <w:tcW w:w="1134" w:type="dxa"/>
            <w:vAlign w:val="center"/>
          </w:tcPr>
          <w:p w14:paraId="1EAF8E40">
            <w:pPr>
              <w:pStyle w:val="19"/>
              <w:keepNext/>
              <w:spacing w:after="0" w:line="440" w:lineRule="exact"/>
              <w:ind w:left="63" w:right="63"/>
              <w:rPr>
                <w:rFonts w:eastAsia="仿宋_GB2312"/>
                <w:color w:val="auto"/>
                <w:sz w:val="30"/>
                <w:szCs w:val="30"/>
                <w:highlight w:val="none"/>
              </w:rPr>
            </w:pPr>
          </w:p>
        </w:tc>
        <w:tc>
          <w:tcPr>
            <w:tcW w:w="4252" w:type="dxa"/>
            <w:vAlign w:val="center"/>
          </w:tcPr>
          <w:p w14:paraId="4FF0E91E">
            <w:pPr>
              <w:pStyle w:val="19"/>
              <w:keepNext/>
              <w:spacing w:after="0" w:line="440" w:lineRule="exact"/>
              <w:ind w:left="63" w:right="63"/>
              <w:rPr>
                <w:rFonts w:eastAsia="仿宋_GB2312"/>
                <w:color w:val="auto"/>
                <w:sz w:val="30"/>
                <w:szCs w:val="30"/>
                <w:highlight w:val="none"/>
              </w:rPr>
            </w:pPr>
          </w:p>
        </w:tc>
      </w:tr>
      <w:tr w14:paraId="2A2E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B72A4AA">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vAlign w:val="center"/>
          </w:tcPr>
          <w:p w14:paraId="782405F1">
            <w:pPr>
              <w:pStyle w:val="19"/>
              <w:keepNext/>
              <w:spacing w:after="0" w:line="440" w:lineRule="exact"/>
              <w:ind w:left="63" w:right="63"/>
              <w:rPr>
                <w:rFonts w:eastAsia="仿宋_GB2312"/>
                <w:color w:val="auto"/>
                <w:sz w:val="28"/>
                <w:szCs w:val="28"/>
                <w:highlight w:val="none"/>
              </w:rPr>
            </w:pPr>
          </w:p>
        </w:tc>
        <w:tc>
          <w:tcPr>
            <w:tcW w:w="1134" w:type="dxa"/>
            <w:vAlign w:val="center"/>
          </w:tcPr>
          <w:p w14:paraId="1904D5E1">
            <w:pPr>
              <w:pStyle w:val="19"/>
              <w:keepNext/>
              <w:spacing w:after="0" w:line="440" w:lineRule="exact"/>
              <w:ind w:left="63" w:right="63"/>
              <w:rPr>
                <w:rFonts w:eastAsia="仿宋_GB2312"/>
                <w:color w:val="auto"/>
                <w:sz w:val="30"/>
                <w:szCs w:val="30"/>
                <w:highlight w:val="none"/>
              </w:rPr>
            </w:pPr>
          </w:p>
        </w:tc>
        <w:tc>
          <w:tcPr>
            <w:tcW w:w="1134" w:type="dxa"/>
            <w:vAlign w:val="center"/>
          </w:tcPr>
          <w:p w14:paraId="698DDECB">
            <w:pPr>
              <w:pStyle w:val="19"/>
              <w:keepNext/>
              <w:spacing w:after="0" w:line="440" w:lineRule="exact"/>
              <w:ind w:left="63" w:right="63"/>
              <w:rPr>
                <w:rFonts w:eastAsia="仿宋_GB2312"/>
                <w:color w:val="auto"/>
                <w:sz w:val="30"/>
                <w:szCs w:val="30"/>
                <w:highlight w:val="none"/>
              </w:rPr>
            </w:pPr>
          </w:p>
        </w:tc>
        <w:tc>
          <w:tcPr>
            <w:tcW w:w="4252" w:type="dxa"/>
            <w:vAlign w:val="center"/>
          </w:tcPr>
          <w:p w14:paraId="02A90B95">
            <w:pPr>
              <w:pStyle w:val="19"/>
              <w:keepNext/>
              <w:spacing w:after="0" w:line="440" w:lineRule="exact"/>
              <w:ind w:left="63" w:right="63"/>
              <w:rPr>
                <w:rFonts w:eastAsia="仿宋_GB2312"/>
                <w:color w:val="auto"/>
                <w:sz w:val="30"/>
                <w:szCs w:val="30"/>
                <w:highlight w:val="none"/>
              </w:rPr>
            </w:pPr>
          </w:p>
        </w:tc>
      </w:tr>
      <w:tr w14:paraId="2986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4BFE2F6">
            <w:pPr>
              <w:pStyle w:val="19"/>
              <w:keepNext/>
              <w:spacing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vAlign w:val="center"/>
          </w:tcPr>
          <w:p w14:paraId="1072E31E">
            <w:pPr>
              <w:pStyle w:val="19"/>
              <w:keepNext/>
              <w:spacing w:after="0" w:line="440" w:lineRule="exact"/>
              <w:ind w:left="63" w:right="63"/>
              <w:rPr>
                <w:rFonts w:eastAsia="仿宋_GB2312"/>
                <w:color w:val="auto"/>
                <w:sz w:val="28"/>
                <w:szCs w:val="28"/>
                <w:highlight w:val="none"/>
              </w:rPr>
            </w:pPr>
          </w:p>
        </w:tc>
        <w:tc>
          <w:tcPr>
            <w:tcW w:w="1134" w:type="dxa"/>
            <w:vAlign w:val="center"/>
          </w:tcPr>
          <w:p w14:paraId="227FB105">
            <w:pPr>
              <w:pStyle w:val="19"/>
              <w:keepNext/>
              <w:spacing w:after="0" w:line="440" w:lineRule="exact"/>
              <w:ind w:left="63" w:right="63"/>
              <w:rPr>
                <w:rFonts w:eastAsia="仿宋_GB2312"/>
                <w:color w:val="auto"/>
                <w:sz w:val="30"/>
                <w:szCs w:val="30"/>
                <w:highlight w:val="none"/>
              </w:rPr>
            </w:pPr>
          </w:p>
        </w:tc>
        <w:tc>
          <w:tcPr>
            <w:tcW w:w="1134" w:type="dxa"/>
            <w:vAlign w:val="center"/>
          </w:tcPr>
          <w:p w14:paraId="17B6CC5C">
            <w:pPr>
              <w:pStyle w:val="19"/>
              <w:keepNext/>
              <w:spacing w:after="0" w:line="440" w:lineRule="exact"/>
              <w:ind w:left="63" w:right="63"/>
              <w:rPr>
                <w:rFonts w:eastAsia="仿宋_GB2312"/>
                <w:color w:val="auto"/>
                <w:sz w:val="30"/>
                <w:szCs w:val="30"/>
                <w:highlight w:val="none"/>
              </w:rPr>
            </w:pPr>
          </w:p>
        </w:tc>
        <w:tc>
          <w:tcPr>
            <w:tcW w:w="4252" w:type="dxa"/>
            <w:vAlign w:val="center"/>
          </w:tcPr>
          <w:p w14:paraId="5ACA9A18">
            <w:pPr>
              <w:pStyle w:val="19"/>
              <w:keepNext/>
              <w:spacing w:after="0" w:line="440" w:lineRule="exact"/>
              <w:ind w:left="63" w:right="63"/>
              <w:rPr>
                <w:rFonts w:eastAsia="仿宋_GB2312"/>
                <w:color w:val="auto"/>
                <w:sz w:val="30"/>
                <w:szCs w:val="30"/>
                <w:highlight w:val="none"/>
              </w:rPr>
            </w:pPr>
          </w:p>
        </w:tc>
      </w:tr>
      <w:tr w14:paraId="4BB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7C905B6">
            <w:pPr>
              <w:pStyle w:val="19"/>
              <w:keepNext/>
              <w:spacing w:line="440" w:lineRule="exact"/>
              <w:ind w:left="63" w:right="63"/>
              <w:jc w:val="center"/>
              <w:rPr>
                <w:rFonts w:eastAsia="仿宋_GB2312"/>
                <w:color w:val="auto"/>
                <w:sz w:val="28"/>
                <w:szCs w:val="28"/>
                <w:highlight w:val="none"/>
              </w:rPr>
            </w:pPr>
          </w:p>
        </w:tc>
        <w:tc>
          <w:tcPr>
            <w:tcW w:w="1418" w:type="dxa"/>
            <w:vAlign w:val="center"/>
          </w:tcPr>
          <w:p w14:paraId="65ECEB56">
            <w:pPr>
              <w:pStyle w:val="19"/>
              <w:keepNext/>
              <w:spacing w:after="0" w:line="440" w:lineRule="exact"/>
              <w:ind w:left="63" w:right="63"/>
              <w:rPr>
                <w:rFonts w:eastAsia="仿宋_GB2312"/>
                <w:color w:val="auto"/>
                <w:sz w:val="28"/>
                <w:szCs w:val="28"/>
                <w:highlight w:val="none"/>
              </w:rPr>
            </w:pPr>
          </w:p>
        </w:tc>
        <w:tc>
          <w:tcPr>
            <w:tcW w:w="1134" w:type="dxa"/>
            <w:vAlign w:val="center"/>
          </w:tcPr>
          <w:p w14:paraId="4D0D2260">
            <w:pPr>
              <w:pStyle w:val="19"/>
              <w:keepNext/>
              <w:spacing w:after="0" w:line="440" w:lineRule="exact"/>
              <w:ind w:left="63" w:right="63"/>
              <w:rPr>
                <w:rFonts w:eastAsia="仿宋_GB2312"/>
                <w:color w:val="auto"/>
                <w:sz w:val="30"/>
                <w:szCs w:val="30"/>
                <w:highlight w:val="none"/>
              </w:rPr>
            </w:pPr>
          </w:p>
        </w:tc>
        <w:tc>
          <w:tcPr>
            <w:tcW w:w="1134" w:type="dxa"/>
            <w:vAlign w:val="center"/>
          </w:tcPr>
          <w:p w14:paraId="0BEC9871">
            <w:pPr>
              <w:pStyle w:val="19"/>
              <w:keepNext/>
              <w:spacing w:after="0" w:line="440" w:lineRule="exact"/>
              <w:ind w:left="63" w:right="63"/>
              <w:rPr>
                <w:rFonts w:eastAsia="仿宋_GB2312"/>
                <w:color w:val="auto"/>
                <w:sz w:val="30"/>
                <w:szCs w:val="30"/>
                <w:highlight w:val="none"/>
              </w:rPr>
            </w:pPr>
          </w:p>
        </w:tc>
        <w:tc>
          <w:tcPr>
            <w:tcW w:w="4252" w:type="dxa"/>
            <w:vAlign w:val="center"/>
          </w:tcPr>
          <w:p w14:paraId="0EA0D92E">
            <w:pPr>
              <w:pStyle w:val="19"/>
              <w:keepNext/>
              <w:spacing w:after="0" w:line="440" w:lineRule="exact"/>
              <w:ind w:left="63" w:right="63"/>
              <w:rPr>
                <w:rFonts w:eastAsia="仿宋_GB2312"/>
                <w:color w:val="auto"/>
                <w:sz w:val="30"/>
                <w:szCs w:val="30"/>
                <w:highlight w:val="none"/>
              </w:rPr>
            </w:pPr>
          </w:p>
        </w:tc>
      </w:tr>
      <w:tr w14:paraId="6F0D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03B59D8">
            <w:pPr>
              <w:pStyle w:val="19"/>
              <w:keepNext/>
              <w:spacing w:after="0" w:line="440" w:lineRule="exact"/>
              <w:ind w:left="63" w:right="63"/>
              <w:jc w:val="center"/>
              <w:rPr>
                <w:rFonts w:eastAsia="仿宋_GB2312"/>
                <w:color w:val="auto"/>
                <w:sz w:val="28"/>
                <w:szCs w:val="28"/>
                <w:highlight w:val="none"/>
              </w:rPr>
            </w:pPr>
          </w:p>
        </w:tc>
        <w:tc>
          <w:tcPr>
            <w:tcW w:w="1418" w:type="dxa"/>
            <w:vAlign w:val="center"/>
          </w:tcPr>
          <w:p w14:paraId="7FF25495">
            <w:pPr>
              <w:pStyle w:val="19"/>
              <w:keepNext/>
              <w:spacing w:after="0" w:line="440" w:lineRule="exact"/>
              <w:ind w:left="63" w:right="63"/>
              <w:rPr>
                <w:rFonts w:eastAsia="仿宋_GB2312"/>
                <w:color w:val="auto"/>
                <w:sz w:val="28"/>
                <w:szCs w:val="28"/>
                <w:highlight w:val="none"/>
              </w:rPr>
            </w:pPr>
          </w:p>
        </w:tc>
        <w:tc>
          <w:tcPr>
            <w:tcW w:w="1134" w:type="dxa"/>
            <w:vAlign w:val="center"/>
          </w:tcPr>
          <w:p w14:paraId="0EA3E347">
            <w:pPr>
              <w:pStyle w:val="19"/>
              <w:keepNext/>
              <w:spacing w:after="0" w:line="440" w:lineRule="exact"/>
              <w:ind w:left="63" w:right="63"/>
              <w:rPr>
                <w:rFonts w:eastAsia="仿宋_GB2312"/>
                <w:color w:val="auto"/>
                <w:sz w:val="30"/>
                <w:szCs w:val="30"/>
                <w:highlight w:val="none"/>
              </w:rPr>
            </w:pPr>
          </w:p>
        </w:tc>
        <w:tc>
          <w:tcPr>
            <w:tcW w:w="1134" w:type="dxa"/>
            <w:vAlign w:val="center"/>
          </w:tcPr>
          <w:p w14:paraId="4052C221">
            <w:pPr>
              <w:pStyle w:val="19"/>
              <w:keepNext/>
              <w:spacing w:after="0" w:line="440" w:lineRule="exact"/>
              <w:ind w:left="63" w:right="63"/>
              <w:rPr>
                <w:rFonts w:eastAsia="仿宋_GB2312"/>
                <w:color w:val="auto"/>
                <w:sz w:val="30"/>
                <w:szCs w:val="30"/>
                <w:highlight w:val="none"/>
              </w:rPr>
            </w:pPr>
          </w:p>
        </w:tc>
        <w:tc>
          <w:tcPr>
            <w:tcW w:w="4252" w:type="dxa"/>
            <w:vAlign w:val="center"/>
          </w:tcPr>
          <w:p w14:paraId="41EE53B0">
            <w:pPr>
              <w:pStyle w:val="19"/>
              <w:keepNext/>
              <w:spacing w:after="0" w:line="440" w:lineRule="exact"/>
              <w:ind w:left="63" w:right="63"/>
              <w:rPr>
                <w:rFonts w:eastAsia="仿宋_GB2312"/>
                <w:color w:val="auto"/>
                <w:sz w:val="30"/>
                <w:szCs w:val="30"/>
                <w:highlight w:val="none"/>
              </w:rPr>
            </w:pPr>
          </w:p>
        </w:tc>
      </w:tr>
      <w:tr w14:paraId="76EA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1856A19">
            <w:pPr>
              <w:pStyle w:val="19"/>
              <w:keepNext/>
              <w:spacing w:after="0" w:line="440" w:lineRule="exact"/>
              <w:ind w:left="63" w:right="63"/>
              <w:jc w:val="center"/>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vAlign w:val="center"/>
          </w:tcPr>
          <w:p w14:paraId="26442E68">
            <w:pPr>
              <w:pStyle w:val="19"/>
              <w:keepNext/>
              <w:spacing w:after="0" w:line="440" w:lineRule="exact"/>
              <w:ind w:left="63" w:right="63"/>
              <w:rPr>
                <w:rFonts w:eastAsia="仿宋_GB2312"/>
                <w:color w:val="auto"/>
                <w:sz w:val="28"/>
                <w:szCs w:val="28"/>
                <w:highlight w:val="none"/>
              </w:rPr>
            </w:pPr>
          </w:p>
        </w:tc>
        <w:tc>
          <w:tcPr>
            <w:tcW w:w="1134" w:type="dxa"/>
            <w:vAlign w:val="center"/>
          </w:tcPr>
          <w:p w14:paraId="20B4FFDC">
            <w:pPr>
              <w:pStyle w:val="19"/>
              <w:keepNext/>
              <w:spacing w:after="0" w:line="440" w:lineRule="exact"/>
              <w:ind w:left="63" w:right="63"/>
              <w:rPr>
                <w:rFonts w:eastAsia="仿宋_GB2312"/>
                <w:color w:val="auto"/>
                <w:sz w:val="30"/>
                <w:szCs w:val="30"/>
                <w:highlight w:val="none"/>
              </w:rPr>
            </w:pPr>
          </w:p>
        </w:tc>
        <w:tc>
          <w:tcPr>
            <w:tcW w:w="1134" w:type="dxa"/>
            <w:vAlign w:val="center"/>
          </w:tcPr>
          <w:p w14:paraId="5AC8579D">
            <w:pPr>
              <w:pStyle w:val="19"/>
              <w:keepNext/>
              <w:spacing w:after="0" w:line="440" w:lineRule="exact"/>
              <w:ind w:left="63" w:right="63"/>
              <w:rPr>
                <w:rFonts w:eastAsia="仿宋_GB2312"/>
                <w:color w:val="auto"/>
                <w:sz w:val="30"/>
                <w:szCs w:val="30"/>
                <w:highlight w:val="none"/>
              </w:rPr>
            </w:pPr>
          </w:p>
        </w:tc>
        <w:tc>
          <w:tcPr>
            <w:tcW w:w="4252" w:type="dxa"/>
            <w:vAlign w:val="center"/>
          </w:tcPr>
          <w:p w14:paraId="52D600D2">
            <w:pPr>
              <w:pStyle w:val="19"/>
              <w:keepNext/>
              <w:spacing w:after="0" w:line="440" w:lineRule="exact"/>
              <w:ind w:left="63" w:right="63"/>
              <w:rPr>
                <w:rFonts w:eastAsia="仿宋_GB2312"/>
                <w:color w:val="auto"/>
                <w:sz w:val="30"/>
                <w:szCs w:val="30"/>
                <w:highlight w:val="none"/>
              </w:rPr>
            </w:pPr>
          </w:p>
        </w:tc>
      </w:tr>
      <w:tr w14:paraId="5EE6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512FC89">
            <w:pPr>
              <w:pStyle w:val="19"/>
              <w:keepNext/>
              <w:spacing w:after="0" w:line="440" w:lineRule="exact"/>
              <w:ind w:left="63" w:right="63"/>
              <w:rPr>
                <w:rFonts w:eastAsia="仿宋_GB2312"/>
                <w:color w:val="auto"/>
                <w:sz w:val="28"/>
                <w:szCs w:val="28"/>
                <w:highlight w:val="none"/>
              </w:rPr>
            </w:pPr>
          </w:p>
        </w:tc>
        <w:tc>
          <w:tcPr>
            <w:tcW w:w="1418" w:type="dxa"/>
            <w:vAlign w:val="center"/>
          </w:tcPr>
          <w:p w14:paraId="146ED470">
            <w:pPr>
              <w:pStyle w:val="19"/>
              <w:keepNext/>
              <w:spacing w:after="0" w:line="440" w:lineRule="exact"/>
              <w:ind w:left="63" w:right="63"/>
              <w:rPr>
                <w:rFonts w:eastAsia="仿宋_GB2312"/>
                <w:color w:val="auto"/>
                <w:sz w:val="28"/>
                <w:szCs w:val="28"/>
                <w:highlight w:val="none"/>
              </w:rPr>
            </w:pPr>
          </w:p>
        </w:tc>
        <w:tc>
          <w:tcPr>
            <w:tcW w:w="1134" w:type="dxa"/>
            <w:vAlign w:val="center"/>
          </w:tcPr>
          <w:p w14:paraId="7AD876CB">
            <w:pPr>
              <w:pStyle w:val="19"/>
              <w:keepNext/>
              <w:spacing w:after="0" w:line="440" w:lineRule="exact"/>
              <w:ind w:left="63" w:right="63"/>
              <w:rPr>
                <w:rFonts w:eastAsia="仿宋_GB2312"/>
                <w:color w:val="auto"/>
                <w:sz w:val="30"/>
                <w:szCs w:val="30"/>
                <w:highlight w:val="none"/>
              </w:rPr>
            </w:pPr>
          </w:p>
        </w:tc>
        <w:tc>
          <w:tcPr>
            <w:tcW w:w="1134" w:type="dxa"/>
            <w:vAlign w:val="center"/>
          </w:tcPr>
          <w:p w14:paraId="5D524D18">
            <w:pPr>
              <w:pStyle w:val="19"/>
              <w:keepNext/>
              <w:spacing w:after="0" w:line="440" w:lineRule="exact"/>
              <w:ind w:left="63" w:right="63"/>
              <w:rPr>
                <w:rFonts w:eastAsia="仿宋_GB2312"/>
                <w:color w:val="auto"/>
                <w:sz w:val="30"/>
                <w:szCs w:val="30"/>
                <w:highlight w:val="none"/>
              </w:rPr>
            </w:pPr>
          </w:p>
        </w:tc>
        <w:tc>
          <w:tcPr>
            <w:tcW w:w="4252" w:type="dxa"/>
            <w:vAlign w:val="center"/>
          </w:tcPr>
          <w:p w14:paraId="39647B98">
            <w:pPr>
              <w:pStyle w:val="19"/>
              <w:keepNext/>
              <w:spacing w:after="0" w:line="440" w:lineRule="exact"/>
              <w:ind w:left="63" w:right="63"/>
              <w:rPr>
                <w:rFonts w:eastAsia="仿宋_GB2312"/>
                <w:color w:val="auto"/>
                <w:sz w:val="30"/>
                <w:szCs w:val="30"/>
                <w:highlight w:val="none"/>
              </w:rPr>
            </w:pPr>
          </w:p>
        </w:tc>
      </w:tr>
      <w:tr w14:paraId="79F8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2A317C1">
            <w:pPr>
              <w:pStyle w:val="19"/>
              <w:keepNext/>
              <w:spacing w:after="0" w:line="440" w:lineRule="exact"/>
              <w:ind w:left="63" w:right="63"/>
              <w:rPr>
                <w:rFonts w:eastAsia="仿宋_GB2312"/>
                <w:color w:val="auto"/>
                <w:sz w:val="28"/>
                <w:szCs w:val="28"/>
                <w:highlight w:val="none"/>
              </w:rPr>
            </w:pPr>
          </w:p>
        </w:tc>
        <w:tc>
          <w:tcPr>
            <w:tcW w:w="1418" w:type="dxa"/>
            <w:vAlign w:val="center"/>
          </w:tcPr>
          <w:p w14:paraId="05D318CA">
            <w:pPr>
              <w:pStyle w:val="19"/>
              <w:keepNext/>
              <w:spacing w:after="0" w:line="440" w:lineRule="exact"/>
              <w:ind w:left="63" w:right="63"/>
              <w:rPr>
                <w:rFonts w:eastAsia="仿宋_GB2312"/>
                <w:color w:val="auto"/>
                <w:sz w:val="28"/>
                <w:szCs w:val="28"/>
                <w:highlight w:val="none"/>
              </w:rPr>
            </w:pPr>
          </w:p>
        </w:tc>
        <w:tc>
          <w:tcPr>
            <w:tcW w:w="1134" w:type="dxa"/>
            <w:vAlign w:val="center"/>
          </w:tcPr>
          <w:p w14:paraId="0E6AB06A">
            <w:pPr>
              <w:pStyle w:val="19"/>
              <w:keepNext/>
              <w:spacing w:after="0" w:line="440" w:lineRule="exact"/>
              <w:ind w:left="63" w:right="63"/>
              <w:rPr>
                <w:rFonts w:eastAsia="仿宋_GB2312"/>
                <w:color w:val="auto"/>
                <w:sz w:val="30"/>
                <w:szCs w:val="30"/>
                <w:highlight w:val="none"/>
              </w:rPr>
            </w:pPr>
          </w:p>
        </w:tc>
        <w:tc>
          <w:tcPr>
            <w:tcW w:w="1134" w:type="dxa"/>
            <w:vAlign w:val="center"/>
          </w:tcPr>
          <w:p w14:paraId="2DFE7A5F">
            <w:pPr>
              <w:pStyle w:val="19"/>
              <w:keepNext/>
              <w:spacing w:after="0" w:line="440" w:lineRule="exact"/>
              <w:ind w:left="63" w:right="63"/>
              <w:rPr>
                <w:rFonts w:eastAsia="仿宋_GB2312"/>
                <w:color w:val="auto"/>
                <w:sz w:val="30"/>
                <w:szCs w:val="30"/>
                <w:highlight w:val="none"/>
              </w:rPr>
            </w:pPr>
          </w:p>
        </w:tc>
        <w:tc>
          <w:tcPr>
            <w:tcW w:w="4252" w:type="dxa"/>
            <w:vAlign w:val="center"/>
          </w:tcPr>
          <w:p w14:paraId="16A95A44">
            <w:pPr>
              <w:pStyle w:val="19"/>
              <w:keepNext/>
              <w:spacing w:after="0" w:line="440" w:lineRule="exact"/>
              <w:ind w:left="63" w:right="63"/>
              <w:rPr>
                <w:rFonts w:eastAsia="仿宋_GB2312"/>
                <w:color w:val="auto"/>
                <w:sz w:val="30"/>
                <w:szCs w:val="30"/>
                <w:highlight w:val="none"/>
              </w:rPr>
            </w:pPr>
          </w:p>
        </w:tc>
      </w:tr>
      <w:tr w14:paraId="7B27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522A18">
            <w:pPr>
              <w:pStyle w:val="19"/>
              <w:keepNext/>
              <w:spacing w:after="0" w:line="440" w:lineRule="exact"/>
              <w:ind w:left="63" w:right="63"/>
              <w:rPr>
                <w:rFonts w:eastAsia="仿宋_GB2312"/>
                <w:color w:val="auto"/>
                <w:sz w:val="28"/>
                <w:szCs w:val="28"/>
                <w:highlight w:val="none"/>
              </w:rPr>
            </w:pPr>
          </w:p>
        </w:tc>
        <w:tc>
          <w:tcPr>
            <w:tcW w:w="1418" w:type="dxa"/>
            <w:vAlign w:val="center"/>
          </w:tcPr>
          <w:p w14:paraId="6F25AF4F">
            <w:pPr>
              <w:pStyle w:val="19"/>
              <w:keepNext/>
              <w:spacing w:after="0" w:line="440" w:lineRule="exact"/>
              <w:ind w:left="63" w:right="63"/>
              <w:rPr>
                <w:rFonts w:eastAsia="仿宋_GB2312"/>
                <w:color w:val="auto"/>
                <w:sz w:val="28"/>
                <w:szCs w:val="28"/>
                <w:highlight w:val="none"/>
              </w:rPr>
            </w:pPr>
          </w:p>
        </w:tc>
        <w:tc>
          <w:tcPr>
            <w:tcW w:w="1134" w:type="dxa"/>
            <w:vAlign w:val="center"/>
          </w:tcPr>
          <w:p w14:paraId="13C36CAD">
            <w:pPr>
              <w:pStyle w:val="19"/>
              <w:keepNext/>
              <w:spacing w:after="0" w:line="440" w:lineRule="exact"/>
              <w:ind w:left="63" w:right="63"/>
              <w:rPr>
                <w:rFonts w:eastAsia="仿宋_GB2312"/>
                <w:color w:val="auto"/>
                <w:sz w:val="30"/>
                <w:szCs w:val="30"/>
                <w:highlight w:val="none"/>
              </w:rPr>
            </w:pPr>
          </w:p>
        </w:tc>
        <w:tc>
          <w:tcPr>
            <w:tcW w:w="1134" w:type="dxa"/>
            <w:vAlign w:val="center"/>
          </w:tcPr>
          <w:p w14:paraId="4B2CEFCE">
            <w:pPr>
              <w:pStyle w:val="19"/>
              <w:keepNext/>
              <w:spacing w:after="0" w:line="440" w:lineRule="exact"/>
              <w:ind w:left="63" w:right="63"/>
              <w:rPr>
                <w:rFonts w:eastAsia="仿宋_GB2312"/>
                <w:color w:val="auto"/>
                <w:sz w:val="30"/>
                <w:szCs w:val="30"/>
                <w:highlight w:val="none"/>
              </w:rPr>
            </w:pPr>
          </w:p>
        </w:tc>
        <w:tc>
          <w:tcPr>
            <w:tcW w:w="4252" w:type="dxa"/>
            <w:vAlign w:val="center"/>
          </w:tcPr>
          <w:p w14:paraId="15F88C34">
            <w:pPr>
              <w:pStyle w:val="19"/>
              <w:keepNext/>
              <w:spacing w:after="0" w:line="440" w:lineRule="exact"/>
              <w:ind w:left="63" w:right="63"/>
              <w:rPr>
                <w:rFonts w:eastAsia="仿宋_GB2312"/>
                <w:color w:val="auto"/>
                <w:sz w:val="30"/>
                <w:szCs w:val="30"/>
                <w:highlight w:val="none"/>
              </w:rPr>
            </w:pPr>
          </w:p>
        </w:tc>
      </w:tr>
      <w:tr w14:paraId="735B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018D5F1">
            <w:pPr>
              <w:pStyle w:val="19"/>
              <w:keepNext/>
              <w:spacing w:after="0" w:line="440" w:lineRule="exact"/>
              <w:ind w:left="63" w:right="63"/>
              <w:rPr>
                <w:rFonts w:eastAsia="仿宋_GB2312"/>
                <w:color w:val="auto"/>
                <w:sz w:val="28"/>
                <w:szCs w:val="28"/>
                <w:highlight w:val="none"/>
              </w:rPr>
            </w:pPr>
          </w:p>
        </w:tc>
        <w:tc>
          <w:tcPr>
            <w:tcW w:w="1418" w:type="dxa"/>
            <w:vAlign w:val="center"/>
          </w:tcPr>
          <w:p w14:paraId="43D44F66">
            <w:pPr>
              <w:pStyle w:val="19"/>
              <w:keepNext/>
              <w:spacing w:after="0" w:line="440" w:lineRule="exact"/>
              <w:ind w:left="63" w:right="63"/>
              <w:rPr>
                <w:rFonts w:eastAsia="仿宋_GB2312"/>
                <w:color w:val="auto"/>
                <w:sz w:val="28"/>
                <w:szCs w:val="28"/>
                <w:highlight w:val="none"/>
              </w:rPr>
            </w:pPr>
          </w:p>
        </w:tc>
        <w:tc>
          <w:tcPr>
            <w:tcW w:w="1134" w:type="dxa"/>
            <w:vAlign w:val="center"/>
          </w:tcPr>
          <w:p w14:paraId="42F6D585">
            <w:pPr>
              <w:pStyle w:val="19"/>
              <w:keepNext/>
              <w:spacing w:after="0" w:line="440" w:lineRule="exact"/>
              <w:ind w:left="63" w:right="63"/>
              <w:rPr>
                <w:rFonts w:eastAsia="仿宋_GB2312"/>
                <w:color w:val="auto"/>
                <w:sz w:val="30"/>
                <w:szCs w:val="30"/>
                <w:highlight w:val="none"/>
              </w:rPr>
            </w:pPr>
          </w:p>
        </w:tc>
        <w:tc>
          <w:tcPr>
            <w:tcW w:w="1134" w:type="dxa"/>
            <w:vAlign w:val="center"/>
          </w:tcPr>
          <w:p w14:paraId="126A2483">
            <w:pPr>
              <w:pStyle w:val="19"/>
              <w:keepNext/>
              <w:spacing w:after="0" w:line="440" w:lineRule="exact"/>
              <w:ind w:left="63" w:right="63"/>
              <w:rPr>
                <w:rFonts w:eastAsia="仿宋_GB2312"/>
                <w:color w:val="auto"/>
                <w:sz w:val="30"/>
                <w:szCs w:val="30"/>
                <w:highlight w:val="none"/>
              </w:rPr>
            </w:pPr>
          </w:p>
        </w:tc>
        <w:tc>
          <w:tcPr>
            <w:tcW w:w="4252" w:type="dxa"/>
            <w:vAlign w:val="center"/>
          </w:tcPr>
          <w:p w14:paraId="0D077D3A">
            <w:pPr>
              <w:pStyle w:val="19"/>
              <w:keepNext/>
              <w:spacing w:after="0" w:line="440" w:lineRule="exact"/>
              <w:ind w:left="63" w:right="63"/>
              <w:rPr>
                <w:rFonts w:eastAsia="仿宋_GB2312"/>
                <w:color w:val="auto"/>
                <w:sz w:val="30"/>
                <w:szCs w:val="30"/>
                <w:highlight w:val="none"/>
              </w:rPr>
            </w:pPr>
          </w:p>
        </w:tc>
      </w:tr>
      <w:tr w14:paraId="6335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1E3DCD0">
            <w:pPr>
              <w:pStyle w:val="19"/>
              <w:keepNext/>
              <w:spacing w:after="0" w:line="440" w:lineRule="exact"/>
              <w:ind w:left="63" w:right="63"/>
              <w:rPr>
                <w:rFonts w:eastAsia="仿宋_GB2312"/>
                <w:color w:val="auto"/>
                <w:sz w:val="28"/>
                <w:szCs w:val="28"/>
                <w:highlight w:val="none"/>
              </w:rPr>
            </w:pPr>
          </w:p>
        </w:tc>
        <w:tc>
          <w:tcPr>
            <w:tcW w:w="1418" w:type="dxa"/>
            <w:vAlign w:val="center"/>
          </w:tcPr>
          <w:p w14:paraId="3D9AD7A0">
            <w:pPr>
              <w:pStyle w:val="19"/>
              <w:keepNext/>
              <w:spacing w:after="0" w:line="440" w:lineRule="exact"/>
              <w:ind w:left="63" w:right="63"/>
              <w:rPr>
                <w:rFonts w:eastAsia="仿宋_GB2312"/>
                <w:color w:val="auto"/>
                <w:sz w:val="28"/>
                <w:szCs w:val="28"/>
                <w:highlight w:val="none"/>
              </w:rPr>
            </w:pPr>
          </w:p>
        </w:tc>
        <w:tc>
          <w:tcPr>
            <w:tcW w:w="1134" w:type="dxa"/>
            <w:vAlign w:val="center"/>
          </w:tcPr>
          <w:p w14:paraId="784EFA93">
            <w:pPr>
              <w:pStyle w:val="19"/>
              <w:keepNext/>
              <w:spacing w:after="0" w:line="440" w:lineRule="exact"/>
              <w:ind w:left="63" w:right="63"/>
              <w:rPr>
                <w:rFonts w:eastAsia="仿宋_GB2312"/>
                <w:color w:val="auto"/>
                <w:sz w:val="30"/>
                <w:szCs w:val="30"/>
                <w:highlight w:val="none"/>
              </w:rPr>
            </w:pPr>
          </w:p>
        </w:tc>
        <w:tc>
          <w:tcPr>
            <w:tcW w:w="1134" w:type="dxa"/>
            <w:vAlign w:val="center"/>
          </w:tcPr>
          <w:p w14:paraId="08EFD75C">
            <w:pPr>
              <w:pStyle w:val="19"/>
              <w:keepNext/>
              <w:spacing w:after="0" w:line="440" w:lineRule="exact"/>
              <w:ind w:left="63" w:right="63"/>
              <w:rPr>
                <w:rFonts w:eastAsia="仿宋_GB2312"/>
                <w:color w:val="auto"/>
                <w:sz w:val="30"/>
                <w:szCs w:val="30"/>
                <w:highlight w:val="none"/>
              </w:rPr>
            </w:pPr>
          </w:p>
        </w:tc>
        <w:tc>
          <w:tcPr>
            <w:tcW w:w="4252" w:type="dxa"/>
            <w:vAlign w:val="center"/>
          </w:tcPr>
          <w:p w14:paraId="7425A4EF">
            <w:pPr>
              <w:pStyle w:val="19"/>
              <w:keepNext/>
              <w:spacing w:after="0" w:line="440" w:lineRule="exact"/>
              <w:ind w:left="63" w:right="63"/>
              <w:rPr>
                <w:rFonts w:eastAsia="仿宋_GB2312"/>
                <w:color w:val="auto"/>
                <w:sz w:val="30"/>
                <w:szCs w:val="30"/>
                <w:highlight w:val="none"/>
              </w:rPr>
            </w:pPr>
          </w:p>
        </w:tc>
      </w:tr>
    </w:tbl>
    <w:p w14:paraId="0EF39770">
      <w:pPr>
        <w:pStyle w:val="229"/>
        <w:rPr>
          <w:color w:val="auto"/>
          <w:highlight w:val="none"/>
        </w:rPr>
      </w:pPr>
    </w:p>
    <w:p w14:paraId="32056660">
      <w:pPr>
        <w:pStyle w:val="229"/>
        <w:rPr>
          <w:color w:val="auto"/>
          <w:highlight w:val="none"/>
        </w:rPr>
      </w:pPr>
      <w:r>
        <w:rPr>
          <w:rFonts w:hint="eastAsia"/>
          <w:color w:val="auto"/>
          <w:highlight w:val="none"/>
        </w:rPr>
        <w:br w:type="page"/>
      </w:r>
      <w:r>
        <w:rPr>
          <w:rFonts w:hint="eastAsia"/>
          <w:color w:val="auto"/>
          <w:highlight w:val="none"/>
        </w:rPr>
        <w:t>附件7：</w:t>
      </w:r>
    </w:p>
    <w:p w14:paraId="14353DAE">
      <w:pPr>
        <w:pStyle w:val="229"/>
        <w:ind w:firstLine="562"/>
        <w:jc w:val="center"/>
        <w:rPr>
          <w:b/>
          <w:bCs/>
          <w:color w:val="auto"/>
          <w:sz w:val="28"/>
          <w:szCs w:val="28"/>
          <w:highlight w:val="none"/>
        </w:rPr>
      </w:pPr>
      <w:r>
        <w:rPr>
          <w:rFonts w:hint="eastAsia"/>
          <w:b/>
          <w:bCs/>
          <w:color w:val="auto"/>
          <w:sz w:val="28"/>
          <w:szCs w:val="28"/>
          <w:highlight w:val="none"/>
        </w:rPr>
        <w:t>广西壮族自治区建设工程安全文明施工措施项目清单内容</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69F38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left w:val="single" w:color="auto" w:sz="12" w:space="0"/>
              <w:bottom w:val="single" w:color="auto" w:sz="4" w:space="0"/>
              <w:right w:val="single" w:color="auto" w:sz="4" w:space="0"/>
            </w:tcBorders>
            <w:vAlign w:val="center"/>
          </w:tcPr>
          <w:p w14:paraId="598BF6A7">
            <w:pPr>
              <w:pStyle w:val="229"/>
              <w:ind w:firstLine="0" w:firstLineChars="0"/>
              <w:jc w:val="center"/>
              <w:rPr>
                <w:color w:val="auto"/>
                <w:szCs w:val="24"/>
                <w:highlight w:val="none"/>
              </w:rPr>
            </w:pPr>
            <w:r>
              <w:rPr>
                <w:rFonts w:hint="eastAsia"/>
                <w:color w:val="auto"/>
                <w:highlight w:val="none"/>
              </w:rPr>
              <w:t>类别</w:t>
            </w:r>
          </w:p>
        </w:tc>
        <w:tc>
          <w:tcPr>
            <w:tcW w:w="2070" w:type="dxa"/>
            <w:gridSpan w:val="2"/>
            <w:tcBorders>
              <w:top w:val="single" w:color="auto" w:sz="12" w:space="0"/>
              <w:left w:val="single" w:color="auto" w:sz="4" w:space="0"/>
              <w:bottom w:val="single" w:color="auto" w:sz="4" w:space="0"/>
              <w:right w:val="single" w:color="auto" w:sz="4" w:space="0"/>
            </w:tcBorders>
            <w:vAlign w:val="center"/>
          </w:tcPr>
          <w:p w14:paraId="69825894">
            <w:pPr>
              <w:pStyle w:val="229"/>
              <w:ind w:firstLine="0" w:firstLineChars="0"/>
              <w:jc w:val="center"/>
              <w:rPr>
                <w:color w:val="auto"/>
                <w:szCs w:val="24"/>
                <w:highlight w:val="none"/>
              </w:rPr>
            </w:pPr>
            <w:r>
              <w:rPr>
                <w:rFonts w:hint="eastAsia"/>
                <w:color w:val="auto"/>
                <w:highlight w:val="none"/>
              </w:rPr>
              <w:t>项目名称</w:t>
            </w:r>
          </w:p>
        </w:tc>
        <w:tc>
          <w:tcPr>
            <w:tcW w:w="6645" w:type="dxa"/>
            <w:tcBorders>
              <w:top w:val="single" w:color="auto" w:sz="12" w:space="0"/>
              <w:left w:val="single" w:color="auto" w:sz="4" w:space="0"/>
              <w:bottom w:val="single" w:color="auto" w:sz="4" w:space="0"/>
              <w:right w:val="single" w:color="auto" w:sz="12" w:space="0"/>
            </w:tcBorders>
            <w:vAlign w:val="center"/>
          </w:tcPr>
          <w:p w14:paraId="488D25E5">
            <w:pPr>
              <w:pStyle w:val="229"/>
              <w:ind w:firstLine="0" w:firstLineChars="0"/>
              <w:rPr>
                <w:color w:val="auto"/>
                <w:szCs w:val="24"/>
                <w:highlight w:val="none"/>
              </w:rPr>
            </w:pPr>
            <w:r>
              <w:rPr>
                <w:rFonts w:hint="eastAsia"/>
                <w:color w:val="auto"/>
                <w:highlight w:val="none"/>
              </w:rPr>
              <w:t>主要内容和要求</w:t>
            </w:r>
          </w:p>
        </w:tc>
      </w:tr>
      <w:tr w14:paraId="2E13F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3F710AB4">
            <w:pPr>
              <w:pStyle w:val="229"/>
              <w:ind w:firstLine="0" w:firstLineChars="0"/>
              <w:jc w:val="center"/>
              <w:rPr>
                <w:color w:val="auto"/>
                <w:highlight w:val="none"/>
              </w:rPr>
            </w:pPr>
            <w:r>
              <w:rPr>
                <w:rFonts w:hint="eastAsia"/>
                <w:color w:val="auto"/>
                <w:highlight w:val="none"/>
              </w:rPr>
              <w:t>文明施工与环境保护</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6EB4693D">
            <w:pPr>
              <w:pStyle w:val="229"/>
              <w:ind w:firstLine="0" w:firstLineChars="0"/>
              <w:jc w:val="center"/>
              <w:rPr>
                <w:color w:val="auto"/>
                <w:highlight w:val="none"/>
              </w:rPr>
            </w:pPr>
            <w:r>
              <w:rPr>
                <w:rFonts w:hint="eastAsia"/>
                <w:color w:val="auto"/>
                <w:highlight w:val="none"/>
              </w:rPr>
              <w:t>安全警示标志牌</w:t>
            </w:r>
          </w:p>
        </w:tc>
        <w:tc>
          <w:tcPr>
            <w:tcW w:w="6645" w:type="dxa"/>
            <w:tcBorders>
              <w:top w:val="single" w:color="auto" w:sz="4" w:space="0"/>
              <w:left w:val="single" w:color="auto" w:sz="4" w:space="0"/>
              <w:bottom w:val="single" w:color="auto" w:sz="4" w:space="0"/>
              <w:right w:val="single" w:color="auto" w:sz="12" w:space="0"/>
            </w:tcBorders>
            <w:vAlign w:val="center"/>
          </w:tcPr>
          <w:p w14:paraId="1A363ECD">
            <w:pPr>
              <w:pStyle w:val="229"/>
              <w:ind w:firstLine="0" w:firstLineChars="0"/>
              <w:rPr>
                <w:color w:val="auto"/>
                <w:highlight w:val="none"/>
              </w:rPr>
            </w:pPr>
            <w:r>
              <w:rPr>
                <w:rFonts w:hint="eastAsia"/>
                <w:color w:val="auto"/>
                <w:highlight w:val="none"/>
              </w:rPr>
              <w:t>在易发伤亡事故（或危险）处设置明显的、符合国家标准要求的安全警示标志牌。</w:t>
            </w:r>
          </w:p>
        </w:tc>
      </w:tr>
      <w:tr w14:paraId="566B7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F3E3D0D">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1B8F99C">
            <w:pPr>
              <w:pStyle w:val="229"/>
              <w:ind w:firstLine="0" w:firstLineChars="0"/>
              <w:jc w:val="center"/>
              <w:rPr>
                <w:color w:val="auto"/>
                <w:highlight w:val="none"/>
              </w:rPr>
            </w:pPr>
            <w:r>
              <w:rPr>
                <w:rFonts w:hint="eastAsia"/>
                <w:color w:val="auto"/>
                <w:highlight w:val="none"/>
              </w:rPr>
              <w:t>现场围挡</w:t>
            </w:r>
          </w:p>
        </w:tc>
        <w:tc>
          <w:tcPr>
            <w:tcW w:w="6645" w:type="dxa"/>
            <w:tcBorders>
              <w:top w:val="single" w:color="auto" w:sz="4" w:space="0"/>
              <w:left w:val="single" w:color="auto" w:sz="4" w:space="0"/>
              <w:bottom w:val="single" w:color="auto" w:sz="4" w:space="0"/>
              <w:right w:val="single" w:color="auto" w:sz="12" w:space="0"/>
            </w:tcBorders>
            <w:vAlign w:val="center"/>
          </w:tcPr>
          <w:p w14:paraId="504CA000">
            <w:pPr>
              <w:pStyle w:val="229"/>
              <w:ind w:firstLine="0" w:firstLineChars="0"/>
              <w:rPr>
                <w:color w:val="auto"/>
                <w:highlight w:val="none"/>
              </w:rPr>
            </w:pPr>
            <w:r>
              <w:rPr>
                <w:rFonts w:hint="eastAsia"/>
                <w:color w:val="auto"/>
                <w:highlight w:val="none"/>
              </w:rPr>
              <w:t>1. 现场采用封闭围挡，高度不小于1.8m。</w:t>
            </w:r>
          </w:p>
          <w:p w14:paraId="26A30109">
            <w:pPr>
              <w:pStyle w:val="229"/>
              <w:ind w:firstLine="0" w:firstLineChars="0"/>
              <w:rPr>
                <w:color w:val="auto"/>
                <w:highlight w:val="none"/>
              </w:rPr>
            </w:pPr>
            <w:r>
              <w:rPr>
                <w:rFonts w:hint="eastAsia"/>
                <w:color w:val="auto"/>
                <w:highlight w:val="none"/>
              </w:rPr>
              <w:t>2. 围挡材料可用彩色、定型钢板，砌块等墙体。</w:t>
            </w:r>
          </w:p>
        </w:tc>
      </w:tr>
      <w:tr w14:paraId="5F323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30F272F">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75F2844">
            <w:pPr>
              <w:pStyle w:val="229"/>
              <w:ind w:firstLine="0" w:firstLineChars="0"/>
              <w:jc w:val="center"/>
              <w:rPr>
                <w:color w:val="auto"/>
                <w:highlight w:val="none"/>
              </w:rPr>
            </w:pPr>
            <w:r>
              <w:rPr>
                <w:rFonts w:hint="eastAsia"/>
                <w:color w:val="auto"/>
                <w:highlight w:val="none"/>
              </w:rPr>
              <w:t>七牌二图</w:t>
            </w:r>
          </w:p>
        </w:tc>
        <w:tc>
          <w:tcPr>
            <w:tcW w:w="6645" w:type="dxa"/>
            <w:tcBorders>
              <w:top w:val="single" w:color="auto" w:sz="4" w:space="0"/>
              <w:left w:val="single" w:color="auto" w:sz="4" w:space="0"/>
              <w:bottom w:val="single" w:color="auto" w:sz="4" w:space="0"/>
              <w:right w:val="single" w:color="auto" w:sz="12" w:space="0"/>
            </w:tcBorders>
            <w:vAlign w:val="center"/>
          </w:tcPr>
          <w:p w14:paraId="08988BA7">
            <w:pPr>
              <w:pStyle w:val="229"/>
              <w:ind w:firstLine="0" w:firstLineChars="0"/>
              <w:rPr>
                <w:color w:val="auto"/>
                <w:highlight w:val="none"/>
              </w:rPr>
            </w:pPr>
            <w:r>
              <w:rPr>
                <w:rFonts w:hint="eastAsia"/>
                <w:color w:val="auto"/>
                <w:highlight w:val="none"/>
              </w:rPr>
              <w:t>在进门处悬挂工程概况、现场出入制度、管理人员名单及监督电话、安全生产规定、文明施工、消防保卫、节能公示等七牌以及施工现场总平面图、工程效果图。</w:t>
            </w:r>
          </w:p>
        </w:tc>
      </w:tr>
      <w:tr w14:paraId="3EF3A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5372D12">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50C8DDA9">
            <w:pPr>
              <w:pStyle w:val="229"/>
              <w:ind w:firstLine="0" w:firstLineChars="0"/>
              <w:jc w:val="center"/>
              <w:rPr>
                <w:color w:val="auto"/>
                <w:highlight w:val="none"/>
              </w:rPr>
            </w:pPr>
            <w:r>
              <w:rPr>
                <w:rFonts w:hint="eastAsia"/>
                <w:color w:val="auto"/>
                <w:highlight w:val="none"/>
              </w:rPr>
              <w:t>企业标志</w:t>
            </w:r>
          </w:p>
        </w:tc>
        <w:tc>
          <w:tcPr>
            <w:tcW w:w="6645" w:type="dxa"/>
            <w:tcBorders>
              <w:top w:val="single" w:color="auto" w:sz="4" w:space="0"/>
              <w:left w:val="single" w:color="auto" w:sz="4" w:space="0"/>
              <w:bottom w:val="single" w:color="auto" w:sz="4" w:space="0"/>
              <w:right w:val="single" w:color="auto" w:sz="12" w:space="0"/>
            </w:tcBorders>
            <w:vAlign w:val="center"/>
          </w:tcPr>
          <w:p w14:paraId="44EC793B">
            <w:pPr>
              <w:pStyle w:val="229"/>
              <w:ind w:firstLine="0" w:firstLineChars="0"/>
              <w:rPr>
                <w:color w:val="auto"/>
                <w:highlight w:val="none"/>
              </w:rPr>
            </w:pPr>
            <w:r>
              <w:rPr>
                <w:rFonts w:hint="eastAsia"/>
                <w:color w:val="auto"/>
                <w:highlight w:val="none"/>
              </w:rPr>
              <w:t>现场出入的大门应设有本企业标志或企业标识。</w:t>
            </w:r>
          </w:p>
        </w:tc>
      </w:tr>
      <w:tr w14:paraId="6E456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48C399D">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328AF2E2">
            <w:pPr>
              <w:pStyle w:val="229"/>
              <w:ind w:firstLine="0" w:firstLineChars="0"/>
              <w:jc w:val="center"/>
              <w:rPr>
                <w:color w:val="auto"/>
                <w:highlight w:val="none"/>
              </w:rPr>
            </w:pPr>
            <w:r>
              <w:rPr>
                <w:rFonts w:hint="eastAsia"/>
                <w:color w:val="auto"/>
                <w:highlight w:val="none"/>
              </w:rPr>
              <w:t>场容场貌</w:t>
            </w:r>
          </w:p>
        </w:tc>
        <w:tc>
          <w:tcPr>
            <w:tcW w:w="6645" w:type="dxa"/>
            <w:tcBorders>
              <w:top w:val="single" w:color="auto" w:sz="4" w:space="0"/>
              <w:left w:val="single" w:color="auto" w:sz="4" w:space="0"/>
              <w:bottom w:val="single" w:color="auto" w:sz="4" w:space="0"/>
              <w:right w:val="single" w:color="auto" w:sz="12" w:space="0"/>
            </w:tcBorders>
            <w:vAlign w:val="center"/>
          </w:tcPr>
          <w:p w14:paraId="1794A072">
            <w:pPr>
              <w:pStyle w:val="229"/>
              <w:ind w:firstLine="0" w:firstLineChars="0"/>
              <w:rPr>
                <w:color w:val="auto"/>
                <w:highlight w:val="none"/>
              </w:rPr>
            </w:pPr>
            <w:r>
              <w:rPr>
                <w:rFonts w:hint="eastAsia"/>
                <w:color w:val="auto"/>
                <w:highlight w:val="none"/>
              </w:rPr>
              <w:t>1. 道路畅通。</w:t>
            </w:r>
          </w:p>
          <w:p w14:paraId="3BDBEECF">
            <w:pPr>
              <w:pStyle w:val="229"/>
              <w:ind w:firstLine="0" w:firstLineChars="0"/>
              <w:rPr>
                <w:color w:val="auto"/>
                <w:highlight w:val="none"/>
              </w:rPr>
            </w:pPr>
            <w:r>
              <w:rPr>
                <w:rFonts w:hint="eastAsia"/>
                <w:color w:val="auto"/>
                <w:highlight w:val="none"/>
              </w:rPr>
              <w:t>2. 排水设施齐全畅通。</w:t>
            </w:r>
          </w:p>
          <w:p w14:paraId="7F655A48">
            <w:pPr>
              <w:pStyle w:val="229"/>
              <w:ind w:firstLine="0" w:firstLineChars="0"/>
              <w:rPr>
                <w:color w:val="auto"/>
                <w:highlight w:val="none"/>
              </w:rPr>
            </w:pPr>
            <w:r>
              <w:rPr>
                <w:rFonts w:hint="eastAsia"/>
                <w:color w:val="auto"/>
                <w:highlight w:val="none"/>
              </w:rPr>
              <w:t>3. 工地地面硬化处理（办公区、生活区、现场道路、材料堆放、混凝土搅拌、砂浆搅拌、钢筋加工等场地和外脚手架基础等）。</w:t>
            </w:r>
          </w:p>
        </w:tc>
      </w:tr>
      <w:tr w14:paraId="2FFB1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7E3A812">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3B3A310">
            <w:pPr>
              <w:pStyle w:val="229"/>
              <w:ind w:firstLine="0" w:firstLineChars="0"/>
              <w:jc w:val="center"/>
              <w:rPr>
                <w:color w:val="auto"/>
                <w:highlight w:val="none"/>
              </w:rPr>
            </w:pPr>
            <w:r>
              <w:rPr>
                <w:rFonts w:hint="eastAsia"/>
                <w:color w:val="auto"/>
                <w:highlight w:val="none"/>
              </w:rPr>
              <w:t>材料堆放</w:t>
            </w:r>
          </w:p>
        </w:tc>
        <w:tc>
          <w:tcPr>
            <w:tcW w:w="6645" w:type="dxa"/>
            <w:tcBorders>
              <w:top w:val="single" w:color="auto" w:sz="4" w:space="0"/>
              <w:left w:val="single" w:color="auto" w:sz="4" w:space="0"/>
              <w:bottom w:val="single" w:color="auto" w:sz="4" w:space="0"/>
              <w:right w:val="single" w:color="auto" w:sz="12" w:space="0"/>
            </w:tcBorders>
            <w:vAlign w:val="center"/>
          </w:tcPr>
          <w:p w14:paraId="4D8385A3">
            <w:pPr>
              <w:pStyle w:val="229"/>
              <w:numPr>
                <w:ilvl w:val="0"/>
                <w:numId w:val="3"/>
              </w:numPr>
              <w:ind w:firstLineChars="0"/>
              <w:rPr>
                <w:color w:val="auto"/>
                <w:highlight w:val="none"/>
              </w:rPr>
            </w:pPr>
            <w:r>
              <w:rPr>
                <w:rFonts w:hint="eastAsia"/>
                <w:color w:val="auto"/>
                <w:highlight w:val="none"/>
              </w:rPr>
              <w:t>材料、构件、料具等堆放时，应有名称、品种、规格等标牌。</w:t>
            </w:r>
          </w:p>
          <w:p w14:paraId="49AA9C8D">
            <w:pPr>
              <w:pStyle w:val="229"/>
              <w:ind w:firstLine="0" w:firstLineChars="0"/>
              <w:rPr>
                <w:color w:val="auto"/>
                <w:highlight w:val="none"/>
              </w:rPr>
            </w:pPr>
            <w:r>
              <w:rPr>
                <w:rFonts w:hint="eastAsia"/>
                <w:color w:val="auto"/>
                <w:highlight w:val="none"/>
              </w:rPr>
              <w:t>2. 水泥和其他易飞扬细颗粒建筑材料应封闭存放或采取覆盖等措施。</w:t>
            </w:r>
          </w:p>
          <w:p w14:paraId="31449B00">
            <w:pPr>
              <w:pStyle w:val="229"/>
              <w:ind w:firstLine="0" w:firstLineChars="0"/>
              <w:rPr>
                <w:color w:val="auto"/>
                <w:highlight w:val="none"/>
              </w:rPr>
            </w:pPr>
            <w:r>
              <w:rPr>
                <w:rFonts w:hint="eastAsia"/>
                <w:color w:val="auto"/>
                <w:highlight w:val="none"/>
              </w:rPr>
              <w:t>3. 易燃、易爆和有毒有害物品分类存放。</w:t>
            </w:r>
          </w:p>
        </w:tc>
      </w:tr>
      <w:tr w14:paraId="792A4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EB9F00A">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4E3A8E44">
            <w:pPr>
              <w:pStyle w:val="229"/>
              <w:ind w:firstLine="0" w:firstLineChars="0"/>
              <w:jc w:val="center"/>
              <w:rPr>
                <w:color w:val="auto"/>
                <w:highlight w:val="none"/>
              </w:rPr>
            </w:pPr>
            <w:r>
              <w:rPr>
                <w:rFonts w:hint="eastAsia"/>
                <w:color w:val="auto"/>
                <w:highlight w:val="none"/>
              </w:rPr>
              <w:t>现场防火</w:t>
            </w:r>
          </w:p>
        </w:tc>
        <w:tc>
          <w:tcPr>
            <w:tcW w:w="6645" w:type="dxa"/>
            <w:tcBorders>
              <w:top w:val="single" w:color="auto" w:sz="4" w:space="0"/>
              <w:left w:val="single" w:color="auto" w:sz="4" w:space="0"/>
              <w:bottom w:val="single" w:color="auto" w:sz="4" w:space="0"/>
              <w:right w:val="single" w:color="auto" w:sz="12" w:space="0"/>
            </w:tcBorders>
            <w:vAlign w:val="center"/>
          </w:tcPr>
          <w:p w14:paraId="3770B05A">
            <w:pPr>
              <w:pStyle w:val="229"/>
              <w:ind w:firstLine="0" w:firstLineChars="0"/>
              <w:rPr>
                <w:color w:val="auto"/>
                <w:highlight w:val="none"/>
              </w:rPr>
            </w:pPr>
            <w:r>
              <w:rPr>
                <w:rFonts w:hint="eastAsia"/>
                <w:color w:val="auto"/>
                <w:highlight w:val="none"/>
              </w:rPr>
              <w:t>消防器材配置合理，符合消防要求。</w:t>
            </w:r>
          </w:p>
        </w:tc>
      </w:tr>
      <w:tr w14:paraId="369AC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6877FF0">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7441118">
            <w:pPr>
              <w:pStyle w:val="229"/>
              <w:ind w:firstLine="0" w:firstLineChars="0"/>
              <w:jc w:val="center"/>
              <w:rPr>
                <w:color w:val="auto"/>
                <w:highlight w:val="none"/>
              </w:rPr>
            </w:pPr>
            <w:r>
              <w:rPr>
                <w:rFonts w:hint="eastAsia"/>
                <w:color w:val="auto"/>
                <w:highlight w:val="none"/>
              </w:rPr>
              <w:t>垃圾清运</w:t>
            </w:r>
          </w:p>
        </w:tc>
        <w:tc>
          <w:tcPr>
            <w:tcW w:w="6645" w:type="dxa"/>
            <w:tcBorders>
              <w:top w:val="single" w:color="auto" w:sz="4" w:space="0"/>
              <w:left w:val="single" w:color="auto" w:sz="4" w:space="0"/>
              <w:bottom w:val="single" w:color="auto" w:sz="4" w:space="0"/>
              <w:right w:val="single" w:color="auto" w:sz="12" w:space="0"/>
            </w:tcBorders>
            <w:vAlign w:val="center"/>
          </w:tcPr>
          <w:p w14:paraId="0950D00A">
            <w:pPr>
              <w:pStyle w:val="229"/>
              <w:ind w:firstLine="0" w:firstLineChars="0"/>
              <w:rPr>
                <w:color w:val="auto"/>
                <w:highlight w:val="none"/>
              </w:rPr>
            </w:pPr>
            <w:r>
              <w:rPr>
                <w:rFonts w:hint="eastAsia"/>
                <w:color w:val="auto"/>
                <w:highlight w:val="none"/>
              </w:rPr>
              <w:t>1. 施工现场应设置密闭式垃圾站，施工垃圾、生活垃圾应分类存放。</w:t>
            </w:r>
          </w:p>
          <w:p w14:paraId="7C49CF18">
            <w:pPr>
              <w:pStyle w:val="229"/>
              <w:ind w:firstLine="0" w:firstLineChars="0"/>
              <w:rPr>
                <w:color w:val="auto"/>
                <w:highlight w:val="none"/>
              </w:rPr>
            </w:pPr>
            <w:r>
              <w:rPr>
                <w:rFonts w:hint="eastAsia"/>
                <w:color w:val="auto"/>
                <w:highlight w:val="none"/>
              </w:rPr>
              <w:t>2. 施工垃圾必须采用相应容器或管道运输。</w:t>
            </w:r>
          </w:p>
        </w:tc>
      </w:tr>
      <w:tr w14:paraId="18789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AB09883">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3D7CB56">
            <w:pPr>
              <w:pStyle w:val="229"/>
              <w:ind w:firstLine="0" w:firstLineChars="0"/>
              <w:jc w:val="center"/>
              <w:rPr>
                <w:color w:val="auto"/>
                <w:highlight w:val="none"/>
              </w:rPr>
            </w:pPr>
            <w:r>
              <w:rPr>
                <w:rFonts w:hint="eastAsia"/>
                <w:color w:val="auto"/>
                <w:highlight w:val="none"/>
              </w:rPr>
              <w:t>宣传栏、环保及不扰民措施</w:t>
            </w:r>
          </w:p>
        </w:tc>
        <w:tc>
          <w:tcPr>
            <w:tcW w:w="6645" w:type="dxa"/>
            <w:tcBorders>
              <w:top w:val="single" w:color="auto" w:sz="4" w:space="0"/>
              <w:left w:val="single" w:color="auto" w:sz="4" w:space="0"/>
              <w:bottom w:val="single" w:color="auto" w:sz="4" w:space="0"/>
              <w:right w:val="single" w:color="auto" w:sz="12" w:space="0"/>
            </w:tcBorders>
            <w:vAlign w:val="center"/>
          </w:tcPr>
          <w:p w14:paraId="58A04B60">
            <w:pPr>
              <w:pStyle w:val="229"/>
              <w:ind w:firstLine="0" w:firstLineChars="0"/>
              <w:rPr>
                <w:color w:val="auto"/>
                <w:highlight w:val="none"/>
              </w:rPr>
            </w:pPr>
            <w:r>
              <w:rPr>
                <w:rFonts w:hint="eastAsia"/>
                <w:color w:val="auto"/>
                <w:highlight w:val="none"/>
              </w:rPr>
              <w:t>宣传栏、安全宣传标语等，洗车（防止污染市区道路）、粉尘、噪声控制和排污（污水、废气）措施等。</w:t>
            </w:r>
          </w:p>
        </w:tc>
      </w:tr>
      <w:tr w14:paraId="68895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65539D6E">
            <w:pPr>
              <w:pStyle w:val="229"/>
              <w:ind w:firstLine="0" w:firstLineChars="0"/>
              <w:jc w:val="center"/>
              <w:rPr>
                <w:color w:val="auto"/>
                <w:highlight w:val="none"/>
              </w:rPr>
            </w:pPr>
            <w:r>
              <w:rPr>
                <w:rFonts w:hint="eastAsia"/>
                <w:color w:val="auto"/>
                <w:highlight w:val="none"/>
              </w:rPr>
              <w:t>临时设施</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53CB6C36">
            <w:pPr>
              <w:pStyle w:val="229"/>
              <w:ind w:firstLine="0" w:firstLineChars="0"/>
              <w:jc w:val="center"/>
              <w:rPr>
                <w:color w:val="auto"/>
                <w:highlight w:val="none"/>
              </w:rPr>
            </w:pPr>
            <w:r>
              <w:rPr>
                <w:rFonts w:hint="eastAsia"/>
                <w:color w:val="auto"/>
                <w:highlight w:val="none"/>
              </w:rPr>
              <w:t>现场办公生活设施</w:t>
            </w:r>
          </w:p>
        </w:tc>
        <w:tc>
          <w:tcPr>
            <w:tcW w:w="6645" w:type="dxa"/>
            <w:tcBorders>
              <w:top w:val="single" w:color="auto" w:sz="4" w:space="0"/>
              <w:left w:val="single" w:color="auto" w:sz="4" w:space="0"/>
              <w:bottom w:val="single" w:color="auto" w:sz="4" w:space="0"/>
              <w:right w:val="single" w:color="auto" w:sz="12" w:space="0"/>
            </w:tcBorders>
            <w:vAlign w:val="center"/>
          </w:tcPr>
          <w:p w14:paraId="3E0338FF">
            <w:pPr>
              <w:pStyle w:val="229"/>
              <w:ind w:firstLine="0" w:firstLineChars="0"/>
              <w:rPr>
                <w:color w:val="auto"/>
                <w:highlight w:val="none"/>
              </w:rPr>
            </w:pPr>
            <w:r>
              <w:rPr>
                <w:rFonts w:hint="eastAsia"/>
                <w:color w:val="auto"/>
                <w:highlight w:val="none"/>
              </w:rPr>
              <w:t>1. 施工现场办公、生活区与作业区分开设置，保持安全距离。</w:t>
            </w:r>
          </w:p>
          <w:p w14:paraId="1CAE5F43">
            <w:pPr>
              <w:pStyle w:val="229"/>
              <w:ind w:firstLine="0" w:firstLineChars="0"/>
              <w:rPr>
                <w:color w:val="auto"/>
                <w:highlight w:val="none"/>
              </w:rPr>
            </w:pPr>
            <w:r>
              <w:rPr>
                <w:rFonts w:hint="eastAsia"/>
                <w:color w:val="auto"/>
                <w:highlight w:val="none"/>
              </w:rPr>
              <w:t>2. 工地办公室、现场宿舍、食堂、厕所、饮水、沐浴、休息场所等符合卫生、消防安全要求。</w:t>
            </w:r>
          </w:p>
        </w:tc>
      </w:tr>
      <w:tr w14:paraId="4DDE8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717C61C">
            <w:pPr>
              <w:pStyle w:val="229"/>
              <w:jc w:val="center"/>
              <w:rPr>
                <w:color w:val="auto"/>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6180D0A">
            <w:pPr>
              <w:pStyle w:val="229"/>
              <w:jc w:val="center"/>
              <w:rPr>
                <w:color w:val="auto"/>
                <w:highlight w:val="none"/>
              </w:rPr>
            </w:pPr>
            <w:r>
              <w:rPr>
                <w:rFonts w:hint="eastAsia"/>
                <w:color w:val="auto"/>
                <w:highlight w:val="none"/>
              </w:rPr>
              <w:t>施工现场</w:t>
            </w:r>
          </w:p>
          <w:p w14:paraId="43B935FD">
            <w:pPr>
              <w:pStyle w:val="229"/>
              <w:jc w:val="center"/>
              <w:rPr>
                <w:color w:val="auto"/>
                <w:highlight w:val="none"/>
              </w:rPr>
            </w:pPr>
            <w:r>
              <w:rPr>
                <w:rFonts w:hint="eastAsia"/>
                <w:color w:val="auto"/>
                <w:highlight w:val="none"/>
              </w:rPr>
              <w:t>临时用电</w:t>
            </w:r>
          </w:p>
        </w:tc>
        <w:tc>
          <w:tcPr>
            <w:tcW w:w="1545" w:type="dxa"/>
            <w:tcBorders>
              <w:top w:val="single" w:color="auto" w:sz="4" w:space="0"/>
              <w:left w:val="single" w:color="auto" w:sz="4" w:space="0"/>
              <w:bottom w:val="single" w:color="auto" w:sz="4" w:space="0"/>
              <w:right w:val="single" w:color="auto" w:sz="4" w:space="0"/>
            </w:tcBorders>
            <w:vAlign w:val="center"/>
          </w:tcPr>
          <w:p w14:paraId="33590054">
            <w:pPr>
              <w:pStyle w:val="229"/>
              <w:ind w:firstLine="0" w:firstLineChars="0"/>
              <w:jc w:val="center"/>
              <w:rPr>
                <w:color w:val="auto"/>
                <w:highlight w:val="none"/>
              </w:rPr>
            </w:pPr>
            <w:r>
              <w:rPr>
                <w:rFonts w:hint="eastAsia"/>
                <w:color w:val="auto"/>
                <w:highlight w:val="none"/>
              </w:rPr>
              <w:t>配电线路</w:t>
            </w:r>
          </w:p>
        </w:tc>
        <w:tc>
          <w:tcPr>
            <w:tcW w:w="6645" w:type="dxa"/>
            <w:tcBorders>
              <w:top w:val="single" w:color="auto" w:sz="4" w:space="0"/>
              <w:left w:val="single" w:color="auto" w:sz="4" w:space="0"/>
              <w:bottom w:val="single" w:color="auto" w:sz="4" w:space="0"/>
              <w:right w:val="single" w:color="auto" w:sz="12" w:space="0"/>
            </w:tcBorders>
            <w:vAlign w:val="center"/>
          </w:tcPr>
          <w:p w14:paraId="786E730D">
            <w:pPr>
              <w:pStyle w:val="229"/>
              <w:ind w:firstLine="0" w:firstLineChars="0"/>
              <w:rPr>
                <w:color w:val="auto"/>
                <w:highlight w:val="none"/>
              </w:rPr>
            </w:pPr>
            <w:r>
              <w:rPr>
                <w:rFonts w:hint="eastAsia"/>
                <w:color w:val="auto"/>
                <w:highlight w:val="none"/>
              </w:rPr>
              <w:t>1. 按照TN-S系统要求配备五芯电缆、四芯电缆和三芯电缆。</w:t>
            </w:r>
          </w:p>
          <w:p w14:paraId="4040A013">
            <w:pPr>
              <w:pStyle w:val="229"/>
              <w:ind w:firstLine="0" w:firstLineChars="0"/>
              <w:rPr>
                <w:color w:val="auto"/>
                <w:highlight w:val="none"/>
              </w:rPr>
            </w:pPr>
            <w:r>
              <w:rPr>
                <w:rFonts w:hint="eastAsia"/>
                <w:color w:val="auto"/>
                <w:highlight w:val="none"/>
              </w:rPr>
              <w:t>2. 按要求架设临时用电线路的电杆、横担、瓷夹、瓷瓶等，或电缆埋地的地沟。</w:t>
            </w:r>
          </w:p>
          <w:p w14:paraId="0A49D78A">
            <w:pPr>
              <w:pStyle w:val="229"/>
              <w:ind w:firstLine="0" w:firstLineChars="0"/>
              <w:rPr>
                <w:color w:val="auto"/>
                <w:highlight w:val="none"/>
              </w:rPr>
            </w:pPr>
            <w:r>
              <w:rPr>
                <w:rFonts w:hint="eastAsia"/>
                <w:color w:val="auto"/>
                <w:highlight w:val="none"/>
              </w:rPr>
              <w:t>3. 对靠近施工现场的外电线路，设置木质、塑料等绝缘体的防护设施。</w:t>
            </w:r>
          </w:p>
        </w:tc>
      </w:tr>
      <w:tr w14:paraId="0D901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DBDC30E">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23F0D64A">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6959A56E">
            <w:pPr>
              <w:pStyle w:val="229"/>
              <w:ind w:firstLine="0" w:firstLineChars="0"/>
              <w:jc w:val="center"/>
              <w:rPr>
                <w:color w:val="auto"/>
                <w:highlight w:val="none"/>
              </w:rPr>
            </w:pPr>
            <w:r>
              <w:rPr>
                <w:rFonts w:hint="eastAsia"/>
                <w:color w:val="auto"/>
                <w:highlight w:val="none"/>
              </w:rPr>
              <w:t>配电箱开关箱</w:t>
            </w:r>
          </w:p>
        </w:tc>
        <w:tc>
          <w:tcPr>
            <w:tcW w:w="6645" w:type="dxa"/>
            <w:tcBorders>
              <w:top w:val="single" w:color="auto" w:sz="4" w:space="0"/>
              <w:left w:val="single" w:color="auto" w:sz="4" w:space="0"/>
              <w:bottom w:val="single" w:color="auto" w:sz="4" w:space="0"/>
              <w:right w:val="single" w:color="auto" w:sz="12" w:space="0"/>
            </w:tcBorders>
            <w:vAlign w:val="center"/>
          </w:tcPr>
          <w:p w14:paraId="2F2C50EB">
            <w:pPr>
              <w:pStyle w:val="229"/>
              <w:ind w:firstLine="0" w:firstLineChars="0"/>
              <w:rPr>
                <w:color w:val="auto"/>
                <w:highlight w:val="none"/>
              </w:rPr>
            </w:pPr>
            <w:r>
              <w:rPr>
                <w:rFonts w:hint="eastAsia"/>
                <w:color w:val="auto"/>
                <w:highlight w:val="none"/>
              </w:rPr>
              <w:t>1. 按三级配电要求，配备总配电箱、分配电箱、开关箱三类（铁质）标准电箱，开关箱应符合“一机、一箱、一闸、一漏”，三类电箱中的各类电器应是合格品。</w:t>
            </w:r>
          </w:p>
          <w:p w14:paraId="522906AF">
            <w:pPr>
              <w:pStyle w:val="229"/>
              <w:ind w:firstLine="0" w:firstLineChars="0"/>
              <w:rPr>
                <w:color w:val="auto"/>
                <w:highlight w:val="none"/>
              </w:rPr>
            </w:pPr>
            <w:r>
              <w:rPr>
                <w:rFonts w:hint="eastAsia"/>
                <w:color w:val="auto"/>
                <w:highlight w:val="none"/>
              </w:rPr>
              <w:t>2. 按两级保护的要求，选取符合容量要求和质量合格的总配电箱和开关箱中的漏电保护器。</w:t>
            </w:r>
          </w:p>
          <w:p w14:paraId="0AF25413">
            <w:pPr>
              <w:pStyle w:val="229"/>
              <w:ind w:firstLine="0" w:firstLineChars="0"/>
              <w:rPr>
                <w:color w:val="auto"/>
                <w:highlight w:val="none"/>
              </w:rPr>
            </w:pPr>
            <w:r>
              <w:rPr>
                <w:rFonts w:hint="eastAsia"/>
                <w:color w:val="auto"/>
                <w:highlight w:val="none"/>
              </w:rPr>
              <w:t>3. 对大型、落地式分配电箱、开关箱设置防护棚和通透式围挡。</w:t>
            </w:r>
          </w:p>
        </w:tc>
      </w:tr>
      <w:tr w14:paraId="2C28D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AE829E0">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679B5528">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4D1ED731">
            <w:pPr>
              <w:pStyle w:val="229"/>
              <w:ind w:firstLine="0" w:firstLineChars="0"/>
              <w:jc w:val="center"/>
              <w:rPr>
                <w:color w:val="auto"/>
                <w:highlight w:val="none"/>
              </w:rPr>
            </w:pPr>
            <w:r>
              <w:rPr>
                <w:rFonts w:hint="eastAsia"/>
                <w:color w:val="auto"/>
                <w:highlight w:val="none"/>
              </w:rPr>
              <w:t>接地装置</w:t>
            </w:r>
          </w:p>
        </w:tc>
        <w:tc>
          <w:tcPr>
            <w:tcW w:w="6645" w:type="dxa"/>
            <w:tcBorders>
              <w:top w:val="single" w:color="auto" w:sz="4" w:space="0"/>
              <w:left w:val="single" w:color="auto" w:sz="4" w:space="0"/>
              <w:bottom w:val="single" w:color="auto" w:sz="4" w:space="0"/>
              <w:right w:val="single" w:color="auto" w:sz="12" w:space="0"/>
            </w:tcBorders>
            <w:vAlign w:val="center"/>
          </w:tcPr>
          <w:p w14:paraId="33324FB7">
            <w:pPr>
              <w:pStyle w:val="229"/>
              <w:ind w:firstLine="0" w:firstLineChars="0"/>
              <w:rPr>
                <w:color w:val="auto"/>
                <w:highlight w:val="none"/>
              </w:rPr>
            </w:pPr>
            <w:r>
              <w:rPr>
                <w:rFonts w:hint="eastAsia"/>
                <w:color w:val="auto"/>
                <w:highlight w:val="none"/>
              </w:rPr>
              <w:t>施工现场应设置不少于三处的重复接地装置。</w:t>
            </w:r>
          </w:p>
        </w:tc>
      </w:tr>
      <w:tr w14:paraId="41888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368AC328">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046DB31F">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F7D5AB7">
            <w:pPr>
              <w:pStyle w:val="229"/>
              <w:ind w:firstLine="0" w:firstLineChars="0"/>
              <w:jc w:val="center"/>
              <w:rPr>
                <w:color w:val="auto"/>
                <w:highlight w:val="none"/>
              </w:rPr>
            </w:pPr>
            <w:r>
              <w:rPr>
                <w:rFonts w:hint="eastAsia"/>
                <w:color w:val="auto"/>
                <w:highlight w:val="none"/>
              </w:rPr>
              <w:t>现场变配电装置</w:t>
            </w:r>
          </w:p>
        </w:tc>
        <w:tc>
          <w:tcPr>
            <w:tcW w:w="6645" w:type="dxa"/>
            <w:tcBorders>
              <w:top w:val="single" w:color="auto" w:sz="4" w:space="0"/>
              <w:left w:val="single" w:color="auto" w:sz="4" w:space="0"/>
              <w:bottom w:val="single" w:color="auto" w:sz="4" w:space="0"/>
              <w:right w:val="single" w:color="auto" w:sz="12" w:space="0"/>
            </w:tcBorders>
            <w:vAlign w:val="center"/>
          </w:tcPr>
          <w:p w14:paraId="070E1000">
            <w:pPr>
              <w:pStyle w:val="229"/>
              <w:ind w:firstLine="0" w:firstLineChars="0"/>
              <w:rPr>
                <w:color w:val="auto"/>
                <w:highlight w:val="none"/>
              </w:rPr>
            </w:pPr>
            <w:r>
              <w:rPr>
                <w:rFonts w:hint="eastAsia"/>
                <w:color w:val="auto"/>
                <w:highlight w:val="none"/>
              </w:rPr>
              <w:t>总配电房建筑材料必须达到消防防火要求，室内做硬地坪、电缆沟。</w:t>
            </w:r>
          </w:p>
        </w:tc>
      </w:tr>
      <w:tr w14:paraId="263E7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tcBorders>
              <w:top w:val="single" w:color="auto" w:sz="4" w:space="0"/>
              <w:left w:val="single" w:color="auto" w:sz="12" w:space="0"/>
              <w:bottom w:val="single" w:color="auto" w:sz="4" w:space="0"/>
              <w:right w:val="single" w:color="auto" w:sz="4" w:space="0"/>
            </w:tcBorders>
            <w:vAlign w:val="center"/>
          </w:tcPr>
          <w:p w14:paraId="2E3CA494">
            <w:pPr>
              <w:pStyle w:val="229"/>
              <w:ind w:firstLine="0" w:firstLineChars="0"/>
              <w:jc w:val="center"/>
              <w:rPr>
                <w:color w:val="auto"/>
                <w:szCs w:val="24"/>
                <w:highlight w:val="none"/>
              </w:rPr>
            </w:pPr>
            <w:r>
              <w:rPr>
                <w:rFonts w:hint="eastAsia"/>
                <w:color w:val="auto"/>
                <w:highlight w:val="none"/>
              </w:rPr>
              <w:t>类别</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67828F2A">
            <w:pPr>
              <w:pStyle w:val="229"/>
              <w:ind w:firstLine="0" w:firstLineChars="0"/>
              <w:jc w:val="center"/>
              <w:rPr>
                <w:color w:val="auto"/>
                <w:szCs w:val="24"/>
                <w:highlight w:val="none"/>
              </w:rPr>
            </w:pPr>
            <w:r>
              <w:rPr>
                <w:rFonts w:hint="eastAsia"/>
                <w:color w:val="auto"/>
                <w:highlight w:val="none"/>
              </w:rPr>
              <w:t>项目名称</w:t>
            </w:r>
          </w:p>
        </w:tc>
        <w:tc>
          <w:tcPr>
            <w:tcW w:w="6645" w:type="dxa"/>
            <w:tcBorders>
              <w:top w:val="single" w:color="auto" w:sz="4" w:space="0"/>
              <w:left w:val="single" w:color="auto" w:sz="4" w:space="0"/>
              <w:bottom w:val="single" w:color="auto" w:sz="4" w:space="0"/>
              <w:right w:val="single" w:color="auto" w:sz="12" w:space="0"/>
            </w:tcBorders>
            <w:vAlign w:val="center"/>
          </w:tcPr>
          <w:p w14:paraId="16BB3074">
            <w:pPr>
              <w:pStyle w:val="229"/>
              <w:ind w:firstLine="0" w:firstLineChars="0"/>
              <w:jc w:val="center"/>
              <w:rPr>
                <w:color w:val="auto"/>
                <w:szCs w:val="24"/>
                <w:highlight w:val="none"/>
              </w:rPr>
            </w:pPr>
            <w:r>
              <w:rPr>
                <w:rFonts w:hint="eastAsia"/>
                <w:color w:val="auto"/>
                <w:highlight w:val="none"/>
              </w:rPr>
              <w:t>主要内容和要求</w:t>
            </w:r>
          </w:p>
        </w:tc>
      </w:tr>
      <w:tr w14:paraId="1A01A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46905BF8">
            <w:pPr>
              <w:pStyle w:val="229"/>
              <w:ind w:firstLine="0" w:firstLineChars="0"/>
              <w:jc w:val="center"/>
              <w:rPr>
                <w:color w:val="auto"/>
                <w:highlight w:val="none"/>
              </w:rPr>
            </w:pPr>
            <w:r>
              <w:rPr>
                <w:rFonts w:hint="eastAsia"/>
                <w:color w:val="auto"/>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2B250DFD">
            <w:pPr>
              <w:pStyle w:val="229"/>
              <w:jc w:val="center"/>
              <w:rPr>
                <w:color w:val="auto"/>
                <w:highlight w:val="none"/>
              </w:rPr>
            </w:pPr>
            <w:r>
              <w:rPr>
                <w:rFonts w:hint="eastAsia"/>
                <w:color w:val="auto"/>
                <w:highlight w:val="none"/>
              </w:rPr>
              <w:t>高处作业防护</w:t>
            </w:r>
          </w:p>
        </w:tc>
        <w:tc>
          <w:tcPr>
            <w:tcW w:w="1545" w:type="dxa"/>
            <w:tcBorders>
              <w:top w:val="single" w:color="auto" w:sz="4" w:space="0"/>
              <w:left w:val="single" w:color="auto" w:sz="4" w:space="0"/>
              <w:bottom w:val="single" w:color="auto" w:sz="4" w:space="0"/>
              <w:right w:val="single" w:color="auto" w:sz="4" w:space="0"/>
            </w:tcBorders>
            <w:vAlign w:val="center"/>
          </w:tcPr>
          <w:p w14:paraId="47967508">
            <w:pPr>
              <w:pStyle w:val="229"/>
              <w:ind w:firstLine="0" w:firstLineChars="0"/>
              <w:jc w:val="center"/>
              <w:rPr>
                <w:color w:val="auto"/>
                <w:highlight w:val="none"/>
              </w:rPr>
            </w:pPr>
            <w:r>
              <w:rPr>
                <w:rFonts w:hint="eastAsia"/>
                <w:color w:val="auto"/>
                <w:highlight w:val="none"/>
              </w:rPr>
              <w:t>楼层、屋面、阳台等临边</w:t>
            </w:r>
          </w:p>
        </w:tc>
        <w:tc>
          <w:tcPr>
            <w:tcW w:w="6645" w:type="dxa"/>
            <w:tcBorders>
              <w:top w:val="single" w:color="auto" w:sz="4" w:space="0"/>
              <w:left w:val="single" w:color="auto" w:sz="4" w:space="0"/>
              <w:bottom w:val="single" w:color="auto" w:sz="4" w:space="0"/>
              <w:right w:val="single" w:color="auto" w:sz="12" w:space="0"/>
            </w:tcBorders>
            <w:vAlign w:val="center"/>
          </w:tcPr>
          <w:p w14:paraId="721490BD">
            <w:pPr>
              <w:pStyle w:val="229"/>
              <w:ind w:firstLine="0" w:firstLineChars="0"/>
              <w:rPr>
                <w:color w:val="auto"/>
                <w:highlight w:val="none"/>
              </w:rPr>
            </w:pPr>
            <w:r>
              <w:rPr>
                <w:rFonts w:hint="eastAsia"/>
                <w:color w:val="auto"/>
                <w:highlight w:val="none"/>
              </w:rPr>
              <w:t>设两道防护栏杆和18cm高的踢脚板，用密目式安全立网全封闭。</w:t>
            </w:r>
          </w:p>
        </w:tc>
      </w:tr>
      <w:tr w14:paraId="23BDA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C1F669D">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6BB0802E">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6D325B2C">
            <w:pPr>
              <w:pStyle w:val="229"/>
              <w:ind w:firstLine="0" w:firstLineChars="0"/>
              <w:jc w:val="center"/>
              <w:rPr>
                <w:color w:val="auto"/>
                <w:highlight w:val="none"/>
              </w:rPr>
            </w:pPr>
            <w:r>
              <w:rPr>
                <w:rFonts w:hint="eastAsia"/>
                <w:color w:val="auto"/>
                <w:highlight w:val="none"/>
              </w:rPr>
              <w:t>通道口</w:t>
            </w:r>
          </w:p>
        </w:tc>
        <w:tc>
          <w:tcPr>
            <w:tcW w:w="6645" w:type="dxa"/>
            <w:tcBorders>
              <w:top w:val="single" w:color="auto" w:sz="4" w:space="0"/>
              <w:left w:val="single" w:color="auto" w:sz="4" w:space="0"/>
              <w:bottom w:val="single" w:color="auto" w:sz="4" w:space="0"/>
              <w:right w:val="single" w:color="auto" w:sz="12" w:space="0"/>
            </w:tcBorders>
            <w:vAlign w:val="center"/>
          </w:tcPr>
          <w:p w14:paraId="3FE08791">
            <w:pPr>
              <w:pStyle w:val="229"/>
              <w:ind w:firstLine="0" w:firstLineChars="0"/>
              <w:rPr>
                <w:color w:val="auto"/>
                <w:highlight w:val="none"/>
              </w:rPr>
            </w:pPr>
            <w:r>
              <w:rPr>
                <w:rFonts w:hint="eastAsia"/>
                <w:color w:val="auto"/>
                <w:highlight w:val="none"/>
              </w:rPr>
              <w:t>设防护棚，防护棚应为不小于5cm厚的木板或两道相距50cm的竹笆。两侧应沿栏杆架用密封式安全网封闭。</w:t>
            </w:r>
          </w:p>
        </w:tc>
      </w:tr>
      <w:tr w14:paraId="70BBD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3D669393">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233833DD">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E2A675F">
            <w:pPr>
              <w:pStyle w:val="229"/>
              <w:ind w:firstLine="0" w:firstLineChars="0"/>
              <w:jc w:val="center"/>
              <w:rPr>
                <w:color w:val="auto"/>
                <w:highlight w:val="none"/>
              </w:rPr>
            </w:pPr>
            <w:r>
              <w:rPr>
                <w:rFonts w:hint="eastAsia"/>
                <w:color w:val="auto"/>
                <w:highlight w:val="none"/>
              </w:rPr>
              <w:t>预留洞口</w:t>
            </w:r>
          </w:p>
        </w:tc>
        <w:tc>
          <w:tcPr>
            <w:tcW w:w="6645" w:type="dxa"/>
            <w:tcBorders>
              <w:top w:val="single" w:color="auto" w:sz="4" w:space="0"/>
              <w:left w:val="single" w:color="auto" w:sz="4" w:space="0"/>
              <w:bottom w:val="single" w:color="auto" w:sz="4" w:space="0"/>
              <w:right w:val="single" w:color="auto" w:sz="12" w:space="0"/>
            </w:tcBorders>
            <w:vAlign w:val="center"/>
          </w:tcPr>
          <w:p w14:paraId="7BCC894A">
            <w:pPr>
              <w:pStyle w:val="229"/>
              <w:ind w:firstLine="0" w:firstLineChars="0"/>
              <w:rPr>
                <w:color w:val="auto"/>
                <w:highlight w:val="none"/>
              </w:rPr>
            </w:pPr>
            <w:r>
              <w:rPr>
                <w:rFonts w:hint="eastAsia"/>
                <w:color w:val="auto"/>
                <w:highlight w:val="none"/>
              </w:rPr>
              <w:t>用硬质材料全封闭，短边超过1.5m长的洞口，除封闭外四周还应设有防护栏杆。</w:t>
            </w:r>
          </w:p>
        </w:tc>
      </w:tr>
      <w:tr w14:paraId="3FD11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23366F2">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390147ED">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01312C3D">
            <w:pPr>
              <w:pStyle w:val="229"/>
              <w:ind w:firstLine="0" w:firstLineChars="0"/>
              <w:jc w:val="center"/>
              <w:rPr>
                <w:color w:val="auto"/>
                <w:highlight w:val="none"/>
              </w:rPr>
            </w:pPr>
            <w:r>
              <w:rPr>
                <w:rFonts w:hint="eastAsia"/>
                <w:color w:val="auto"/>
                <w:highlight w:val="none"/>
              </w:rPr>
              <w:t>电梯井口</w:t>
            </w:r>
          </w:p>
        </w:tc>
        <w:tc>
          <w:tcPr>
            <w:tcW w:w="6645" w:type="dxa"/>
            <w:tcBorders>
              <w:top w:val="single" w:color="auto" w:sz="4" w:space="0"/>
              <w:left w:val="single" w:color="auto" w:sz="4" w:space="0"/>
              <w:bottom w:val="single" w:color="auto" w:sz="4" w:space="0"/>
              <w:right w:val="single" w:color="auto" w:sz="12" w:space="0"/>
            </w:tcBorders>
            <w:vAlign w:val="center"/>
          </w:tcPr>
          <w:p w14:paraId="567ACB2B">
            <w:pPr>
              <w:pStyle w:val="229"/>
              <w:ind w:firstLine="0" w:firstLineChars="0"/>
              <w:rPr>
                <w:color w:val="auto"/>
                <w:highlight w:val="none"/>
              </w:rPr>
            </w:pPr>
            <w:r>
              <w:rPr>
                <w:rFonts w:hint="eastAsia"/>
                <w:color w:val="auto"/>
                <w:highlight w:val="none"/>
              </w:rPr>
              <w:t>设置定型化、工具化的防护门，在电梯井内每隔2层（不大于10m）设置一道水平防护。</w:t>
            </w:r>
          </w:p>
        </w:tc>
      </w:tr>
      <w:tr w14:paraId="636D0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30C5CAC">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1C4C1B16">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2EB7E459">
            <w:pPr>
              <w:pStyle w:val="229"/>
              <w:ind w:firstLine="0" w:firstLineChars="0"/>
              <w:jc w:val="center"/>
              <w:rPr>
                <w:color w:val="auto"/>
                <w:highlight w:val="none"/>
              </w:rPr>
            </w:pPr>
            <w:r>
              <w:rPr>
                <w:rFonts w:hint="eastAsia"/>
                <w:color w:val="auto"/>
                <w:highlight w:val="none"/>
              </w:rPr>
              <w:t>楼梯边</w:t>
            </w:r>
          </w:p>
        </w:tc>
        <w:tc>
          <w:tcPr>
            <w:tcW w:w="6645" w:type="dxa"/>
            <w:tcBorders>
              <w:top w:val="single" w:color="auto" w:sz="4" w:space="0"/>
              <w:left w:val="single" w:color="auto" w:sz="4" w:space="0"/>
              <w:bottom w:val="single" w:color="auto" w:sz="4" w:space="0"/>
              <w:right w:val="single" w:color="auto" w:sz="12" w:space="0"/>
            </w:tcBorders>
            <w:vAlign w:val="center"/>
          </w:tcPr>
          <w:p w14:paraId="5FBFFD80">
            <w:pPr>
              <w:pStyle w:val="229"/>
              <w:ind w:firstLine="0" w:firstLineChars="0"/>
              <w:rPr>
                <w:color w:val="auto"/>
                <w:highlight w:val="none"/>
              </w:rPr>
            </w:pPr>
            <w:r>
              <w:rPr>
                <w:rFonts w:hint="eastAsia"/>
                <w:color w:val="auto"/>
                <w:highlight w:val="none"/>
              </w:rPr>
              <w:t>设1.2m高的定型化、工具化的防护栏，18cm高的踢脚板。</w:t>
            </w:r>
          </w:p>
        </w:tc>
      </w:tr>
      <w:tr w14:paraId="799C6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9057F26">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12EBCE6B">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B5A8AC7">
            <w:pPr>
              <w:pStyle w:val="229"/>
              <w:ind w:firstLine="0" w:firstLineChars="0"/>
              <w:jc w:val="center"/>
              <w:rPr>
                <w:color w:val="auto"/>
                <w:highlight w:val="none"/>
              </w:rPr>
            </w:pPr>
            <w:r>
              <w:rPr>
                <w:rFonts w:hint="eastAsia"/>
                <w:color w:val="auto"/>
                <w:highlight w:val="none"/>
              </w:rPr>
              <w:t>垂直方向交叉作业</w:t>
            </w:r>
          </w:p>
        </w:tc>
        <w:tc>
          <w:tcPr>
            <w:tcW w:w="6645" w:type="dxa"/>
            <w:tcBorders>
              <w:top w:val="single" w:color="auto" w:sz="4" w:space="0"/>
              <w:left w:val="single" w:color="auto" w:sz="4" w:space="0"/>
              <w:bottom w:val="single" w:color="auto" w:sz="4" w:space="0"/>
              <w:right w:val="single" w:color="auto" w:sz="12" w:space="0"/>
            </w:tcBorders>
            <w:vAlign w:val="center"/>
          </w:tcPr>
          <w:p w14:paraId="5B8ADF10">
            <w:pPr>
              <w:pStyle w:val="229"/>
              <w:ind w:firstLine="0" w:firstLineChars="0"/>
              <w:rPr>
                <w:color w:val="auto"/>
                <w:highlight w:val="none"/>
              </w:rPr>
            </w:pPr>
            <w:r>
              <w:rPr>
                <w:rFonts w:hint="eastAsia"/>
                <w:color w:val="auto"/>
                <w:highlight w:val="none"/>
              </w:rPr>
              <w:t>设置防护隔离棚或其他设施。</w:t>
            </w:r>
          </w:p>
        </w:tc>
      </w:tr>
      <w:tr w14:paraId="72851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F89DABA">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669909FA">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820B821">
            <w:pPr>
              <w:pStyle w:val="229"/>
              <w:ind w:firstLine="0" w:firstLineChars="0"/>
              <w:jc w:val="center"/>
              <w:rPr>
                <w:color w:val="auto"/>
                <w:highlight w:val="none"/>
              </w:rPr>
            </w:pPr>
            <w:r>
              <w:rPr>
                <w:rFonts w:hint="eastAsia"/>
                <w:color w:val="auto"/>
                <w:highlight w:val="none"/>
              </w:rPr>
              <w:t>高处作业</w:t>
            </w:r>
          </w:p>
        </w:tc>
        <w:tc>
          <w:tcPr>
            <w:tcW w:w="6645" w:type="dxa"/>
            <w:tcBorders>
              <w:top w:val="single" w:color="auto" w:sz="4" w:space="0"/>
              <w:left w:val="single" w:color="auto" w:sz="4" w:space="0"/>
              <w:bottom w:val="single" w:color="auto" w:sz="4" w:space="0"/>
              <w:right w:val="single" w:color="auto" w:sz="12" w:space="0"/>
            </w:tcBorders>
            <w:vAlign w:val="center"/>
          </w:tcPr>
          <w:p w14:paraId="3A448A94">
            <w:pPr>
              <w:pStyle w:val="229"/>
              <w:ind w:firstLine="0" w:firstLineChars="0"/>
              <w:rPr>
                <w:color w:val="auto"/>
                <w:highlight w:val="none"/>
              </w:rPr>
            </w:pPr>
            <w:r>
              <w:rPr>
                <w:rFonts w:hint="eastAsia"/>
                <w:color w:val="auto"/>
                <w:highlight w:val="none"/>
              </w:rPr>
              <w:t>有悬挂安全带的悬索或其他设施，有操作平台，有上下的梯子或其他形式的通道。</w:t>
            </w:r>
          </w:p>
        </w:tc>
      </w:tr>
      <w:tr w14:paraId="16BCB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7274D2C">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39C87A69">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5B0CD77F">
            <w:pPr>
              <w:pStyle w:val="229"/>
              <w:ind w:firstLine="0" w:firstLineChars="0"/>
              <w:jc w:val="center"/>
              <w:rPr>
                <w:color w:val="auto"/>
                <w:highlight w:val="none"/>
              </w:rPr>
            </w:pPr>
            <w:r>
              <w:rPr>
                <w:rFonts w:hint="eastAsia"/>
                <w:color w:val="auto"/>
                <w:highlight w:val="none"/>
              </w:rPr>
              <w:t>基坑、物料平台</w:t>
            </w:r>
          </w:p>
        </w:tc>
        <w:tc>
          <w:tcPr>
            <w:tcW w:w="6645" w:type="dxa"/>
            <w:tcBorders>
              <w:top w:val="single" w:color="auto" w:sz="4" w:space="0"/>
              <w:left w:val="single" w:color="auto" w:sz="4" w:space="0"/>
              <w:bottom w:val="single" w:color="auto" w:sz="4" w:space="0"/>
              <w:right w:val="single" w:color="auto" w:sz="12" w:space="0"/>
            </w:tcBorders>
            <w:vAlign w:val="center"/>
          </w:tcPr>
          <w:p w14:paraId="16B41CAC">
            <w:pPr>
              <w:pStyle w:val="229"/>
              <w:ind w:firstLine="0" w:firstLineChars="0"/>
              <w:rPr>
                <w:color w:val="auto"/>
                <w:highlight w:val="none"/>
              </w:rPr>
            </w:pPr>
            <w:r>
              <w:rPr>
                <w:rFonts w:hint="eastAsia"/>
                <w:color w:val="auto"/>
                <w:highlight w:val="none"/>
              </w:rPr>
              <w:t>设1.2m高标准化的防护栏，用密目式安全立网封闭，悬挂标识。</w:t>
            </w:r>
          </w:p>
        </w:tc>
      </w:tr>
      <w:tr w14:paraId="1CA94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1C9B6E9">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27B0242">
            <w:pPr>
              <w:pStyle w:val="229"/>
              <w:ind w:firstLine="0" w:firstLineChars="0"/>
              <w:jc w:val="center"/>
              <w:rPr>
                <w:color w:val="auto"/>
                <w:highlight w:val="none"/>
              </w:rPr>
            </w:pPr>
            <w:r>
              <w:rPr>
                <w:rFonts w:hint="eastAsia"/>
                <w:color w:val="auto"/>
                <w:highlight w:val="none"/>
              </w:rPr>
              <w:t>安全防护用品</w:t>
            </w:r>
          </w:p>
        </w:tc>
        <w:tc>
          <w:tcPr>
            <w:tcW w:w="6645" w:type="dxa"/>
            <w:tcBorders>
              <w:top w:val="single" w:color="auto" w:sz="4" w:space="0"/>
              <w:left w:val="single" w:color="auto" w:sz="4" w:space="0"/>
              <w:bottom w:val="single" w:color="auto" w:sz="4" w:space="0"/>
              <w:right w:val="single" w:color="auto" w:sz="12" w:space="0"/>
            </w:tcBorders>
            <w:vAlign w:val="center"/>
          </w:tcPr>
          <w:p w14:paraId="141249E3">
            <w:pPr>
              <w:pStyle w:val="229"/>
              <w:ind w:firstLine="0" w:firstLineChars="0"/>
              <w:rPr>
                <w:color w:val="auto"/>
                <w:highlight w:val="none"/>
              </w:rPr>
            </w:pPr>
            <w:r>
              <w:rPr>
                <w:rFonts w:hint="eastAsia"/>
                <w:color w:val="auto"/>
                <w:highlight w:val="none"/>
              </w:rPr>
              <w:t>安全帽、安全带、特种作业人员（电工、焊工、架子工等）防护服装、用品等。</w:t>
            </w:r>
          </w:p>
        </w:tc>
      </w:tr>
      <w:tr w14:paraId="35DF6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12" w:space="0"/>
              <w:right w:val="single" w:color="auto" w:sz="4" w:space="0"/>
            </w:tcBorders>
            <w:vAlign w:val="center"/>
          </w:tcPr>
          <w:p w14:paraId="261D5DFF">
            <w:pPr>
              <w:pStyle w:val="229"/>
              <w:ind w:firstLine="0" w:firstLineChars="0"/>
              <w:jc w:val="center"/>
              <w:rPr>
                <w:color w:val="auto"/>
                <w:highlight w:val="none"/>
              </w:rPr>
            </w:pPr>
            <w:r>
              <w:rPr>
                <w:rFonts w:hint="eastAsia"/>
                <w:color w:val="auto"/>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FABCE63">
            <w:pPr>
              <w:pStyle w:val="229"/>
              <w:jc w:val="center"/>
              <w:rPr>
                <w:color w:val="auto"/>
                <w:highlight w:val="none"/>
              </w:rPr>
            </w:pPr>
            <w:r>
              <w:rPr>
                <w:rFonts w:hint="eastAsia"/>
                <w:color w:val="auto"/>
                <w:highlight w:val="none"/>
              </w:rPr>
              <w:t>机械设备防护</w:t>
            </w:r>
          </w:p>
        </w:tc>
        <w:tc>
          <w:tcPr>
            <w:tcW w:w="1545" w:type="dxa"/>
            <w:tcBorders>
              <w:top w:val="single" w:color="auto" w:sz="4" w:space="0"/>
              <w:left w:val="single" w:color="auto" w:sz="4" w:space="0"/>
              <w:bottom w:val="single" w:color="auto" w:sz="4" w:space="0"/>
              <w:right w:val="single" w:color="auto" w:sz="4" w:space="0"/>
            </w:tcBorders>
            <w:vAlign w:val="center"/>
          </w:tcPr>
          <w:p w14:paraId="0D198223">
            <w:pPr>
              <w:pStyle w:val="229"/>
              <w:ind w:firstLine="0" w:firstLineChars="0"/>
              <w:jc w:val="center"/>
              <w:rPr>
                <w:color w:val="auto"/>
                <w:highlight w:val="none"/>
              </w:rPr>
            </w:pPr>
            <w:r>
              <w:rPr>
                <w:rFonts w:hint="eastAsia"/>
                <w:color w:val="auto"/>
                <w:highlight w:val="none"/>
              </w:rPr>
              <w:t>中小型机械</w:t>
            </w:r>
          </w:p>
        </w:tc>
        <w:tc>
          <w:tcPr>
            <w:tcW w:w="6645" w:type="dxa"/>
            <w:tcBorders>
              <w:top w:val="single" w:color="auto" w:sz="4" w:space="0"/>
              <w:left w:val="single" w:color="auto" w:sz="4" w:space="0"/>
              <w:bottom w:val="single" w:color="auto" w:sz="4" w:space="0"/>
              <w:right w:val="single" w:color="auto" w:sz="12" w:space="0"/>
            </w:tcBorders>
            <w:vAlign w:val="center"/>
          </w:tcPr>
          <w:p w14:paraId="26A227D9">
            <w:pPr>
              <w:pStyle w:val="229"/>
              <w:ind w:firstLine="0" w:firstLineChars="0"/>
              <w:rPr>
                <w:color w:val="auto"/>
                <w:highlight w:val="none"/>
              </w:rPr>
            </w:pPr>
            <w:r>
              <w:rPr>
                <w:rFonts w:hint="eastAsia"/>
                <w:color w:val="auto"/>
                <w:highlight w:val="none"/>
              </w:rPr>
              <w:t>设防护棚（同通道口防护并有防雨措施）。</w:t>
            </w:r>
          </w:p>
        </w:tc>
      </w:tr>
      <w:tr w14:paraId="00D3B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57646EB0">
            <w:pPr>
              <w:pStyle w:val="229"/>
              <w:jc w:val="center"/>
              <w:rPr>
                <w:color w:val="auto"/>
                <w:highlight w:val="none"/>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42F734CC">
            <w:pPr>
              <w:pStyle w:val="229"/>
              <w:jc w:val="center"/>
              <w:rPr>
                <w:color w:val="auto"/>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20B14E4D">
            <w:pPr>
              <w:pStyle w:val="229"/>
              <w:ind w:firstLine="0" w:firstLineChars="0"/>
              <w:jc w:val="center"/>
              <w:rPr>
                <w:color w:val="auto"/>
                <w:highlight w:val="none"/>
              </w:rPr>
            </w:pPr>
            <w:r>
              <w:rPr>
                <w:rFonts w:hint="eastAsia"/>
                <w:color w:val="auto"/>
                <w:highlight w:val="none"/>
              </w:rPr>
              <w:t>垂直运输设备</w:t>
            </w:r>
          </w:p>
        </w:tc>
        <w:tc>
          <w:tcPr>
            <w:tcW w:w="6645" w:type="dxa"/>
            <w:tcBorders>
              <w:top w:val="single" w:color="auto" w:sz="4" w:space="0"/>
              <w:left w:val="single" w:color="auto" w:sz="4" w:space="0"/>
              <w:bottom w:val="single" w:color="auto" w:sz="4" w:space="0"/>
              <w:right w:val="single" w:color="auto" w:sz="12" w:space="0"/>
            </w:tcBorders>
            <w:vAlign w:val="center"/>
          </w:tcPr>
          <w:p w14:paraId="4D15B1CB">
            <w:pPr>
              <w:pStyle w:val="229"/>
              <w:ind w:firstLine="0" w:firstLineChars="0"/>
              <w:rPr>
                <w:color w:val="auto"/>
                <w:highlight w:val="none"/>
              </w:rPr>
            </w:pPr>
            <w:r>
              <w:rPr>
                <w:rFonts w:hint="eastAsia"/>
                <w:color w:val="auto"/>
                <w:highlight w:val="none"/>
              </w:rPr>
              <w:t>1. 垂直运输设备检测、检验、日常维护、保养等。</w:t>
            </w:r>
          </w:p>
          <w:p w14:paraId="5452A012">
            <w:pPr>
              <w:pStyle w:val="229"/>
              <w:ind w:firstLine="0" w:firstLineChars="0"/>
              <w:rPr>
                <w:color w:val="auto"/>
                <w:highlight w:val="none"/>
              </w:rPr>
            </w:pPr>
            <w:r>
              <w:rPr>
                <w:rFonts w:hint="eastAsia"/>
                <w:color w:val="auto"/>
                <w:highlight w:val="none"/>
              </w:rPr>
              <w:t>2. 物料提升机、施工电梯等物料平台搭设、外侧用密目式安全立网全封闭，有安全通道、安全防护门、防护棚等。</w:t>
            </w:r>
          </w:p>
        </w:tc>
      </w:tr>
      <w:tr w14:paraId="3306A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564ED6F7">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999AD08">
            <w:pPr>
              <w:pStyle w:val="229"/>
              <w:ind w:firstLine="0" w:firstLineChars="0"/>
              <w:jc w:val="center"/>
              <w:rPr>
                <w:color w:val="auto"/>
                <w:highlight w:val="none"/>
              </w:rPr>
            </w:pPr>
            <w:r>
              <w:rPr>
                <w:rFonts w:hint="eastAsia"/>
                <w:color w:val="auto"/>
                <w:highlight w:val="none"/>
              </w:rPr>
              <w:t>专家论证审查</w:t>
            </w:r>
          </w:p>
        </w:tc>
        <w:tc>
          <w:tcPr>
            <w:tcW w:w="6645" w:type="dxa"/>
            <w:tcBorders>
              <w:top w:val="single" w:color="auto" w:sz="4" w:space="0"/>
              <w:left w:val="single" w:color="auto" w:sz="4" w:space="0"/>
              <w:bottom w:val="single" w:color="auto" w:sz="4" w:space="0"/>
              <w:right w:val="single" w:color="auto" w:sz="12" w:space="0"/>
            </w:tcBorders>
            <w:vAlign w:val="center"/>
          </w:tcPr>
          <w:p w14:paraId="078FCF0C">
            <w:pPr>
              <w:pStyle w:val="229"/>
              <w:ind w:firstLine="0" w:firstLineChars="0"/>
              <w:rPr>
                <w:color w:val="auto"/>
                <w:highlight w:val="none"/>
              </w:rPr>
            </w:pPr>
            <w:r>
              <w:rPr>
                <w:rFonts w:hint="eastAsia"/>
                <w:color w:val="auto"/>
                <w:highlight w:val="none"/>
              </w:rPr>
              <w:t>超过一定规模的危险性较大分部分项工程专家论证审查。</w:t>
            </w:r>
          </w:p>
        </w:tc>
      </w:tr>
      <w:tr w14:paraId="0014B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21979DF8">
            <w:pPr>
              <w:pStyle w:val="229"/>
              <w:jc w:val="center"/>
              <w:rPr>
                <w:color w:val="auto"/>
                <w:highlight w:val="none"/>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509402E4">
            <w:pPr>
              <w:pStyle w:val="229"/>
              <w:ind w:firstLine="0" w:firstLineChars="0"/>
              <w:jc w:val="center"/>
              <w:rPr>
                <w:color w:val="auto"/>
                <w:highlight w:val="none"/>
              </w:rPr>
            </w:pPr>
            <w:r>
              <w:rPr>
                <w:rFonts w:hint="eastAsia"/>
                <w:color w:val="auto"/>
                <w:highlight w:val="none"/>
              </w:rPr>
              <w:t>应急救援预案</w:t>
            </w:r>
          </w:p>
        </w:tc>
        <w:tc>
          <w:tcPr>
            <w:tcW w:w="6645" w:type="dxa"/>
            <w:tcBorders>
              <w:top w:val="single" w:color="auto" w:sz="4" w:space="0"/>
              <w:left w:val="single" w:color="auto" w:sz="4" w:space="0"/>
              <w:bottom w:val="single" w:color="auto" w:sz="4" w:space="0"/>
              <w:right w:val="single" w:color="auto" w:sz="12" w:space="0"/>
            </w:tcBorders>
            <w:vAlign w:val="center"/>
          </w:tcPr>
          <w:p w14:paraId="593FCFD3">
            <w:pPr>
              <w:pStyle w:val="229"/>
              <w:ind w:firstLine="0" w:firstLineChars="0"/>
              <w:rPr>
                <w:color w:val="auto"/>
                <w:highlight w:val="none"/>
              </w:rPr>
            </w:pPr>
            <w:r>
              <w:rPr>
                <w:rFonts w:hint="eastAsia"/>
                <w:color w:val="auto"/>
                <w:highlight w:val="none"/>
              </w:rPr>
              <w:t>救援器材准备及演练等。</w:t>
            </w:r>
          </w:p>
        </w:tc>
      </w:tr>
      <w:tr w14:paraId="16240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36373919">
            <w:pPr>
              <w:pStyle w:val="229"/>
              <w:jc w:val="center"/>
              <w:rPr>
                <w:color w:val="auto"/>
                <w:highlight w:val="none"/>
              </w:rPr>
            </w:pPr>
          </w:p>
        </w:tc>
        <w:tc>
          <w:tcPr>
            <w:tcW w:w="2070" w:type="dxa"/>
            <w:gridSpan w:val="2"/>
            <w:tcBorders>
              <w:top w:val="single" w:color="auto" w:sz="4" w:space="0"/>
              <w:left w:val="single" w:color="auto" w:sz="4" w:space="0"/>
              <w:bottom w:val="single" w:color="auto" w:sz="12" w:space="0"/>
              <w:right w:val="single" w:color="auto" w:sz="4" w:space="0"/>
            </w:tcBorders>
            <w:vAlign w:val="center"/>
          </w:tcPr>
          <w:p w14:paraId="7F964B5F">
            <w:pPr>
              <w:pStyle w:val="229"/>
              <w:ind w:firstLine="0" w:firstLineChars="0"/>
              <w:jc w:val="center"/>
              <w:rPr>
                <w:color w:val="auto"/>
                <w:highlight w:val="none"/>
              </w:rPr>
            </w:pPr>
            <w:r>
              <w:rPr>
                <w:rFonts w:hint="eastAsia"/>
                <w:color w:val="auto"/>
                <w:highlight w:val="none"/>
              </w:rPr>
              <w:t>非正常情况施工</w:t>
            </w:r>
          </w:p>
        </w:tc>
        <w:tc>
          <w:tcPr>
            <w:tcW w:w="6645" w:type="dxa"/>
            <w:tcBorders>
              <w:top w:val="single" w:color="auto" w:sz="4" w:space="0"/>
              <w:left w:val="single" w:color="auto" w:sz="4" w:space="0"/>
              <w:bottom w:val="single" w:color="auto" w:sz="12" w:space="0"/>
              <w:right w:val="single" w:color="auto" w:sz="12" w:space="0"/>
            </w:tcBorders>
            <w:vAlign w:val="center"/>
          </w:tcPr>
          <w:p w14:paraId="43D67A71">
            <w:pPr>
              <w:pStyle w:val="229"/>
              <w:ind w:firstLine="0" w:firstLineChars="0"/>
              <w:rPr>
                <w:color w:val="auto"/>
                <w:highlight w:val="none"/>
              </w:rPr>
            </w:pPr>
            <w:r>
              <w:rPr>
                <w:rFonts w:hint="eastAsia"/>
                <w:color w:val="auto"/>
                <w:highlight w:val="none"/>
              </w:rPr>
              <w:t>其他特殊情况下的防护费用，如：城市主干道、人流密集、河边等处施工及文物、古建筑、古树保护等。</w:t>
            </w:r>
          </w:p>
        </w:tc>
      </w:tr>
    </w:tbl>
    <w:p w14:paraId="00738229">
      <w:pPr>
        <w:pStyle w:val="229"/>
        <w:rPr>
          <w:color w:val="auto"/>
          <w:highlight w:val="none"/>
        </w:rPr>
      </w:pPr>
      <w:r>
        <w:rPr>
          <w:rFonts w:hint="eastAsia"/>
          <w:color w:val="auto"/>
          <w:highlight w:val="none"/>
        </w:rPr>
        <w:t>注：本表所列建设工程安全文明施工费，是依据《广西壮族自治区建设工程安全文明施工费使用管理细则》（桂建质〔2015〕16号）确定的。如法律法规和标准、规范修订，本表所列项目应按照修订后的法律法规和标准规范进行调整。</w:t>
      </w:r>
    </w:p>
    <w:p w14:paraId="6A551E82">
      <w:pPr>
        <w:pStyle w:val="229"/>
        <w:rPr>
          <w:color w:val="auto"/>
          <w:highlight w:val="none"/>
        </w:rPr>
      </w:pPr>
    </w:p>
    <w:p w14:paraId="5E80433B">
      <w:pPr>
        <w:pStyle w:val="229"/>
        <w:rPr>
          <w:color w:val="auto"/>
          <w:highlight w:val="none"/>
        </w:rPr>
      </w:pPr>
    </w:p>
    <w:p w14:paraId="79A02A36">
      <w:pPr>
        <w:pStyle w:val="229"/>
        <w:rPr>
          <w:color w:val="auto"/>
          <w:highlight w:val="none"/>
        </w:rPr>
      </w:pPr>
      <w:bookmarkStart w:id="402" w:name="_Toc267261701"/>
    </w:p>
    <w:p w14:paraId="10805C85">
      <w:pPr>
        <w:pStyle w:val="229"/>
        <w:rPr>
          <w:color w:val="auto"/>
          <w:highlight w:val="none"/>
        </w:rPr>
        <w:sectPr>
          <w:pgSz w:w="11906" w:h="16838"/>
          <w:pgMar w:top="935" w:right="1106" w:bottom="1440" w:left="1260" w:header="851" w:footer="992" w:gutter="0"/>
          <w:cols w:space="720" w:num="1"/>
          <w:docGrid w:type="lines" w:linePitch="312" w:charSpace="0"/>
        </w:sectPr>
      </w:pPr>
    </w:p>
    <w:p w14:paraId="276A1A62">
      <w:pPr>
        <w:pStyle w:val="229"/>
        <w:rPr>
          <w:color w:val="auto"/>
          <w:highlight w:val="none"/>
        </w:rPr>
      </w:pPr>
      <w:r>
        <w:rPr>
          <w:rFonts w:hint="eastAsia"/>
          <w:color w:val="auto"/>
          <w:highlight w:val="none"/>
        </w:rPr>
        <w:t>附</w:t>
      </w:r>
      <w:bookmarkStart w:id="403" w:name="_Toc296891059"/>
      <w:bookmarkStart w:id="404" w:name="_Toc296346732"/>
      <w:bookmarkStart w:id="405" w:name="_Toc296944570"/>
      <w:bookmarkStart w:id="406" w:name="_Toc296347230"/>
      <w:bookmarkStart w:id="407" w:name="_Toc296503231"/>
      <w:bookmarkStart w:id="408" w:name="_Toc296891271"/>
      <w:r>
        <w:rPr>
          <w:rFonts w:hint="eastAsia"/>
          <w:color w:val="auto"/>
          <w:highlight w:val="none"/>
        </w:rPr>
        <w:t>件</w:t>
      </w:r>
      <w:r>
        <w:rPr>
          <w:color w:val="auto"/>
          <w:highlight w:val="none"/>
        </w:rPr>
        <w:t>8</w:t>
      </w:r>
      <w:r>
        <w:rPr>
          <w:rFonts w:hint="eastAsia"/>
          <w:color w:val="auto"/>
          <w:highlight w:val="none"/>
        </w:rPr>
        <w:t>：</w:t>
      </w:r>
      <w:bookmarkEnd w:id="402"/>
      <w:bookmarkEnd w:id="403"/>
      <w:bookmarkEnd w:id="404"/>
      <w:bookmarkEnd w:id="405"/>
      <w:bookmarkEnd w:id="406"/>
      <w:bookmarkEnd w:id="407"/>
      <w:bookmarkEnd w:id="408"/>
      <w:r>
        <w:rPr>
          <w:rFonts w:hint="eastAsia"/>
          <w:color w:val="auto"/>
          <w:highlight w:val="none"/>
        </w:rPr>
        <w:t>暂估价一览表</w:t>
      </w:r>
    </w:p>
    <w:p w14:paraId="2C82E0B1">
      <w:pPr>
        <w:pStyle w:val="229"/>
        <w:ind w:firstLine="422"/>
        <w:jc w:val="center"/>
        <w:rPr>
          <w:b/>
          <w:bCs/>
          <w:color w:val="auto"/>
          <w:highlight w:val="none"/>
        </w:rPr>
      </w:pPr>
      <w:r>
        <w:rPr>
          <w:rFonts w:hint="eastAsia"/>
          <w:b/>
          <w:bCs/>
          <w:color w:val="auto"/>
          <w:highlight w:val="none"/>
        </w:rPr>
        <w:t>8</w:t>
      </w:r>
      <w:r>
        <w:rPr>
          <w:b/>
          <w:bCs/>
          <w:color w:val="auto"/>
          <w:highlight w:val="none"/>
        </w:rPr>
        <w:t>-1</w:t>
      </w:r>
      <w:r>
        <w:rPr>
          <w:rFonts w:hint="eastAsia"/>
          <w:b/>
          <w:bCs/>
          <w:color w:val="auto"/>
          <w:highlight w:val="none"/>
        </w:rPr>
        <w:t>：材料暂估价表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81F4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33F2BDE5">
            <w:pPr>
              <w:pStyle w:val="229"/>
              <w:ind w:firstLine="0" w:firstLineChars="0"/>
              <w:jc w:val="center"/>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26BBAA2">
            <w:pPr>
              <w:pStyle w:val="229"/>
              <w:ind w:firstLine="0" w:firstLineChars="0"/>
              <w:jc w:val="center"/>
              <w:rPr>
                <w:color w:val="auto"/>
                <w:highlight w:val="none"/>
              </w:rPr>
            </w:pPr>
            <w:r>
              <w:rPr>
                <w:rFonts w:hint="eastAsia"/>
                <w:color w:val="auto"/>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79E3946B">
            <w:pPr>
              <w:pStyle w:val="229"/>
              <w:ind w:firstLine="0" w:firstLineChars="0"/>
              <w:jc w:val="center"/>
              <w:rPr>
                <w:color w:val="auto"/>
                <w:highlight w:val="none"/>
              </w:rPr>
            </w:pPr>
            <w:r>
              <w:rPr>
                <w:rFonts w:hint="eastAsia"/>
                <w:color w:val="auto"/>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2AC1B639">
            <w:pPr>
              <w:pStyle w:val="229"/>
              <w:ind w:firstLine="0" w:firstLineChars="0"/>
              <w:jc w:val="center"/>
              <w:rPr>
                <w:color w:val="auto"/>
                <w:highlight w:val="none"/>
              </w:rPr>
            </w:pPr>
            <w:r>
              <w:rPr>
                <w:rFonts w:hint="eastAsia"/>
                <w:color w:val="auto"/>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64788218">
            <w:pPr>
              <w:pStyle w:val="229"/>
              <w:ind w:firstLine="0" w:firstLineChars="0"/>
              <w:jc w:val="center"/>
              <w:rPr>
                <w:color w:val="auto"/>
                <w:highlight w:val="none"/>
              </w:rPr>
            </w:pPr>
            <w:r>
              <w:rPr>
                <w:rFonts w:hint="eastAsia"/>
                <w:color w:val="auto"/>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7E23C74E">
            <w:pPr>
              <w:pStyle w:val="229"/>
              <w:ind w:firstLine="0" w:firstLineChars="0"/>
              <w:jc w:val="center"/>
              <w:rPr>
                <w:color w:val="auto"/>
                <w:highlight w:val="none"/>
              </w:rPr>
            </w:pPr>
            <w:r>
              <w:rPr>
                <w:rFonts w:hint="eastAsia"/>
                <w:color w:val="auto"/>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3DA1ED74">
            <w:pPr>
              <w:pStyle w:val="229"/>
              <w:jc w:val="center"/>
              <w:rPr>
                <w:color w:val="auto"/>
                <w:highlight w:val="none"/>
              </w:rPr>
            </w:pPr>
            <w:r>
              <w:rPr>
                <w:rFonts w:hint="eastAsia"/>
                <w:color w:val="auto"/>
                <w:highlight w:val="none"/>
              </w:rPr>
              <w:t>备注</w:t>
            </w:r>
          </w:p>
        </w:tc>
      </w:tr>
      <w:tr w14:paraId="66F0D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32FB0AA7">
            <w:pPr>
              <w:pStyle w:val="229"/>
              <w:ind w:firstLine="0" w:firstLineChars="0"/>
              <w:jc w:val="center"/>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63D47910">
            <w:pPr>
              <w:pStyle w:val="229"/>
              <w:ind w:firstLine="0" w:firstLineChars="0"/>
              <w:jc w:val="center"/>
              <w:rPr>
                <w:color w:val="auto"/>
                <w:highlight w:val="none"/>
              </w:rPr>
            </w:pPr>
            <w:r>
              <w:rPr>
                <w:rFonts w:hint="eastAsia"/>
                <w:color w:val="auto"/>
                <w:highlight w:val="none"/>
              </w:rPr>
              <w:t>无</w:t>
            </w:r>
          </w:p>
        </w:tc>
        <w:tc>
          <w:tcPr>
            <w:tcW w:w="851" w:type="dxa"/>
            <w:tcBorders>
              <w:top w:val="double" w:color="auto" w:sz="6" w:space="0"/>
              <w:left w:val="single" w:color="auto" w:sz="6" w:space="0"/>
              <w:bottom w:val="single" w:color="auto" w:sz="6" w:space="0"/>
              <w:right w:val="single" w:color="auto" w:sz="6" w:space="0"/>
            </w:tcBorders>
          </w:tcPr>
          <w:p w14:paraId="69355731">
            <w:pPr>
              <w:pStyle w:val="229"/>
              <w:ind w:firstLine="0" w:firstLineChars="0"/>
              <w:jc w:val="center"/>
              <w:rPr>
                <w:color w:val="auto"/>
                <w:highlight w:val="none"/>
              </w:rPr>
            </w:pPr>
            <w:r>
              <w:rPr>
                <w:rFonts w:hint="eastAsia"/>
                <w:color w:val="auto"/>
                <w:highlight w:val="none"/>
              </w:rPr>
              <w:t>无</w:t>
            </w:r>
          </w:p>
        </w:tc>
        <w:tc>
          <w:tcPr>
            <w:tcW w:w="774" w:type="dxa"/>
            <w:tcBorders>
              <w:top w:val="double" w:color="auto" w:sz="6" w:space="0"/>
              <w:left w:val="single" w:color="auto" w:sz="6" w:space="0"/>
              <w:bottom w:val="single" w:color="auto" w:sz="6" w:space="0"/>
              <w:right w:val="single" w:color="auto" w:sz="6" w:space="0"/>
            </w:tcBorders>
          </w:tcPr>
          <w:p w14:paraId="3E5EE0B9">
            <w:pPr>
              <w:pStyle w:val="229"/>
              <w:ind w:firstLine="0" w:firstLineChars="0"/>
              <w:jc w:val="center"/>
              <w:rPr>
                <w:color w:val="auto"/>
                <w:highlight w:val="none"/>
              </w:rPr>
            </w:pPr>
            <w:r>
              <w:rPr>
                <w:rFonts w:hint="eastAsia"/>
                <w:color w:val="auto"/>
                <w:highlight w:val="none"/>
              </w:rPr>
              <w:t>无</w:t>
            </w:r>
          </w:p>
        </w:tc>
        <w:tc>
          <w:tcPr>
            <w:tcW w:w="1352" w:type="dxa"/>
            <w:tcBorders>
              <w:top w:val="double" w:color="auto" w:sz="6" w:space="0"/>
              <w:left w:val="single" w:color="auto" w:sz="6" w:space="0"/>
              <w:bottom w:val="single" w:color="auto" w:sz="6" w:space="0"/>
              <w:right w:val="single" w:color="auto" w:sz="6" w:space="0"/>
            </w:tcBorders>
          </w:tcPr>
          <w:p w14:paraId="58DFDE97">
            <w:pPr>
              <w:pStyle w:val="229"/>
              <w:ind w:firstLine="0" w:firstLineChars="0"/>
              <w:jc w:val="center"/>
              <w:rPr>
                <w:color w:val="auto"/>
                <w:highlight w:val="none"/>
              </w:rPr>
            </w:pPr>
            <w:r>
              <w:rPr>
                <w:rFonts w:hint="eastAsia"/>
                <w:color w:val="auto"/>
                <w:highlight w:val="none"/>
              </w:rPr>
              <w:t>无</w:t>
            </w:r>
          </w:p>
        </w:tc>
        <w:tc>
          <w:tcPr>
            <w:tcW w:w="1418" w:type="dxa"/>
            <w:tcBorders>
              <w:top w:val="double" w:color="auto" w:sz="6" w:space="0"/>
              <w:left w:val="single" w:color="auto" w:sz="6" w:space="0"/>
              <w:bottom w:val="single" w:color="auto" w:sz="6" w:space="0"/>
              <w:right w:val="single" w:color="auto" w:sz="6" w:space="0"/>
            </w:tcBorders>
          </w:tcPr>
          <w:p w14:paraId="1F6B2857">
            <w:pPr>
              <w:pStyle w:val="229"/>
              <w:ind w:firstLine="0" w:firstLineChars="0"/>
              <w:jc w:val="center"/>
              <w:rPr>
                <w:color w:val="auto"/>
                <w:highlight w:val="none"/>
              </w:rPr>
            </w:pPr>
            <w:r>
              <w:rPr>
                <w:rFonts w:hint="eastAsia"/>
                <w:color w:val="auto"/>
                <w:highlight w:val="none"/>
              </w:rPr>
              <w:t>无</w:t>
            </w:r>
          </w:p>
        </w:tc>
        <w:tc>
          <w:tcPr>
            <w:tcW w:w="1701" w:type="dxa"/>
            <w:tcBorders>
              <w:top w:val="double" w:color="auto" w:sz="6" w:space="0"/>
              <w:left w:val="single" w:color="auto" w:sz="6" w:space="0"/>
              <w:bottom w:val="single" w:color="auto" w:sz="6" w:space="0"/>
              <w:right w:val="single" w:color="auto" w:sz="12" w:space="0"/>
            </w:tcBorders>
          </w:tcPr>
          <w:p w14:paraId="6CF75124">
            <w:pPr>
              <w:pStyle w:val="229"/>
              <w:ind w:firstLine="0" w:firstLineChars="0"/>
              <w:jc w:val="center"/>
              <w:rPr>
                <w:color w:val="auto"/>
                <w:highlight w:val="none"/>
              </w:rPr>
            </w:pPr>
            <w:r>
              <w:rPr>
                <w:rFonts w:hint="eastAsia"/>
                <w:color w:val="auto"/>
                <w:highlight w:val="none"/>
              </w:rPr>
              <w:t>无</w:t>
            </w:r>
          </w:p>
        </w:tc>
      </w:tr>
      <w:tr w14:paraId="00D1C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3FEDE3D6">
            <w:pPr>
              <w:pStyle w:val="229"/>
              <w:rPr>
                <w:color w:val="auto"/>
                <w:highlight w:val="none"/>
              </w:rPr>
            </w:pPr>
          </w:p>
        </w:tc>
        <w:tc>
          <w:tcPr>
            <w:tcW w:w="1984" w:type="dxa"/>
            <w:tcBorders>
              <w:top w:val="nil"/>
              <w:left w:val="single" w:color="auto" w:sz="6" w:space="0"/>
              <w:bottom w:val="single" w:color="auto" w:sz="6" w:space="0"/>
              <w:right w:val="single" w:color="auto" w:sz="6" w:space="0"/>
            </w:tcBorders>
          </w:tcPr>
          <w:p w14:paraId="244A4D87">
            <w:pPr>
              <w:pStyle w:val="229"/>
              <w:rPr>
                <w:color w:val="auto"/>
                <w:highlight w:val="none"/>
              </w:rPr>
            </w:pPr>
          </w:p>
        </w:tc>
        <w:tc>
          <w:tcPr>
            <w:tcW w:w="851" w:type="dxa"/>
            <w:tcBorders>
              <w:top w:val="nil"/>
              <w:left w:val="single" w:color="auto" w:sz="6" w:space="0"/>
              <w:bottom w:val="single" w:color="auto" w:sz="6" w:space="0"/>
              <w:right w:val="single" w:color="auto" w:sz="6" w:space="0"/>
            </w:tcBorders>
          </w:tcPr>
          <w:p w14:paraId="518D0424">
            <w:pPr>
              <w:pStyle w:val="229"/>
              <w:rPr>
                <w:color w:val="auto"/>
                <w:highlight w:val="none"/>
              </w:rPr>
            </w:pPr>
          </w:p>
        </w:tc>
        <w:tc>
          <w:tcPr>
            <w:tcW w:w="774" w:type="dxa"/>
            <w:tcBorders>
              <w:top w:val="nil"/>
              <w:left w:val="single" w:color="auto" w:sz="6" w:space="0"/>
              <w:bottom w:val="single" w:color="auto" w:sz="6" w:space="0"/>
              <w:right w:val="single" w:color="auto" w:sz="6" w:space="0"/>
            </w:tcBorders>
          </w:tcPr>
          <w:p w14:paraId="29E4B996">
            <w:pPr>
              <w:pStyle w:val="229"/>
              <w:rPr>
                <w:color w:val="auto"/>
                <w:highlight w:val="none"/>
              </w:rPr>
            </w:pPr>
          </w:p>
        </w:tc>
        <w:tc>
          <w:tcPr>
            <w:tcW w:w="1352" w:type="dxa"/>
            <w:tcBorders>
              <w:top w:val="nil"/>
              <w:left w:val="single" w:color="auto" w:sz="6" w:space="0"/>
              <w:bottom w:val="single" w:color="auto" w:sz="6" w:space="0"/>
              <w:right w:val="single" w:color="auto" w:sz="6" w:space="0"/>
            </w:tcBorders>
          </w:tcPr>
          <w:p w14:paraId="46B08788">
            <w:pPr>
              <w:pStyle w:val="229"/>
              <w:rPr>
                <w:color w:val="auto"/>
                <w:highlight w:val="none"/>
              </w:rPr>
            </w:pPr>
          </w:p>
        </w:tc>
        <w:tc>
          <w:tcPr>
            <w:tcW w:w="1418" w:type="dxa"/>
            <w:tcBorders>
              <w:top w:val="nil"/>
              <w:left w:val="single" w:color="auto" w:sz="6" w:space="0"/>
              <w:bottom w:val="single" w:color="auto" w:sz="6" w:space="0"/>
              <w:right w:val="single" w:color="auto" w:sz="6" w:space="0"/>
            </w:tcBorders>
          </w:tcPr>
          <w:p w14:paraId="7D4C56A7">
            <w:pPr>
              <w:pStyle w:val="229"/>
              <w:rPr>
                <w:color w:val="auto"/>
                <w:highlight w:val="none"/>
              </w:rPr>
            </w:pPr>
          </w:p>
        </w:tc>
        <w:tc>
          <w:tcPr>
            <w:tcW w:w="1701" w:type="dxa"/>
            <w:tcBorders>
              <w:top w:val="nil"/>
              <w:left w:val="single" w:color="auto" w:sz="6" w:space="0"/>
              <w:bottom w:val="single" w:color="auto" w:sz="6" w:space="0"/>
              <w:right w:val="single" w:color="auto" w:sz="12" w:space="0"/>
            </w:tcBorders>
          </w:tcPr>
          <w:p w14:paraId="74A5343C">
            <w:pPr>
              <w:pStyle w:val="229"/>
              <w:rPr>
                <w:color w:val="auto"/>
                <w:highlight w:val="none"/>
              </w:rPr>
            </w:pPr>
          </w:p>
        </w:tc>
      </w:tr>
      <w:tr w14:paraId="7D52E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BC44F30">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51E88B5">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F6F436E">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A7AD9F1">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607E844">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86639E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4C7BAB8">
            <w:pPr>
              <w:pStyle w:val="229"/>
              <w:rPr>
                <w:color w:val="auto"/>
                <w:highlight w:val="none"/>
              </w:rPr>
            </w:pPr>
          </w:p>
        </w:tc>
      </w:tr>
      <w:tr w14:paraId="3E42D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2A3D79">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F8540AC">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60EC7BF">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011CC3F">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5D548E8">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25AB2B7">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C86E66D">
            <w:pPr>
              <w:pStyle w:val="229"/>
              <w:rPr>
                <w:color w:val="auto"/>
                <w:highlight w:val="none"/>
              </w:rPr>
            </w:pPr>
          </w:p>
        </w:tc>
      </w:tr>
      <w:tr w14:paraId="4541F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6132DB1">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8CCA270">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D8072EF">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3C62944">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42A0C05">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C1BC81A">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0D84E55">
            <w:pPr>
              <w:pStyle w:val="229"/>
              <w:rPr>
                <w:color w:val="auto"/>
                <w:highlight w:val="none"/>
              </w:rPr>
            </w:pPr>
          </w:p>
        </w:tc>
      </w:tr>
      <w:tr w14:paraId="6557C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EDDCC9A">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DFEF481">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8F6DA6B">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12627E4">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FD53AAF">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23911C9">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26C0710">
            <w:pPr>
              <w:pStyle w:val="229"/>
              <w:rPr>
                <w:color w:val="auto"/>
                <w:highlight w:val="none"/>
              </w:rPr>
            </w:pPr>
          </w:p>
        </w:tc>
      </w:tr>
      <w:tr w14:paraId="6D6A4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4C9C88C">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C1F8DDB">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191F315">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7275574">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B062166">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53C333A">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1860492">
            <w:pPr>
              <w:pStyle w:val="229"/>
              <w:rPr>
                <w:color w:val="auto"/>
                <w:highlight w:val="none"/>
              </w:rPr>
            </w:pPr>
          </w:p>
        </w:tc>
      </w:tr>
      <w:tr w14:paraId="083AF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033014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FC4D922">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DCACD1D">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82B8A42">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963CCB6">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4B1279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B481ADB">
            <w:pPr>
              <w:pStyle w:val="229"/>
              <w:rPr>
                <w:color w:val="auto"/>
                <w:highlight w:val="none"/>
              </w:rPr>
            </w:pPr>
          </w:p>
        </w:tc>
      </w:tr>
      <w:tr w14:paraId="7BBB9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54983B">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A610059">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6574C44">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E15C950">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4D8B83C">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920BC26">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7DEDC71">
            <w:pPr>
              <w:pStyle w:val="229"/>
              <w:rPr>
                <w:color w:val="auto"/>
                <w:highlight w:val="none"/>
              </w:rPr>
            </w:pPr>
          </w:p>
        </w:tc>
      </w:tr>
      <w:tr w14:paraId="74D95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B6276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21366E0">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D5E76E4">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C03E8A9">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D01817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DCFDB64">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A20513C">
            <w:pPr>
              <w:pStyle w:val="229"/>
              <w:rPr>
                <w:color w:val="auto"/>
                <w:highlight w:val="none"/>
              </w:rPr>
            </w:pPr>
          </w:p>
        </w:tc>
      </w:tr>
      <w:tr w14:paraId="40CC8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0DFB3B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0FE7795">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D3E4B86">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9E41697">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E438090">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EA7E8C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A992926">
            <w:pPr>
              <w:pStyle w:val="229"/>
              <w:rPr>
                <w:color w:val="auto"/>
                <w:highlight w:val="none"/>
              </w:rPr>
            </w:pPr>
          </w:p>
        </w:tc>
      </w:tr>
      <w:tr w14:paraId="7B2C3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231CBC4">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B62DAF8">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A7741DA">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C2605F0">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9BE9571">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F77CDF1">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22471BC">
            <w:pPr>
              <w:pStyle w:val="229"/>
              <w:rPr>
                <w:color w:val="auto"/>
                <w:highlight w:val="none"/>
              </w:rPr>
            </w:pPr>
          </w:p>
        </w:tc>
      </w:tr>
      <w:tr w14:paraId="38DF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FA116B">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67B3148">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F1E50EE">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9136FAA">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9AF7EE3">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CA391CB">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A1D15F4">
            <w:pPr>
              <w:pStyle w:val="229"/>
              <w:rPr>
                <w:color w:val="auto"/>
                <w:highlight w:val="none"/>
              </w:rPr>
            </w:pPr>
          </w:p>
        </w:tc>
      </w:tr>
      <w:tr w14:paraId="66D9B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67DEEA">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2DF7220">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12A1B88">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76EE515">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45724B5">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E27F191">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D6B4243">
            <w:pPr>
              <w:pStyle w:val="229"/>
              <w:rPr>
                <w:color w:val="auto"/>
                <w:highlight w:val="none"/>
              </w:rPr>
            </w:pPr>
          </w:p>
        </w:tc>
      </w:tr>
      <w:tr w14:paraId="0534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5F13BC">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C84EBCA">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2566BB7">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86F2252">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A8491A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D3D8A2">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C2A7E16">
            <w:pPr>
              <w:pStyle w:val="229"/>
              <w:rPr>
                <w:color w:val="auto"/>
                <w:highlight w:val="none"/>
              </w:rPr>
            </w:pPr>
          </w:p>
        </w:tc>
      </w:tr>
      <w:tr w14:paraId="1678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B6B45B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D5F26F3">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665F019">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FB8D548">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0DB221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1B6CA35">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C78198A">
            <w:pPr>
              <w:pStyle w:val="229"/>
              <w:rPr>
                <w:color w:val="auto"/>
                <w:highlight w:val="none"/>
              </w:rPr>
            </w:pPr>
          </w:p>
        </w:tc>
      </w:tr>
      <w:tr w14:paraId="4DCF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98B742">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5BB1827">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59A33FB">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7C91DA5">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983075A">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2BDDB50">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893812C">
            <w:pPr>
              <w:pStyle w:val="229"/>
              <w:rPr>
                <w:color w:val="auto"/>
                <w:highlight w:val="none"/>
              </w:rPr>
            </w:pPr>
          </w:p>
        </w:tc>
      </w:tr>
      <w:tr w14:paraId="2FB88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A458A65">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8DB04AE">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54F65B3">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1FD3961">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A8EFE4E">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ABEB56D">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142EE30">
            <w:pPr>
              <w:pStyle w:val="229"/>
              <w:rPr>
                <w:color w:val="auto"/>
                <w:highlight w:val="none"/>
              </w:rPr>
            </w:pPr>
          </w:p>
        </w:tc>
      </w:tr>
      <w:tr w14:paraId="1F9E4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6359C17">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1B207B4">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5DE6D12">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10AF580">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C78FE8C">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8CA32E7">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00F8CED">
            <w:pPr>
              <w:pStyle w:val="229"/>
              <w:rPr>
                <w:color w:val="auto"/>
                <w:highlight w:val="none"/>
              </w:rPr>
            </w:pPr>
          </w:p>
        </w:tc>
      </w:tr>
      <w:tr w14:paraId="33F17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CDCA9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E1DC06">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DC28B7F">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B6E859E">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A08C940">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E1D87B2">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DEBA3A2">
            <w:pPr>
              <w:pStyle w:val="229"/>
              <w:rPr>
                <w:color w:val="auto"/>
                <w:highlight w:val="none"/>
              </w:rPr>
            </w:pPr>
          </w:p>
        </w:tc>
      </w:tr>
    </w:tbl>
    <w:p w14:paraId="510521B3">
      <w:pPr>
        <w:pStyle w:val="229"/>
        <w:rPr>
          <w:color w:val="auto"/>
          <w:highlight w:val="none"/>
        </w:rPr>
      </w:pPr>
    </w:p>
    <w:p w14:paraId="4CEAAC30">
      <w:pPr>
        <w:pStyle w:val="229"/>
        <w:rPr>
          <w:color w:val="auto"/>
          <w:highlight w:val="none"/>
        </w:rPr>
      </w:pPr>
    </w:p>
    <w:p w14:paraId="61DC974F">
      <w:pPr>
        <w:pStyle w:val="229"/>
        <w:rPr>
          <w:color w:val="auto"/>
          <w:highlight w:val="none"/>
        </w:rPr>
        <w:sectPr>
          <w:pgSz w:w="11906" w:h="16838"/>
          <w:pgMar w:top="935" w:right="1106" w:bottom="1440" w:left="1260" w:header="851" w:footer="992" w:gutter="0"/>
          <w:cols w:space="720" w:num="1"/>
          <w:docGrid w:type="lines" w:linePitch="312" w:charSpace="0"/>
        </w:sectPr>
      </w:pPr>
    </w:p>
    <w:p w14:paraId="66A5A4C9">
      <w:pPr>
        <w:pStyle w:val="229"/>
        <w:ind w:firstLine="422"/>
        <w:jc w:val="center"/>
        <w:rPr>
          <w:b/>
          <w:bCs/>
          <w:color w:val="auto"/>
          <w:highlight w:val="none"/>
        </w:rPr>
      </w:pPr>
      <w:r>
        <w:rPr>
          <w:rFonts w:hint="eastAsia"/>
          <w:b/>
          <w:bCs/>
          <w:color w:val="auto"/>
          <w:highlight w:val="none"/>
        </w:rPr>
        <w:t>8</w:t>
      </w:r>
      <w:r>
        <w:rPr>
          <w:b/>
          <w:bCs/>
          <w:color w:val="auto"/>
          <w:highlight w:val="none"/>
        </w:rPr>
        <w:t>-2</w:t>
      </w:r>
      <w:r>
        <w:rPr>
          <w:rFonts w:hint="eastAsia"/>
          <w:b/>
          <w:bCs/>
          <w:color w:val="auto"/>
          <w:highlight w:val="none"/>
        </w:rPr>
        <w:t>：工程设备暂估价表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C8D9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7BAFB338">
            <w:pPr>
              <w:pStyle w:val="229"/>
              <w:ind w:firstLine="0" w:firstLineChars="0"/>
              <w:jc w:val="center"/>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1E7B6362">
            <w:pPr>
              <w:pStyle w:val="229"/>
              <w:ind w:firstLine="0" w:firstLineChars="0"/>
              <w:jc w:val="center"/>
              <w:rPr>
                <w:color w:val="auto"/>
                <w:highlight w:val="none"/>
              </w:rPr>
            </w:pPr>
            <w:r>
              <w:rPr>
                <w:rFonts w:hint="eastAsia"/>
                <w:color w:val="auto"/>
                <w:highlight w:val="none"/>
              </w:rPr>
              <w:t>名称</w:t>
            </w:r>
          </w:p>
        </w:tc>
        <w:tc>
          <w:tcPr>
            <w:tcW w:w="851" w:type="dxa"/>
            <w:tcBorders>
              <w:top w:val="single" w:color="auto" w:sz="12" w:space="0"/>
              <w:left w:val="single" w:color="auto" w:sz="6" w:space="0"/>
              <w:bottom w:val="double" w:color="auto" w:sz="6" w:space="0"/>
              <w:right w:val="single" w:color="auto" w:sz="6" w:space="0"/>
            </w:tcBorders>
          </w:tcPr>
          <w:p w14:paraId="7EA059C6">
            <w:pPr>
              <w:pStyle w:val="229"/>
              <w:ind w:firstLine="0" w:firstLineChars="0"/>
              <w:jc w:val="center"/>
              <w:rPr>
                <w:color w:val="auto"/>
                <w:highlight w:val="none"/>
              </w:rPr>
            </w:pPr>
            <w:r>
              <w:rPr>
                <w:rFonts w:hint="eastAsia"/>
                <w:color w:val="auto"/>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68A10374">
            <w:pPr>
              <w:pStyle w:val="229"/>
              <w:ind w:firstLine="0" w:firstLineChars="0"/>
              <w:jc w:val="center"/>
              <w:rPr>
                <w:color w:val="auto"/>
                <w:highlight w:val="none"/>
              </w:rPr>
            </w:pPr>
            <w:r>
              <w:rPr>
                <w:rFonts w:hint="eastAsia"/>
                <w:color w:val="auto"/>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040E632B">
            <w:pPr>
              <w:pStyle w:val="229"/>
              <w:ind w:firstLine="0" w:firstLineChars="0"/>
              <w:jc w:val="center"/>
              <w:rPr>
                <w:color w:val="auto"/>
                <w:highlight w:val="none"/>
              </w:rPr>
            </w:pPr>
            <w:r>
              <w:rPr>
                <w:rFonts w:hint="eastAsia"/>
                <w:color w:val="auto"/>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36FF1CEC">
            <w:pPr>
              <w:pStyle w:val="229"/>
              <w:ind w:firstLine="0" w:firstLineChars="0"/>
              <w:jc w:val="center"/>
              <w:rPr>
                <w:color w:val="auto"/>
                <w:highlight w:val="none"/>
              </w:rPr>
            </w:pPr>
            <w:r>
              <w:rPr>
                <w:rFonts w:hint="eastAsia"/>
                <w:color w:val="auto"/>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74055B54">
            <w:pPr>
              <w:pStyle w:val="229"/>
              <w:ind w:firstLine="0" w:firstLineChars="0"/>
              <w:jc w:val="center"/>
              <w:rPr>
                <w:color w:val="auto"/>
                <w:highlight w:val="none"/>
              </w:rPr>
            </w:pPr>
            <w:r>
              <w:rPr>
                <w:rFonts w:hint="eastAsia"/>
                <w:color w:val="auto"/>
                <w:highlight w:val="none"/>
              </w:rPr>
              <w:t>备注</w:t>
            </w:r>
          </w:p>
        </w:tc>
      </w:tr>
      <w:tr w14:paraId="4FFE5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FFEC252">
            <w:pPr>
              <w:pStyle w:val="229"/>
              <w:ind w:firstLine="0" w:firstLineChars="0"/>
              <w:jc w:val="center"/>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5B718F2A">
            <w:pPr>
              <w:pStyle w:val="229"/>
              <w:ind w:firstLine="0" w:firstLineChars="0"/>
              <w:jc w:val="center"/>
              <w:rPr>
                <w:color w:val="auto"/>
                <w:highlight w:val="none"/>
              </w:rPr>
            </w:pPr>
            <w:r>
              <w:rPr>
                <w:rFonts w:hint="eastAsia"/>
                <w:color w:val="auto"/>
                <w:highlight w:val="none"/>
              </w:rPr>
              <w:t>无</w:t>
            </w:r>
          </w:p>
        </w:tc>
        <w:tc>
          <w:tcPr>
            <w:tcW w:w="851" w:type="dxa"/>
            <w:tcBorders>
              <w:top w:val="double" w:color="auto" w:sz="6" w:space="0"/>
              <w:left w:val="single" w:color="auto" w:sz="6" w:space="0"/>
              <w:bottom w:val="single" w:color="auto" w:sz="6" w:space="0"/>
              <w:right w:val="single" w:color="auto" w:sz="6" w:space="0"/>
            </w:tcBorders>
          </w:tcPr>
          <w:p w14:paraId="2E8E341F">
            <w:pPr>
              <w:pStyle w:val="229"/>
              <w:ind w:firstLine="0" w:firstLineChars="0"/>
              <w:jc w:val="center"/>
              <w:rPr>
                <w:color w:val="auto"/>
                <w:highlight w:val="none"/>
              </w:rPr>
            </w:pPr>
            <w:r>
              <w:rPr>
                <w:rFonts w:hint="eastAsia"/>
                <w:color w:val="auto"/>
                <w:highlight w:val="none"/>
              </w:rPr>
              <w:t>无</w:t>
            </w:r>
          </w:p>
        </w:tc>
        <w:tc>
          <w:tcPr>
            <w:tcW w:w="774" w:type="dxa"/>
            <w:tcBorders>
              <w:top w:val="double" w:color="auto" w:sz="6" w:space="0"/>
              <w:left w:val="single" w:color="auto" w:sz="6" w:space="0"/>
              <w:bottom w:val="single" w:color="auto" w:sz="6" w:space="0"/>
              <w:right w:val="single" w:color="auto" w:sz="6" w:space="0"/>
            </w:tcBorders>
          </w:tcPr>
          <w:p w14:paraId="20725863">
            <w:pPr>
              <w:pStyle w:val="229"/>
              <w:ind w:firstLine="0" w:firstLineChars="0"/>
              <w:jc w:val="center"/>
              <w:rPr>
                <w:color w:val="auto"/>
                <w:highlight w:val="none"/>
              </w:rPr>
            </w:pPr>
            <w:r>
              <w:rPr>
                <w:rFonts w:hint="eastAsia"/>
                <w:color w:val="auto"/>
                <w:highlight w:val="none"/>
              </w:rPr>
              <w:t>无</w:t>
            </w:r>
          </w:p>
        </w:tc>
        <w:tc>
          <w:tcPr>
            <w:tcW w:w="1352" w:type="dxa"/>
            <w:tcBorders>
              <w:top w:val="double" w:color="auto" w:sz="6" w:space="0"/>
              <w:left w:val="single" w:color="auto" w:sz="6" w:space="0"/>
              <w:bottom w:val="single" w:color="auto" w:sz="6" w:space="0"/>
              <w:right w:val="single" w:color="auto" w:sz="6" w:space="0"/>
            </w:tcBorders>
          </w:tcPr>
          <w:p w14:paraId="5DB5A09C">
            <w:pPr>
              <w:pStyle w:val="229"/>
              <w:ind w:firstLine="0" w:firstLineChars="0"/>
              <w:jc w:val="center"/>
              <w:rPr>
                <w:color w:val="auto"/>
                <w:highlight w:val="none"/>
              </w:rPr>
            </w:pPr>
            <w:r>
              <w:rPr>
                <w:rFonts w:hint="eastAsia"/>
                <w:color w:val="auto"/>
                <w:highlight w:val="none"/>
              </w:rPr>
              <w:t>无</w:t>
            </w:r>
          </w:p>
        </w:tc>
        <w:tc>
          <w:tcPr>
            <w:tcW w:w="1418" w:type="dxa"/>
            <w:tcBorders>
              <w:top w:val="double" w:color="auto" w:sz="6" w:space="0"/>
              <w:left w:val="single" w:color="auto" w:sz="6" w:space="0"/>
              <w:bottom w:val="single" w:color="auto" w:sz="6" w:space="0"/>
              <w:right w:val="single" w:color="auto" w:sz="6" w:space="0"/>
            </w:tcBorders>
          </w:tcPr>
          <w:p w14:paraId="1BDF67ED">
            <w:pPr>
              <w:pStyle w:val="229"/>
              <w:ind w:firstLine="0" w:firstLineChars="0"/>
              <w:jc w:val="center"/>
              <w:rPr>
                <w:color w:val="auto"/>
                <w:highlight w:val="none"/>
              </w:rPr>
            </w:pPr>
            <w:r>
              <w:rPr>
                <w:rFonts w:hint="eastAsia"/>
                <w:color w:val="auto"/>
                <w:highlight w:val="none"/>
              </w:rPr>
              <w:t>无</w:t>
            </w:r>
          </w:p>
        </w:tc>
        <w:tc>
          <w:tcPr>
            <w:tcW w:w="1701" w:type="dxa"/>
            <w:tcBorders>
              <w:top w:val="double" w:color="auto" w:sz="6" w:space="0"/>
              <w:left w:val="single" w:color="auto" w:sz="6" w:space="0"/>
              <w:bottom w:val="single" w:color="auto" w:sz="6" w:space="0"/>
              <w:right w:val="single" w:color="auto" w:sz="12" w:space="0"/>
            </w:tcBorders>
          </w:tcPr>
          <w:p w14:paraId="64A2AE1C">
            <w:pPr>
              <w:pStyle w:val="229"/>
              <w:ind w:firstLine="0" w:firstLineChars="0"/>
              <w:jc w:val="center"/>
              <w:rPr>
                <w:color w:val="auto"/>
                <w:highlight w:val="none"/>
              </w:rPr>
            </w:pPr>
            <w:r>
              <w:rPr>
                <w:rFonts w:hint="eastAsia"/>
                <w:color w:val="auto"/>
                <w:highlight w:val="none"/>
              </w:rPr>
              <w:t>无</w:t>
            </w:r>
          </w:p>
        </w:tc>
      </w:tr>
      <w:tr w14:paraId="2AA5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6C956C74">
            <w:pPr>
              <w:pStyle w:val="229"/>
              <w:rPr>
                <w:color w:val="auto"/>
                <w:highlight w:val="none"/>
              </w:rPr>
            </w:pPr>
          </w:p>
        </w:tc>
        <w:tc>
          <w:tcPr>
            <w:tcW w:w="1984" w:type="dxa"/>
            <w:tcBorders>
              <w:top w:val="nil"/>
              <w:left w:val="single" w:color="auto" w:sz="6" w:space="0"/>
              <w:bottom w:val="single" w:color="auto" w:sz="6" w:space="0"/>
              <w:right w:val="single" w:color="auto" w:sz="6" w:space="0"/>
            </w:tcBorders>
          </w:tcPr>
          <w:p w14:paraId="3B6E7FB3">
            <w:pPr>
              <w:pStyle w:val="229"/>
              <w:rPr>
                <w:color w:val="auto"/>
                <w:highlight w:val="none"/>
              </w:rPr>
            </w:pPr>
          </w:p>
        </w:tc>
        <w:tc>
          <w:tcPr>
            <w:tcW w:w="851" w:type="dxa"/>
            <w:tcBorders>
              <w:top w:val="nil"/>
              <w:left w:val="single" w:color="auto" w:sz="6" w:space="0"/>
              <w:bottom w:val="single" w:color="auto" w:sz="6" w:space="0"/>
              <w:right w:val="single" w:color="auto" w:sz="6" w:space="0"/>
            </w:tcBorders>
          </w:tcPr>
          <w:p w14:paraId="1925BCB0">
            <w:pPr>
              <w:pStyle w:val="229"/>
              <w:rPr>
                <w:color w:val="auto"/>
                <w:highlight w:val="none"/>
              </w:rPr>
            </w:pPr>
          </w:p>
        </w:tc>
        <w:tc>
          <w:tcPr>
            <w:tcW w:w="774" w:type="dxa"/>
            <w:tcBorders>
              <w:top w:val="nil"/>
              <w:left w:val="single" w:color="auto" w:sz="6" w:space="0"/>
              <w:bottom w:val="single" w:color="auto" w:sz="6" w:space="0"/>
              <w:right w:val="single" w:color="auto" w:sz="6" w:space="0"/>
            </w:tcBorders>
          </w:tcPr>
          <w:p w14:paraId="57C46A6D">
            <w:pPr>
              <w:pStyle w:val="229"/>
              <w:rPr>
                <w:color w:val="auto"/>
                <w:highlight w:val="none"/>
              </w:rPr>
            </w:pPr>
          </w:p>
        </w:tc>
        <w:tc>
          <w:tcPr>
            <w:tcW w:w="1352" w:type="dxa"/>
            <w:tcBorders>
              <w:top w:val="nil"/>
              <w:left w:val="single" w:color="auto" w:sz="6" w:space="0"/>
              <w:bottom w:val="single" w:color="auto" w:sz="6" w:space="0"/>
              <w:right w:val="single" w:color="auto" w:sz="6" w:space="0"/>
            </w:tcBorders>
          </w:tcPr>
          <w:p w14:paraId="2533C42C">
            <w:pPr>
              <w:pStyle w:val="229"/>
              <w:rPr>
                <w:color w:val="auto"/>
                <w:highlight w:val="none"/>
              </w:rPr>
            </w:pPr>
          </w:p>
        </w:tc>
        <w:tc>
          <w:tcPr>
            <w:tcW w:w="1418" w:type="dxa"/>
            <w:tcBorders>
              <w:top w:val="nil"/>
              <w:left w:val="single" w:color="auto" w:sz="6" w:space="0"/>
              <w:bottom w:val="single" w:color="auto" w:sz="6" w:space="0"/>
              <w:right w:val="single" w:color="auto" w:sz="6" w:space="0"/>
            </w:tcBorders>
          </w:tcPr>
          <w:p w14:paraId="4DF98707">
            <w:pPr>
              <w:pStyle w:val="229"/>
              <w:rPr>
                <w:color w:val="auto"/>
                <w:highlight w:val="none"/>
              </w:rPr>
            </w:pPr>
          </w:p>
        </w:tc>
        <w:tc>
          <w:tcPr>
            <w:tcW w:w="1701" w:type="dxa"/>
            <w:tcBorders>
              <w:top w:val="nil"/>
              <w:left w:val="single" w:color="auto" w:sz="6" w:space="0"/>
              <w:bottom w:val="single" w:color="auto" w:sz="6" w:space="0"/>
              <w:right w:val="single" w:color="auto" w:sz="12" w:space="0"/>
            </w:tcBorders>
          </w:tcPr>
          <w:p w14:paraId="78BDF679">
            <w:pPr>
              <w:pStyle w:val="229"/>
              <w:rPr>
                <w:color w:val="auto"/>
                <w:highlight w:val="none"/>
              </w:rPr>
            </w:pPr>
          </w:p>
        </w:tc>
      </w:tr>
      <w:tr w14:paraId="35EB3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AFE8D89">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288900C">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C0AD694">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6D6CAC7">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92E0B10">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66B255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783CA0E">
            <w:pPr>
              <w:pStyle w:val="229"/>
              <w:rPr>
                <w:color w:val="auto"/>
                <w:highlight w:val="none"/>
              </w:rPr>
            </w:pPr>
          </w:p>
        </w:tc>
      </w:tr>
      <w:tr w14:paraId="5D74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C1B0854">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41B4B51">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625433C">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E912259">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0DF8A19">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C1ABCA">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2E81B88">
            <w:pPr>
              <w:pStyle w:val="229"/>
              <w:rPr>
                <w:color w:val="auto"/>
                <w:highlight w:val="none"/>
              </w:rPr>
            </w:pPr>
          </w:p>
        </w:tc>
      </w:tr>
      <w:tr w14:paraId="348EC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C4AF940">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348ECD6">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FB28676">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EDD49F7">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A6B4E30">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1A36FE4">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6083965">
            <w:pPr>
              <w:pStyle w:val="229"/>
              <w:rPr>
                <w:color w:val="auto"/>
                <w:highlight w:val="none"/>
              </w:rPr>
            </w:pPr>
          </w:p>
        </w:tc>
      </w:tr>
      <w:tr w14:paraId="5AAD6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39090D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C11A41B">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D18065">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F375B55">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9B7D860">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CF47E2A">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A99004C">
            <w:pPr>
              <w:pStyle w:val="229"/>
              <w:rPr>
                <w:color w:val="auto"/>
                <w:highlight w:val="none"/>
              </w:rPr>
            </w:pPr>
          </w:p>
        </w:tc>
      </w:tr>
      <w:tr w14:paraId="73F7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FA6760">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65CB820">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E106CD4">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2BEC9C">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B211695">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F6C19E9">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12AD9EF">
            <w:pPr>
              <w:pStyle w:val="229"/>
              <w:rPr>
                <w:color w:val="auto"/>
                <w:highlight w:val="none"/>
              </w:rPr>
            </w:pPr>
          </w:p>
        </w:tc>
      </w:tr>
      <w:tr w14:paraId="6D21F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345693">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AEA3C51">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718AD17">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8B53800">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B324061">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1DC7DB1">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2CEA879">
            <w:pPr>
              <w:pStyle w:val="229"/>
              <w:rPr>
                <w:color w:val="auto"/>
                <w:highlight w:val="none"/>
              </w:rPr>
            </w:pPr>
          </w:p>
        </w:tc>
      </w:tr>
      <w:tr w14:paraId="3D59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9FB5CF">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C0EB0F8">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AA81415">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D171203">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91AF99F">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E71E69">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F8646DC">
            <w:pPr>
              <w:pStyle w:val="229"/>
              <w:rPr>
                <w:color w:val="auto"/>
                <w:highlight w:val="none"/>
              </w:rPr>
            </w:pPr>
          </w:p>
        </w:tc>
      </w:tr>
      <w:tr w14:paraId="4CC98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3F5AD41">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30467C3">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B0D72D0">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DFA80A2">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E25B66C">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7D41278">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DD55924">
            <w:pPr>
              <w:pStyle w:val="229"/>
              <w:rPr>
                <w:color w:val="auto"/>
                <w:highlight w:val="none"/>
              </w:rPr>
            </w:pPr>
          </w:p>
        </w:tc>
      </w:tr>
      <w:tr w14:paraId="3FDDB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7AF35">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5597FBD">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5863653">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8DEDEA1">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90F7D1D">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23F84F9">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9DD0A37">
            <w:pPr>
              <w:pStyle w:val="229"/>
              <w:rPr>
                <w:color w:val="auto"/>
                <w:highlight w:val="none"/>
              </w:rPr>
            </w:pPr>
          </w:p>
        </w:tc>
      </w:tr>
      <w:tr w14:paraId="713D3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8CC97D9">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BEA3CBF">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42927DC">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9EAC670">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ECB9445">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304163F">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ED66068">
            <w:pPr>
              <w:pStyle w:val="229"/>
              <w:rPr>
                <w:color w:val="auto"/>
                <w:highlight w:val="none"/>
              </w:rPr>
            </w:pPr>
          </w:p>
        </w:tc>
      </w:tr>
      <w:tr w14:paraId="1BD16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75AE5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4AEF761">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7553D06">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C12E188">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B62C36C">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6EFD5BC">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9E75C6B">
            <w:pPr>
              <w:pStyle w:val="229"/>
              <w:rPr>
                <w:color w:val="auto"/>
                <w:highlight w:val="none"/>
              </w:rPr>
            </w:pPr>
          </w:p>
        </w:tc>
      </w:tr>
      <w:tr w14:paraId="0552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C7137F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E7DCA4A">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AC64982">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3FEC4CA">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FD03494">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17DD845">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3DECC59">
            <w:pPr>
              <w:pStyle w:val="229"/>
              <w:rPr>
                <w:color w:val="auto"/>
                <w:highlight w:val="none"/>
              </w:rPr>
            </w:pPr>
          </w:p>
        </w:tc>
      </w:tr>
      <w:tr w14:paraId="0F355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8C1950">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CB3F809">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F3F79A4">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12A5288">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FAD0FF6">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D4A2111">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FE354B4">
            <w:pPr>
              <w:pStyle w:val="229"/>
              <w:rPr>
                <w:color w:val="auto"/>
                <w:highlight w:val="none"/>
              </w:rPr>
            </w:pPr>
          </w:p>
        </w:tc>
      </w:tr>
      <w:tr w14:paraId="0A215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CEA3DE7">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15573F4">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64E117D">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C01A494">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613962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873846B">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2ABF6A1">
            <w:pPr>
              <w:pStyle w:val="229"/>
              <w:rPr>
                <w:color w:val="auto"/>
                <w:highlight w:val="none"/>
              </w:rPr>
            </w:pPr>
          </w:p>
        </w:tc>
      </w:tr>
      <w:tr w14:paraId="67967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D3AB532">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0461389">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B683679">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7FEB9A5">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224A1D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260B59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322C2C4">
            <w:pPr>
              <w:pStyle w:val="229"/>
              <w:rPr>
                <w:color w:val="auto"/>
                <w:highlight w:val="none"/>
              </w:rPr>
            </w:pPr>
          </w:p>
        </w:tc>
      </w:tr>
      <w:tr w14:paraId="38665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37219FA">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B5B4FB5">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90D9BF6">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A24F19A">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655747E">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762CD8F">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4749ADF">
            <w:pPr>
              <w:pStyle w:val="229"/>
              <w:rPr>
                <w:color w:val="auto"/>
                <w:highlight w:val="none"/>
              </w:rPr>
            </w:pPr>
          </w:p>
        </w:tc>
      </w:tr>
      <w:tr w14:paraId="768B4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5DC0C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CBA48F2">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18D48E7">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432895B">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1CC2DD1">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1069463">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47779E1">
            <w:pPr>
              <w:pStyle w:val="229"/>
              <w:rPr>
                <w:color w:val="auto"/>
                <w:highlight w:val="none"/>
              </w:rPr>
            </w:pPr>
          </w:p>
        </w:tc>
      </w:tr>
      <w:tr w14:paraId="4DB5D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91710C2">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4EACF32">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F1BA083">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1E971EC">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3C42447">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6B0A4D1">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1AFBB6C">
            <w:pPr>
              <w:pStyle w:val="229"/>
              <w:rPr>
                <w:color w:val="auto"/>
                <w:highlight w:val="none"/>
              </w:rPr>
            </w:pPr>
          </w:p>
        </w:tc>
      </w:tr>
      <w:tr w14:paraId="7AE02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4ADD41B">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BAF05AC">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479669B">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0624151">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470A7C2">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0E05D2B">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A633474">
            <w:pPr>
              <w:pStyle w:val="229"/>
              <w:rPr>
                <w:color w:val="auto"/>
                <w:highlight w:val="none"/>
              </w:rPr>
            </w:pPr>
          </w:p>
        </w:tc>
      </w:tr>
      <w:tr w14:paraId="6AB8B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53D1A95">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4316C6C">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71917BE">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8B0A9D1">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C6F8FF1">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EF1E24B">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0835DF8">
            <w:pPr>
              <w:pStyle w:val="229"/>
              <w:rPr>
                <w:color w:val="auto"/>
                <w:highlight w:val="none"/>
              </w:rPr>
            </w:pPr>
          </w:p>
        </w:tc>
      </w:tr>
      <w:tr w14:paraId="5DC9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C44D965">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854DE46">
            <w:pPr>
              <w:pStyle w:val="229"/>
              <w:rPr>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ADFCA18">
            <w:pPr>
              <w:pStyle w:val="229"/>
              <w:rPr>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658CA12">
            <w:pPr>
              <w:pStyle w:val="229"/>
              <w:rPr>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74CD5BB">
            <w:pPr>
              <w:pStyle w:val="229"/>
              <w:rPr>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9B01B76">
            <w:pPr>
              <w:pStyle w:val="229"/>
              <w:rPr>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41A3E01">
            <w:pPr>
              <w:pStyle w:val="229"/>
              <w:rPr>
                <w:color w:val="auto"/>
                <w:highlight w:val="none"/>
              </w:rPr>
            </w:pPr>
          </w:p>
        </w:tc>
      </w:tr>
      <w:tr w14:paraId="5DA37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19F72A7E">
            <w:pPr>
              <w:pStyle w:val="229"/>
              <w:rPr>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3A25E496">
            <w:pPr>
              <w:pStyle w:val="229"/>
              <w:rPr>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5ABF2CE7">
            <w:pPr>
              <w:pStyle w:val="229"/>
              <w:rPr>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732A6EA9">
            <w:pPr>
              <w:pStyle w:val="229"/>
              <w:rPr>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3DE433F1">
            <w:pPr>
              <w:pStyle w:val="229"/>
              <w:rPr>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76A989C7">
            <w:pPr>
              <w:pStyle w:val="229"/>
              <w:rPr>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61178057">
            <w:pPr>
              <w:pStyle w:val="229"/>
              <w:rPr>
                <w:color w:val="auto"/>
                <w:highlight w:val="none"/>
              </w:rPr>
            </w:pPr>
          </w:p>
        </w:tc>
      </w:tr>
    </w:tbl>
    <w:p w14:paraId="63FC321D">
      <w:pPr>
        <w:pStyle w:val="229"/>
        <w:rPr>
          <w:color w:val="auto"/>
          <w:highlight w:val="none"/>
        </w:rPr>
      </w:pPr>
    </w:p>
    <w:p w14:paraId="5D1B6E35">
      <w:pPr>
        <w:pStyle w:val="229"/>
        <w:rPr>
          <w:color w:val="auto"/>
          <w:highlight w:val="none"/>
        </w:rPr>
      </w:pPr>
    </w:p>
    <w:p w14:paraId="005FC1C6">
      <w:pPr>
        <w:pStyle w:val="229"/>
        <w:rPr>
          <w:color w:val="auto"/>
          <w:highlight w:val="none"/>
        </w:rPr>
      </w:pPr>
    </w:p>
    <w:p w14:paraId="74996639">
      <w:pPr>
        <w:pStyle w:val="229"/>
        <w:rPr>
          <w:color w:val="auto"/>
          <w:highlight w:val="none"/>
        </w:rPr>
      </w:pPr>
    </w:p>
    <w:p w14:paraId="3BF399BC">
      <w:pPr>
        <w:pStyle w:val="229"/>
        <w:rPr>
          <w:color w:val="auto"/>
          <w:highlight w:val="none"/>
        </w:rPr>
      </w:pPr>
    </w:p>
    <w:p w14:paraId="0B5DA149">
      <w:pPr>
        <w:pStyle w:val="229"/>
        <w:rPr>
          <w:color w:val="auto"/>
          <w:highlight w:val="none"/>
        </w:rPr>
      </w:pPr>
    </w:p>
    <w:p w14:paraId="220114C9">
      <w:pPr>
        <w:pStyle w:val="229"/>
        <w:rPr>
          <w:color w:val="auto"/>
          <w:highlight w:val="none"/>
        </w:rPr>
      </w:pPr>
    </w:p>
    <w:p w14:paraId="1E871D64">
      <w:pPr>
        <w:pStyle w:val="229"/>
        <w:rPr>
          <w:color w:val="auto"/>
          <w:highlight w:val="none"/>
        </w:rPr>
      </w:pPr>
    </w:p>
    <w:p w14:paraId="407F4BE9">
      <w:pPr>
        <w:pStyle w:val="229"/>
        <w:ind w:firstLine="422"/>
        <w:jc w:val="center"/>
        <w:rPr>
          <w:b/>
          <w:bCs/>
          <w:color w:val="auto"/>
          <w:highlight w:val="none"/>
        </w:rPr>
      </w:pPr>
      <w:r>
        <w:rPr>
          <w:rFonts w:hint="eastAsia"/>
          <w:b/>
          <w:bCs/>
          <w:color w:val="auto"/>
          <w:highlight w:val="none"/>
        </w:rPr>
        <w:t>8</w:t>
      </w:r>
      <w:r>
        <w:rPr>
          <w:b/>
          <w:bCs/>
          <w:color w:val="auto"/>
          <w:highlight w:val="none"/>
        </w:rPr>
        <w:t>-3</w:t>
      </w:r>
      <w:r>
        <w:rPr>
          <w:rFonts w:hint="eastAsia"/>
          <w:b/>
          <w:bCs/>
          <w:color w:val="auto"/>
          <w:highlight w:val="none"/>
        </w:rPr>
        <w:t>：专业工程暂估价表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8BB7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14:paraId="6E900787">
            <w:pPr>
              <w:pStyle w:val="229"/>
              <w:rPr>
                <w:color w:val="auto"/>
                <w:highlight w:val="none"/>
              </w:rPr>
            </w:pPr>
            <w:r>
              <w:rPr>
                <w:rFonts w:hint="eastAsia"/>
                <w:color w:val="auto"/>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267DB6BD">
            <w:pPr>
              <w:pStyle w:val="229"/>
              <w:rPr>
                <w:color w:val="auto"/>
                <w:highlight w:val="none"/>
              </w:rPr>
            </w:pPr>
            <w:r>
              <w:rPr>
                <w:rFonts w:hint="eastAsia"/>
                <w:color w:val="auto"/>
                <w:highlight w:val="none"/>
              </w:rPr>
              <w:t>专业工程名称</w:t>
            </w:r>
          </w:p>
        </w:tc>
        <w:tc>
          <w:tcPr>
            <w:tcW w:w="4678" w:type="dxa"/>
            <w:tcBorders>
              <w:top w:val="single" w:color="auto" w:sz="12" w:space="0"/>
              <w:left w:val="single" w:color="auto" w:sz="6" w:space="0"/>
              <w:bottom w:val="double" w:color="auto" w:sz="6" w:space="0"/>
              <w:right w:val="single" w:color="auto" w:sz="6" w:space="0"/>
            </w:tcBorders>
          </w:tcPr>
          <w:p w14:paraId="3FD82B54">
            <w:pPr>
              <w:pStyle w:val="229"/>
              <w:rPr>
                <w:color w:val="auto"/>
                <w:highlight w:val="none"/>
              </w:rPr>
            </w:pPr>
            <w:r>
              <w:rPr>
                <w:rFonts w:hint="eastAsia"/>
                <w:color w:val="auto"/>
                <w:highlight w:val="none"/>
              </w:rPr>
              <w:t>工程内容</w:t>
            </w:r>
          </w:p>
        </w:tc>
        <w:tc>
          <w:tcPr>
            <w:tcW w:w="1276" w:type="dxa"/>
            <w:tcBorders>
              <w:top w:val="single" w:color="auto" w:sz="12" w:space="0"/>
              <w:left w:val="single" w:color="auto" w:sz="6" w:space="0"/>
              <w:bottom w:val="double" w:color="auto" w:sz="6" w:space="0"/>
              <w:right w:val="single" w:color="auto" w:sz="12" w:space="0"/>
            </w:tcBorders>
          </w:tcPr>
          <w:p w14:paraId="630317F8">
            <w:pPr>
              <w:pStyle w:val="229"/>
              <w:rPr>
                <w:color w:val="auto"/>
                <w:highlight w:val="none"/>
              </w:rPr>
            </w:pPr>
            <w:r>
              <w:rPr>
                <w:rFonts w:hint="eastAsia"/>
                <w:color w:val="auto"/>
                <w:highlight w:val="none"/>
              </w:rPr>
              <w:t>金额</w:t>
            </w:r>
          </w:p>
        </w:tc>
      </w:tr>
      <w:tr w14:paraId="1C32C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14:paraId="1B185BC0">
            <w:pPr>
              <w:pStyle w:val="229"/>
              <w:rPr>
                <w:color w:val="auto"/>
                <w:highlight w:val="none"/>
              </w:rPr>
            </w:pPr>
            <w:r>
              <w:rPr>
                <w:rFonts w:hint="eastAsia"/>
                <w:color w:val="auto"/>
                <w:highlight w:val="none"/>
              </w:rPr>
              <w:t>无</w:t>
            </w:r>
          </w:p>
        </w:tc>
        <w:tc>
          <w:tcPr>
            <w:tcW w:w="1984" w:type="dxa"/>
            <w:tcBorders>
              <w:top w:val="double" w:color="auto" w:sz="6" w:space="0"/>
              <w:left w:val="single" w:color="auto" w:sz="6" w:space="0"/>
              <w:bottom w:val="single" w:color="auto" w:sz="6" w:space="0"/>
              <w:right w:val="single" w:color="auto" w:sz="6" w:space="0"/>
            </w:tcBorders>
          </w:tcPr>
          <w:p w14:paraId="1084A7B3">
            <w:pPr>
              <w:pStyle w:val="229"/>
              <w:rPr>
                <w:color w:val="auto"/>
                <w:highlight w:val="none"/>
              </w:rPr>
            </w:pPr>
            <w:r>
              <w:rPr>
                <w:rFonts w:hint="eastAsia"/>
                <w:color w:val="auto"/>
                <w:highlight w:val="none"/>
              </w:rPr>
              <w:t>无</w:t>
            </w:r>
          </w:p>
        </w:tc>
        <w:tc>
          <w:tcPr>
            <w:tcW w:w="4678" w:type="dxa"/>
            <w:tcBorders>
              <w:top w:val="double" w:color="auto" w:sz="6" w:space="0"/>
              <w:left w:val="single" w:color="auto" w:sz="6" w:space="0"/>
              <w:bottom w:val="single" w:color="auto" w:sz="6" w:space="0"/>
              <w:right w:val="single" w:color="auto" w:sz="6" w:space="0"/>
            </w:tcBorders>
          </w:tcPr>
          <w:p w14:paraId="4C22346D">
            <w:pPr>
              <w:pStyle w:val="229"/>
              <w:rPr>
                <w:color w:val="auto"/>
                <w:highlight w:val="none"/>
              </w:rPr>
            </w:pPr>
            <w:r>
              <w:rPr>
                <w:rFonts w:hint="eastAsia"/>
                <w:color w:val="auto"/>
                <w:highlight w:val="none"/>
              </w:rPr>
              <w:t>无</w:t>
            </w:r>
          </w:p>
        </w:tc>
        <w:tc>
          <w:tcPr>
            <w:tcW w:w="1276" w:type="dxa"/>
            <w:tcBorders>
              <w:top w:val="double" w:color="auto" w:sz="6" w:space="0"/>
              <w:left w:val="single" w:color="auto" w:sz="6" w:space="0"/>
              <w:bottom w:val="single" w:color="auto" w:sz="6" w:space="0"/>
              <w:right w:val="single" w:color="auto" w:sz="12" w:space="0"/>
            </w:tcBorders>
          </w:tcPr>
          <w:p w14:paraId="57420E7E">
            <w:pPr>
              <w:pStyle w:val="229"/>
              <w:rPr>
                <w:color w:val="auto"/>
                <w:highlight w:val="none"/>
              </w:rPr>
            </w:pPr>
            <w:r>
              <w:rPr>
                <w:rFonts w:hint="eastAsia"/>
                <w:color w:val="auto"/>
                <w:highlight w:val="none"/>
              </w:rPr>
              <w:t>无</w:t>
            </w:r>
          </w:p>
        </w:tc>
      </w:tr>
      <w:tr w14:paraId="7EE86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63783307">
            <w:pPr>
              <w:pStyle w:val="229"/>
              <w:rPr>
                <w:color w:val="auto"/>
                <w:highlight w:val="none"/>
              </w:rPr>
            </w:pPr>
          </w:p>
        </w:tc>
        <w:tc>
          <w:tcPr>
            <w:tcW w:w="1984" w:type="dxa"/>
            <w:tcBorders>
              <w:top w:val="nil"/>
              <w:left w:val="single" w:color="auto" w:sz="6" w:space="0"/>
              <w:bottom w:val="single" w:color="auto" w:sz="6" w:space="0"/>
              <w:right w:val="single" w:color="auto" w:sz="6" w:space="0"/>
            </w:tcBorders>
          </w:tcPr>
          <w:p w14:paraId="154A6F68">
            <w:pPr>
              <w:pStyle w:val="229"/>
              <w:rPr>
                <w:color w:val="auto"/>
                <w:highlight w:val="none"/>
              </w:rPr>
            </w:pPr>
          </w:p>
        </w:tc>
        <w:tc>
          <w:tcPr>
            <w:tcW w:w="4678" w:type="dxa"/>
            <w:tcBorders>
              <w:top w:val="nil"/>
              <w:left w:val="single" w:color="auto" w:sz="6" w:space="0"/>
              <w:bottom w:val="single" w:color="auto" w:sz="6" w:space="0"/>
              <w:right w:val="single" w:color="auto" w:sz="6" w:space="0"/>
            </w:tcBorders>
          </w:tcPr>
          <w:p w14:paraId="63A0B6C8">
            <w:pPr>
              <w:pStyle w:val="229"/>
              <w:rPr>
                <w:color w:val="auto"/>
                <w:highlight w:val="none"/>
              </w:rPr>
            </w:pPr>
          </w:p>
        </w:tc>
        <w:tc>
          <w:tcPr>
            <w:tcW w:w="1276" w:type="dxa"/>
            <w:tcBorders>
              <w:top w:val="nil"/>
              <w:left w:val="single" w:color="auto" w:sz="6" w:space="0"/>
              <w:bottom w:val="single" w:color="auto" w:sz="6" w:space="0"/>
              <w:right w:val="single" w:color="auto" w:sz="12" w:space="0"/>
            </w:tcBorders>
          </w:tcPr>
          <w:p w14:paraId="2790F3DE">
            <w:pPr>
              <w:pStyle w:val="229"/>
              <w:rPr>
                <w:color w:val="auto"/>
                <w:highlight w:val="none"/>
              </w:rPr>
            </w:pPr>
          </w:p>
        </w:tc>
      </w:tr>
      <w:tr w14:paraId="1B9B1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3450C0AB">
            <w:pPr>
              <w:pStyle w:val="229"/>
              <w:rPr>
                <w:color w:val="auto"/>
                <w:highlight w:val="none"/>
              </w:rPr>
            </w:pPr>
          </w:p>
        </w:tc>
        <w:tc>
          <w:tcPr>
            <w:tcW w:w="1984" w:type="dxa"/>
            <w:tcBorders>
              <w:top w:val="nil"/>
              <w:left w:val="single" w:color="auto" w:sz="6" w:space="0"/>
              <w:bottom w:val="single" w:color="auto" w:sz="6" w:space="0"/>
              <w:right w:val="single" w:color="auto" w:sz="6" w:space="0"/>
            </w:tcBorders>
          </w:tcPr>
          <w:p w14:paraId="18FC3F5C">
            <w:pPr>
              <w:pStyle w:val="229"/>
              <w:rPr>
                <w:color w:val="auto"/>
                <w:highlight w:val="none"/>
              </w:rPr>
            </w:pPr>
          </w:p>
        </w:tc>
        <w:tc>
          <w:tcPr>
            <w:tcW w:w="4678" w:type="dxa"/>
            <w:tcBorders>
              <w:top w:val="nil"/>
              <w:left w:val="single" w:color="auto" w:sz="6" w:space="0"/>
              <w:bottom w:val="single" w:color="auto" w:sz="6" w:space="0"/>
              <w:right w:val="single" w:color="auto" w:sz="6" w:space="0"/>
            </w:tcBorders>
          </w:tcPr>
          <w:p w14:paraId="20175ABB">
            <w:pPr>
              <w:pStyle w:val="229"/>
              <w:rPr>
                <w:color w:val="auto"/>
                <w:highlight w:val="none"/>
              </w:rPr>
            </w:pPr>
          </w:p>
        </w:tc>
        <w:tc>
          <w:tcPr>
            <w:tcW w:w="1276" w:type="dxa"/>
            <w:tcBorders>
              <w:top w:val="nil"/>
              <w:left w:val="single" w:color="auto" w:sz="6" w:space="0"/>
              <w:bottom w:val="single" w:color="auto" w:sz="6" w:space="0"/>
              <w:right w:val="single" w:color="auto" w:sz="12" w:space="0"/>
            </w:tcBorders>
          </w:tcPr>
          <w:p w14:paraId="3B007527">
            <w:pPr>
              <w:pStyle w:val="229"/>
              <w:rPr>
                <w:color w:val="auto"/>
                <w:highlight w:val="none"/>
              </w:rPr>
            </w:pPr>
          </w:p>
        </w:tc>
      </w:tr>
      <w:tr w14:paraId="403C4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88E2D1A">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1651702">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4E309C64">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39EC7B20">
            <w:pPr>
              <w:pStyle w:val="229"/>
              <w:rPr>
                <w:color w:val="auto"/>
                <w:highlight w:val="none"/>
              </w:rPr>
            </w:pPr>
          </w:p>
        </w:tc>
      </w:tr>
      <w:tr w14:paraId="3067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3DA9DE9">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4E8EB6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69ACC1F">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7B95799B">
            <w:pPr>
              <w:pStyle w:val="229"/>
              <w:rPr>
                <w:color w:val="auto"/>
                <w:highlight w:val="none"/>
              </w:rPr>
            </w:pPr>
          </w:p>
        </w:tc>
      </w:tr>
      <w:tr w14:paraId="11EB5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40A13C">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D766857">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728DC105">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4332E0EA">
            <w:pPr>
              <w:pStyle w:val="229"/>
              <w:rPr>
                <w:color w:val="auto"/>
                <w:highlight w:val="none"/>
              </w:rPr>
            </w:pPr>
          </w:p>
        </w:tc>
      </w:tr>
      <w:tr w14:paraId="2794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BFC28F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3BD292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6ADFD22B">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78EAD24">
            <w:pPr>
              <w:pStyle w:val="229"/>
              <w:rPr>
                <w:color w:val="auto"/>
                <w:highlight w:val="none"/>
              </w:rPr>
            </w:pPr>
          </w:p>
        </w:tc>
      </w:tr>
      <w:tr w14:paraId="4680F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91799D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975C0DF">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7574F6D6">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32E690E">
            <w:pPr>
              <w:pStyle w:val="229"/>
              <w:rPr>
                <w:color w:val="auto"/>
                <w:highlight w:val="none"/>
              </w:rPr>
            </w:pPr>
          </w:p>
        </w:tc>
      </w:tr>
      <w:tr w14:paraId="63FBC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C32EDCF">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8DA129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106FB86">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3EC1C06">
            <w:pPr>
              <w:pStyle w:val="229"/>
              <w:rPr>
                <w:color w:val="auto"/>
                <w:highlight w:val="none"/>
              </w:rPr>
            </w:pPr>
          </w:p>
        </w:tc>
      </w:tr>
      <w:tr w14:paraId="2A5AD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BDA57C">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F827324">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4A8817E6">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209BB14">
            <w:pPr>
              <w:pStyle w:val="229"/>
              <w:rPr>
                <w:color w:val="auto"/>
                <w:highlight w:val="none"/>
              </w:rPr>
            </w:pPr>
          </w:p>
        </w:tc>
      </w:tr>
      <w:tr w14:paraId="63330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F78BBE">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8B8E95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8DB947A">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7ADBF42B">
            <w:pPr>
              <w:pStyle w:val="229"/>
              <w:rPr>
                <w:color w:val="auto"/>
                <w:highlight w:val="none"/>
              </w:rPr>
            </w:pPr>
          </w:p>
        </w:tc>
      </w:tr>
      <w:tr w14:paraId="04640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86EE1B2">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0D5383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ED97110">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56D354AB">
            <w:pPr>
              <w:pStyle w:val="229"/>
              <w:rPr>
                <w:color w:val="auto"/>
                <w:highlight w:val="none"/>
              </w:rPr>
            </w:pPr>
          </w:p>
        </w:tc>
      </w:tr>
      <w:tr w14:paraId="2D324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C5A494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EBAB88E">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5C471885">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E8486C0">
            <w:pPr>
              <w:pStyle w:val="229"/>
              <w:rPr>
                <w:color w:val="auto"/>
                <w:highlight w:val="none"/>
              </w:rPr>
            </w:pPr>
          </w:p>
        </w:tc>
      </w:tr>
      <w:tr w14:paraId="22CE1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C871AA8">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6168E39">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A5B0FD4">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27AF9CD">
            <w:pPr>
              <w:pStyle w:val="229"/>
              <w:rPr>
                <w:color w:val="auto"/>
                <w:highlight w:val="none"/>
              </w:rPr>
            </w:pPr>
          </w:p>
        </w:tc>
      </w:tr>
      <w:tr w14:paraId="3E1BC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7BE79EB">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1581BCA">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6C2EF20A">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0086BC8">
            <w:pPr>
              <w:pStyle w:val="229"/>
              <w:rPr>
                <w:color w:val="auto"/>
                <w:highlight w:val="none"/>
              </w:rPr>
            </w:pPr>
          </w:p>
        </w:tc>
      </w:tr>
      <w:tr w14:paraId="2F530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6644ED">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06F0BF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4F2A0034">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956BB10">
            <w:pPr>
              <w:pStyle w:val="229"/>
              <w:rPr>
                <w:color w:val="auto"/>
                <w:highlight w:val="none"/>
              </w:rPr>
            </w:pPr>
          </w:p>
        </w:tc>
      </w:tr>
      <w:tr w14:paraId="6A6FB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EF6361E">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686E7AD">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6072BC53">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2CAFAC3F">
            <w:pPr>
              <w:pStyle w:val="229"/>
              <w:rPr>
                <w:color w:val="auto"/>
                <w:highlight w:val="none"/>
              </w:rPr>
            </w:pPr>
          </w:p>
        </w:tc>
      </w:tr>
      <w:tr w14:paraId="52DF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BA0B0D4">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EACA5C8">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060D1A9">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D57F85E">
            <w:pPr>
              <w:pStyle w:val="229"/>
              <w:rPr>
                <w:color w:val="auto"/>
                <w:highlight w:val="none"/>
              </w:rPr>
            </w:pPr>
          </w:p>
        </w:tc>
      </w:tr>
      <w:tr w14:paraId="37E89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5D089C9">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C42EA4A">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E2305E8">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70A653C5">
            <w:pPr>
              <w:pStyle w:val="229"/>
              <w:rPr>
                <w:color w:val="auto"/>
                <w:highlight w:val="none"/>
              </w:rPr>
            </w:pPr>
          </w:p>
        </w:tc>
      </w:tr>
      <w:tr w14:paraId="5F82F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47B532">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6FF2511">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653DD836">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109C840F">
            <w:pPr>
              <w:pStyle w:val="229"/>
              <w:rPr>
                <w:color w:val="auto"/>
                <w:highlight w:val="none"/>
              </w:rPr>
            </w:pPr>
          </w:p>
        </w:tc>
      </w:tr>
      <w:tr w14:paraId="1457D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D6E91EC">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5E0EADE">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309F2236">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63F04A1B">
            <w:pPr>
              <w:pStyle w:val="229"/>
              <w:rPr>
                <w:color w:val="auto"/>
                <w:highlight w:val="none"/>
              </w:rPr>
            </w:pPr>
          </w:p>
        </w:tc>
      </w:tr>
      <w:tr w14:paraId="73EFD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98CBAB5">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6E3793C">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FAED794">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41910815">
            <w:pPr>
              <w:pStyle w:val="229"/>
              <w:rPr>
                <w:color w:val="auto"/>
                <w:highlight w:val="none"/>
              </w:rPr>
            </w:pPr>
          </w:p>
        </w:tc>
      </w:tr>
      <w:tr w14:paraId="4E3EF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29BBA47">
            <w:pPr>
              <w:pStyle w:val="229"/>
              <w:rPr>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B4618EC">
            <w:pPr>
              <w:pStyle w:val="229"/>
              <w:rPr>
                <w:color w:val="auto"/>
                <w:highlight w:val="none"/>
              </w:rPr>
            </w:pPr>
          </w:p>
        </w:tc>
        <w:tc>
          <w:tcPr>
            <w:tcW w:w="4678" w:type="dxa"/>
            <w:tcBorders>
              <w:top w:val="single" w:color="auto" w:sz="6" w:space="0"/>
              <w:left w:val="single" w:color="auto" w:sz="6" w:space="0"/>
              <w:bottom w:val="single" w:color="auto" w:sz="6" w:space="0"/>
              <w:right w:val="single" w:color="auto" w:sz="6" w:space="0"/>
            </w:tcBorders>
          </w:tcPr>
          <w:p w14:paraId="0B36FB7E">
            <w:pPr>
              <w:pStyle w:val="229"/>
              <w:rPr>
                <w:color w:val="auto"/>
                <w:highlight w:val="none"/>
              </w:rPr>
            </w:pPr>
          </w:p>
        </w:tc>
        <w:tc>
          <w:tcPr>
            <w:tcW w:w="1276" w:type="dxa"/>
            <w:tcBorders>
              <w:top w:val="single" w:color="auto" w:sz="6" w:space="0"/>
              <w:left w:val="single" w:color="auto" w:sz="6" w:space="0"/>
              <w:bottom w:val="single" w:color="auto" w:sz="6" w:space="0"/>
              <w:right w:val="single" w:color="auto" w:sz="12" w:space="0"/>
            </w:tcBorders>
          </w:tcPr>
          <w:p w14:paraId="575AB783">
            <w:pPr>
              <w:pStyle w:val="229"/>
              <w:rPr>
                <w:color w:val="auto"/>
                <w:highlight w:val="none"/>
              </w:rPr>
            </w:pPr>
          </w:p>
        </w:tc>
      </w:tr>
      <w:tr w14:paraId="0457C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5FF991B6">
            <w:pPr>
              <w:pStyle w:val="229"/>
              <w:rPr>
                <w:color w:val="auto"/>
                <w:highlight w:val="none"/>
              </w:rPr>
            </w:pPr>
            <w:r>
              <w:rPr>
                <w:rFonts w:hint="eastAsia"/>
                <w:color w:val="auto"/>
                <w:highlight w:val="none"/>
              </w:rPr>
              <w:t>小计：</w:t>
            </w:r>
          </w:p>
        </w:tc>
      </w:tr>
    </w:tbl>
    <w:p w14:paraId="37954238">
      <w:pPr>
        <w:pStyle w:val="229"/>
        <w:rPr>
          <w:color w:val="auto"/>
          <w:highlight w:val="none"/>
        </w:rPr>
      </w:pPr>
    </w:p>
    <w:p w14:paraId="741A3628">
      <w:pPr>
        <w:pStyle w:val="229"/>
        <w:rPr>
          <w:color w:val="auto"/>
          <w:highlight w:val="none"/>
        </w:rPr>
      </w:pPr>
    </w:p>
    <w:p w14:paraId="2C9C983D">
      <w:pPr>
        <w:pStyle w:val="229"/>
        <w:rPr>
          <w:color w:val="auto"/>
          <w:highlight w:val="none"/>
        </w:rPr>
      </w:pPr>
    </w:p>
    <w:p w14:paraId="0E8931CE">
      <w:pPr>
        <w:pStyle w:val="229"/>
        <w:rPr>
          <w:color w:val="auto"/>
          <w:highlight w:val="none"/>
        </w:rPr>
      </w:pPr>
    </w:p>
    <w:p w14:paraId="404876EA">
      <w:pPr>
        <w:pStyle w:val="229"/>
        <w:rPr>
          <w:color w:val="auto"/>
          <w:highlight w:val="none"/>
        </w:rPr>
      </w:pPr>
    </w:p>
    <w:p w14:paraId="3706C8FF">
      <w:pPr>
        <w:pStyle w:val="229"/>
        <w:rPr>
          <w:color w:val="auto"/>
          <w:highlight w:val="none"/>
        </w:rPr>
      </w:pPr>
    </w:p>
    <w:p w14:paraId="1A59BE3F">
      <w:pPr>
        <w:pStyle w:val="229"/>
        <w:rPr>
          <w:color w:val="auto"/>
          <w:highlight w:val="none"/>
        </w:rPr>
      </w:pPr>
    </w:p>
    <w:p w14:paraId="7FE44808">
      <w:pPr>
        <w:pStyle w:val="229"/>
        <w:rPr>
          <w:color w:val="auto"/>
          <w:highlight w:val="none"/>
        </w:rPr>
      </w:pPr>
      <w:r>
        <w:rPr>
          <w:color w:val="auto"/>
          <w:highlight w:val="none"/>
        </w:rPr>
        <w:t>附件</w:t>
      </w:r>
      <w:r>
        <w:rPr>
          <w:rFonts w:hint="eastAsia"/>
          <w:color w:val="auto"/>
          <w:highlight w:val="none"/>
        </w:rPr>
        <w:t>9</w:t>
      </w:r>
      <w:r>
        <w:rPr>
          <w:color w:val="auto"/>
          <w:highlight w:val="none"/>
        </w:rPr>
        <w:t>：</w:t>
      </w:r>
    </w:p>
    <w:p w14:paraId="73AC503E">
      <w:pPr>
        <w:pStyle w:val="229"/>
        <w:ind w:firstLine="562"/>
        <w:jc w:val="center"/>
        <w:rPr>
          <w:b/>
          <w:bCs/>
          <w:color w:val="auto"/>
          <w:sz w:val="28"/>
          <w:szCs w:val="28"/>
          <w:highlight w:val="none"/>
        </w:rPr>
      </w:pPr>
      <w:r>
        <w:rPr>
          <w:b/>
          <w:bCs/>
          <w:color w:val="auto"/>
          <w:sz w:val="28"/>
          <w:szCs w:val="28"/>
          <w:highlight w:val="none"/>
        </w:rPr>
        <w:t>履约担保</w:t>
      </w:r>
    </w:p>
    <w:p w14:paraId="348F45BF">
      <w:pPr>
        <w:pStyle w:val="229"/>
        <w:ind w:firstLine="0" w:firstLineChars="0"/>
        <w:jc w:val="left"/>
        <w:rPr>
          <w:color w:val="auto"/>
          <w:highlight w:val="none"/>
        </w:rPr>
      </w:pPr>
      <w:r>
        <w:rPr>
          <w:rFonts w:hint="eastAsia"/>
          <w:color w:val="auto"/>
          <w:highlight w:val="none"/>
          <w:u w:val="single"/>
        </w:rPr>
        <w:t xml:space="preserve">                </w:t>
      </w:r>
      <w:r>
        <w:rPr>
          <w:color w:val="auto"/>
          <w:highlight w:val="none"/>
        </w:rPr>
        <w:t>（发包人名称）：</w:t>
      </w:r>
    </w:p>
    <w:p w14:paraId="77738786">
      <w:pPr>
        <w:pStyle w:val="229"/>
        <w:rPr>
          <w:color w:val="auto"/>
          <w:highlight w:val="none"/>
        </w:rPr>
      </w:pPr>
    </w:p>
    <w:p w14:paraId="26232966">
      <w:pPr>
        <w:pStyle w:val="229"/>
        <w:rPr>
          <w:color w:val="auto"/>
          <w:highlight w:val="none"/>
        </w:rPr>
      </w:pPr>
      <w:r>
        <w:rPr>
          <w:color w:val="auto"/>
          <w:highlight w:val="none"/>
        </w:rPr>
        <w:t>鉴于</w:t>
      </w:r>
      <w:r>
        <w:rPr>
          <w:color w:val="auto"/>
          <w:highlight w:val="none"/>
          <w:u w:val="single"/>
        </w:rPr>
        <w:t xml:space="preserve">                </w:t>
      </w:r>
      <w:r>
        <w:rPr>
          <w:color w:val="auto"/>
          <w:highlight w:val="none"/>
        </w:rPr>
        <w:t>（发包人名称，以下简称“发包人”）与</w:t>
      </w:r>
    </w:p>
    <w:p w14:paraId="2DF80280">
      <w:pPr>
        <w:pStyle w:val="229"/>
        <w:rPr>
          <w:color w:val="auto"/>
          <w:highlight w:val="none"/>
        </w:rPr>
      </w:pPr>
      <w:r>
        <w:rPr>
          <w:color w:val="auto"/>
          <w:highlight w:val="none"/>
        </w:rPr>
        <w:t xml:space="preserve"> </w:t>
      </w:r>
      <w:r>
        <w:rPr>
          <w:color w:val="auto"/>
          <w:highlight w:val="none"/>
          <w:u w:val="single"/>
        </w:rPr>
        <w:t xml:space="preserve">                           </w:t>
      </w:r>
      <w:r>
        <w:rPr>
          <w:color w:val="auto"/>
          <w:highlight w:val="none"/>
        </w:rPr>
        <w:t>（承包人名称）（以下称“承包人”）于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日就</w:t>
      </w:r>
      <w:r>
        <w:rPr>
          <w:color w:val="auto"/>
          <w:highlight w:val="none"/>
          <w:u w:val="single"/>
        </w:rPr>
        <w:t xml:space="preserve">                         </w:t>
      </w:r>
      <w:r>
        <w:rPr>
          <w:color w:val="auto"/>
          <w:highlight w:val="none"/>
        </w:rPr>
        <w:t xml:space="preserve">（工程名称）施工及有关事项协商一致共同签订《建设工程施工合同》。我方愿意无条件地、不可撤销地就承包人履行与你方签订的合同，向你方提供连带责任担保。 </w:t>
      </w:r>
    </w:p>
    <w:p w14:paraId="1E84B72D">
      <w:pPr>
        <w:pStyle w:val="229"/>
        <w:rPr>
          <w:color w:val="auto"/>
          <w:highlight w:val="none"/>
        </w:rPr>
      </w:pPr>
      <w:r>
        <w:rPr>
          <w:color w:val="auto"/>
          <w:highlight w:val="none"/>
        </w:rPr>
        <w:t>1. 担保金额人民币（大写）                 元（¥             ）。</w:t>
      </w:r>
    </w:p>
    <w:p w14:paraId="6474088C">
      <w:pPr>
        <w:pStyle w:val="229"/>
        <w:rPr>
          <w:color w:val="auto"/>
          <w:highlight w:val="none"/>
        </w:rPr>
      </w:pPr>
      <w:r>
        <w:rPr>
          <w:color w:val="auto"/>
          <w:highlight w:val="none"/>
        </w:rPr>
        <w:t>2. 担保有效期自你方与承包人签订的合同生效之日起至你方签发或应签发工程接收证书之日止</w:t>
      </w:r>
      <w:r>
        <w:rPr>
          <w:rFonts w:hint="eastAsia"/>
          <w:color w:val="auto"/>
          <w:highlight w:val="none"/>
        </w:rPr>
        <w:t>，最迟不超过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278BC79">
      <w:pPr>
        <w:pStyle w:val="229"/>
        <w:rPr>
          <w:color w:val="auto"/>
          <w:highlight w:val="none"/>
        </w:rPr>
      </w:pPr>
      <w:r>
        <w:rPr>
          <w:color w:val="auto"/>
          <w:highlight w:val="none"/>
        </w:rPr>
        <w:t>3. 在本担保有效期内，因承包人违反合同约定的义务给你方造成经济损失时，我方在收到你方以书面形式提出的在担保金额内的赔偿要求后，在7天内无条件支付。</w:t>
      </w:r>
    </w:p>
    <w:p w14:paraId="7CE35115">
      <w:pPr>
        <w:pStyle w:val="229"/>
        <w:rPr>
          <w:color w:val="auto"/>
          <w:highlight w:val="none"/>
        </w:rPr>
      </w:pPr>
      <w:r>
        <w:rPr>
          <w:color w:val="auto"/>
          <w:highlight w:val="none"/>
        </w:rPr>
        <w:t>4. 你方和承包人按合同约定变更合同时，我方承担本担保规定的义务不变。</w:t>
      </w:r>
    </w:p>
    <w:p w14:paraId="37AA9EBF">
      <w:pPr>
        <w:pStyle w:val="229"/>
        <w:rPr>
          <w:color w:val="auto"/>
          <w:highlight w:val="none"/>
        </w:rPr>
      </w:pPr>
      <w:r>
        <w:rPr>
          <w:color w:val="auto"/>
          <w:highlight w:val="none"/>
        </w:rPr>
        <w:t>5. 因本保函发生的纠纷，可由双方协商解决，协商不成的，任何一方均可提请</w:t>
      </w:r>
      <w:r>
        <w:rPr>
          <w:color w:val="auto"/>
          <w:highlight w:val="none"/>
          <w:u w:val="single"/>
        </w:rPr>
        <w:t xml:space="preserve">        </w:t>
      </w:r>
      <w:r>
        <w:rPr>
          <w:color w:val="auto"/>
          <w:highlight w:val="none"/>
        </w:rPr>
        <w:t>仲裁委员会仲裁。</w:t>
      </w:r>
    </w:p>
    <w:p w14:paraId="2798D2A4">
      <w:pPr>
        <w:pStyle w:val="229"/>
        <w:rPr>
          <w:color w:val="auto"/>
          <w:highlight w:val="none"/>
        </w:rPr>
      </w:pPr>
      <w:r>
        <w:rPr>
          <w:color w:val="auto"/>
          <w:highlight w:val="none"/>
        </w:rPr>
        <w:t>6. 本保函自我方法定代表人（或其授权代理人）签字并加盖公章之日起生效。</w:t>
      </w:r>
    </w:p>
    <w:p w14:paraId="2CD59B78">
      <w:pPr>
        <w:pStyle w:val="229"/>
        <w:rPr>
          <w:color w:val="auto"/>
          <w:highlight w:val="none"/>
        </w:rPr>
      </w:pPr>
    </w:p>
    <w:p w14:paraId="19BA25C9">
      <w:pPr>
        <w:pStyle w:val="229"/>
        <w:rPr>
          <w:color w:val="auto"/>
          <w:highlight w:val="none"/>
        </w:rPr>
      </w:pPr>
      <w:r>
        <w:rPr>
          <w:color w:val="auto"/>
          <w:highlight w:val="none"/>
        </w:rPr>
        <w:t xml:space="preserve">担 保 人：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（盖单位章）</w:t>
      </w:r>
    </w:p>
    <w:p w14:paraId="154845AC">
      <w:pPr>
        <w:pStyle w:val="229"/>
        <w:rPr>
          <w:color w:val="auto"/>
          <w:highlight w:val="none"/>
        </w:rPr>
      </w:pPr>
      <w:r>
        <w:rPr>
          <w:color w:val="auto"/>
          <w:highlight w:val="none"/>
        </w:rPr>
        <w:t>法定代表人或其委托代理人：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（签字）</w:t>
      </w:r>
    </w:p>
    <w:p w14:paraId="10A58D10">
      <w:pPr>
        <w:pStyle w:val="229"/>
        <w:rPr>
          <w:color w:val="auto"/>
          <w:highlight w:val="none"/>
        </w:rPr>
      </w:pPr>
      <w:r>
        <w:rPr>
          <w:color w:val="auto"/>
          <w:highlight w:val="none"/>
        </w:rPr>
        <w:t xml:space="preserve">地    址：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3A214D6B">
      <w:pPr>
        <w:pStyle w:val="229"/>
        <w:rPr>
          <w:color w:val="auto"/>
          <w:highlight w:val="none"/>
        </w:rPr>
      </w:pPr>
      <w:r>
        <w:rPr>
          <w:color w:val="auto"/>
          <w:highlight w:val="none"/>
        </w:rPr>
        <w:t xml:space="preserve">邮政编码：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2AA3DAF6">
      <w:pPr>
        <w:pStyle w:val="229"/>
        <w:rPr>
          <w:color w:val="auto"/>
          <w:highlight w:val="none"/>
        </w:rPr>
      </w:pPr>
      <w:r>
        <w:rPr>
          <w:color w:val="auto"/>
          <w:highlight w:val="none"/>
        </w:rPr>
        <w:t xml:space="preserve">电    话：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6B13E814">
      <w:pPr>
        <w:pStyle w:val="229"/>
        <w:rPr>
          <w:color w:val="auto"/>
          <w:highlight w:val="none"/>
        </w:rPr>
      </w:pPr>
      <w:r>
        <w:rPr>
          <w:color w:val="auto"/>
          <w:highlight w:val="none"/>
        </w:rPr>
        <w:t xml:space="preserve">传    真：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14:paraId="75BB49DD">
      <w:pPr>
        <w:pStyle w:val="229"/>
        <w:rPr>
          <w:color w:val="auto"/>
          <w:highlight w:val="none"/>
        </w:rPr>
      </w:pPr>
    </w:p>
    <w:p w14:paraId="2D0D9434">
      <w:pPr>
        <w:pStyle w:val="229"/>
        <w:rPr>
          <w:color w:val="auto"/>
          <w:highlight w:val="none"/>
        </w:rPr>
      </w:pPr>
      <w:r>
        <w:rPr>
          <w:color w:val="auto"/>
          <w:highlight w:val="none"/>
        </w:rPr>
        <w:t xml:space="preserve">             </w:t>
      </w:r>
      <w:r>
        <w:rPr>
          <w:rFonts w:hint="eastAsia"/>
          <w:color w:val="auto"/>
          <w:highlight w:val="none"/>
        </w:rPr>
        <w:t xml:space="preserve">  </w:t>
      </w:r>
      <w:r>
        <w:rPr>
          <w:color w:val="auto"/>
          <w:highlight w:val="none"/>
        </w:rPr>
        <w:t xml:space="preserve">           年        月        日</w:t>
      </w:r>
    </w:p>
    <w:p w14:paraId="7CFB5E89">
      <w:pPr>
        <w:pStyle w:val="229"/>
        <w:rPr>
          <w:color w:val="auto"/>
          <w:highlight w:val="none"/>
        </w:rPr>
      </w:pPr>
    </w:p>
    <w:p w14:paraId="5266B131">
      <w:pPr>
        <w:pStyle w:val="229"/>
        <w:rPr>
          <w:color w:val="auto"/>
          <w:highlight w:val="none"/>
        </w:rPr>
      </w:pPr>
    </w:p>
    <w:p w14:paraId="48A895B8">
      <w:pPr>
        <w:pStyle w:val="229"/>
        <w:rPr>
          <w:color w:val="auto"/>
          <w:highlight w:val="none"/>
        </w:rPr>
      </w:pPr>
    </w:p>
    <w:p w14:paraId="0684836C">
      <w:pPr>
        <w:pStyle w:val="229"/>
        <w:rPr>
          <w:color w:val="auto"/>
          <w:highlight w:val="none"/>
        </w:rPr>
      </w:pPr>
    </w:p>
    <w:p w14:paraId="24B275F7">
      <w:pPr>
        <w:pStyle w:val="229"/>
        <w:rPr>
          <w:color w:val="auto"/>
          <w:highlight w:val="none"/>
        </w:rPr>
      </w:pPr>
    </w:p>
    <w:p w14:paraId="6D645341">
      <w:pPr>
        <w:pStyle w:val="229"/>
        <w:rPr>
          <w:color w:val="auto"/>
          <w:highlight w:val="none"/>
        </w:rPr>
      </w:pPr>
    </w:p>
    <w:p w14:paraId="3CDACC3D">
      <w:pPr>
        <w:pStyle w:val="229"/>
        <w:rPr>
          <w:color w:val="auto"/>
          <w:highlight w:val="none"/>
        </w:rPr>
      </w:pPr>
    </w:p>
    <w:p w14:paraId="30DA2218">
      <w:pPr>
        <w:pStyle w:val="229"/>
        <w:rPr>
          <w:color w:val="auto"/>
          <w:highlight w:val="none"/>
        </w:rPr>
      </w:pPr>
    </w:p>
    <w:p w14:paraId="3B5AB5B5">
      <w:pPr>
        <w:pStyle w:val="229"/>
        <w:rPr>
          <w:color w:val="auto"/>
          <w:highlight w:val="none"/>
        </w:rPr>
      </w:pPr>
    </w:p>
    <w:p w14:paraId="21F9A311">
      <w:pPr>
        <w:pStyle w:val="229"/>
        <w:rPr>
          <w:color w:val="auto"/>
          <w:highlight w:val="none"/>
        </w:rPr>
      </w:pPr>
      <w:r>
        <w:rPr>
          <w:color w:val="auto"/>
          <w:highlight w:val="none"/>
        </w:rPr>
        <w:t>附件</w:t>
      </w:r>
      <w:r>
        <w:rPr>
          <w:rFonts w:hint="eastAsia"/>
          <w:color w:val="auto"/>
          <w:highlight w:val="none"/>
        </w:rPr>
        <w:t>10</w:t>
      </w:r>
      <w:r>
        <w:rPr>
          <w:color w:val="auto"/>
          <w:highlight w:val="none"/>
        </w:rPr>
        <w:t>：</w:t>
      </w:r>
    </w:p>
    <w:p w14:paraId="00F19381">
      <w:pPr>
        <w:pStyle w:val="229"/>
        <w:rPr>
          <w:color w:val="auto"/>
          <w:highlight w:val="none"/>
        </w:rPr>
      </w:pPr>
    </w:p>
    <w:p w14:paraId="4EB4648C">
      <w:pPr>
        <w:pStyle w:val="229"/>
        <w:ind w:firstLine="482"/>
        <w:jc w:val="center"/>
        <w:rPr>
          <w:b/>
          <w:bCs/>
          <w:color w:val="auto"/>
          <w:sz w:val="24"/>
          <w:szCs w:val="24"/>
          <w:highlight w:val="none"/>
        </w:rPr>
      </w:pPr>
      <w:r>
        <w:rPr>
          <w:rFonts w:hint="eastAsia"/>
          <w:b/>
          <w:bCs/>
          <w:color w:val="auto"/>
          <w:sz w:val="24"/>
          <w:szCs w:val="24"/>
          <w:highlight w:val="none"/>
        </w:rPr>
        <w:t>履约保函</w:t>
      </w:r>
    </w:p>
    <w:p w14:paraId="798240E6">
      <w:pPr>
        <w:pStyle w:val="229"/>
        <w:ind w:firstLine="482"/>
        <w:jc w:val="center"/>
        <w:rPr>
          <w:b/>
          <w:bCs/>
          <w:color w:val="auto"/>
          <w:sz w:val="24"/>
          <w:szCs w:val="24"/>
          <w:highlight w:val="none"/>
        </w:rPr>
      </w:pPr>
      <w:r>
        <w:rPr>
          <w:rFonts w:hint="eastAsia"/>
          <w:b/>
          <w:bCs/>
          <w:color w:val="auto"/>
          <w:sz w:val="24"/>
          <w:szCs w:val="24"/>
          <w:highlight w:val="none"/>
        </w:rPr>
        <w:t>（独立保函）</w:t>
      </w:r>
    </w:p>
    <w:p w14:paraId="1500AE65">
      <w:pPr>
        <w:pStyle w:val="229"/>
        <w:rPr>
          <w:color w:val="auto"/>
          <w:highlight w:val="none"/>
        </w:rPr>
      </w:pPr>
      <w:r>
        <w:rPr>
          <w:rFonts w:hint="eastAsia"/>
          <w:color w:val="auto"/>
          <w:highlight w:val="none"/>
        </w:rPr>
        <w:t xml:space="preserve">编号：           </w:t>
      </w:r>
    </w:p>
    <w:p w14:paraId="562F0F77">
      <w:pPr>
        <w:pStyle w:val="229"/>
        <w:rPr>
          <w:color w:val="auto"/>
          <w:highlight w:val="none"/>
        </w:rPr>
      </w:pPr>
      <w:r>
        <w:rPr>
          <w:rFonts w:hint="eastAsia"/>
          <w:color w:val="auto"/>
          <w:highlight w:val="none"/>
        </w:rPr>
        <w:t>申请人：</w:t>
      </w:r>
    </w:p>
    <w:p w14:paraId="6671199A">
      <w:pPr>
        <w:pStyle w:val="229"/>
        <w:rPr>
          <w:color w:val="auto"/>
          <w:highlight w:val="none"/>
        </w:rPr>
      </w:pPr>
      <w:r>
        <w:rPr>
          <w:rFonts w:hint="eastAsia"/>
          <w:color w:val="auto"/>
          <w:highlight w:val="none"/>
        </w:rPr>
        <w:t xml:space="preserve">  地址：</w:t>
      </w:r>
    </w:p>
    <w:p w14:paraId="1BF00CD4">
      <w:pPr>
        <w:pStyle w:val="229"/>
        <w:rPr>
          <w:color w:val="auto"/>
          <w:highlight w:val="none"/>
        </w:rPr>
      </w:pPr>
      <w:r>
        <w:rPr>
          <w:rFonts w:hint="eastAsia"/>
          <w:color w:val="auto"/>
          <w:highlight w:val="none"/>
        </w:rPr>
        <w:t>受益人：</w:t>
      </w:r>
    </w:p>
    <w:p w14:paraId="6328D95C">
      <w:pPr>
        <w:pStyle w:val="229"/>
        <w:rPr>
          <w:color w:val="auto"/>
          <w:highlight w:val="none"/>
        </w:rPr>
      </w:pPr>
      <w:r>
        <w:rPr>
          <w:rFonts w:hint="eastAsia"/>
          <w:color w:val="auto"/>
          <w:highlight w:val="none"/>
        </w:rPr>
        <w:t xml:space="preserve">  地址：</w:t>
      </w:r>
    </w:p>
    <w:p w14:paraId="31278F0A">
      <w:pPr>
        <w:pStyle w:val="229"/>
        <w:rPr>
          <w:color w:val="auto"/>
          <w:highlight w:val="none"/>
        </w:rPr>
      </w:pPr>
      <w:r>
        <w:rPr>
          <w:rFonts w:hint="eastAsia"/>
          <w:color w:val="auto"/>
          <w:highlight w:val="none"/>
        </w:rPr>
        <w:t>开立人：</w:t>
      </w:r>
    </w:p>
    <w:p w14:paraId="55A74CB2">
      <w:pPr>
        <w:pStyle w:val="229"/>
        <w:rPr>
          <w:color w:val="auto"/>
          <w:highlight w:val="none"/>
        </w:rPr>
      </w:pPr>
      <w:r>
        <w:rPr>
          <w:rFonts w:hint="eastAsia"/>
          <w:color w:val="auto"/>
          <w:highlight w:val="none"/>
        </w:rPr>
        <w:t xml:space="preserve">  地址：</w:t>
      </w:r>
    </w:p>
    <w:p w14:paraId="0E362F3F">
      <w:pPr>
        <w:pStyle w:val="229"/>
        <w:rPr>
          <w:color w:val="auto"/>
          <w:highlight w:val="none"/>
        </w:rPr>
      </w:pPr>
      <w:r>
        <w:rPr>
          <w:rFonts w:hint="eastAsia"/>
          <w:color w:val="auto"/>
          <w:highlight w:val="none"/>
        </w:rPr>
        <w:t xml:space="preserve"> </w:t>
      </w:r>
    </w:p>
    <w:p w14:paraId="4FBF2A8D">
      <w:pPr>
        <w:pStyle w:val="229"/>
        <w:rPr>
          <w:color w:val="auto"/>
          <w:highlight w:val="none"/>
        </w:rPr>
      </w:pPr>
      <w:r>
        <w:rPr>
          <w:rFonts w:hint="eastAsia"/>
          <w:color w:val="auto"/>
          <w:highlight w:val="none"/>
        </w:rPr>
        <w:t xml:space="preserve">              （受益人名称）： </w:t>
      </w:r>
    </w:p>
    <w:p w14:paraId="73D03292">
      <w:pPr>
        <w:pStyle w:val="229"/>
        <w:rPr>
          <w:color w:val="auto"/>
          <w:highlight w:val="none"/>
        </w:rPr>
      </w:pPr>
      <w:r>
        <w:rPr>
          <w:rFonts w:hint="eastAsia"/>
          <w:color w:val="auto"/>
          <w:highlight w:val="none"/>
        </w:rPr>
        <w:t>鉴于</w:t>
      </w:r>
      <w:r>
        <w:rPr>
          <w:rFonts w:hint="eastAsia"/>
          <w:color w:val="auto"/>
          <w:highlight w:val="none"/>
          <w:u w:val="single"/>
        </w:rPr>
        <w:t xml:space="preserve">        </w:t>
      </w:r>
      <w:r>
        <w:rPr>
          <w:rFonts w:hint="eastAsia"/>
          <w:color w:val="auto"/>
          <w:highlight w:val="none"/>
        </w:rPr>
        <w:t>（以下简称“受益人”）与</w:t>
      </w:r>
      <w:r>
        <w:rPr>
          <w:rFonts w:hint="eastAsia"/>
          <w:color w:val="auto"/>
          <w:highlight w:val="none"/>
          <w:u w:val="single"/>
        </w:rPr>
        <w:t xml:space="preserve">         </w:t>
      </w:r>
      <w:r>
        <w:rPr>
          <w:rFonts w:hint="eastAsia"/>
          <w:color w:val="auto"/>
          <w:highlight w:val="none"/>
        </w:rPr>
        <w:t>（以下简称“申请人”）于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日就</w:t>
      </w:r>
      <w:r>
        <w:rPr>
          <w:rFonts w:hint="eastAsia"/>
          <w:color w:val="auto"/>
          <w:highlight w:val="none"/>
          <w:u w:val="single"/>
        </w:rPr>
        <w:t xml:space="preserve">           </w:t>
      </w:r>
      <w:r>
        <w:rPr>
          <w:rFonts w:hint="eastAsia"/>
          <w:color w:val="auto"/>
          <w:highlight w:val="none"/>
        </w:rPr>
        <w:t>工程（以下简称“本工程”）施工和有关事项协商一致共同签订</w:t>
      </w:r>
      <w:r>
        <w:rPr>
          <w:rFonts w:hint="eastAsia"/>
          <w:color w:val="auto"/>
          <w:highlight w:val="none"/>
          <w:u w:val="single"/>
        </w:rPr>
        <w:t>《        》</w:t>
      </w:r>
      <w:r>
        <w:rPr>
          <w:rFonts w:hint="eastAsia"/>
          <w:color w:val="auto"/>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1530F298">
      <w:pPr>
        <w:pStyle w:val="229"/>
        <w:rPr>
          <w:color w:val="auto"/>
          <w:highlight w:val="none"/>
        </w:rPr>
      </w:pPr>
      <w:r>
        <w:rPr>
          <w:rFonts w:hint="eastAsia"/>
          <w:color w:val="auto"/>
          <w:highlight w:val="none"/>
        </w:rPr>
        <w:t>一、本保函担保范围：承包人未按照基础合同的约定履行义务，应当向贵方</w:t>
      </w:r>
      <w:r>
        <w:rPr>
          <w:rFonts w:hint="eastAsia"/>
          <w:color w:val="auto"/>
          <w:highlight w:val="none"/>
          <w:lang w:eastAsia="zh-CN"/>
        </w:rPr>
        <w:t>承担</w:t>
      </w:r>
      <w:r>
        <w:rPr>
          <w:rFonts w:hint="eastAsia"/>
          <w:color w:val="auto"/>
          <w:highlight w:val="none"/>
        </w:rPr>
        <w:t>违约责任和赔偿因此造成的损失、利息、律师费、诉讼费用等实现债权的费用。</w:t>
      </w:r>
    </w:p>
    <w:p w14:paraId="11D765E6">
      <w:pPr>
        <w:pStyle w:val="229"/>
        <w:rPr>
          <w:color w:val="auto"/>
          <w:highlight w:val="none"/>
        </w:rPr>
      </w:pPr>
      <w:r>
        <w:rPr>
          <w:rFonts w:hint="eastAsia"/>
          <w:color w:val="auto"/>
          <w:highlight w:val="none"/>
        </w:rPr>
        <w:t>二、本保函担保金额最高不超过人民币（大写）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 xml:space="preserve">）。 </w:t>
      </w:r>
    </w:p>
    <w:p w14:paraId="0F6CD045">
      <w:pPr>
        <w:pStyle w:val="229"/>
        <w:rPr>
          <w:color w:val="auto"/>
          <w:highlight w:val="none"/>
        </w:rPr>
      </w:pPr>
      <w:r>
        <w:rPr>
          <w:rFonts w:hint="eastAsia"/>
          <w:color w:val="auto"/>
          <w:highlight w:val="none"/>
        </w:rPr>
        <w:t>三、本保函有效期自开立之日起至基础合同约定的缺陷责任期后</w:t>
      </w:r>
      <w:r>
        <w:rPr>
          <w:rFonts w:hint="eastAsia"/>
          <w:color w:val="auto"/>
          <w:highlight w:val="none"/>
          <w:u w:val="single"/>
        </w:rPr>
        <w:t xml:space="preserve">   </w:t>
      </w:r>
      <w:r>
        <w:rPr>
          <w:rFonts w:hint="eastAsia"/>
          <w:color w:val="auto"/>
          <w:highlight w:val="none"/>
        </w:rPr>
        <w:t>日止，最迟不超过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5C7EA4E1">
      <w:pPr>
        <w:pStyle w:val="229"/>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w:t>
      </w:r>
      <w:r>
        <w:rPr>
          <w:rFonts w:hint="eastAsia"/>
          <w:color w:val="auto"/>
          <w:highlight w:val="none"/>
        </w:rPr>
        <w:t>日内无条件支付，前述书面付款通知即为付款要求之单据，且应满足以下要求：</w:t>
      </w:r>
    </w:p>
    <w:p w14:paraId="01884653">
      <w:pPr>
        <w:pStyle w:val="229"/>
        <w:rPr>
          <w:color w:val="auto"/>
          <w:highlight w:val="none"/>
        </w:rPr>
      </w:pPr>
      <w:r>
        <w:rPr>
          <w:rFonts w:hint="eastAsia"/>
          <w:color w:val="auto"/>
          <w:highlight w:val="none"/>
        </w:rPr>
        <w:t>（1）付款通知到达的日期在本保函的有效期内；</w:t>
      </w:r>
    </w:p>
    <w:p w14:paraId="63FE97EC">
      <w:pPr>
        <w:pStyle w:val="229"/>
        <w:rPr>
          <w:color w:val="auto"/>
          <w:highlight w:val="none"/>
        </w:rPr>
      </w:pPr>
      <w:r>
        <w:rPr>
          <w:rFonts w:hint="eastAsia"/>
          <w:color w:val="auto"/>
          <w:highlight w:val="none"/>
        </w:rPr>
        <w:t>（2）载明要求支付的金额；</w:t>
      </w:r>
    </w:p>
    <w:p w14:paraId="3917144C">
      <w:pPr>
        <w:pStyle w:val="229"/>
        <w:rPr>
          <w:color w:val="auto"/>
          <w:highlight w:val="none"/>
        </w:rPr>
      </w:pPr>
      <w:r>
        <w:rPr>
          <w:rFonts w:hint="eastAsia"/>
          <w:color w:val="auto"/>
          <w:highlight w:val="none"/>
        </w:rPr>
        <w:t>（3）载明申请人违反合同义务的条款和内容；</w:t>
      </w:r>
    </w:p>
    <w:p w14:paraId="45728B90">
      <w:pPr>
        <w:pStyle w:val="229"/>
        <w:rPr>
          <w:color w:val="auto"/>
          <w:highlight w:val="none"/>
        </w:rPr>
      </w:pPr>
      <w:r>
        <w:rPr>
          <w:rFonts w:hint="eastAsia"/>
          <w:color w:val="auto"/>
          <w:highlight w:val="none"/>
        </w:rPr>
        <w:t>（4）声明不存在合同文件约定或我国法律规定免除申请人或开立人支付责任的情形；</w:t>
      </w:r>
    </w:p>
    <w:p w14:paraId="5660F8FD">
      <w:pPr>
        <w:pStyle w:val="229"/>
        <w:rPr>
          <w:color w:val="auto"/>
          <w:highlight w:val="none"/>
        </w:rPr>
      </w:pPr>
      <w:r>
        <w:rPr>
          <w:rFonts w:hint="eastAsia"/>
          <w:color w:val="auto"/>
          <w:highlight w:val="none"/>
        </w:rPr>
        <w:t>（5）付款通知应在本保函有效期内到达的地址是：</w:t>
      </w:r>
      <w:r>
        <w:rPr>
          <w:rFonts w:hint="eastAsia"/>
          <w:color w:val="auto"/>
          <w:highlight w:val="none"/>
          <w:u w:val="single"/>
        </w:rPr>
        <w:t xml:space="preserve">             </w:t>
      </w:r>
      <w:r>
        <w:rPr>
          <w:rFonts w:hint="eastAsia"/>
          <w:color w:val="auto"/>
          <w:highlight w:val="none"/>
        </w:rPr>
        <w:t>。</w:t>
      </w:r>
    </w:p>
    <w:p w14:paraId="613CEE68">
      <w:pPr>
        <w:pStyle w:val="229"/>
        <w:rPr>
          <w:color w:val="auto"/>
          <w:highlight w:val="none"/>
        </w:rPr>
      </w:pPr>
      <w:r>
        <w:rPr>
          <w:rFonts w:hint="eastAsia"/>
          <w:color w:val="auto"/>
          <w:highlight w:val="none"/>
        </w:rPr>
        <w:t>受益人发出的书面付款通知应由其为鉴明受益人的法定代表人（负责人）或授权代理人签字并加盖公章。</w:t>
      </w:r>
    </w:p>
    <w:p w14:paraId="7992E637">
      <w:pPr>
        <w:pStyle w:val="229"/>
        <w:rPr>
          <w:color w:val="auto"/>
          <w:highlight w:val="none"/>
        </w:rPr>
      </w:pPr>
      <w:r>
        <w:rPr>
          <w:rFonts w:hint="eastAsia"/>
          <w:color w:val="auto"/>
          <w:highlight w:val="none"/>
        </w:rPr>
        <w:t xml:space="preserve">五、本保函项下的权利不得转让，不得设定担保。贵方未经我方书面同意转 让本保函或其项下任何权利，对我方不发生法律效力。 </w:t>
      </w:r>
    </w:p>
    <w:p w14:paraId="1396D567">
      <w:pPr>
        <w:pStyle w:val="229"/>
        <w:rPr>
          <w:color w:val="auto"/>
          <w:highlight w:val="none"/>
        </w:rPr>
      </w:pPr>
      <w:r>
        <w:rPr>
          <w:rFonts w:hint="eastAsia"/>
          <w:color w:val="auto"/>
          <w:highlight w:val="none"/>
        </w:rPr>
        <w:t xml:space="preserve">六、与本保函有关的基础合同不成立、不生效、无效、被撤销、被解除，不影响本保函的独立有效。 </w:t>
      </w:r>
    </w:p>
    <w:p w14:paraId="1C8588FE">
      <w:pPr>
        <w:pStyle w:val="229"/>
        <w:rPr>
          <w:color w:val="auto"/>
          <w:highlight w:val="none"/>
        </w:rPr>
      </w:pPr>
      <w:r>
        <w:rPr>
          <w:rFonts w:hint="eastAsia"/>
          <w:color w:val="auto"/>
          <w:highlight w:val="none"/>
        </w:rPr>
        <w:t>七、贵方应在本保函到期后的七日内将本保函正本退回我方注销，</w:t>
      </w:r>
      <w:r>
        <w:rPr>
          <w:rFonts w:hint="eastAsia"/>
          <w:color w:val="auto"/>
          <w:highlight w:val="none"/>
          <w:lang w:eastAsia="zh-CN"/>
        </w:rPr>
        <w:t>但</w:t>
      </w:r>
      <w:r>
        <w:rPr>
          <w:rFonts w:hint="eastAsia"/>
          <w:color w:val="auto"/>
          <w:highlight w:val="none"/>
        </w:rPr>
        <w:t xml:space="preserve">不论贵方是否按此要求将本保函正本退回我方，我方在本保函项下的义务和责任均在保函有效期到期后自动消灭。 </w:t>
      </w:r>
    </w:p>
    <w:p w14:paraId="49E53112">
      <w:pPr>
        <w:pStyle w:val="229"/>
        <w:rPr>
          <w:color w:val="auto"/>
          <w:highlight w:val="none"/>
        </w:rPr>
      </w:pPr>
      <w:r>
        <w:rPr>
          <w:rFonts w:hint="eastAsia"/>
          <w:color w:val="auto"/>
          <w:highlight w:val="none"/>
        </w:rPr>
        <w:t>八、本保函适用的法律为中华人民共和国法律，争议裁判管辖地为中华人民共和国</w:t>
      </w:r>
      <w:r>
        <w:rPr>
          <w:rFonts w:hint="eastAsia"/>
          <w:color w:val="auto"/>
          <w:highlight w:val="none"/>
          <w:u w:val="single"/>
        </w:rPr>
        <w:t xml:space="preserve">     </w:t>
      </w:r>
      <w:r>
        <w:rPr>
          <w:rFonts w:hint="eastAsia"/>
          <w:color w:val="auto"/>
          <w:highlight w:val="none"/>
        </w:rPr>
        <w:t xml:space="preserve">。 </w:t>
      </w:r>
    </w:p>
    <w:p w14:paraId="78984D3D">
      <w:pPr>
        <w:pStyle w:val="229"/>
        <w:rPr>
          <w:color w:val="auto"/>
          <w:highlight w:val="none"/>
        </w:rPr>
      </w:pPr>
      <w:r>
        <w:rPr>
          <w:rFonts w:hint="eastAsia"/>
          <w:color w:val="auto"/>
          <w:highlight w:val="none"/>
        </w:rPr>
        <w:t xml:space="preserve">九、本保函自我方法定代表人或授权代表签字并加盖公章之日起生效。 </w:t>
      </w:r>
    </w:p>
    <w:p w14:paraId="05D804DD">
      <w:pPr>
        <w:pStyle w:val="229"/>
        <w:rPr>
          <w:color w:val="auto"/>
          <w:highlight w:val="none"/>
        </w:rPr>
      </w:pPr>
      <w:r>
        <w:rPr>
          <w:rFonts w:hint="eastAsia"/>
          <w:color w:val="auto"/>
          <w:highlight w:val="none"/>
        </w:rPr>
        <w:t xml:space="preserve">开 立 人：                              （公章） </w:t>
      </w:r>
    </w:p>
    <w:p w14:paraId="4B3F54BF">
      <w:pPr>
        <w:pStyle w:val="229"/>
        <w:rPr>
          <w:color w:val="auto"/>
          <w:highlight w:val="none"/>
        </w:rPr>
      </w:pPr>
      <w:r>
        <w:rPr>
          <w:rFonts w:hint="eastAsia"/>
          <w:color w:val="auto"/>
          <w:highlight w:val="none"/>
        </w:rPr>
        <w:t xml:space="preserve">法定代表人（或授权代表）：               （签字） </w:t>
      </w:r>
    </w:p>
    <w:p w14:paraId="57A301A5">
      <w:pPr>
        <w:pStyle w:val="229"/>
        <w:rPr>
          <w:color w:val="auto"/>
          <w:highlight w:val="none"/>
        </w:rPr>
      </w:pPr>
      <w:r>
        <w:rPr>
          <w:rFonts w:hint="eastAsia"/>
          <w:color w:val="auto"/>
          <w:highlight w:val="none"/>
        </w:rPr>
        <w:t xml:space="preserve">地    址：                                       </w:t>
      </w:r>
    </w:p>
    <w:p w14:paraId="2383041D">
      <w:pPr>
        <w:pStyle w:val="229"/>
        <w:rPr>
          <w:color w:val="auto"/>
          <w:highlight w:val="none"/>
        </w:rPr>
      </w:pPr>
      <w:r>
        <w:rPr>
          <w:rFonts w:hint="eastAsia"/>
          <w:color w:val="auto"/>
          <w:highlight w:val="none"/>
        </w:rPr>
        <w:t xml:space="preserve">邮政编码：                 </w:t>
      </w:r>
    </w:p>
    <w:p w14:paraId="744198F6">
      <w:pPr>
        <w:pStyle w:val="229"/>
        <w:rPr>
          <w:color w:val="auto"/>
          <w:highlight w:val="none"/>
        </w:rPr>
      </w:pPr>
      <w:r>
        <w:rPr>
          <w:rFonts w:hint="eastAsia"/>
          <w:color w:val="auto"/>
          <w:highlight w:val="none"/>
        </w:rPr>
        <w:t xml:space="preserve">电    话：                 </w:t>
      </w:r>
    </w:p>
    <w:p w14:paraId="1395F9B3">
      <w:pPr>
        <w:pStyle w:val="229"/>
        <w:rPr>
          <w:color w:val="auto"/>
          <w:highlight w:val="none"/>
        </w:rPr>
      </w:pPr>
      <w:r>
        <w:rPr>
          <w:rFonts w:hint="eastAsia"/>
          <w:color w:val="auto"/>
          <w:highlight w:val="none"/>
        </w:rPr>
        <w:t xml:space="preserve">传    真：                 </w:t>
      </w:r>
    </w:p>
    <w:p w14:paraId="7B9903E4">
      <w:pPr>
        <w:pStyle w:val="229"/>
        <w:rPr>
          <w:color w:val="auto"/>
          <w:highlight w:val="none"/>
        </w:rPr>
      </w:pPr>
      <w:r>
        <w:rPr>
          <w:rFonts w:hint="eastAsia"/>
          <w:color w:val="auto"/>
          <w:highlight w:val="none"/>
        </w:rPr>
        <w:t xml:space="preserve">开立时间：      年      月    </w:t>
      </w:r>
    </w:p>
    <w:p w14:paraId="3837470D">
      <w:pPr>
        <w:pStyle w:val="229"/>
        <w:rPr>
          <w:color w:val="auto"/>
          <w:highlight w:val="none"/>
        </w:rPr>
      </w:pPr>
    </w:p>
    <w:p w14:paraId="3BAD9610">
      <w:pPr>
        <w:pStyle w:val="229"/>
        <w:rPr>
          <w:color w:val="auto"/>
          <w:highlight w:val="none"/>
        </w:rPr>
      </w:pPr>
    </w:p>
    <w:p w14:paraId="0D62C393">
      <w:pPr>
        <w:pStyle w:val="229"/>
        <w:rPr>
          <w:color w:val="auto"/>
          <w:highlight w:val="none"/>
        </w:rPr>
      </w:pPr>
    </w:p>
    <w:p w14:paraId="20F59720">
      <w:pPr>
        <w:pStyle w:val="229"/>
        <w:rPr>
          <w:color w:val="auto"/>
          <w:highlight w:val="none"/>
        </w:rPr>
      </w:pPr>
    </w:p>
    <w:p w14:paraId="08B36D5C">
      <w:pPr>
        <w:pStyle w:val="229"/>
        <w:rPr>
          <w:color w:val="auto"/>
          <w:highlight w:val="none"/>
        </w:rPr>
      </w:pPr>
    </w:p>
    <w:p w14:paraId="667727E1">
      <w:pPr>
        <w:pStyle w:val="229"/>
        <w:rPr>
          <w:color w:val="auto"/>
          <w:highlight w:val="none"/>
        </w:rPr>
      </w:pPr>
    </w:p>
    <w:p w14:paraId="0441CB31">
      <w:pPr>
        <w:pStyle w:val="229"/>
        <w:rPr>
          <w:color w:val="auto"/>
          <w:highlight w:val="none"/>
        </w:rPr>
      </w:pPr>
    </w:p>
    <w:p w14:paraId="6B1CD237">
      <w:pPr>
        <w:pStyle w:val="229"/>
        <w:rPr>
          <w:color w:val="auto"/>
          <w:highlight w:val="none"/>
        </w:rPr>
      </w:pPr>
    </w:p>
    <w:p w14:paraId="4BB989C2">
      <w:pPr>
        <w:pStyle w:val="229"/>
        <w:rPr>
          <w:color w:val="auto"/>
          <w:highlight w:val="none"/>
        </w:rPr>
      </w:pPr>
    </w:p>
    <w:p w14:paraId="27E6A208">
      <w:pPr>
        <w:pStyle w:val="229"/>
        <w:rPr>
          <w:color w:val="auto"/>
          <w:highlight w:val="none"/>
        </w:rPr>
      </w:pPr>
    </w:p>
    <w:p w14:paraId="55E2DC7B">
      <w:pPr>
        <w:pStyle w:val="229"/>
        <w:rPr>
          <w:color w:val="auto"/>
          <w:highlight w:val="none"/>
        </w:rPr>
      </w:pPr>
    </w:p>
    <w:p w14:paraId="7B3130C6">
      <w:pPr>
        <w:pStyle w:val="229"/>
        <w:rPr>
          <w:color w:val="auto"/>
          <w:highlight w:val="none"/>
        </w:rPr>
      </w:pPr>
    </w:p>
    <w:p w14:paraId="292910D2">
      <w:pPr>
        <w:pStyle w:val="229"/>
        <w:rPr>
          <w:color w:val="auto"/>
          <w:highlight w:val="none"/>
        </w:rPr>
      </w:pPr>
    </w:p>
    <w:p w14:paraId="2777098E">
      <w:pPr>
        <w:pStyle w:val="229"/>
        <w:rPr>
          <w:color w:val="auto"/>
          <w:highlight w:val="none"/>
        </w:rPr>
      </w:pPr>
    </w:p>
    <w:p w14:paraId="1CB64815">
      <w:pPr>
        <w:pStyle w:val="229"/>
        <w:rPr>
          <w:color w:val="auto"/>
          <w:highlight w:val="none"/>
        </w:rPr>
      </w:pPr>
    </w:p>
    <w:p w14:paraId="17F809A6">
      <w:pPr>
        <w:pStyle w:val="229"/>
        <w:rPr>
          <w:color w:val="auto"/>
          <w:highlight w:val="none"/>
        </w:rPr>
      </w:pPr>
    </w:p>
    <w:p w14:paraId="2196EBBD">
      <w:pPr>
        <w:pStyle w:val="229"/>
        <w:rPr>
          <w:color w:val="auto"/>
          <w:highlight w:val="none"/>
        </w:rPr>
      </w:pPr>
    </w:p>
    <w:p w14:paraId="35DE819C">
      <w:pPr>
        <w:pStyle w:val="229"/>
        <w:rPr>
          <w:color w:val="auto"/>
          <w:highlight w:val="none"/>
        </w:rPr>
      </w:pPr>
    </w:p>
    <w:p w14:paraId="341F103E">
      <w:pPr>
        <w:pStyle w:val="229"/>
        <w:rPr>
          <w:color w:val="auto"/>
          <w:highlight w:val="none"/>
        </w:rPr>
      </w:pPr>
    </w:p>
    <w:p w14:paraId="26BEFACF">
      <w:pPr>
        <w:pStyle w:val="229"/>
        <w:rPr>
          <w:color w:val="auto"/>
          <w:highlight w:val="none"/>
        </w:rPr>
      </w:pPr>
    </w:p>
    <w:p w14:paraId="07A89A57">
      <w:pPr>
        <w:pStyle w:val="229"/>
        <w:rPr>
          <w:color w:val="auto"/>
          <w:highlight w:val="none"/>
        </w:rPr>
      </w:pPr>
    </w:p>
    <w:p w14:paraId="6A35A57D">
      <w:pPr>
        <w:pStyle w:val="229"/>
        <w:rPr>
          <w:color w:val="auto"/>
          <w:highlight w:val="none"/>
        </w:rPr>
      </w:pPr>
    </w:p>
    <w:p w14:paraId="271A9ADB">
      <w:pPr>
        <w:pStyle w:val="229"/>
        <w:rPr>
          <w:color w:val="auto"/>
          <w:highlight w:val="none"/>
        </w:rPr>
      </w:pPr>
    </w:p>
    <w:p w14:paraId="42B3935B">
      <w:pPr>
        <w:pStyle w:val="229"/>
        <w:rPr>
          <w:color w:val="auto"/>
          <w:highlight w:val="none"/>
        </w:rPr>
      </w:pPr>
    </w:p>
    <w:p w14:paraId="7E28F50D">
      <w:pPr>
        <w:pStyle w:val="229"/>
        <w:rPr>
          <w:color w:val="auto"/>
          <w:highlight w:val="none"/>
        </w:rPr>
      </w:pPr>
      <w:r>
        <w:rPr>
          <w:color w:val="auto"/>
          <w:highlight w:val="none"/>
        </w:rPr>
        <w:t>附</w:t>
      </w:r>
      <w:bookmarkStart w:id="409" w:name="_Toc296503232"/>
      <w:bookmarkStart w:id="410" w:name="_Toc296944571"/>
      <w:bookmarkStart w:id="411" w:name="_Toc267261702"/>
      <w:bookmarkStart w:id="412" w:name="_Toc296346733"/>
      <w:bookmarkStart w:id="413" w:name="_Toc296891060"/>
      <w:bookmarkStart w:id="414" w:name="_Toc296347231"/>
      <w:bookmarkStart w:id="415" w:name="_Toc296891272"/>
      <w:r>
        <w:rPr>
          <w:color w:val="auto"/>
          <w:highlight w:val="none"/>
        </w:rPr>
        <w:t>件</w:t>
      </w:r>
      <w:r>
        <w:rPr>
          <w:rFonts w:hint="eastAsia"/>
          <w:color w:val="auto"/>
          <w:highlight w:val="none"/>
        </w:rPr>
        <w:t>11</w:t>
      </w:r>
      <w:r>
        <w:rPr>
          <w:color w:val="auto"/>
          <w:highlight w:val="none"/>
        </w:rPr>
        <w:t xml:space="preserve"> ：</w:t>
      </w:r>
    </w:p>
    <w:bookmarkEnd w:id="409"/>
    <w:bookmarkEnd w:id="410"/>
    <w:bookmarkEnd w:id="411"/>
    <w:bookmarkEnd w:id="412"/>
    <w:bookmarkEnd w:id="413"/>
    <w:bookmarkEnd w:id="414"/>
    <w:bookmarkEnd w:id="415"/>
    <w:p w14:paraId="044E029D">
      <w:pPr>
        <w:pStyle w:val="229"/>
        <w:ind w:firstLine="562"/>
        <w:jc w:val="center"/>
        <w:rPr>
          <w:b/>
          <w:bCs/>
          <w:color w:val="auto"/>
          <w:sz w:val="28"/>
          <w:szCs w:val="28"/>
          <w:highlight w:val="none"/>
        </w:rPr>
      </w:pPr>
      <w:r>
        <w:rPr>
          <w:b/>
          <w:bCs/>
          <w:color w:val="auto"/>
          <w:sz w:val="28"/>
          <w:szCs w:val="28"/>
          <w:highlight w:val="none"/>
        </w:rPr>
        <w:t>预付款担保</w:t>
      </w:r>
    </w:p>
    <w:p w14:paraId="3FC7037F">
      <w:pPr>
        <w:pStyle w:val="229"/>
        <w:rPr>
          <w:color w:val="auto"/>
          <w:highlight w:val="none"/>
        </w:rPr>
      </w:pP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（发包人名称）：</w:t>
      </w:r>
    </w:p>
    <w:p w14:paraId="50DDFD65">
      <w:pPr>
        <w:pStyle w:val="229"/>
        <w:rPr>
          <w:color w:val="auto"/>
          <w:highlight w:val="none"/>
        </w:rPr>
      </w:pPr>
    </w:p>
    <w:p w14:paraId="6F4EF8DC">
      <w:pPr>
        <w:pStyle w:val="229"/>
        <w:rPr>
          <w:color w:val="auto"/>
          <w:highlight w:val="none"/>
        </w:rPr>
      </w:pPr>
      <w:r>
        <w:rPr>
          <w:color w:val="auto"/>
          <w:highlight w:val="none"/>
        </w:rPr>
        <w:t>根据                 （承包人名称）（以下称</w:t>
      </w:r>
      <w:r>
        <w:rPr>
          <w:rFonts w:hint="eastAsia"/>
          <w:color w:val="auto"/>
          <w:highlight w:val="none"/>
        </w:rPr>
        <w:t>“</w:t>
      </w:r>
      <w:r>
        <w:rPr>
          <w:color w:val="auto"/>
          <w:highlight w:val="none"/>
        </w:rPr>
        <w:t>承包人</w:t>
      </w:r>
      <w:r>
        <w:rPr>
          <w:rFonts w:hint="eastAsia"/>
          <w:color w:val="auto"/>
          <w:highlight w:val="none"/>
        </w:rPr>
        <w:t>”</w:t>
      </w:r>
      <w:r>
        <w:rPr>
          <w:color w:val="auto"/>
          <w:highlight w:val="none"/>
        </w:rPr>
        <w:t>）与                        （发包人名称）（以下简称</w:t>
      </w:r>
      <w:r>
        <w:rPr>
          <w:rFonts w:hint="eastAsia"/>
          <w:color w:val="auto"/>
          <w:highlight w:val="none"/>
        </w:rPr>
        <w:t>“</w:t>
      </w:r>
      <w:r>
        <w:rPr>
          <w:color w:val="auto"/>
          <w:highlight w:val="none"/>
        </w:rPr>
        <w:t>发包人</w:t>
      </w:r>
      <w:r>
        <w:rPr>
          <w:rFonts w:hint="eastAsia"/>
          <w:color w:val="auto"/>
          <w:highlight w:val="none"/>
        </w:rPr>
        <w:t>”</w:t>
      </w:r>
      <w:r>
        <w:rPr>
          <w:color w:val="auto"/>
          <w:highlight w:val="none"/>
        </w:rPr>
        <w:t>）</w:t>
      </w:r>
    </w:p>
    <w:p w14:paraId="43AE02B6">
      <w:pPr>
        <w:pStyle w:val="229"/>
        <w:rPr>
          <w:color w:val="auto"/>
          <w:highlight w:val="none"/>
        </w:rPr>
      </w:pPr>
      <w:r>
        <w:rPr>
          <w:color w:val="auto"/>
          <w:highlight w:val="none"/>
        </w:rPr>
        <w:t>于</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日签订的</w:t>
      </w:r>
      <w:r>
        <w:rPr>
          <w:color w:val="auto"/>
          <w:highlight w:val="none"/>
          <w:u w:val="single"/>
        </w:rPr>
        <w:t xml:space="preserve">                   </w:t>
      </w:r>
      <w:r>
        <w:rPr>
          <w:color w:val="auto"/>
          <w:highlight w:val="none"/>
        </w:rPr>
        <w:t>（工程名称）《建设工程施工合同》，承包人按约定的金额向</w:t>
      </w:r>
      <w:r>
        <w:rPr>
          <w:rFonts w:hint="eastAsia"/>
          <w:color w:val="auto"/>
          <w:highlight w:val="none"/>
        </w:rPr>
        <w:t>你方</w:t>
      </w:r>
      <w:r>
        <w:rPr>
          <w:color w:val="auto"/>
          <w:highlight w:val="none"/>
        </w:rPr>
        <w:t>提交一份预付款担保，即有权得到</w:t>
      </w:r>
      <w:r>
        <w:rPr>
          <w:rFonts w:hint="eastAsia"/>
          <w:color w:val="auto"/>
          <w:highlight w:val="none"/>
        </w:rPr>
        <w:t>你方</w:t>
      </w:r>
      <w:r>
        <w:rPr>
          <w:color w:val="auto"/>
          <w:highlight w:val="none"/>
        </w:rPr>
        <w:t>支付相等金额的预付款。我方愿意就你方提供给承包人的预付款</w:t>
      </w:r>
      <w:r>
        <w:rPr>
          <w:rFonts w:hint="eastAsia"/>
          <w:color w:val="auto"/>
          <w:highlight w:val="none"/>
        </w:rPr>
        <w:t>为承包人</w:t>
      </w:r>
      <w:r>
        <w:rPr>
          <w:color w:val="auto"/>
          <w:highlight w:val="none"/>
        </w:rPr>
        <w:t>提供连带责任担保。</w:t>
      </w:r>
    </w:p>
    <w:p w14:paraId="05AAE473">
      <w:pPr>
        <w:pStyle w:val="229"/>
        <w:rPr>
          <w:color w:val="auto"/>
          <w:highlight w:val="none"/>
        </w:rPr>
      </w:pPr>
      <w:r>
        <w:rPr>
          <w:rFonts w:hint="eastAsia"/>
          <w:color w:val="auto"/>
          <w:highlight w:val="none"/>
        </w:rPr>
        <w:t xml:space="preserve">1. </w:t>
      </w:r>
      <w:r>
        <w:rPr>
          <w:color w:val="auto"/>
          <w:highlight w:val="none"/>
        </w:rPr>
        <w:t>担保金额人民币（大写）</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 xml:space="preserve"> </w:t>
      </w:r>
      <w:r>
        <w:rPr>
          <w:rFonts w:hint="eastAsia"/>
          <w:color w:val="auto"/>
          <w:highlight w:val="none"/>
        </w:rPr>
        <w:t>元</w:t>
      </w:r>
      <w:r>
        <w:rPr>
          <w:color w:val="auto"/>
          <w:highlight w:val="none"/>
        </w:rPr>
        <w:t xml:space="preserve">（¥ </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 xml:space="preserve"> </w:t>
      </w:r>
      <w:r>
        <w:rPr>
          <w:color w:val="auto"/>
          <w:highlight w:val="none"/>
        </w:rPr>
        <w:t>）。</w:t>
      </w:r>
    </w:p>
    <w:p w14:paraId="080ACB93">
      <w:pPr>
        <w:pStyle w:val="229"/>
        <w:rPr>
          <w:color w:val="auto"/>
          <w:highlight w:val="none"/>
        </w:rPr>
      </w:pPr>
      <w:r>
        <w:rPr>
          <w:rFonts w:hint="eastAsia"/>
          <w:color w:val="auto"/>
          <w:highlight w:val="none"/>
        </w:rPr>
        <w:t xml:space="preserve">2. </w:t>
      </w:r>
      <w:r>
        <w:rPr>
          <w:color w:val="auto"/>
          <w:highlight w:val="none"/>
        </w:rPr>
        <w:t>担保有效期自预付款支付给承包人起生效，至</w:t>
      </w:r>
      <w:r>
        <w:rPr>
          <w:rFonts w:hint="eastAsia"/>
          <w:color w:val="auto"/>
          <w:highlight w:val="none"/>
        </w:rPr>
        <w:t>你方</w:t>
      </w:r>
      <w:r>
        <w:rPr>
          <w:color w:val="auto"/>
          <w:highlight w:val="none"/>
        </w:rPr>
        <w:t>签发的</w:t>
      </w:r>
      <w:r>
        <w:rPr>
          <w:rFonts w:hint="eastAsia"/>
          <w:color w:val="auto"/>
          <w:highlight w:val="none"/>
        </w:rPr>
        <w:t>进</w:t>
      </w:r>
      <w:r>
        <w:rPr>
          <w:color w:val="auto"/>
          <w:highlight w:val="none"/>
        </w:rPr>
        <w:t>度款支付证书说明已完全扣清止</w:t>
      </w:r>
      <w:r>
        <w:rPr>
          <w:rFonts w:hint="eastAsia"/>
          <w:color w:val="auto"/>
          <w:highlight w:val="none"/>
        </w:rPr>
        <w:t>，最迟不超过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color w:val="auto"/>
          <w:highlight w:val="none"/>
        </w:rPr>
        <w:t>。</w:t>
      </w:r>
    </w:p>
    <w:p w14:paraId="213077EF">
      <w:pPr>
        <w:pStyle w:val="229"/>
        <w:rPr>
          <w:color w:val="auto"/>
          <w:highlight w:val="none"/>
        </w:rPr>
      </w:pPr>
      <w:r>
        <w:rPr>
          <w:rFonts w:hint="eastAsia"/>
          <w:color w:val="auto"/>
          <w:highlight w:val="none"/>
        </w:rPr>
        <w:t xml:space="preserve">3. </w:t>
      </w:r>
      <w:r>
        <w:rPr>
          <w:color w:val="auto"/>
          <w:highlight w:val="none"/>
        </w:rPr>
        <w:t>在本保函有效期内，因承包人违反合同约定的义务而要求</w:t>
      </w:r>
      <w:r>
        <w:rPr>
          <w:rFonts w:hint="eastAsia"/>
          <w:color w:val="auto"/>
          <w:highlight w:val="none"/>
        </w:rPr>
        <w:t>收</w:t>
      </w:r>
      <w:r>
        <w:rPr>
          <w:color w:val="auto"/>
          <w:highlight w:val="none"/>
        </w:rPr>
        <w:t>回预付款时，我方在收到你方的书面通知后，在</w:t>
      </w:r>
      <w:r>
        <w:rPr>
          <w:rFonts w:hint="eastAsia"/>
          <w:color w:val="auto"/>
          <w:highlight w:val="none"/>
          <w:lang w:eastAsia="zh-CN"/>
        </w:rPr>
        <w:t>7</w:t>
      </w:r>
      <w:r>
        <w:rPr>
          <w:color w:val="auto"/>
          <w:highlight w:val="none"/>
        </w:rPr>
        <w:t>天内无条件支付。但本保函的担保金额，在任何时候不应超过预付款金额减去</w:t>
      </w:r>
      <w:r>
        <w:rPr>
          <w:rFonts w:hint="eastAsia"/>
          <w:color w:val="auto"/>
          <w:highlight w:val="none"/>
        </w:rPr>
        <w:t>你方</w:t>
      </w:r>
      <w:r>
        <w:rPr>
          <w:color w:val="auto"/>
          <w:highlight w:val="none"/>
        </w:rPr>
        <w:t>按合同约定在向承包人签发的进度款支付证书中扣除的金额。</w:t>
      </w:r>
    </w:p>
    <w:p w14:paraId="5B75C1C5">
      <w:pPr>
        <w:pStyle w:val="229"/>
        <w:rPr>
          <w:color w:val="auto"/>
          <w:highlight w:val="none"/>
        </w:rPr>
      </w:pPr>
      <w:r>
        <w:rPr>
          <w:rFonts w:hint="eastAsia"/>
          <w:color w:val="auto"/>
          <w:highlight w:val="none"/>
        </w:rPr>
        <w:t>4. 你方</w:t>
      </w:r>
      <w:r>
        <w:rPr>
          <w:color w:val="auto"/>
          <w:highlight w:val="none"/>
        </w:rPr>
        <w:t>和承包人按合同约定变更合同时，我方承担本保函规定的义务不变。</w:t>
      </w:r>
    </w:p>
    <w:p w14:paraId="4F979A60">
      <w:pPr>
        <w:pStyle w:val="229"/>
        <w:rPr>
          <w:color w:val="auto"/>
          <w:highlight w:val="none"/>
        </w:rPr>
      </w:pPr>
      <w:r>
        <w:rPr>
          <w:rFonts w:hint="eastAsia"/>
          <w:color w:val="auto"/>
          <w:highlight w:val="none"/>
        </w:rPr>
        <w:t xml:space="preserve">5. </w:t>
      </w:r>
      <w:r>
        <w:rPr>
          <w:color w:val="auto"/>
          <w:highlight w:val="none"/>
        </w:rPr>
        <w:t>因本保函发生的纠纷，可由双方协商解决，协商不成的，任何一方均可提请</w:t>
      </w:r>
      <w:r>
        <w:rPr>
          <w:color w:val="auto"/>
          <w:highlight w:val="none"/>
          <w:u w:val="single"/>
        </w:rPr>
        <w:t xml:space="preserve">        </w:t>
      </w:r>
      <w:r>
        <w:rPr>
          <w:color w:val="auto"/>
          <w:highlight w:val="none"/>
        </w:rPr>
        <w:t>仲裁委员会仲裁。</w:t>
      </w:r>
    </w:p>
    <w:p w14:paraId="060A3FBA">
      <w:pPr>
        <w:pStyle w:val="229"/>
        <w:rPr>
          <w:color w:val="auto"/>
          <w:highlight w:val="none"/>
        </w:rPr>
      </w:pPr>
      <w:r>
        <w:rPr>
          <w:rFonts w:hint="eastAsia"/>
          <w:color w:val="auto"/>
          <w:highlight w:val="none"/>
        </w:rPr>
        <w:t xml:space="preserve">6. </w:t>
      </w:r>
      <w:r>
        <w:rPr>
          <w:color w:val="auto"/>
          <w:highlight w:val="none"/>
        </w:rPr>
        <w:t>本保函自我方法定代表人（或其授权代理人）签字并加盖公章之日起生效。</w:t>
      </w:r>
    </w:p>
    <w:p w14:paraId="523B76CB">
      <w:pPr>
        <w:pStyle w:val="229"/>
        <w:rPr>
          <w:color w:val="auto"/>
          <w:highlight w:val="none"/>
        </w:rPr>
      </w:pPr>
    </w:p>
    <w:p w14:paraId="4E493ABD">
      <w:pPr>
        <w:pStyle w:val="229"/>
        <w:rPr>
          <w:color w:val="auto"/>
          <w:highlight w:val="none"/>
        </w:rPr>
      </w:pPr>
    </w:p>
    <w:p w14:paraId="6A5F3B33">
      <w:pPr>
        <w:pStyle w:val="229"/>
        <w:rPr>
          <w:color w:val="auto"/>
          <w:highlight w:val="none"/>
        </w:rPr>
      </w:pPr>
      <w:r>
        <w:rPr>
          <w:color w:val="auto"/>
          <w:highlight w:val="none"/>
        </w:rPr>
        <w:t>担保人：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（盖单位章）</w:t>
      </w:r>
    </w:p>
    <w:p w14:paraId="626F0BDC">
      <w:pPr>
        <w:pStyle w:val="229"/>
        <w:rPr>
          <w:color w:val="auto"/>
          <w:highlight w:val="none"/>
        </w:rPr>
      </w:pPr>
      <w:r>
        <w:rPr>
          <w:color w:val="auto"/>
          <w:highlight w:val="none"/>
        </w:rPr>
        <w:t>法定代表人或其委托代理人：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（签字）</w:t>
      </w:r>
    </w:p>
    <w:p w14:paraId="5926EC2F">
      <w:pPr>
        <w:pStyle w:val="229"/>
        <w:rPr>
          <w:color w:val="auto"/>
          <w:highlight w:val="none"/>
        </w:rPr>
      </w:pPr>
      <w:r>
        <w:rPr>
          <w:color w:val="auto"/>
          <w:highlight w:val="none"/>
        </w:rPr>
        <w:t>地    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453FAB2E">
      <w:pPr>
        <w:pStyle w:val="229"/>
        <w:rPr>
          <w:color w:val="auto"/>
          <w:highlight w:val="none"/>
        </w:rPr>
      </w:pPr>
      <w:r>
        <w:rPr>
          <w:color w:val="auto"/>
          <w:highlight w:val="none"/>
        </w:rPr>
        <w:t>邮政编码：</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rPr>
        <w:tab/>
      </w:r>
      <w:r>
        <w:rPr>
          <w:color w:val="auto"/>
          <w:highlight w:val="none"/>
        </w:rPr>
        <w:tab/>
      </w:r>
      <w:r>
        <w:rPr>
          <w:color w:val="auto"/>
          <w:highlight w:val="none"/>
        </w:rPr>
        <w:tab/>
      </w:r>
    </w:p>
    <w:p w14:paraId="3696D0F7">
      <w:pPr>
        <w:pStyle w:val="229"/>
        <w:rPr>
          <w:color w:val="auto"/>
          <w:highlight w:val="none"/>
        </w:rPr>
      </w:pPr>
      <w:r>
        <w:rPr>
          <w:color w:val="auto"/>
          <w:highlight w:val="none"/>
        </w:rPr>
        <w:t>电    话：</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52DB519F">
      <w:pPr>
        <w:pStyle w:val="229"/>
        <w:rPr>
          <w:color w:val="auto"/>
          <w:highlight w:val="none"/>
        </w:rPr>
      </w:pPr>
      <w:r>
        <w:rPr>
          <w:color w:val="auto"/>
          <w:highlight w:val="none"/>
        </w:rPr>
        <w:t>传    真：</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color w:val="auto"/>
          <w:highlight w:val="none"/>
        </w:rPr>
        <w:tab/>
      </w:r>
      <w:r>
        <w:rPr>
          <w:color w:val="auto"/>
          <w:highlight w:val="none"/>
        </w:rPr>
        <w:tab/>
      </w:r>
      <w:r>
        <w:rPr>
          <w:color w:val="auto"/>
          <w:highlight w:val="none"/>
        </w:rPr>
        <w:tab/>
      </w:r>
    </w:p>
    <w:p w14:paraId="42D71BF3">
      <w:pPr>
        <w:pStyle w:val="229"/>
        <w:rPr>
          <w:color w:val="auto"/>
          <w:highlight w:val="none"/>
        </w:rPr>
      </w:pPr>
      <w:r>
        <w:rPr>
          <w:color w:val="auto"/>
          <w:highlight w:val="none"/>
        </w:rPr>
        <w:t xml:space="preserve">  </w:t>
      </w:r>
    </w:p>
    <w:p w14:paraId="5158154A">
      <w:pPr>
        <w:pStyle w:val="229"/>
        <w:rPr>
          <w:color w:val="auto"/>
          <w:highlight w:val="none"/>
        </w:rPr>
      </w:pPr>
    </w:p>
    <w:p w14:paraId="3B3593D2">
      <w:pPr>
        <w:pStyle w:val="229"/>
        <w:rPr>
          <w:color w:val="auto"/>
          <w:highlight w:val="none"/>
        </w:rPr>
      </w:pPr>
      <w:r>
        <w:rPr>
          <w:color w:val="auto"/>
          <w:highlight w:val="none"/>
        </w:rPr>
        <w:t xml:space="preserve">                           年      月      日</w:t>
      </w:r>
    </w:p>
    <w:p w14:paraId="1174B443">
      <w:pPr>
        <w:pStyle w:val="229"/>
        <w:rPr>
          <w:color w:val="auto"/>
          <w:highlight w:val="none"/>
        </w:rPr>
      </w:pPr>
    </w:p>
    <w:p w14:paraId="45342111">
      <w:pPr>
        <w:pStyle w:val="229"/>
        <w:rPr>
          <w:color w:val="auto"/>
          <w:highlight w:val="none"/>
        </w:rPr>
      </w:pPr>
    </w:p>
    <w:p w14:paraId="7BE561E3">
      <w:pPr>
        <w:pStyle w:val="229"/>
        <w:rPr>
          <w:color w:val="auto"/>
          <w:highlight w:val="none"/>
        </w:rPr>
      </w:pPr>
    </w:p>
    <w:p w14:paraId="29E94411">
      <w:pPr>
        <w:pStyle w:val="229"/>
        <w:rPr>
          <w:color w:val="auto"/>
          <w:highlight w:val="none"/>
        </w:rPr>
      </w:pPr>
    </w:p>
    <w:p w14:paraId="74E50ABA">
      <w:pPr>
        <w:pStyle w:val="229"/>
        <w:rPr>
          <w:color w:val="auto"/>
          <w:highlight w:val="none"/>
        </w:rPr>
      </w:pPr>
    </w:p>
    <w:p w14:paraId="11D97783">
      <w:pPr>
        <w:pStyle w:val="229"/>
        <w:rPr>
          <w:color w:val="auto"/>
          <w:highlight w:val="none"/>
        </w:rPr>
      </w:pPr>
      <w:r>
        <w:rPr>
          <w:rFonts w:hint="eastAsia"/>
          <w:color w:val="auto"/>
          <w:highlight w:val="none"/>
        </w:rPr>
        <w:t>附件12：</w:t>
      </w:r>
    </w:p>
    <w:p w14:paraId="5ECA8C78">
      <w:pPr>
        <w:pStyle w:val="229"/>
        <w:ind w:firstLine="562"/>
        <w:jc w:val="center"/>
        <w:rPr>
          <w:b/>
          <w:bCs/>
          <w:color w:val="auto"/>
          <w:sz w:val="28"/>
          <w:szCs w:val="28"/>
          <w:highlight w:val="none"/>
        </w:rPr>
      </w:pPr>
      <w:r>
        <w:rPr>
          <w:rFonts w:hint="eastAsia"/>
          <w:b/>
          <w:bCs/>
          <w:color w:val="auto"/>
          <w:sz w:val="28"/>
          <w:szCs w:val="28"/>
          <w:highlight w:val="none"/>
        </w:rPr>
        <w:t>预付款保函</w:t>
      </w:r>
    </w:p>
    <w:p w14:paraId="1B7BB40F">
      <w:pPr>
        <w:pStyle w:val="229"/>
        <w:ind w:firstLine="562"/>
        <w:jc w:val="center"/>
        <w:rPr>
          <w:b/>
          <w:bCs/>
          <w:color w:val="auto"/>
          <w:sz w:val="28"/>
          <w:szCs w:val="28"/>
          <w:highlight w:val="none"/>
        </w:rPr>
      </w:pPr>
      <w:r>
        <w:rPr>
          <w:rFonts w:hint="eastAsia"/>
          <w:b/>
          <w:bCs/>
          <w:color w:val="auto"/>
          <w:sz w:val="28"/>
          <w:szCs w:val="28"/>
          <w:highlight w:val="none"/>
        </w:rPr>
        <w:t>（独立保函）</w:t>
      </w:r>
    </w:p>
    <w:p w14:paraId="73B75C78">
      <w:pPr>
        <w:pStyle w:val="229"/>
        <w:rPr>
          <w:color w:val="auto"/>
          <w:highlight w:val="none"/>
        </w:rPr>
      </w:pPr>
      <w:r>
        <w:rPr>
          <w:rFonts w:hint="eastAsia"/>
          <w:color w:val="auto"/>
          <w:highlight w:val="none"/>
        </w:rPr>
        <w:t xml:space="preserve">编号：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5C634A33">
      <w:pPr>
        <w:pStyle w:val="229"/>
        <w:rPr>
          <w:color w:val="auto"/>
          <w:highlight w:val="none"/>
        </w:rPr>
      </w:pPr>
    </w:p>
    <w:p w14:paraId="682261DD">
      <w:pPr>
        <w:pStyle w:val="229"/>
        <w:rPr>
          <w:color w:val="auto"/>
          <w:highlight w:val="none"/>
        </w:rPr>
      </w:pPr>
      <w:r>
        <w:rPr>
          <w:rFonts w:hint="eastAsia"/>
          <w:color w:val="auto"/>
          <w:highlight w:val="none"/>
        </w:rPr>
        <w:t>申请人：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0A11453D">
      <w:pPr>
        <w:pStyle w:val="229"/>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5399E27E">
      <w:pPr>
        <w:pStyle w:val="229"/>
        <w:rPr>
          <w:color w:val="auto"/>
          <w:highlight w:val="none"/>
        </w:rPr>
      </w:pPr>
      <w:r>
        <w:rPr>
          <w:rFonts w:hint="eastAsia"/>
          <w:color w:val="auto"/>
          <w:highlight w:val="none"/>
        </w:rPr>
        <w:t>受益人：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5192D17E">
      <w:pPr>
        <w:pStyle w:val="229"/>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087BA0D3">
      <w:pPr>
        <w:pStyle w:val="229"/>
        <w:rPr>
          <w:color w:val="auto"/>
          <w:highlight w:val="none"/>
        </w:rPr>
      </w:pPr>
      <w:r>
        <w:rPr>
          <w:rFonts w:hint="eastAsia"/>
          <w:color w:val="auto"/>
          <w:highlight w:val="none"/>
        </w:rPr>
        <w:t>开立人：</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09D56E29">
      <w:pPr>
        <w:pStyle w:val="229"/>
        <w:rPr>
          <w:color w:val="auto"/>
          <w:highlight w:val="none"/>
        </w:rPr>
      </w:pPr>
      <w:r>
        <w:rPr>
          <w:rFonts w:hint="eastAsia"/>
          <w:color w:val="auto"/>
          <w:highlight w:val="none"/>
        </w:rPr>
        <w:t xml:space="preserve">  地址：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p>
    <w:p w14:paraId="5BEFD483">
      <w:pPr>
        <w:pStyle w:val="229"/>
        <w:rPr>
          <w:color w:val="auto"/>
          <w:highlight w:val="none"/>
        </w:rPr>
      </w:pPr>
      <w:r>
        <w:rPr>
          <w:rFonts w:hint="eastAsia"/>
          <w:color w:val="auto"/>
          <w:highlight w:val="none"/>
        </w:rPr>
        <w:t xml:space="preserve"> </w:t>
      </w:r>
    </w:p>
    <w:p w14:paraId="1AB89995">
      <w:pPr>
        <w:pStyle w:val="229"/>
        <w:ind w:firstLine="0" w:firstLineChars="0"/>
        <w:rPr>
          <w:color w:val="auto"/>
          <w:highlight w:val="none"/>
        </w:rPr>
      </w:pPr>
      <w:r>
        <w:rPr>
          <w:rFonts w:hint="eastAsia"/>
          <w:color w:val="auto"/>
          <w:highlight w:val="none"/>
          <w:u w:val="single"/>
        </w:rPr>
        <w:t xml:space="preserve">              </w:t>
      </w:r>
      <w:r>
        <w:rPr>
          <w:rFonts w:hint="eastAsia"/>
          <w:color w:val="auto"/>
          <w:highlight w:val="none"/>
        </w:rPr>
        <w:t xml:space="preserve">（受益人名称）： </w:t>
      </w:r>
    </w:p>
    <w:p w14:paraId="36E8A380">
      <w:pPr>
        <w:pStyle w:val="229"/>
        <w:rPr>
          <w:color w:val="auto"/>
          <w:highlight w:val="none"/>
        </w:rPr>
      </w:pPr>
      <w:r>
        <w:rPr>
          <w:rFonts w:hint="eastAsia"/>
          <w:color w:val="auto"/>
          <w:highlight w:val="none"/>
        </w:rPr>
        <w:t>鉴于</w:t>
      </w:r>
      <w:r>
        <w:rPr>
          <w:rFonts w:hint="eastAsia"/>
          <w:color w:val="auto"/>
          <w:highlight w:val="none"/>
          <w:u w:val="single"/>
        </w:rPr>
        <w:t xml:space="preserve">        </w:t>
      </w:r>
      <w:r>
        <w:rPr>
          <w:rFonts w:hint="eastAsia"/>
          <w:color w:val="auto"/>
          <w:highlight w:val="none"/>
        </w:rPr>
        <w:t>（以下简称“受益人”）与</w:t>
      </w:r>
      <w:r>
        <w:rPr>
          <w:rFonts w:hint="eastAsia"/>
          <w:color w:val="auto"/>
          <w:highlight w:val="none"/>
          <w:u w:val="single"/>
        </w:rPr>
        <w:t xml:space="preserve">         </w:t>
      </w:r>
      <w:r>
        <w:rPr>
          <w:rFonts w:hint="eastAsia"/>
          <w:color w:val="auto"/>
          <w:highlight w:val="none"/>
        </w:rPr>
        <w:t>（以下简称“申请人”）于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日就</w:t>
      </w:r>
      <w:r>
        <w:rPr>
          <w:rFonts w:hint="eastAsia"/>
          <w:color w:val="auto"/>
          <w:highlight w:val="none"/>
          <w:u w:val="single"/>
        </w:rPr>
        <w:t xml:space="preserve">           </w:t>
      </w:r>
      <w:r>
        <w:rPr>
          <w:rFonts w:hint="eastAsia"/>
          <w:color w:val="auto"/>
          <w:highlight w:val="none"/>
        </w:rPr>
        <w:t>工程（以下简称“本工程”）施工和有关事项协商一致共同签订</w:t>
      </w:r>
      <w:r>
        <w:rPr>
          <w:rFonts w:hint="eastAsia"/>
          <w:color w:val="auto"/>
          <w:highlight w:val="none"/>
          <w:u w:val="single"/>
        </w:rPr>
        <w:t>《        》</w:t>
      </w:r>
      <w:r>
        <w:rPr>
          <w:rFonts w:hint="eastAsia"/>
          <w:color w:val="auto"/>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15D52C16">
      <w:pPr>
        <w:pStyle w:val="229"/>
        <w:rPr>
          <w:color w:val="auto"/>
          <w:highlight w:val="none"/>
        </w:rPr>
      </w:pPr>
      <w:r>
        <w:rPr>
          <w:rFonts w:hint="eastAsia"/>
          <w:color w:val="auto"/>
          <w:highlight w:val="none"/>
        </w:rPr>
        <w:t>一、本保函担保范围：申请人未按照合同约定正确和合理地为合同目的使用预付款，应当向贵方</w:t>
      </w:r>
      <w:r>
        <w:rPr>
          <w:rFonts w:hint="eastAsia"/>
          <w:color w:val="auto"/>
          <w:highlight w:val="none"/>
          <w:lang w:eastAsia="zh-CN"/>
        </w:rPr>
        <w:t>承担</w:t>
      </w:r>
      <w:r>
        <w:rPr>
          <w:rFonts w:hint="eastAsia"/>
          <w:color w:val="auto"/>
          <w:highlight w:val="none"/>
        </w:rPr>
        <w:t>违约责任和赔偿因此造成的损失、利息、律师费、诉讼费用等实现债权的费用。</w:t>
      </w:r>
    </w:p>
    <w:p w14:paraId="2E08FF84">
      <w:pPr>
        <w:pStyle w:val="229"/>
        <w:rPr>
          <w:color w:val="auto"/>
          <w:highlight w:val="none"/>
        </w:rPr>
      </w:pPr>
      <w:r>
        <w:rPr>
          <w:rFonts w:hint="eastAsia"/>
          <w:color w:val="auto"/>
          <w:highlight w:val="none"/>
        </w:rPr>
        <w:t>二、本保函担保金额最高不超过人民币（大写）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 xml:space="preserve">）。 </w:t>
      </w:r>
    </w:p>
    <w:p w14:paraId="2A3F3549">
      <w:pPr>
        <w:pStyle w:val="229"/>
        <w:rPr>
          <w:color w:val="auto"/>
          <w:highlight w:val="none"/>
        </w:rPr>
      </w:pPr>
      <w:r>
        <w:rPr>
          <w:rFonts w:hint="eastAsia"/>
          <w:color w:val="auto"/>
          <w:highlight w:val="none"/>
        </w:rPr>
        <w:t>三、本保函有效期自开立之日起至发包人全额扣回预付款后</w:t>
      </w:r>
      <w:r>
        <w:rPr>
          <w:rFonts w:hint="eastAsia"/>
          <w:color w:val="auto"/>
          <w:highlight w:val="none"/>
          <w:u w:val="single"/>
        </w:rPr>
        <w:t xml:space="preserve">   </w:t>
      </w:r>
      <w:r>
        <w:rPr>
          <w:rFonts w:hint="eastAsia"/>
          <w:color w:val="auto"/>
          <w:highlight w:val="none"/>
        </w:rPr>
        <w:t>日止，最迟不超过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5EBEC30">
      <w:pPr>
        <w:pStyle w:val="229"/>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w:t>
      </w:r>
      <w:r>
        <w:rPr>
          <w:rFonts w:hint="eastAsia"/>
          <w:color w:val="auto"/>
          <w:highlight w:val="none"/>
        </w:rPr>
        <w:t>日内无条件支付，前述书面付款通知即为付款要求之单据，且应满足以下要求：</w:t>
      </w:r>
    </w:p>
    <w:p w14:paraId="56D0CFE4">
      <w:pPr>
        <w:pStyle w:val="229"/>
        <w:rPr>
          <w:color w:val="auto"/>
          <w:highlight w:val="none"/>
        </w:rPr>
      </w:pPr>
      <w:r>
        <w:rPr>
          <w:rFonts w:hint="eastAsia"/>
          <w:color w:val="auto"/>
          <w:highlight w:val="none"/>
        </w:rPr>
        <w:t>（1）付款通知到达的日期在本保函的有效期内；</w:t>
      </w:r>
    </w:p>
    <w:p w14:paraId="23C45198">
      <w:pPr>
        <w:pStyle w:val="229"/>
        <w:rPr>
          <w:color w:val="auto"/>
          <w:highlight w:val="none"/>
        </w:rPr>
      </w:pPr>
      <w:r>
        <w:rPr>
          <w:rFonts w:hint="eastAsia"/>
          <w:color w:val="auto"/>
          <w:highlight w:val="none"/>
        </w:rPr>
        <w:t>（2）载明要求支付的金额；</w:t>
      </w:r>
    </w:p>
    <w:p w14:paraId="3D7B000C">
      <w:pPr>
        <w:pStyle w:val="229"/>
        <w:rPr>
          <w:color w:val="auto"/>
          <w:highlight w:val="none"/>
        </w:rPr>
      </w:pPr>
      <w:r>
        <w:rPr>
          <w:rFonts w:hint="eastAsia"/>
          <w:color w:val="auto"/>
          <w:highlight w:val="none"/>
        </w:rPr>
        <w:t>（3）载明申请人违反合同义务的条款和内容；</w:t>
      </w:r>
    </w:p>
    <w:p w14:paraId="32BD9F4E">
      <w:pPr>
        <w:pStyle w:val="229"/>
        <w:rPr>
          <w:color w:val="auto"/>
          <w:highlight w:val="none"/>
        </w:rPr>
      </w:pPr>
      <w:r>
        <w:rPr>
          <w:rFonts w:hint="eastAsia"/>
          <w:color w:val="auto"/>
          <w:highlight w:val="none"/>
        </w:rPr>
        <w:t>（4）声明不存在合同文件约定或我国法律规定免除申请人或开立人支付责任的情形；</w:t>
      </w:r>
    </w:p>
    <w:p w14:paraId="2F955019">
      <w:pPr>
        <w:pStyle w:val="229"/>
        <w:rPr>
          <w:color w:val="auto"/>
          <w:highlight w:val="none"/>
        </w:rPr>
      </w:pPr>
      <w:r>
        <w:rPr>
          <w:rFonts w:hint="eastAsia"/>
          <w:color w:val="auto"/>
          <w:highlight w:val="none"/>
        </w:rPr>
        <w:t>（5）付款通知应在本保函有效期内到达的地址是：</w:t>
      </w:r>
      <w:r>
        <w:rPr>
          <w:rFonts w:hint="eastAsia"/>
          <w:color w:val="auto"/>
          <w:highlight w:val="none"/>
          <w:u w:val="single"/>
        </w:rPr>
        <w:t xml:space="preserve">             </w:t>
      </w:r>
      <w:r>
        <w:rPr>
          <w:rFonts w:hint="eastAsia"/>
          <w:color w:val="auto"/>
          <w:highlight w:val="none"/>
        </w:rPr>
        <w:t>。</w:t>
      </w:r>
    </w:p>
    <w:p w14:paraId="0E2EA3FB">
      <w:pPr>
        <w:pStyle w:val="229"/>
        <w:rPr>
          <w:color w:val="auto"/>
          <w:highlight w:val="none"/>
        </w:rPr>
      </w:pPr>
      <w:r>
        <w:rPr>
          <w:rFonts w:hint="eastAsia"/>
          <w:color w:val="auto"/>
          <w:highlight w:val="none"/>
        </w:rPr>
        <w:t>受益人发出的书面付款通知应由其为鉴明受益人的法定代表人（负责人）或授权代理人签字并加盖公章。</w:t>
      </w:r>
    </w:p>
    <w:p w14:paraId="2E557FF1">
      <w:pPr>
        <w:pStyle w:val="229"/>
        <w:rPr>
          <w:color w:val="auto"/>
          <w:highlight w:val="none"/>
        </w:rPr>
      </w:pPr>
      <w:r>
        <w:rPr>
          <w:rFonts w:hint="eastAsia"/>
          <w:color w:val="auto"/>
          <w:highlight w:val="none"/>
        </w:rPr>
        <w:t xml:space="preserve">五、本保函项下的权利不得转让，不得设定担保。贵方未经我方书面同意转 让本保函或其项下任何权利，对我方不发生法律效力。 </w:t>
      </w:r>
    </w:p>
    <w:p w14:paraId="211A1D64">
      <w:pPr>
        <w:pStyle w:val="229"/>
        <w:rPr>
          <w:color w:val="auto"/>
          <w:highlight w:val="none"/>
        </w:rPr>
      </w:pPr>
      <w:r>
        <w:rPr>
          <w:rFonts w:hint="eastAsia"/>
          <w:color w:val="auto"/>
          <w:highlight w:val="none"/>
        </w:rPr>
        <w:t xml:space="preserve">六、与本保函有关的基础合同不成立、不生效、无效、被撤销、被解除，不影响本保函的独立有效。 </w:t>
      </w:r>
    </w:p>
    <w:p w14:paraId="01E63AD5">
      <w:pPr>
        <w:pStyle w:val="229"/>
        <w:rPr>
          <w:color w:val="auto"/>
          <w:highlight w:val="none"/>
        </w:rPr>
      </w:pPr>
      <w:r>
        <w:rPr>
          <w:rFonts w:hint="eastAsia"/>
          <w:color w:val="auto"/>
          <w:highlight w:val="none"/>
        </w:rPr>
        <w:t xml:space="preserve">七、贵方应在本保函到期后的七日内将本保函正本退回我方注销，但不论贵方是否按此要求将本保函正本退回我方，我方在本保函项下的义务和责任均在保函有效期到期后自动消灭。 </w:t>
      </w:r>
    </w:p>
    <w:p w14:paraId="786BA503">
      <w:pPr>
        <w:pStyle w:val="229"/>
        <w:rPr>
          <w:color w:val="auto"/>
          <w:highlight w:val="none"/>
        </w:rPr>
      </w:pPr>
      <w:r>
        <w:rPr>
          <w:rFonts w:hint="eastAsia"/>
          <w:color w:val="auto"/>
          <w:highlight w:val="none"/>
        </w:rPr>
        <w:t>八、本保函适用的法律为中华人民共和国法律，争议裁判管辖地为中华人民共和国</w:t>
      </w:r>
      <w:r>
        <w:rPr>
          <w:rFonts w:hint="eastAsia"/>
          <w:color w:val="auto"/>
          <w:highlight w:val="none"/>
          <w:u w:val="single"/>
        </w:rPr>
        <w:t xml:space="preserve">     </w:t>
      </w:r>
      <w:r>
        <w:rPr>
          <w:rFonts w:hint="eastAsia"/>
          <w:color w:val="auto"/>
          <w:highlight w:val="none"/>
        </w:rPr>
        <w:t xml:space="preserve">。 </w:t>
      </w:r>
    </w:p>
    <w:p w14:paraId="54A667AA">
      <w:pPr>
        <w:pStyle w:val="229"/>
        <w:rPr>
          <w:color w:val="auto"/>
          <w:highlight w:val="none"/>
        </w:rPr>
      </w:pPr>
      <w:r>
        <w:rPr>
          <w:rFonts w:hint="eastAsia"/>
          <w:color w:val="auto"/>
          <w:highlight w:val="none"/>
        </w:rPr>
        <w:t xml:space="preserve">九、本保函自我方法定代表人或授权代表签字并加盖公章之日起生效。 </w:t>
      </w:r>
    </w:p>
    <w:p w14:paraId="0EE3D42E">
      <w:pPr>
        <w:pStyle w:val="229"/>
        <w:rPr>
          <w:color w:val="auto"/>
          <w:highlight w:val="none"/>
        </w:rPr>
      </w:pPr>
    </w:p>
    <w:p w14:paraId="554FA002">
      <w:pPr>
        <w:pStyle w:val="229"/>
        <w:rPr>
          <w:color w:val="auto"/>
          <w:highlight w:val="none"/>
        </w:rPr>
      </w:pPr>
    </w:p>
    <w:p w14:paraId="6ABA4883">
      <w:pPr>
        <w:pStyle w:val="229"/>
        <w:rPr>
          <w:color w:val="auto"/>
          <w:highlight w:val="none"/>
        </w:rPr>
      </w:pPr>
      <w:r>
        <w:rPr>
          <w:rFonts w:hint="eastAsia"/>
          <w:color w:val="auto"/>
          <w:highlight w:val="none"/>
        </w:rPr>
        <w:t xml:space="preserve">开 立 人：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（公章） </w:t>
      </w:r>
    </w:p>
    <w:p w14:paraId="077CB6FD">
      <w:pPr>
        <w:pStyle w:val="229"/>
        <w:rPr>
          <w:color w:val="auto"/>
          <w:highlight w:val="none"/>
        </w:rPr>
      </w:pPr>
      <w:r>
        <w:rPr>
          <w:rFonts w:hint="eastAsia"/>
          <w:color w:val="auto"/>
          <w:highlight w:val="none"/>
        </w:rPr>
        <w:t>法定代表人（或授权代表）：</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（签字） </w:t>
      </w:r>
    </w:p>
    <w:p w14:paraId="5684C2E1">
      <w:pPr>
        <w:pStyle w:val="229"/>
        <w:rPr>
          <w:color w:val="auto"/>
          <w:highlight w:val="none"/>
        </w:rPr>
      </w:pPr>
      <w:r>
        <w:rPr>
          <w:rFonts w:hint="eastAsia"/>
          <w:color w:val="auto"/>
          <w:highlight w:val="none"/>
        </w:rPr>
        <w:t>地    址：</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3E3509B4">
      <w:pPr>
        <w:pStyle w:val="229"/>
        <w:rPr>
          <w:color w:val="auto"/>
          <w:highlight w:val="none"/>
        </w:rPr>
      </w:pPr>
      <w:r>
        <w:rPr>
          <w:rFonts w:hint="eastAsia"/>
          <w:color w:val="auto"/>
          <w:highlight w:val="none"/>
        </w:rPr>
        <w:t xml:space="preserve">邮政编码： </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13C221AC">
      <w:pPr>
        <w:pStyle w:val="229"/>
        <w:rPr>
          <w:color w:val="auto"/>
          <w:highlight w:val="none"/>
        </w:rPr>
      </w:pPr>
      <w:r>
        <w:rPr>
          <w:rFonts w:hint="eastAsia"/>
          <w:color w:val="auto"/>
          <w:highlight w:val="none"/>
        </w:rPr>
        <w:t>电    话：</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199290D0">
      <w:pPr>
        <w:pStyle w:val="229"/>
        <w:rPr>
          <w:color w:val="auto"/>
          <w:highlight w:val="none"/>
        </w:rPr>
      </w:pPr>
      <w:r>
        <w:rPr>
          <w:rFonts w:hint="eastAsia"/>
          <w:color w:val="auto"/>
          <w:highlight w:val="none"/>
        </w:rPr>
        <w:t>传    真：</w:t>
      </w:r>
      <w:r>
        <w:rPr>
          <w:color w:val="auto"/>
          <w:highlight w:val="none"/>
          <w:u w:val="single"/>
        </w:rPr>
        <w:tab/>
      </w:r>
      <w:r>
        <w:rPr>
          <w:color w:val="auto"/>
          <w:highlight w:val="none"/>
          <w:u w:val="single"/>
        </w:rPr>
        <w:tab/>
      </w:r>
      <w:r>
        <w:rPr>
          <w:rFonts w:hint="eastAsia"/>
          <w:color w:val="auto"/>
          <w:highlight w:val="none"/>
          <w:u w:val="single"/>
        </w:rPr>
        <w:t xml:space="preserve">  </w:t>
      </w:r>
      <w:r>
        <w:rPr>
          <w:color w:val="auto"/>
          <w:highlight w:val="none"/>
          <w:u w:val="single"/>
        </w:rPr>
        <w:tab/>
      </w:r>
      <w:r>
        <w:rPr>
          <w:color w:val="auto"/>
          <w:highlight w:val="none"/>
          <w:u w:val="single"/>
        </w:rPr>
        <w:tab/>
      </w:r>
      <w:r>
        <w:rPr>
          <w:rFonts w:hint="eastAsia"/>
          <w:color w:val="auto"/>
          <w:highlight w:val="none"/>
          <w:u w:val="single"/>
        </w:rPr>
        <w:t xml:space="preserve">                </w:t>
      </w:r>
      <w:r>
        <w:rPr>
          <w:rFonts w:hint="eastAsia"/>
          <w:color w:val="auto"/>
          <w:highlight w:val="none"/>
        </w:rPr>
        <w:t xml:space="preserve">                 </w:t>
      </w:r>
    </w:p>
    <w:p w14:paraId="26CA406C">
      <w:pPr>
        <w:pStyle w:val="229"/>
        <w:rPr>
          <w:color w:val="auto"/>
          <w:highlight w:val="none"/>
        </w:rPr>
      </w:pPr>
      <w:r>
        <w:rPr>
          <w:rFonts w:hint="eastAsia"/>
          <w:color w:val="auto"/>
          <w:highlight w:val="none"/>
        </w:rPr>
        <w:t xml:space="preserve">           开立时间：      年      月        日</w:t>
      </w:r>
    </w:p>
    <w:p w14:paraId="3816464D">
      <w:pPr>
        <w:pStyle w:val="329"/>
        <w:rPr>
          <w:rFonts w:ascii="宋体" w:hAnsi="宋体"/>
          <w:color w:val="auto"/>
          <w:szCs w:val="21"/>
          <w:highlight w:val="none"/>
        </w:rPr>
      </w:pPr>
    </w:p>
    <w:p w14:paraId="4993D45C">
      <w:pPr>
        <w:pStyle w:val="229"/>
        <w:rPr>
          <w:color w:val="auto"/>
          <w:highlight w:val="none"/>
        </w:rPr>
      </w:pPr>
    </w:p>
    <w:p w14:paraId="4746A5D6">
      <w:pPr>
        <w:pStyle w:val="229"/>
        <w:rPr>
          <w:color w:val="auto"/>
          <w:highlight w:val="none"/>
        </w:rPr>
      </w:pPr>
    </w:p>
    <w:p w14:paraId="7C54E977">
      <w:pPr>
        <w:pStyle w:val="229"/>
        <w:rPr>
          <w:color w:val="auto"/>
          <w:highlight w:val="none"/>
        </w:rPr>
      </w:pPr>
    </w:p>
    <w:p w14:paraId="608D7B8E">
      <w:pPr>
        <w:pStyle w:val="229"/>
        <w:rPr>
          <w:color w:val="auto"/>
          <w:highlight w:val="none"/>
        </w:rPr>
      </w:pPr>
    </w:p>
    <w:p w14:paraId="2EC9E435">
      <w:pPr>
        <w:pStyle w:val="229"/>
        <w:rPr>
          <w:color w:val="auto"/>
          <w:highlight w:val="none"/>
        </w:rPr>
      </w:pPr>
    </w:p>
    <w:p w14:paraId="12449521">
      <w:pPr>
        <w:pStyle w:val="229"/>
        <w:rPr>
          <w:color w:val="auto"/>
          <w:highlight w:val="none"/>
        </w:rPr>
      </w:pPr>
    </w:p>
    <w:p w14:paraId="6C19DE97">
      <w:pPr>
        <w:pStyle w:val="229"/>
        <w:rPr>
          <w:color w:val="auto"/>
          <w:highlight w:val="none"/>
        </w:rPr>
      </w:pPr>
    </w:p>
    <w:p w14:paraId="377D2B43">
      <w:pPr>
        <w:pStyle w:val="229"/>
        <w:rPr>
          <w:color w:val="auto"/>
          <w:highlight w:val="none"/>
        </w:rPr>
      </w:pPr>
    </w:p>
    <w:p w14:paraId="57F16C1A">
      <w:pPr>
        <w:pStyle w:val="229"/>
        <w:rPr>
          <w:color w:val="auto"/>
          <w:highlight w:val="none"/>
        </w:rPr>
      </w:pPr>
    </w:p>
    <w:p w14:paraId="63CCF537">
      <w:pPr>
        <w:pStyle w:val="229"/>
        <w:rPr>
          <w:color w:val="auto"/>
          <w:highlight w:val="none"/>
        </w:rPr>
      </w:pPr>
    </w:p>
    <w:p w14:paraId="48E81BAB">
      <w:pPr>
        <w:pStyle w:val="229"/>
        <w:rPr>
          <w:color w:val="auto"/>
          <w:highlight w:val="none"/>
        </w:rPr>
      </w:pPr>
    </w:p>
    <w:p w14:paraId="0B7A3D0D">
      <w:pPr>
        <w:pStyle w:val="229"/>
        <w:rPr>
          <w:color w:val="auto"/>
          <w:highlight w:val="none"/>
        </w:rPr>
      </w:pPr>
    </w:p>
    <w:p w14:paraId="6B84CB99">
      <w:pPr>
        <w:pStyle w:val="229"/>
        <w:rPr>
          <w:color w:val="auto"/>
          <w:highlight w:val="none"/>
        </w:rPr>
      </w:pPr>
    </w:p>
    <w:p w14:paraId="6083AF68">
      <w:pPr>
        <w:pStyle w:val="229"/>
        <w:rPr>
          <w:color w:val="auto"/>
          <w:highlight w:val="none"/>
        </w:rPr>
      </w:pPr>
    </w:p>
    <w:p w14:paraId="36ED0851">
      <w:pPr>
        <w:pStyle w:val="229"/>
        <w:rPr>
          <w:color w:val="auto"/>
          <w:highlight w:val="none"/>
        </w:rPr>
      </w:pPr>
    </w:p>
    <w:p w14:paraId="3E64D59B">
      <w:pPr>
        <w:pStyle w:val="229"/>
        <w:rPr>
          <w:color w:val="auto"/>
          <w:highlight w:val="none"/>
        </w:rPr>
      </w:pPr>
    </w:p>
    <w:p w14:paraId="3D636E68">
      <w:pPr>
        <w:pStyle w:val="229"/>
        <w:rPr>
          <w:color w:val="auto"/>
          <w:highlight w:val="none"/>
        </w:rPr>
      </w:pPr>
    </w:p>
    <w:p w14:paraId="2A8F501E">
      <w:pPr>
        <w:pStyle w:val="229"/>
        <w:rPr>
          <w:color w:val="auto"/>
          <w:highlight w:val="none"/>
        </w:rPr>
      </w:pPr>
    </w:p>
    <w:p w14:paraId="57015B8D">
      <w:pPr>
        <w:pStyle w:val="229"/>
        <w:rPr>
          <w:color w:val="auto"/>
          <w:highlight w:val="none"/>
        </w:rPr>
      </w:pPr>
    </w:p>
    <w:p w14:paraId="6A220317">
      <w:pPr>
        <w:pStyle w:val="229"/>
        <w:rPr>
          <w:color w:val="auto"/>
          <w:highlight w:val="none"/>
        </w:rPr>
      </w:pPr>
    </w:p>
    <w:p w14:paraId="35DD8583">
      <w:pPr>
        <w:pStyle w:val="229"/>
        <w:rPr>
          <w:color w:val="auto"/>
          <w:highlight w:val="none"/>
        </w:rPr>
      </w:pPr>
    </w:p>
    <w:p w14:paraId="0E57CB9C">
      <w:pPr>
        <w:pStyle w:val="229"/>
        <w:rPr>
          <w:color w:val="auto"/>
          <w:highlight w:val="none"/>
        </w:rPr>
      </w:pPr>
    </w:p>
    <w:p w14:paraId="592ACB0E">
      <w:pPr>
        <w:pStyle w:val="229"/>
        <w:rPr>
          <w:color w:val="auto"/>
          <w:highlight w:val="none"/>
        </w:rPr>
      </w:pPr>
      <w:r>
        <w:rPr>
          <w:rFonts w:hint="eastAsia"/>
          <w:color w:val="auto"/>
          <w:highlight w:val="none"/>
        </w:rPr>
        <w:t>附件13：</w:t>
      </w:r>
    </w:p>
    <w:p w14:paraId="59BCB871">
      <w:pPr>
        <w:pStyle w:val="238"/>
        <w:spacing w:line="276" w:lineRule="auto"/>
        <w:ind w:firstLine="845"/>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安全生产协议书</w:t>
      </w:r>
    </w:p>
    <w:p w14:paraId="37FCB785">
      <w:pPr>
        <w:pStyle w:val="238"/>
        <w:adjustRightInd w:val="0"/>
        <w:snapToGrid w:val="0"/>
        <w:spacing w:line="360" w:lineRule="auto"/>
        <w:ind w:firstLine="420" w:firstLineChars="200"/>
        <w:rPr>
          <w:rFonts w:ascii="宋体" w:hAnsi="宋体" w:cs="宋体"/>
          <w:color w:val="auto"/>
          <w:highlight w:val="none"/>
        </w:rPr>
      </w:pPr>
    </w:p>
    <w:p w14:paraId="75193571">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为在</w:t>
      </w:r>
      <w:r>
        <w:rPr>
          <w:rFonts w:hint="eastAsia" w:ascii="宋体" w:hAnsi="宋体" w:cs="宋体"/>
          <w:color w:val="auto"/>
          <w:highlight w:val="none"/>
          <w:u w:val="single"/>
        </w:rPr>
        <w:t xml:space="preserve"> </w:t>
      </w:r>
      <w:r>
        <w:rPr>
          <w:rFonts w:hint="eastAsia" w:ascii="宋体" w:hAnsi="宋体" w:cs="宋体"/>
          <w:color w:val="auto"/>
          <w:spacing w:val="-5"/>
          <w:highlight w:val="none"/>
          <w:u w:val="single"/>
        </w:rPr>
        <w:t xml:space="preserve">              </w:t>
      </w:r>
      <w:r>
        <w:rPr>
          <w:rFonts w:hint="eastAsia" w:ascii="宋体" w:hAnsi="宋体"/>
          <w:b/>
          <w:bCs/>
          <w:color w:val="auto"/>
          <w:highlight w:val="none"/>
          <w:u w:val="single"/>
        </w:rPr>
        <w:t xml:space="preserve"> </w:t>
      </w:r>
      <w:r>
        <w:rPr>
          <w:rFonts w:hint="eastAsia" w:ascii="宋体" w:hAnsi="宋体" w:cs="宋体"/>
          <w:color w:val="auto"/>
          <w:highlight w:val="none"/>
        </w:rPr>
        <w:t>施工合同的实施过程中创造安全、高效的施工环境，</w:t>
      </w:r>
      <w:r>
        <w:rPr>
          <w:rFonts w:hint="eastAsia" w:ascii="宋体" w:hAnsi="宋体" w:cs="宋体"/>
          <w:color w:val="auto"/>
          <w:highlight w:val="none"/>
          <w:lang w:eastAsia="zh-CN"/>
        </w:rPr>
        <w:t>切实做好</w:t>
      </w:r>
      <w:r>
        <w:rPr>
          <w:rFonts w:hint="eastAsia" w:ascii="宋体" w:hAnsi="宋体" w:cs="宋体"/>
          <w:color w:val="auto"/>
          <w:highlight w:val="none"/>
        </w:rPr>
        <w:t>本项目的安全管理工作，本项目业主</w:t>
      </w:r>
      <w:r>
        <w:rPr>
          <w:rFonts w:hint="eastAsia" w:ascii="宋体" w:hAnsi="宋体" w:cs="宋体"/>
          <w:color w:val="auto"/>
          <w:highlight w:val="none"/>
          <w:u w:val="single"/>
        </w:rPr>
        <w:t xml:space="preserve"> 桂林医科大学</w:t>
      </w:r>
      <w:r>
        <w:rPr>
          <w:rFonts w:hint="eastAsia" w:ascii="宋体" w:hAnsi="宋体" w:cs="宋体"/>
          <w:color w:val="auto"/>
          <w:highlight w:val="none"/>
        </w:rPr>
        <w:t xml:space="preserve">（以下简称“甲方”）与承包人 </w:t>
      </w:r>
      <w:r>
        <w:rPr>
          <w:rFonts w:hint="eastAsia"/>
          <w:color w:val="auto"/>
          <w:szCs w:val="21"/>
          <w:highlight w:val="none"/>
          <w:u w:val="single"/>
        </w:rPr>
        <w:t xml:space="preserve">               </w:t>
      </w:r>
      <w:r>
        <w:rPr>
          <w:rFonts w:hint="eastAsia" w:ascii="宋体" w:hAnsi="宋体" w:cs="宋体"/>
          <w:b/>
          <w:bCs/>
          <w:color w:val="auto"/>
          <w:kern w:val="0"/>
          <w:szCs w:val="21"/>
          <w:highlight w:val="none"/>
          <w:u w:val="single"/>
        </w:rPr>
        <w:t xml:space="preserve"> </w:t>
      </w:r>
      <w:r>
        <w:rPr>
          <w:rFonts w:hint="eastAsia" w:ascii="宋体" w:hAnsi="宋体" w:cs="宋体"/>
          <w:color w:val="auto"/>
          <w:highlight w:val="none"/>
        </w:rPr>
        <w:t>（以下简称“乙方”）特此签订安全生产合同：</w:t>
      </w:r>
    </w:p>
    <w:p w14:paraId="63241EDE">
      <w:pPr>
        <w:pStyle w:val="238"/>
        <w:adjustRightInd w:val="0"/>
        <w:snapToGrid w:val="0"/>
        <w:spacing w:line="360" w:lineRule="auto"/>
        <w:ind w:firstLine="422" w:firstLineChars="200"/>
        <w:rPr>
          <w:rFonts w:ascii="宋体" w:hAnsi="宋体" w:cs="宋体"/>
          <w:b/>
          <w:color w:val="auto"/>
          <w:highlight w:val="none"/>
        </w:rPr>
      </w:pPr>
      <w:bookmarkStart w:id="416" w:name="_Toc419363884"/>
      <w:r>
        <w:rPr>
          <w:rFonts w:hint="eastAsia" w:ascii="宋体" w:hAnsi="宋体" w:cs="宋体"/>
          <w:b/>
          <w:color w:val="auto"/>
          <w:highlight w:val="none"/>
        </w:rPr>
        <w:t>一、甲方职责</w:t>
      </w:r>
      <w:bookmarkEnd w:id="416"/>
    </w:p>
    <w:p w14:paraId="7BC11D5C">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1.严格遵守国家有关安全生产的法律法规，认真执行工程承包合同中的有关安全要求。</w:t>
      </w:r>
    </w:p>
    <w:p w14:paraId="3A905625">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2.按照“安全第一、预防为主”和坚持“管生产必须管安全”的原则进行安全生产管理，做到生产与安全工作同时计划、布置、检查、总结和评比。</w:t>
      </w:r>
    </w:p>
    <w:p w14:paraId="4E45AFDE">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3.重要的安全设施必须坚持与主体工程“三同时”的原则，即：同时设计、审批，同时施工，同时验收，投入使用。</w:t>
      </w:r>
    </w:p>
    <w:p w14:paraId="6278BD19">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4.定期召开安全生产调度会，及</w:t>
      </w:r>
      <w:r>
        <w:rPr>
          <w:rFonts w:hint="eastAsia" w:ascii="宋体" w:hAnsi="宋体" w:cs="宋体"/>
          <w:color w:val="auto"/>
          <w:highlight w:val="none"/>
        </w:rPr>
        <w:t>时传达中央和地方有关安全生产的精神。</w:t>
      </w:r>
    </w:p>
    <w:p w14:paraId="4CFB6609">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5.组织对乙方施工现场安全生产检查，监督乙方及时处理发现的各种安全隐患。</w:t>
      </w:r>
    </w:p>
    <w:p w14:paraId="63864E12">
      <w:pPr>
        <w:pStyle w:val="238"/>
        <w:adjustRightInd w:val="0"/>
        <w:snapToGrid w:val="0"/>
        <w:spacing w:line="360" w:lineRule="auto"/>
        <w:ind w:firstLine="422" w:firstLineChars="200"/>
        <w:rPr>
          <w:rFonts w:ascii="宋体" w:hAnsi="宋体" w:cs="宋体"/>
          <w:b/>
          <w:color w:val="auto"/>
          <w:highlight w:val="none"/>
        </w:rPr>
      </w:pPr>
      <w:bookmarkStart w:id="417" w:name="_Toc419363885"/>
      <w:r>
        <w:rPr>
          <w:rFonts w:hint="eastAsia" w:ascii="宋体" w:hAnsi="宋体" w:cs="宋体"/>
          <w:b/>
          <w:color w:val="auto"/>
          <w:highlight w:val="none"/>
        </w:rPr>
        <w:t>二、乙方职责</w:t>
      </w:r>
      <w:bookmarkEnd w:id="417"/>
    </w:p>
    <w:p w14:paraId="326DEA79">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1.严格遵守国家有关安全生产的法律法规及建筑工程有关安全生产的规定，认真执行工程承包合同中的有关安全要求。</w:t>
      </w:r>
    </w:p>
    <w:p w14:paraId="3DC8E6F2">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F509439">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3.建立健全安全生产责任制。从派往项目实施的项目负责人到生产工人（包括临时雇请</w:t>
      </w:r>
      <w:r>
        <w:rPr>
          <w:rFonts w:hint="eastAsia" w:ascii="宋体" w:hAnsi="宋体" w:cs="宋体"/>
          <w:color w:val="auto"/>
          <w:highlight w:val="none"/>
          <w:lang w:eastAsia="zh-CN"/>
        </w:rPr>
        <w:t>的农</w:t>
      </w:r>
      <w:r>
        <w:rPr>
          <w:rFonts w:hint="eastAsia" w:ascii="宋体" w:hAnsi="宋体" w:cs="宋体"/>
          <w:color w:val="auto"/>
          <w:highlight w:val="none"/>
        </w:rPr>
        <w:t>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1534565">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4.乙方在任何时候都应采取各种合理的预防措施，防止其员工发生任何违法、违禁、暴力或妨碍治安的行为。</w:t>
      </w:r>
    </w:p>
    <w:p w14:paraId="629A02BD">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w:t>
      </w:r>
      <w:r>
        <w:rPr>
          <w:rFonts w:hint="eastAsia" w:ascii="宋体" w:hAnsi="宋体" w:cs="宋体"/>
          <w:color w:val="auto"/>
          <w:highlight w:val="none"/>
          <w:lang w:eastAsia="zh-CN"/>
        </w:rPr>
        <w:t>建筑限高</w:t>
      </w:r>
      <w:r>
        <w:rPr>
          <w:rFonts w:hint="eastAsia" w:ascii="宋体" w:hAnsi="宋体" w:cs="宋体"/>
          <w:color w:val="auto"/>
          <w:highlight w:val="none"/>
        </w:rPr>
        <w:t>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4967FEB3">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6.对于易燃易爆的材料除应专门妥善保管之外，还应</w:t>
      </w:r>
      <w:r>
        <w:rPr>
          <w:rFonts w:hint="eastAsia" w:ascii="宋体" w:hAnsi="宋体" w:cs="宋体"/>
          <w:color w:val="auto"/>
          <w:highlight w:val="none"/>
          <w:lang w:eastAsia="zh-CN"/>
        </w:rPr>
        <w:t>配备</w:t>
      </w:r>
      <w:r>
        <w:rPr>
          <w:rFonts w:hint="eastAsia" w:ascii="宋体" w:hAnsi="宋体" w:cs="宋体"/>
          <w:color w:val="auto"/>
          <w:highlight w:val="none"/>
        </w:rPr>
        <w:t>足够的消防设施，所有施工人员都应熟悉消防设备的性能和使用方法；乙方不得将任何种类的爆炸物给予、易货或以其他方式转让给任何其他人，或允许、容忍上述同样行为。</w:t>
      </w:r>
    </w:p>
    <w:p w14:paraId="35A30467">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7.操作人员上岗，必须按规定穿戴防护用品。项目经理和安全检查员应随时检查劳动防护用品的穿戴情况，不按规定穿戴防护用品的人员不得上岗。</w:t>
      </w:r>
    </w:p>
    <w:p w14:paraId="49ECA20F">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8.所有施工机械设备和高空作业的设备均应定期检查，并有安全员的签字记录，保证其经常处于完好状态；不合格的机具、设备和劳动保护用品严禁使用。</w:t>
      </w:r>
    </w:p>
    <w:p w14:paraId="1611ED99">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9.施工中采用新技术、新工艺、新设备、新材料时，必须制定相应的安全技术措施，施工现场必须具有相关的安全标志牌。</w:t>
      </w:r>
    </w:p>
    <w:p w14:paraId="48D4B962">
      <w:pPr>
        <w:pStyle w:val="238"/>
        <w:adjustRightInd w:val="0"/>
        <w:snapToGrid w:val="0"/>
        <w:spacing w:line="360" w:lineRule="auto"/>
        <w:ind w:firstLine="526"/>
        <w:rPr>
          <w:rFonts w:ascii="宋体" w:hAnsi="宋体" w:cs="宋体"/>
          <w:color w:val="auto"/>
          <w:highlight w:val="none"/>
        </w:rPr>
      </w:pPr>
      <w:r>
        <w:rPr>
          <w:rFonts w:hint="eastAsia" w:ascii="宋体" w:hAnsi="宋体" w:cs="宋体"/>
          <w:color w:val="auto"/>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3D8C449">
      <w:pPr>
        <w:pStyle w:val="238"/>
        <w:adjustRightInd w:val="0"/>
        <w:snapToGrid w:val="0"/>
        <w:spacing w:line="360" w:lineRule="auto"/>
        <w:ind w:firstLine="528"/>
        <w:rPr>
          <w:rFonts w:ascii="宋体" w:hAnsi="宋体" w:cs="宋体"/>
          <w:b/>
          <w:color w:val="auto"/>
          <w:highlight w:val="none"/>
        </w:rPr>
      </w:pPr>
      <w:bookmarkStart w:id="418" w:name="_Toc419363886"/>
      <w:r>
        <w:rPr>
          <w:rFonts w:hint="eastAsia" w:ascii="宋体" w:hAnsi="宋体" w:cs="宋体"/>
          <w:b/>
          <w:color w:val="auto"/>
          <w:highlight w:val="none"/>
        </w:rPr>
        <w:t>三、违约责任</w:t>
      </w:r>
      <w:bookmarkEnd w:id="418"/>
    </w:p>
    <w:p w14:paraId="4DEEFCA2">
      <w:pPr>
        <w:pStyle w:val="238"/>
        <w:adjustRightInd w:val="0"/>
        <w:snapToGrid w:val="0"/>
        <w:spacing w:line="360" w:lineRule="auto"/>
        <w:ind w:firstLine="426"/>
        <w:rPr>
          <w:rFonts w:ascii="宋体" w:hAnsi="宋体" w:cs="宋体"/>
          <w:color w:val="auto"/>
          <w:highlight w:val="none"/>
        </w:rPr>
      </w:pPr>
      <w:r>
        <w:rPr>
          <w:rFonts w:hint="eastAsia" w:ascii="宋体" w:hAnsi="宋体" w:cs="宋体"/>
          <w:color w:val="auto"/>
          <w:highlight w:val="none"/>
        </w:rPr>
        <w:t>如因甲方或乙方违约造成安全事故，将依法追究责任。</w:t>
      </w:r>
    </w:p>
    <w:p w14:paraId="645EC411">
      <w:pPr>
        <w:pStyle w:val="238"/>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本合同作为主合同附件，正本和副本份数与本合同专用条款第19.2条的约定相同。由双方法定代表人或其授权的代理人签署与加盖公章后生效，全部工程竣工验收后失效。</w:t>
      </w:r>
    </w:p>
    <w:p w14:paraId="2294ABA0">
      <w:pPr>
        <w:pStyle w:val="238"/>
        <w:adjustRightInd w:val="0"/>
        <w:snapToGrid w:val="0"/>
        <w:spacing w:line="500" w:lineRule="exact"/>
        <w:ind w:firstLine="526"/>
        <w:rPr>
          <w:rFonts w:ascii="宋体" w:hAnsi="宋体" w:cs="宋体"/>
          <w:b/>
          <w:color w:val="auto"/>
          <w:szCs w:val="21"/>
          <w:highlight w:val="none"/>
          <w:u w:val="single"/>
        </w:rPr>
      </w:pPr>
      <w:r>
        <w:rPr>
          <w:rFonts w:hint="eastAsia" w:ascii="宋体" w:hAnsi="宋体" w:cs="宋体"/>
          <w:color w:val="auto"/>
          <w:szCs w:val="21"/>
          <w:highlight w:val="none"/>
        </w:rPr>
        <w:t>发包人：</w:t>
      </w:r>
      <w:r>
        <w:rPr>
          <w:rFonts w:hint="eastAsia" w:ascii="宋体" w:hAnsi="宋体" w:cs="宋体"/>
          <w:b/>
          <w:color w:val="auto"/>
          <w:szCs w:val="21"/>
          <w:highlight w:val="none"/>
          <w:u w:val="single"/>
        </w:rPr>
        <w:t>桂林医科大学</w:t>
      </w:r>
    </w:p>
    <w:p w14:paraId="3C88DEBC">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 xml:space="preserve">（公章或合同专用章） </w:t>
      </w:r>
    </w:p>
    <w:p w14:paraId="69D5A251">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法定代表人：</w:t>
      </w:r>
    </w:p>
    <w:p w14:paraId="43C0FD54">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（签字或盖章）</w:t>
      </w:r>
    </w:p>
    <w:p w14:paraId="5DC35BAD">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bCs/>
          <w:color w:val="auto"/>
          <w:highlight w:val="none"/>
        </w:rPr>
        <w:t xml:space="preserve">                </w:t>
      </w:r>
    </w:p>
    <w:p w14:paraId="2AA0E5B9">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日   期：    年    月    日</w:t>
      </w:r>
    </w:p>
    <w:p w14:paraId="7999B6EE">
      <w:pPr>
        <w:pStyle w:val="238"/>
        <w:adjustRightInd w:val="0"/>
        <w:snapToGrid w:val="0"/>
        <w:spacing w:line="500" w:lineRule="exact"/>
        <w:ind w:firstLine="526"/>
        <w:rPr>
          <w:rFonts w:ascii="宋体" w:hAnsi="宋体" w:cs="宋体"/>
          <w:color w:val="auto"/>
          <w:szCs w:val="21"/>
          <w:highlight w:val="none"/>
        </w:rPr>
      </w:pPr>
    </w:p>
    <w:p w14:paraId="190BC8AA">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 xml:space="preserve">承包人：                                  </w:t>
      </w:r>
    </w:p>
    <w:p w14:paraId="741DF380">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 xml:space="preserve">（公章或合同专用章）                    </w:t>
      </w:r>
    </w:p>
    <w:p w14:paraId="3C137C39">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 xml:space="preserve">法定代表人：                         </w:t>
      </w:r>
    </w:p>
    <w:p w14:paraId="529160F6">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 xml:space="preserve">  （签字或盖章）                        </w:t>
      </w:r>
    </w:p>
    <w:p w14:paraId="2E41976F">
      <w:pPr>
        <w:pStyle w:val="238"/>
        <w:adjustRightInd w:val="0"/>
        <w:snapToGrid w:val="0"/>
        <w:spacing w:line="500" w:lineRule="exact"/>
        <w:ind w:firstLine="526"/>
        <w:rPr>
          <w:rFonts w:ascii="宋体" w:hAnsi="宋体" w:cs="宋体"/>
          <w:color w:val="auto"/>
          <w:szCs w:val="21"/>
          <w:highlight w:val="none"/>
        </w:rPr>
      </w:pPr>
      <w:r>
        <w:rPr>
          <w:rFonts w:hint="eastAsia" w:ascii="宋体" w:hAnsi="宋体" w:cs="宋体"/>
          <w:color w:val="auto"/>
          <w:szCs w:val="21"/>
          <w:highlight w:val="none"/>
        </w:rPr>
        <w:t>地   址：</w:t>
      </w:r>
      <w:r>
        <w:rPr>
          <w:rFonts w:hint="eastAsia"/>
          <w:color w:val="auto"/>
          <w:highlight w:val="none"/>
        </w:rPr>
        <w:t xml:space="preserve">               </w:t>
      </w:r>
    </w:p>
    <w:p w14:paraId="255B3D8A">
      <w:pPr>
        <w:pStyle w:val="238"/>
        <w:adjustRightInd w:val="0"/>
        <w:snapToGrid w:val="0"/>
        <w:spacing w:line="360" w:lineRule="auto"/>
        <w:ind w:firstLine="526"/>
        <w:rPr>
          <w:rFonts w:ascii="宋体" w:hAnsi="宋体" w:cs="宋体"/>
          <w:color w:val="auto"/>
          <w:szCs w:val="21"/>
          <w:highlight w:val="none"/>
        </w:rPr>
      </w:pPr>
      <w:r>
        <w:rPr>
          <w:rFonts w:hint="eastAsia" w:ascii="宋体" w:hAnsi="宋体" w:cs="宋体"/>
          <w:color w:val="auto"/>
          <w:szCs w:val="21"/>
          <w:highlight w:val="none"/>
        </w:rPr>
        <w:t>日   期：    年    月    日</w:t>
      </w:r>
    </w:p>
    <w:p w14:paraId="3854A429">
      <w:pPr>
        <w:pStyle w:val="239"/>
        <w:rPr>
          <w:color w:val="auto"/>
          <w:highlight w:val="none"/>
        </w:rPr>
        <w:sectPr>
          <w:pgSz w:w="11906" w:h="16838"/>
          <w:pgMar w:top="935" w:right="1106" w:bottom="1440" w:left="1260" w:header="851" w:footer="992" w:gutter="0"/>
          <w:cols w:space="720" w:num="1"/>
          <w:docGrid w:type="lines" w:linePitch="312" w:charSpace="0"/>
        </w:sectPr>
      </w:pPr>
    </w:p>
    <w:p w14:paraId="222A883F">
      <w:pPr>
        <w:pStyle w:val="229"/>
        <w:rPr>
          <w:color w:val="auto"/>
          <w:highlight w:val="none"/>
        </w:rPr>
      </w:pPr>
      <w:r>
        <w:rPr>
          <w:rFonts w:hint="eastAsia"/>
          <w:color w:val="auto"/>
          <w:highlight w:val="none"/>
        </w:rPr>
        <w:t xml:space="preserve">附件14：   </w:t>
      </w:r>
    </w:p>
    <w:p w14:paraId="54B99A13">
      <w:pPr>
        <w:pStyle w:val="229"/>
        <w:jc w:val="center"/>
        <w:rPr>
          <w:b/>
          <w:bCs/>
          <w:color w:val="auto"/>
          <w:highlight w:val="none"/>
        </w:rPr>
      </w:pPr>
      <w:r>
        <w:rPr>
          <w:rFonts w:hint="eastAsia"/>
          <w:color w:val="auto"/>
          <w:highlight w:val="none"/>
        </w:rPr>
        <w:t>允许调整价格的主要材料和工程设备一览表</w:t>
      </w:r>
    </w:p>
    <w:tbl>
      <w:tblPr>
        <w:tblStyle w:val="46"/>
        <w:tblW w:w="14174" w:type="dxa"/>
        <w:tblInd w:w="0" w:type="dxa"/>
        <w:tblLayout w:type="autofit"/>
        <w:tblCellMar>
          <w:top w:w="0" w:type="dxa"/>
          <w:left w:w="108" w:type="dxa"/>
          <w:bottom w:w="0" w:type="dxa"/>
          <w:right w:w="108" w:type="dxa"/>
        </w:tblCellMar>
      </w:tblPr>
      <w:tblGrid>
        <w:gridCol w:w="686"/>
        <w:gridCol w:w="3767"/>
        <w:gridCol w:w="812"/>
        <w:gridCol w:w="984"/>
        <w:gridCol w:w="1172"/>
        <w:gridCol w:w="1358"/>
        <w:gridCol w:w="1304"/>
        <w:gridCol w:w="1335"/>
        <w:gridCol w:w="270"/>
        <w:gridCol w:w="958"/>
        <w:gridCol w:w="1280"/>
        <w:gridCol w:w="248"/>
      </w:tblGrid>
      <w:tr w14:paraId="5BA9F685">
        <w:tblPrEx>
          <w:tblCellMar>
            <w:top w:w="0" w:type="dxa"/>
            <w:left w:w="108" w:type="dxa"/>
            <w:bottom w:w="0" w:type="dxa"/>
            <w:right w:w="108" w:type="dxa"/>
          </w:tblCellMar>
        </w:tblPrEx>
        <w:trPr>
          <w:trHeight w:val="540" w:hRule="atLeast"/>
        </w:trPr>
        <w:tc>
          <w:tcPr>
            <w:tcW w:w="11688" w:type="dxa"/>
            <w:gridSpan w:val="9"/>
            <w:tcBorders>
              <w:top w:val="nil"/>
              <w:left w:val="nil"/>
              <w:bottom w:val="nil"/>
              <w:right w:val="nil"/>
            </w:tcBorders>
            <w:shd w:val="clear" w:color="auto" w:fill="FFFFFF"/>
            <w:vAlign w:val="bottom"/>
          </w:tcPr>
          <w:p w14:paraId="6F58A5CA">
            <w:pPr>
              <w:widowControl/>
              <w:jc w:val="left"/>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工程名称：</w:t>
            </w:r>
          </w:p>
        </w:tc>
        <w:tc>
          <w:tcPr>
            <w:tcW w:w="2486" w:type="dxa"/>
            <w:gridSpan w:val="3"/>
            <w:tcBorders>
              <w:top w:val="nil"/>
              <w:left w:val="nil"/>
              <w:bottom w:val="nil"/>
              <w:right w:val="nil"/>
            </w:tcBorders>
            <w:shd w:val="clear" w:color="auto" w:fill="FFFFFF"/>
            <w:vAlign w:val="bottom"/>
          </w:tcPr>
          <w:p w14:paraId="36DD1CE3">
            <w:pPr>
              <w:widowControl/>
              <w:jc w:val="left"/>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编号：</w:t>
            </w:r>
          </w:p>
        </w:tc>
      </w:tr>
      <w:tr w14:paraId="5B32E542">
        <w:tblPrEx>
          <w:tblCellMar>
            <w:top w:w="0" w:type="dxa"/>
            <w:left w:w="108" w:type="dxa"/>
            <w:bottom w:w="0" w:type="dxa"/>
            <w:right w:w="108" w:type="dxa"/>
          </w:tblCellMar>
        </w:tblPrEx>
        <w:trPr>
          <w:trHeight w:val="382"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4627">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序号</w:t>
            </w:r>
          </w:p>
        </w:tc>
        <w:tc>
          <w:tcPr>
            <w:tcW w:w="3767" w:type="dxa"/>
            <w:tcBorders>
              <w:top w:val="single" w:color="000000" w:sz="4" w:space="0"/>
              <w:left w:val="nil"/>
              <w:bottom w:val="single" w:color="000000" w:sz="4" w:space="0"/>
              <w:right w:val="single" w:color="000000" w:sz="4" w:space="0"/>
            </w:tcBorders>
            <w:shd w:val="clear" w:color="auto" w:fill="FFFFFF"/>
            <w:vAlign w:val="center"/>
          </w:tcPr>
          <w:p w14:paraId="558706FB">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名称、规格、型号</w:t>
            </w:r>
          </w:p>
        </w:tc>
        <w:tc>
          <w:tcPr>
            <w:tcW w:w="812" w:type="dxa"/>
            <w:tcBorders>
              <w:top w:val="single" w:color="000000" w:sz="4" w:space="0"/>
              <w:left w:val="nil"/>
              <w:bottom w:val="single" w:color="000000" w:sz="4" w:space="0"/>
              <w:right w:val="single" w:color="000000" w:sz="4" w:space="0"/>
            </w:tcBorders>
            <w:shd w:val="clear" w:color="auto" w:fill="FFFFFF"/>
            <w:vAlign w:val="center"/>
          </w:tcPr>
          <w:p w14:paraId="3823A998">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单位</w:t>
            </w:r>
          </w:p>
        </w:tc>
        <w:tc>
          <w:tcPr>
            <w:tcW w:w="984" w:type="dxa"/>
            <w:tcBorders>
              <w:top w:val="single" w:color="000000" w:sz="4" w:space="0"/>
              <w:left w:val="nil"/>
              <w:bottom w:val="single" w:color="000000" w:sz="4" w:space="0"/>
              <w:right w:val="single" w:color="000000" w:sz="4" w:space="0"/>
            </w:tcBorders>
            <w:shd w:val="clear" w:color="auto" w:fill="FFFFFF"/>
            <w:vAlign w:val="center"/>
          </w:tcPr>
          <w:p w14:paraId="4B2E00F6">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数量</w:t>
            </w:r>
          </w:p>
        </w:tc>
        <w:tc>
          <w:tcPr>
            <w:tcW w:w="1172" w:type="dxa"/>
            <w:tcBorders>
              <w:top w:val="single" w:color="000000" w:sz="4" w:space="0"/>
              <w:left w:val="nil"/>
              <w:bottom w:val="single" w:color="000000" w:sz="4" w:space="0"/>
              <w:right w:val="single" w:color="000000" w:sz="4" w:space="0"/>
            </w:tcBorders>
            <w:shd w:val="clear" w:color="auto" w:fill="FFFFFF"/>
            <w:vAlign w:val="center"/>
          </w:tcPr>
          <w:p w14:paraId="3EE7C7EA">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风险系数（%）</w:t>
            </w:r>
          </w:p>
        </w:tc>
        <w:tc>
          <w:tcPr>
            <w:tcW w:w="1358" w:type="dxa"/>
            <w:tcBorders>
              <w:top w:val="single" w:color="000000" w:sz="4" w:space="0"/>
              <w:left w:val="nil"/>
              <w:bottom w:val="single" w:color="000000" w:sz="4" w:space="0"/>
              <w:right w:val="single" w:color="000000" w:sz="4" w:space="0"/>
            </w:tcBorders>
            <w:shd w:val="clear" w:color="auto" w:fill="FFFFFF"/>
            <w:vAlign w:val="center"/>
          </w:tcPr>
          <w:p w14:paraId="5CED4116">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基准单价（元）</w:t>
            </w:r>
          </w:p>
        </w:tc>
        <w:tc>
          <w:tcPr>
            <w:tcW w:w="1304" w:type="dxa"/>
            <w:tcBorders>
              <w:top w:val="single" w:color="000000" w:sz="4" w:space="0"/>
              <w:left w:val="nil"/>
              <w:bottom w:val="single" w:color="000000" w:sz="4" w:space="0"/>
              <w:right w:val="single" w:color="000000" w:sz="4" w:space="0"/>
            </w:tcBorders>
            <w:shd w:val="clear" w:color="auto" w:fill="FFFFFF"/>
            <w:vAlign w:val="center"/>
          </w:tcPr>
          <w:p w14:paraId="14E6C41C">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磋商单价（元）</w:t>
            </w:r>
          </w:p>
        </w:tc>
        <w:tc>
          <w:tcPr>
            <w:tcW w:w="1335" w:type="dxa"/>
            <w:tcBorders>
              <w:top w:val="single" w:color="000000" w:sz="4" w:space="0"/>
              <w:left w:val="nil"/>
              <w:bottom w:val="single" w:color="000000" w:sz="4" w:space="0"/>
              <w:right w:val="single" w:color="000000" w:sz="4" w:space="0"/>
            </w:tcBorders>
            <w:shd w:val="clear" w:color="auto" w:fill="FFFFFF"/>
            <w:vAlign w:val="center"/>
          </w:tcPr>
          <w:p w14:paraId="73FE14D9">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确认单价（元）</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7572CF40">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价差（元）</w:t>
            </w:r>
          </w:p>
        </w:tc>
        <w:tc>
          <w:tcPr>
            <w:tcW w:w="1280" w:type="dxa"/>
            <w:tcBorders>
              <w:top w:val="single" w:color="000000" w:sz="4" w:space="0"/>
              <w:left w:val="nil"/>
              <w:bottom w:val="single" w:color="000000" w:sz="4" w:space="0"/>
              <w:right w:val="single" w:color="000000" w:sz="4" w:space="0"/>
            </w:tcBorders>
            <w:shd w:val="clear" w:color="auto" w:fill="FFFFFF"/>
            <w:vAlign w:val="center"/>
          </w:tcPr>
          <w:p w14:paraId="5085C55B">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合计差价（元）</w:t>
            </w:r>
          </w:p>
        </w:tc>
        <w:tc>
          <w:tcPr>
            <w:tcW w:w="248" w:type="dxa"/>
            <w:tcBorders>
              <w:top w:val="nil"/>
              <w:left w:val="nil"/>
              <w:bottom w:val="nil"/>
              <w:right w:val="nil"/>
            </w:tcBorders>
          </w:tcPr>
          <w:p w14:paraId="36F11EAF">
            <w:pPr>
              <w:widowControl/>
              <w:jc w:val="left"/>
              <w:rPr>
                <w:rFonts w:ascii="Arial" w:hAnsi="Arial" w:cs="Arial"/>
                <w:color w:val="auto"/>
                <w:kern w:val="0"/>
                <w:sz w:val="24"/>
                <w:highlight w:val="none"/>
              </w:rPr>
            </w:pPr>
          </w:p>
        </w:tc>
      </w:tr>
      <w:tr w14:paraId="01E1F8A9">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A91EBF8">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w:t>
            </w:r>
          </w:p>
        </w:tc>
        <w:tc>
          <w:tcPr>
            <w:tcW w:w="3767" w:type="dxa"/>
            <w:tcBorders>
              <w:top w:val="nil"/>
              <w:left w:val="nil"/>
              <w:bottom w:val="single" w:color="000000" w:sz="4" w:space="0"/>
              <w:right w:val="single" w:color="000000" w:sz="4" w:space="0"/>
            </w:tcBorders>
            <w:shd w:val="clear" w:color="auto" w:fill="FFFFFF"/>
            <w:vAlign w:val="center"/>
          </w:tcPr>
          <w:p w14:paraId="5B165E83">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0434A421">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728945F9">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74E664F">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35B79A20">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5FA084A8">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2C0E025D">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307D81C1">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59E78607">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220DAE3C">
            <w:pPr>
              <w:widowControl/>
              <w:jc w:val="left"/>
              <w:rPr>
                <w:rFonts w:ascii="Arial" w:hAnsi="Arial" w:cs="Arial"/>
                <w:color w:val="auto"/>
                <w:kern w:val="0"/>
                <w:sz w:val="24"/>
                <w:highlight w:val="none"/>
              </w:rPr>
            </w:pPr>
          </w:p>
        </w:tc>
      </w:tr>
      <w:tr w14:paraId="6FB80197">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550D1C19">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2</w:t>
            </w:r>
          </w:p>
        </w:tc>
        <w:tc>
          <w:tcPr>
            <w:tcW w:w="3767" w:type="dxa"/>
            <w:tcBorders>
              <w:top w:val="nil"/>
              <w:left w:val="nil"/>
              <w:bottom w:val="single" w:color="000000" w:sz="4" w:space="0"/>
              <w:right w:val="single" w:color="000000" w:sz="4" w:space="0"/>
            </w:tcBorders>
            <w:shd w:val="clear" w:color="auto" w:fill="FFFFFF"/>
            <w:vAlign w:val="center"/>
          </w:tcPr>
          <w:p w14:paraId="72FBC778">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40203603">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2EC4EED4">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540AF768">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43C23A0E">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0D3A0CCC">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07099C32">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16B9D27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71CC6184">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48C604EE">
            <w:pPr>
              <w:widowControl/>
              <w:jc w:val="left"/>
              <w:rPr>
                <w:rFonts w:ascii="Arial" w:hAnsi="Arial" w:cs="Arial"/>
                <w:color w:val="auto"/>
                <w:kern w:val="0"/>
                <w:sz w:val="24"/>
                <w:highlight w:val="none"/>
              </w:rPr>
            </w:pPr>
          </w:p>
        </w:tc>
      </w:tr>
      <w:tr w14:paraId="557013D4">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0121E39D">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3</w:t>
            </w:r>
          </w:p>
        </w:tc>
        <w:tc>
          <w:tcPr>
            <w:tcW w:w="3767" w:type="dxa"/>
            <w:tcBorders>
              <w:top w:val="nil"/>
              <w:left w:val="nil"/>
              <w:bottom w:val="single" w:color="000000" w:sz="4" w:space="0"/>
              <w:right w:val="single" w:color="000000" w:sz="4" w:space="0"/>
            </w:tcBorders>
            <w:shd w:val="clear" w:color="auto" w:fill="FFFFFF"/>
            <w:vAlign w:val="center"/>
          </w:tcPr>
          <w:p w14:paraId="0C25A4ED">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1B34D5FE">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55023199">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5035A53E">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351117D6">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BCC3E30">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157AA24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1CB0A54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3FC0AD8B">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DCE7BCB">
            <w:pPr>
              <w:widowControl/>
              <w:jc w:val="left"/>
              <w:rPr>
                <w:rFonts w:ascii="Arial" w:hAnsi="Arial" w:cs="Arial"/>
                <w:color w:val="auto"/>
                <w:kern w:val="0"/>
                <w:sz w:val="24"/>
                <w:highlight w:val="none"/>
              </w:rPr>
            </w:pPr>
          </w:p>
        </w:tc>
      </w:tr>
      <w:tr w14:paraId="1618F59B">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7B59A3C">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4</w:t>
            </w:r>
          </w:p>
        </w:tc>
        <w:tc>
          <w:tcPr>
            <w:tcW w:w="3767" w:type="dxa"/>
            <w:tcBorders>
              <w:top w:val="nil"/>
              <w:left w:val="nil"/>
              <w:bottom w:val="single" w:color="000000" w:sz="4" w:space="0"/>
              <w:right w:val="single" w:color="000000" w:sz="4" w:space="0"/>
            </w:tcBorders>
            <w:shd w:val="clear" w:color="auto" w:fill="FFFFFF"/>
            <w:vAlign w:val="center"/>
          </w:tcPr>
          <w:p w14:paraId="1CEAD10E">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762D715">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25E22808">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702687DB">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1136CB4E">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E2234CA">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0150383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7D88B818">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10B5A1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2B8B3264">
            <w:pPr>
              <w:widowControl/>
              <w:jc w:val="left"/>
              <w:rPr>
                <w:rFonts w:ascii="Arial" w:hAnsi="Arial" w:cs="Arial"/>
                <w:color w:val="auto"/>
                <w:kern w:val="0"/>
                <w:sz w:val="24"/>
                <w:highlight w:val="none"/>
              </w:rPr>
            </w:pPr>
          </w:p>
        </w:tc>
      </w:tr>
      <w:tr w14:paraId="1241043B">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56930107">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5</w:t>
            </w:r>
          </w:p>
        </w:tc>
        <w:tc>
          <w:tcPr>
            <w:tcW w:w="3767" w:type="dxa"/>
            <w:tcBorders>
              <w:top w:val="nil"/>
              <w:left w:val="nil"/>
              <w:bottom w:val="single" w:color="000000" w:sz="4" w:space="0"/>
              <w:right w:val="single" w:color="000000" w:sz="4" w:space="0"/>
            </w:tcBorders>
            <w:shd w:val="clear" w:color="auto" w:fill="FFFFFF"/>
            <w:vAlign w:val="center"/>
          </w:tcPr>
          <w:p w14:paraId="609B5733">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426D2608">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7058C6F6">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8D5C534">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5BFB1CDA">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4B8EC38B">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3EF0780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2A385CF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4F521ADC">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1BDD4231">
            <w:pPr>
              <w:widowControl/>
              <w:jc w:val="left"/>
              <w:rPr>
                <w:rFonts w:ascii="Arial" w:hAnsi="Arial" w:cs="Arial"/>
                <w:color w:val="auto"/>
                <w:kern w:val="0"/>
                <w:sz w:val="24"/>
                <w:highlight w:val="none"/>
              </w:rPr>
            </w:pPr>
          </w:p>
        </w:tc>
      </w:tr>
      <w:tr w14:paraId="13B53D19">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634C0846">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6</w:t>
            </w:r>
          </w:p>
        </w:tc>
        <w:tc>
          <w:tcPr>
            <w:tcW w:w="3767" w:type="dxa"/>
            <w:tcBorders>
              <w:top w:val="nil"/>
              <w:left w:val="nil"/>
              <w:bottom w:val="single" w:color="000000" w:sz="4" w:space="0"/>
              <w:right w:val="single" w:color="000000" w:sz="4" w:space="0"/>
            </w:tcBorders>
            <w:shd w:val="clear" w:color="auto" w:fill="FFFFFF"/>
            <w:vAlign w:val="center"/>
          </w:tcPr>
          <w:p w14:paraId="76E65226">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CEA6B25">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481D67A5">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2B1E12DD">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3BC66DAB">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466A1A9A">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6F8B6BD8">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52B53EDE">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E39BF2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867730A">
            <w:pPr>
              <w:widowControl/>
              <w:jc w:val="left"/>
              <w:rPr>
                <w:rFonts w:ascii="Arial" w:hAnsi="Arial" w:cs="Arial"/>
                <w:color w:val="auto"/>
                <w:kern w:val="0"/>
                <w:sz w:val="24"/>
                <w:highlight w:val="none"/>
              </w:rPr>
            </w:pPr>
          </w:p>
        </w:tc>
      </w:tr>
      <w:tr w14:paraId="3F8AAE54">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2AF5A23A">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7</w:t>
            </w:r>
          </w:p>
        </w:tc>
        <w:tc>
          <w:tcPr>
            <w:tcW w:w="3767" w:type="dxa"/>
            <w:tcBorders>
              <w:top w:val="nil"/>
              <w:left w:val="nil"/>
              <w:bottom w:val="single" w:color="000000" w:sz="4" w:space="0"/>
              <w:right w:val="single" w:color="000000" w:sz="4" w:space="0"/>
            </w:tcBorders>
            <w:shd w:val="clear" w:color="auto" w:fill="FFFFFF"/>
            <w:vAlign w:val="center"/>
          </w:tcPr>
          <w:p w14:paraId="2C5D631D">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15B0136C">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1EE5DF71">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73B9B748">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36B93F11">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BB53707">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720D0F29">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7A0B8F67">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288957D5">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37FB5222">
            <w:pPr>
              <w:widowControl/>
              <w:jc w:val="left"/>
              <w:rPr>
                <w:rFonts w:ascii="Arial" w:hAnsi="Arial" w:cs="Arial"/>
                <w:color w:val="auto"/>
                <w:kern w:val="0"/>
                <w:sz w:val="24"/>
                <w:highlight w:val="none"/>
              </w:rPr>
            </w:pPr>
          </w:p>
        </w:tc>
      </w:tr>
      <w:tr w14:paraId="3B79CCBF">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64EAD66">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8</w:t>
            </w:r>
          </w:p>
        </w:tc>
        <w:tc>
          <w:tcPr>
            <w:tcW w:w="3767" w:type="dxa"/>
            <w:tcBorders>
              <w:top w:val="nil"/>
              <w:left w:val="nil"/>
              <w:bottom w:val="single" w:color="000000" w:sz="4" w:space="0"/>
              <w:right w:val="single" w:color="000000" w:sz="4" w:space="0"/>
            </w:tcBorders>
            <w:shd w:val="clear" w:color="auto" w:fill="FFFFFF"/>
            <w:vAlign w:val="center"/>
          </w:tcPr>
          <w:p w14:paraId="535EF693">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D263B0B">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3EB40670">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B67D0D4">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78C31C32">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701D996E">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3A94072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5BE21B55">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C3F7B60">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7A6CD023">
            <w:pPr>
              <w:widowControl/>
              <w:jc w:val="left"/>
              <w:rPr>
                <w:rFonts w:ascii="Arial" w:hAnsi="Arial" w:cs="Arial"/>
                <w:color w:val="auto"/>
                <w:kern w:val="0"/>
                <w:sz w:val="24"/>
                <w:highlight w:val="none"/>
              </w:rPr>
            </w:pPr>
          </w:p>
        </w:tc>
      </w:tr>
      <w:tr w14:paraId="5042771E">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4AB082F1">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9</w:t>
            </w:r>
          </w:p>
        </w:tc>
        <w:tc>
          <w:tcPr>
            <w:tcW w:w="3767" w:type="dxa"/>
            <w:tcBorders>
              <w:top w:val="nil"/>
              <w:left w:val="nil"/>
              <w:bottom w:val="single" w:color="000000" w:sz="4" w:space="0"/>
              <w:right w:val="single" w:color="000000" w:sz="4" w:space="0"/>
            </w:tcBorders>
            <w:shd w:val="clear" w:color="auto" w:fill="FFFFFF"/>
            <w:vAlign w:val="center"/>
          </w:tcPr>
          <w:p w14:paraId="709C434C">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35CE9C18">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52470455">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097E12E4">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44A7586B">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2F7E56C">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5B29574B">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5C06CA2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0B857E27">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1B45650D">
            <w:pPr>
              <w:widowControl/>
              <w:jc w:val="left"/>
              <w:rPr>
                <w:rFonts w:ascii="Arial" w:hAnsi="Arial" w:cs="Arial"/>
                <w:color w:val="auto"/>
                <w:kern w:val="0"/>
                <w:sz w:val="24"/>
                <w:highlight w:val="none"/>
              </w:rPr>
            </w:pPr>
          </w:p>
        </w:tc>
      </w:tr>
      <w:tr w14:paraId="482A2DF0">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20E09A1C">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10</w:t>
            </w:r>
          </w:p>
        </w:tc>
        <w:tc>
          <w:tcPr>
            <w:tcW w:w="3767" w:type="dxa"/>
            <w:tcBorders>
              <w:top w:val="nil"/>
              <w:left w:val="nil"/>
              <w:bottom w:val="single" w:color="000000" w:sz="4" w:space="0"/>
              <w:right w:val="single" w:color="000000" w:sz="4" w:space="0"/>
            </w:tcBorders>
            <w:shd w:val="clear" w:color="auto" w:fill="FFFFFF"/>
            <w:vAlign w:val="center"/>
          </w:tcPr>
          <w:p w14:paraId="6384E056">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7B9F3DF9">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27196787">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4A57971">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2B309DE6">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03263CBA">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6CF45993">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751D4A79">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7FBEEE47">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5AC81067">
            <w:pPr>
              <w:widowControl/>
              <w:jc w:val="left"/>
              <w:rPr>
                <w:rFonts w:ascii="Arial" w:hAnsi="Arial" w:cs="Arial"/>
                <w:color w:val="auto"/>
                <w:kern w:val="0"/>
                <w:sz w:val="24"/>
                <w:highlight w:val="none"/>
              </w:rPr>
            </w:pPr>
          </w:p>
        </w:tc>
      </w:tr>
      <w:tr w14:paraId="4675B55B">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153126F5">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11</w:t>
            </w:r>
          </w:p>
        </w:tc>
        <w:tc>
          <w:tcPr>
            <w:tcW w:w="3767" w:type="dxa"/>
            <w:tcBorders>
              <w:top w:val="nil"/>
              <w:left w:val="nil"/>
              <w:bottom w:val="single" w:color="000000" w:sz="4" w:space="0"/>
              <w:right w:val="single" w:color="000000" w:sz="4" w:space="0"/>
            </w:tcBorders>
            <w:shd w:val="clear" w:color="auto" w:fill="FFFFFF"/>
            <w:vAlign w:val="center"/>
          </w:tcPr>
          <w:p w14:paraId="19B04585">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1A67C1DB">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1984AD6D">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1FDF149">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561E4A52">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63160C98">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5FEE1722">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4BFA4D1E">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5C6D429A">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66A0EB74">
            <w:pPr>
              <w:widowControl/>
              <w:jc w:val="left"/>
              <w:rPr>
                <w:rFonts w:ascii="Arial" w:hAnsi="Arial" w:cs="Arial"/>
                <w:color w:val="auto"/>
                <w:kern w:val="0"/>
                <w:sz w:val="24"/>
                <w:highlight w:val="none"/>
              </w:rPr>
            </w:pPr>
          </w:p>
        </w:tc>
      </w:tr>
      <w:tr w14:paraId="2650EE2B">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2CBB3356">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12</w:t>
            </w:r>
          </w:p>
        </w:tc>
        <w:tc>
          <w:tcPr>
            <w:tcW w:w="3767" w:type="dxa"/>
            <w:tcBorders>
              <w:top w:val="nil"/>
              <w:left w:val="nil"/>
              <w:bottom w:val="single" w:color="000000" w:sz="4" w:space="0"/>
              <w:right w:val="single" w:color="000000" w:sz="4" w:space="0"/>
            </w:tcBorders>
            <w:shd w:val="clear" w:color="auto" w:fill="FFFFFF"/>
            <w:vAlign w:val="center"/>
          </w:tcPr>
          <w:p w14:paraId="24AD2477">
            <w:pPr>
              <w:widowControl/>
              <w:jc w:val="left"/>
              <w:rPr>
                <w:rFonts w:ascii="宋体" w:hAnsi="宋体" w:cs="Arial"/>
                <w:color w:val="auto"/>
                <w:kern w:val="0"/>
                <w:sz w:val="18"/>
                <w:szCs w:val="18"/>
                <w:highlight w:val="none"/>
              </w:rPr>
            </w:pPr>
          </w:p>
        </w:tc>
        <w:tc>
          <w:tcPr>
            <w:tcW w:w="812" w:type="dxa"/>
            <w:tcBorders>
              <w:top w:val="nil"/>
              <w:left w:val="nil"/>
              <w:bottom w:val="single" w:color="000000" w:sz="4" w:space="0"/>
              <w:right w:val="single" w:color="000000" w:sz="4" w:space="0"/>
            </w:tcBorders>
            <w:shd w:val="clear" w:color="auto" w:fill="FFFFFF"/>
            <w:vAlign w:val="center"/>
          </w:tcPr>
          <w:p w14:paraId="215CA1E1">
            <w:pPr>
              <w:widowControl/>
              <w:jc w:val="center"/>
              <w:rPr>
                <w:rFonts w:ascii="宋体" w:hAnsi="宋体" w:cs="Arial"/>
                <w:color w:val="auto"/>
                <w:kern w:val="0"/>
                <w:sz w:val="18"/>
                <w:szCs w:val="18"/>
                <w:highlight w:val="none"/>
              </w:rPr>
            </w:pPr>
          </w:p>
        </w:tc>
        <w:tc>
          <w:tcPr>
            <w:tcW w:w="984" w:type="dxa"/>
            <w:tcBorders>
              <w:top w:val="nil"/>
              <w:left w:val="nil"/>
              <w:bottom w:val="single" w:color="000000" w:sz="4" w:space="0"/>
              <w:right w:val="single" w:color="000000" w:sz="4" w:space="0"/>
            </w:tcBorders>
            <w:shd w:val="clear" w:color="auto" w:fill="FFFFFF"/>
            <w:vAlign w:val="center"/>
          </w:tcPr>
          <w:p w14:paraId="79BAF480">
            <w:pPr>
              <w:widowControl/>
              <w:jc w:val="right"/>
              <w:rPr>
                <w:rFonts w:ascii="宋体" w:hAnsi="宋体" w:cs="Arial"/>
                <w:color w:val="auto"/>
                <w:kern w:val="0"/>
                <w:sz w:val="18"/>
                <w:szCs w:val="18"/>
                <w:highlight w:val="none"/>
              </w:rPr>
            </w:pPr>
          </w:p>
        </w:tc>
        <w:tc>
          <w:tcPr>
            <w:tcW w:w="1172" w:type="dxa"/>
            <w:tcBorders>
              <w:top w:val="nil"/>
              <w:left w:val="nil"/>
              <w:bottom w:val="single" w:color="000000" w:sz="4" w:space="0"/>
              <w:right w:val="single" w:color="000000" w:sz="4" w:space="0"/>
            </w:tcBorders>
            <w:shd w:val="clear" w:color="auto" w:fill="FFFFFF"/>
            <w:vAlign w:val="center"/>
          </w:tcPr>
          <w:p w14:paraId="1442C272">
            <w:pPr>
              <w:widowControl/>
              <w:jc w:val="right"/>
              <w:rPr>
                <w:rFonts w:ascii="宋体" w:hAnsi="宋体" w:cs="Arial"/>
                <w:color w:val="auto"/>
                <w:kern w:val="0"/>
                <w:sz w:val="18"/>
                <w:szCs w:val="18"/>
                <w:highlight w:val="none"/>
              </w:rPr>
            </w:pPr>
          </w:p>
        </w:tc>
        <w:tc>
          <w:tcPr>
            <w:tcW w:w="1358" w:type="dxa"/>
            <w:tcBorders>
              <w:top w:val="nil"/>
              <w:left w:val="nil"/>
              <w:bottom w:val="single" w:color="000000" w:sz="4" w:space="0"/>
              <w:right w:val="single" w:color="000000" w:sz="4" w:space="0"/>
            </w:tcBorders>
            <w:shd w:val="clear" w:color="auto" w:fill="FFFFFF"/>
            <w:vAlign w:val="center"/>
          </w:tcPr>
          <w:p w14:paraId="602A5146">
            <w:pPr>
              <w:widowControl/>
              <w:jc w:val="right"/>
              <w:rPr>
                <w:rFonts w:ascii="宋体" w:hAnsi="宋体" w:cs="Arial"/>
                <w:color w:val="auto"/>
                <w:kern w:val="0"/>
                <w:sz w:val="18"/>
                <w:szCs w:val="18"/>
                <w:highlight w:val="none"/>
              </w:rPr>
            </w:pPr>
          </w:p>
        </w:tc>
        <w:tc>
          <w:tcPr>
            <w:tcW w:w="1304" w:type="dxa"/>
            <w:tcBorders>
              <w:top w:val="nil"/>
              <w:left w:val="nil"/>
              <w:bottom w:val="single" w:color="000000" w:sz="4" w:space="0"/>
              <w:right w:val="single" w:color="000000" w:sz="4" w:space="0"/>
            </w:tcBorders>
            <w:shd w:val="clear" w:color="auto" w:fill="FFFFFF"/>
            <w:vAlign w:val="center"/>
          </w:tcPr>
          <w:p w14:paraId="527CDDAB">
            <w:pPr>
              <w:widowControl/>
              <w:jc w:val="right"/>
              <w:rPr>
                <w:rFonts w:ascii="宋体" w:hAnsi="宋体" w:cs="Arial"/>
                <w:color w:val="auto"/>
                <w:kern w:val="0"/>
                <w:sz w:val="18"/>
                <w:szCs w:val="18"/>
                <w:highlight w:val="none"/>
              </w:rPr>
            </w:pPr>
          </w:p>
        </w:tc>
        <w:tc>
          <w:tcPr>
            <w:tcW w:w="1335" w:type="dxa"/>
            <w:tcBorders>
              <w:top w:val="nil"/>
              <w:left w:val="nil"/>
              <w:bottom w:val="single" w:color="000000" w:sz="4" w:space="0"/>
              <w:right w:val="single" w:color="000000" w:sz="4" w:space="0"/>
            </w:tcBorders>
            <w:shd w:val="clear" w:color="auto" w:fill="FFFFFF"/>
            <w:vAlign w:val="center"/>
          </w:tcPr>
          <w:p w14:paraId="1B50D0E6">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066AD0FD">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4AE02DAF">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1545801F">
            <w:pPr>
              <w:widowControl/>
              <w:jc w:val="left"/>
              <w:rPr>
                <w:rFonts w:ascii="Arial" w:hAnsi="Arial" w:cs="Arial"/>
                <w:color w:val="auto"/>
                <w:kern w:val="0"/>
                <w:sz w:val="24"/>
                <w:highlight w:val="none"/>
              </w:rPr>
            </w:pPr>
          </w:p>
        </w:tc>
      </w:tr>
      <w:tr w14:paraId="2DC03680">
        <w:tblPrEx>
          <w:tblCellMar>
            <w:top w:w="0" w:type="dxa"/>
            <w:left w:w="108" w:type="dxa"/>
            <w:bottom w:w="0" w:type="dxa"/>
            <w:right w:w="108" w:type="dxa"/>
          </w:tblCellMar>
        </w:tblPrEx>
        <w:trPr>
          <w:trHeight w:val="382" w:hRule="atLeast"/>
        </w:trPr>
        <w:tc>
          <w:tcPr>
            <w:tcW w:w="686" w:type="dxa"/>
            <w:tcBorders>
              <w:top w:val="nil"/>
              <w:left w:val="single" w:color="000000" w:sz="4" w:space="0"/>
              <w:bottom w:val="single" w:color="000000" w:sz="4" w:space="0"/>
              <w:right w:val="single" w:color="000000" w:sz="4" w:space="0"/>
            </w:tcBorders>
            <w:shd w:val="clear" w:color="auto" w:fill="FFFFFF"/>
            <w:vAlign w:val="center"/>
          </w:tcPr>
          <w:p w14:paraId="09CDB759">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13</w:t>
            </w:r>
          </w:p>
        </w:tc>
        <w:tc>
          <w:tcPr>
            <w:tcW w:w="3767" w:type="dxa"/>
            <w:tcBorders>
              <w:top w:val="nil"/>
              <w:left w:val="nil"/>
              <w:bottom w:val="single" w:color="000000" w:sz="4" w:space="0"/>
              <w:right w:val="single" w:color="000000" w:sz="4" w:space="0"/>
            </w:tcBorders>
            <w:shd w:val="clear" w:color="auto" w:fill="FFFFFF"/>
            <w:vAlign w:val="center"/>
          </w:tcPr>
          <w:p w14:paraId="33FF8F00">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rPr>
              <w:t xml:space="preserve">            合       计</w:t>
            </w:r>
          </w:p>
        </w:tc>
        <w:tc>
          <w:tcPr>
            <w:tcW w:w="812" w:type="dxa"/>
            <w:tcBorders>
              <w:top w:val="nil"/>
              <w:left w:val="nil"/>
              <w:bottom w:val="single" w:color="000000" w:sz="4" w:space="0"/>
              <w:right w:val="single" w:color="000000" w:sz="4" w:space="0"/>
            </w:tcBorders>
            <w:shd w:val="clear" w:color="auto" w:fill="FFFFFF"/>
            <w:vAlign w:val="center"/>
          </w:tcPr>
          <w:p w14:paraId="6E1DB948">
            <w:pPr>
              <w:widowControl/>
              <w:jc w:val="center"/>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984" w:type="dxa"/>
            <w:tcBorders>
              <w:top w:val="nil"/>
              <w:left w:val="nil"/>
              <w:bottom w:val="single" w:color="000000" w:sz="4" w:space="0"/>
              <w:right w:val="single" w:color="000000" w:sz="4" w:space="0"/>
            </w:tcBorders>
            <w:shd w:val="clear" w:color="auto" w:fill="FFFFFF"/>
            <w:vAlign w:val="center"/>
          </w:tcPr>
          <w:p w14:paraId="0559E789">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172" w:type="dxa"/>
            <w:tcBorders>
              <w:top w:val="nil"/>
              <w:left w:val="nil"/>
              <w:bottom w:val="single" w:color="000000" w:sz="4" w:space="0"/>
              <w:right w:val="single" w:color="000000" w:sz="4" w:space="0"/>
            </w:tcBorders>
            <w:shd w:val="clear" w:color="auto" w:fill="FFFFFF"/>
            <w:vAlign w:val="center"/>
          </w:tcPr>
          <w:p w14:paraId="6514274B">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58" w:type="dxa"/>
            <w:tcBorders>
              <w:top w:val="nil"/>
              <w:left w:val="nil"/>
              <w:bottom w:val="single" w:color="000000" w:sz="4" w:space="0"/>
              <w:right w:val="single" w:color="000000" w:sz="4" w:space="0"/>
            </w:tcBorders>
            <w:shd w:val="clear" w:color="auto" w:fill="FFFFFF"/>
            <w:vAlign w:val="center"/>
          </w:tcPr>
          <w:p w14:paraId="51344EBF">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04" w:type="dxa"/>
            <w:tcBorders>
              <w:top w:val="nil"/>
              <w:left w:val="nil"/>
              <w:bottom w:val="single" w:color="000000" w:sz="4" w:space="0"/>
              <w:right w:val="single" w:color="000000" w:sz="4" w:space="0"/>
            </w:tcBorders>
            <w:shd w:val="clear" w:color="auto" w:fill="FFFFFF"/>
            <w:vAlign w:val="center"/>
          </w:tcPr>
          <w:p w14:paraId="5EBDE1CE">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335" w:type="dxa"/>
            <w:tcBorders>
              <w:top w:val="nil"/>
              <w:left w:val="nil"/>
              <w:bottom w:val="single" w:color="000000" w:sz="4" w:space="0"/>
              <w:right w:val="single" w:color="000000" w:sz="4" w:space="0"/>
            </w:tcBorders>
            <w:shd w:val="clear" w:color="auto" w:fill="FFFFFF"/>
            <w:vAlign w:val="center"/>
          </w:tcPr>
          <w:p w14:paraId="358C95AC">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28" w:type="dxa"/>
            <w:gridSpan w:val="2"/>
            <w:tcBorders>
              <w:top w:val="single" w:color="000000" w:sz="4" w:space="0"/>
              <w:left w:val="nil"/>
              <w:bottom w:val="single" w:color="000000" w:sz="4" w:space="0"/>
              <w:right w:val="single" w:color="000000" w:sz="4" w:space="0"/>
            </w:tcBorders>
            <w:shd w:val="clear" w:color="auto" w:fill="FFFFFF"/>
            <w:vAlign w:val="center"/>
          </w:tcPr>
          <w:p w14:paraId="6D56A84B">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1280" w:type="dxa"/>
            <w:tcBorders>
              <w:top w:val="nil"/>
              <w:left w:val="nil"/>
              <w:bottom w:val="single" w:color="000000" w:sz="4" w:space="0"/>
              <w:right w:val="single" w:color="000000" w:sz="4" w:space="0"/>
            </w:tcBorders>
            <w:shd w:val="clear" w:color="auto" w:fill="FFFFFF"/>
            <w:vAlign w:val="center"/>
          </w:tcPr>
          <w:p w14:paraId="30834A05">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48" w:type="dxa"/>
            <w:tcBorders>
              <w:top w:val="nil"/>
              <w:left w:val="nil"/>
              <w:bottom w:val="nil"/>
              <w:right w:val="nil"/>
            </w:tcBorders>
          </w:tcPr>
          <w:p w14:paraId="37BB7690">
            <w:pPr>
              <w:widowControl/>
              <w:jc w:val="left"/>
              <w:rPr>
                <w:rFonts w:ascii="Arial" w:hAnsi="Arial" w:cs="Arial"/>
                <w:color w:val="auto"/>
                <w:kern w:val="0"/>
                <w:sz w:val="24"/>
                <w:highlight w:val="none"/>
              </w:rPr>
            </w:pPr>
          </w:p>
        </w:tc>
      </w:tr>
    </w:tbl>
    <w:p w14:paraId="41F78B37">
      <w:pPr>
        <w:rPr>
          <w:vanish/>
          <w:color w:val="auto"/>
          <w:highlight w:val="none"/>
        </w:rPr>
      </w:pPr>
    </w:p>
    <w:p w14:paraId="50A49818">
      <w:pPr>
        <w:rPr>
          <w:color w:val="auto"/>
          <w:highlight w:val="none"/>
        </w:rPr>
      </w:pPr>
      <w:r>
        <w:rPr>
          <w:rFonts w:hint="eastAsia"/>
          <w:color w:val="auto"/>
          <w:highlight w:val="none"/>
        </w:rPr>
        <w:t>注：1.此表由采购人填写除“磋商单价”栏的内容，供应商在磋商时自主确定磋商单价。</w:t>
      </w:r>
    </w:p>
    <w:p w14:paraId="556BA5C3">
      <w:pPr>
        <w:rPr>
          <w:color w:val="auto"/>
          <w:highlight w:val="none"/>
        </w:rPr>
      </w:pPr>
      <w:r>
        <w:rPr>
          <w:rFonts w:hint="eastAsia"/>
          <w:color w:val="auto"/>
          <w:highlight w:val="none"/>
        </w:rPr>
        <w:t>2.采购人应优先采用工程造价管理机构发布的单价作为基础单价，未发布的，通过市场调查确定其基准单价。</w:t>
      </w:r>
    </w:p>
    <w:p w14:paraId="1DC309E6">
      <w:pPr>
        <w:pStyle w:val="2"/>
        <w:rPr>
          <w:color w:val="auto"/>
          <w:highlight w:val="none"/>
        </w:rPr>
      </w:pPr>
    </w:p>
    <w:sectPr>
      <w:headerReference r:id="rId14" w:type="first"/>
      <w:footerReference r:id="rId16" w:type="first"/>
      <w:headerReference r:id="rId12" w:type="default"/>
      <w:footerReference r:id="rId15" w:type="default"/>
      <w:headerReference r:id="rId13" w:type="even"/>
      <w:pgSz w:w="16838" w:h="11906" w:orient="landscape"/>
      <w:pgMar w:top="1587"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宋体;SimSun">
    <w:altName w:val="宋体"/>
    <w:panose1 w:val="00000000000000000000"/>
    <w:charset w:val="86"/>
    <w:family w:val="roman"/>
    <w:pitch w:val="default"/>
    <w:sig w:usb0="00000000"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23DD">
    <w:pPr>
      <w:pStyle w:val="3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D8D4B">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gbNA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gbNABAACqAwAADgAAAAAAAAABACAAAAAeAQAAZHJz&#10;L2Uyb0RvYy54bWxQSwUGAAAAAAYABgBZAQAAYAUAAAAA&#10;">
              <v:fill on="f" focussize="0,0"/>
              <v:stroke on="f"/>
              <v:imagedata o:title=""/>
              <o:lock v:ext="edit" aspectratio="f"/>
              <v:textbox inset="0mm,0mm,0mm,0mm" style="mso-fit-shape-to-text:t;">
                <w:txbxContent>
                  <w:p w14:paraId="53AD8D4B">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5450CAC6">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553253"/>
    </w:sdtPr>
    <w:sdtContent>
      <w:p w14:paraId="6E7F96FB">
        <w:pPr>
          <w:pStyle w:val="31"/>
          <w:jc w:val="center"/>
        </w:pPr>
        <w:r>
          <w:fldChar w:fldCharType="begin"/>
        </w:r>
        <w:r>
          <w:instrText xml:space="preserve">PAGE   \* MERGEFORMAT</w:instrText>
        </w:r>
        <w:r>
          <w:fldChar w:fldCharType="separate"/>
        </w:r>
        <w:r>
          <w:rPr>
            <w:lang w:val="zh-CN"/>
          </w:rPr>
          <w:t>0</w:t>
        </w:r>
        <w:r>
          <w:fldChar w:fldCharType="end"/>
        </w:r>
      </w:p>
    </w:sdtContent>
  </w:sdt>
  <w:p w14:paraId="2FD0061C">
    <w:pPr>
      <w:pStyle w:val="31"/>
      <w:tabs>
        <w:tab w:val="center" w:pos="443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C364">
    <w:pPr>
      <w:pStyle w:val="31"/>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46</w:t>
    </w:r>
    <w:r>
      <w:rPr>
        <w:rStyle w:val="51"/>
      </w:rPr>
      <w:fldChar w:fldCharType="end"/>
    </w:r>
  </w:p>
  <w:p w14:paraId="4BB9ADEB">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E2ED">
    <w:pPr>
      <w:pStyle w:val="31"/>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14:paraId="6A9AA198">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658B">
    <w:pPr>
      <w:pStyle w:val="31"/>
      <w:jc w:val="center"/>
    </w:pPr>
  </w:p>
  <w:p w14:paraId="3F835778">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272B">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C24EB9">
                          <w:pPr>
                            <w:pStyle w:val="31"/>
                            <w:jc w:val="center"/>
                          </w:pPr>
                          <w:r>
                            <w:fldChar w:fldCharType="begin"/>
                          </w:r>
                          <w:r>
                            <w:instrText xml:space="preserve"> PAGE  \* MERGEFORMAT </w:instrText>
                          </w:r>
                          <w:r>
                            <w:fldChar w:fldCharType="separate"/>
                          </w:r>
                          <w:r>
                            <w:t>167</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14:paraId="3BC24EB9">
                    <w:pPr>
                      <w:pStyle w:val="31"/>
                      <w:jc w:val="center"/>
                    </w:pPr>
                    <w:r>
                      <w:fldChar w:fldCharType="begin"/>
                    </w:r>
                    <w:r>
                      <w:instrText xml:space="preserve"> PAGE  \* MERGEFORMAT </w:instrText>
                    </w:r>
                    <w:r>
                      <w:fldChar w:fldCharType="separate"/>
                    </w:r>
                    <w:r>
                      <w:t>167</w:t>
                    </w:r>
                    <w:r>
                      <w:fldChar w:fldCharType="end"/>
                    </w:r>
                  </w:p>
                </w:txbxContent>
              </v:textbox>
            </v:shape>
          </w:pict>
        </mc:Fallback>
      </mc:AlternateContent>
    </w:r>
  </w:p>
  <w:p w14:paraId="1E417052">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82C7">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65CD56">
                          <w:pPr>
                            <w:pStyle w:val="31"/>
                          </w:pPr>
                          <w:r>
                            <w:fldChar w:fldCharType="begin"/>
                          </w:r>
                          <w:r>
                            <w:instrText xml:space="preserve"> PAGE  \* MERGEFORMAT </w:instrText>
                          </w:r>
                          <w:r>
                            <w:fldChar w:fldCharType="separate"/>
                          </w:r>
                          <w:r>
                            <w:t>131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14:paraId="1065CD56">
                    <w:pPr>
                      <w:pStyle w:val="31"/>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279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ADE5">
    <w:pPr>
      <w:pStyle w:val="3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36895" cy="4980940"/>
          <wp:effectExtent l="0" t="0" r="1905" b="10160"/>
          <wp:wrapNone/>
          <wp:docPr id="5"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4EA7">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8B88">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682A">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76E1">
    <w:pPr>
      <w:pStyle w:val="32"/>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BC27D">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46384"/>
    <w:multiLevelType w:val="singleLevel"/>
    <w:tmpl w:val="E6C46384"/>
    <w:lvl w:ilvl="0" w:tentative="0">
      <w:start w:val="1"/>
      <w:numFmt w:val="decimal"/>
      <w:suff w:val="nothing"/>
      <w:lvlText w:val="（%1）"/>
      <w:lvlJc w:val="left"/>
      <w:rPr>
        <w:rFonts w:hint="default"/>
        <w:b w:val="0"/>
        <w:bCs w:val="0"/>
      </w:rPr>
    </w:lvl>
  </w:abstractNum>
  <w:abstractNum w:abstractNumId="1">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7D335EF8"/>
    <w:multiLevelType w:val="singleLevel"/>
    <w:tmpl w:val="7D335EF8"/>
    <w:lvl w:ilvl="0" w:tentative="0">
      <w:start w:val="1"/>
      <w:numFmt w:val="decimal"/>
      <w:suff w:val="space"/>
      <w:lvlText w:val="%1."/>
      <w:lvlJc w:val="left"/>
      <w:pPr>
        <w:ind w:left="0" w:firstLine="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172A27"/>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076"/>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506DE"/>
    <w:rsid w:val="000509D9"/>
    <w:rsid w:val="00050C02"/>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6FE"/>
    <w:rsid w:val="00072AED"/>
    <w:rsid w:val="000734D6"/>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515"/>
    <w:rsid w:val="000B79FC"/>
    <w:rsid w:val="000B7E0A"/>
    <w:rsid w:val="000C144E"/>
    <w:rsid w:val="000C1679"/>
    <w:rsid w:val="000C190E"/>
    <w:rsid w:val="000C1953"/>
    <w:rsid w:val="000C1BFE"/>
    <w:rsid w:val="000C1EE3"/>
    <w:rsid w:val="000C3346"/>
    <w:rsid w:val="000C370B"/>
    <w:rsid w:val="000C3AE7"/>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5EED"/>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4BA6"/>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5D2B"/>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669"/>
    <w:rsid w:val="00184F57"/>
    <w:rsid w:val="00185091"/>
    <w:rsid w:val="00185544"/>
    <w:rsid w:val="00185617"/>
    <w:rsid w:val="00186FE1"/>
    <w:rsid w:val="00187A14"/>
    <w:rsid w:val="00190D50"/>
    <w:rsid w:val="00191177"/>
    <w:rsid w:val="0019171E"/>
    <w:rsid w:val="0019224D"/>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187"/>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375"/>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532"/>
    <w:rsid w:val="001F6C96"/>
    <w:rsid w:val="001F711A"/>
    <w:rsid w:val="001F75B0"/>
    <w:rsid w:val="001F7CBE"/>
    <w:rsid w:val="0020057C"/>
    <w:rsid w:val="0020083C"/>
    <w:rsid w:val="00200CE5"/>
    <w:rsid w:val="00200F7C"/>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6714"/>
    <w:rsid w:val="00217AD6"/>
    <w:rsid w:val="00217B07"/>
    <w:rsid w:val="00217C26"/>
    <w:rsid w:val="00217C4B"/>
    <w:rsid w:val="00220043"/>
    <w:rsid w:val="0022054D"/>
    <w:rsid w:val="0022107B"/>
    <w:rsid w:val="002223EB"/>
    <w:rsid w:val="00223611"/>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5E"/>
    <w:rsid w:val="002358EA"/>
    <w:rsid w:val="0023609B"/>
    <w:rsid w:val="00236578"/>
    <w:rsid w:val="00236A10"/>
    <w:rsid w:val="00236DE9"/>
    <w:rsid w:val="00237342"/>
    <w:rsid w:val="00237D5A"/>
    <w:rsid w:val="002407BA"/>
    <w:rsid w:val="00240922"/>
    <w:rsid w:val="00240D75"/>
    <w:rsid w:val="00240F92"/>
    <w:rsid w:val="00241288"/>
    <w:rsid w:val="002412BD"/>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924"/>
    <w:rsid w:val="00262B14"/>
    <w:rsid w:val="0026494E"/>
    <w:rsid w:val="00265A12"/>
    <w:rsid w:val="00266165"/>
    <w:rsid w:val="00266F2C"/>
    <w:rsid w:val="002671A3"/>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F6B"/>
    <w:rsid w:val="002807B0"/>
    <w:rsid w:val="00281B9B"/>
    <w:rsid w:val="0028282C"/>
    <w:rsid w:val="00282D56"/>
    <w:rsid w:val="00282EC5"/>
    <w:rsid w:val="002835B0"/>
    <w:rsid w:val="00283C74"/>
    <w:rsid w:val="0028407E"/>
    <w:rsid w:val="0028410F"/>
    <w:rsid w:val="00284572"/>
    <w:rsid w:val="002850AA"/>
    <w:rsid w:val="00285221"/>
    <w:rsid w:val="00286EB4"/>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173"/>
    <w:rsid w:val="002B3528"/>
    <w:rsid w:val="002B3539"/>
    <w:rsid w:val="002B398D"/>
    <w:rsid w:val="002B427F"/>
    <w:rsid w:val="002B4395"/>
    <w:rsid w:val="002B4532"/>
    <w:rsid w:val="002B4C9E"/>
    <w:rsid w:val="002B4DD9"/>
    <w:rsid w:val="002B5042"/>
    <w:rsid w:val="002B51AB"/>
    <w:rsid w:val="002B57C3"/>
    <w:rsid w:val="002B5832"/>
    <w:rsid w:val="002B612E"/>
    <w:rsid w:val="002B69CC"/>
    <w:rsid w:val="002B6D71"/>
    <w:rsid w:val="002B7DC4"/>
    <w:rsid w:val="002C03AE"/>
    <w:rsid w:val="002C0C1C"/>
    <w:rsid w:val="002C10A7"/>
    <w:rsid w:val="002C1190"/>
    <w:rsid w:val="002C18B8"/>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5FC"/>
    <w:rsid w:val="002D3866"/>
    <w:rsid w:val="002D3DF8"/>
    <w:rsid w:val="002D4AC6"/>
    <w:rsid w:val="002D59BF"/>
    <w:rsid w:val="002D5BF5"/>
    <w:rsid w:val="002D5EE8"/>
    <w:rsid w:val="002D63F6"/>
    <w:rsid w:val="002D6CB2"/>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4E58"/>
    <w:rsid w:val="0030572D"/>
    <w:rsid w:val="0030586A"/>
    <w:rsid w:val="00305A5E"/>
    <w:rsid w:val="00305DA2"/>
    <w:rsid w:val="0030622D"/>
    <w:rsid w:val="00306811"/>
    <w:rsid w:val="00306F32"/>
    <w:rsid w:val="003074C5"/>
    <w:rsid w:val="00307A3C"/>
    <w:rsid w:val="00307FA4"/>
    <w:rsid w:val="00310290"/>
    <w:rsid w:val="003103B1"/>
    <w:rsid w:val="00310CC1"/>
    <w:rsid w:val="00310F0A"/>
    <w:rsid w:val="003118A8"/>
    <w:rsid w:val="0031192A"/>
    <w:rsid w:val="00312504"/>
    <w:rsid w:val="00312B89"/>
    <w:rsid w:val="00313026"/>
    <w:rsid w:val="0031319A"/>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CDB"/>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495"/>
    <w:rsid w:val="0036193D"/>
    <w:rsid w:val="00361B8B"/>
    <w:rsid w:val="003629D6"/>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26C"/>
    <w:rsid w:val="00370316"/>
    <w:rsid w:val="00370DC7"/>
    <w:rsid w:val="003713D7"/>
    <w:rsid w:val="003714AC"/>
    <w:rsid w:val="00371CBD"/>
    <w:rsid w:val="00371F20"/>
    <w:rsid w:val="003721E3"/>
    <w:rsid w:val="00372B98"/>
    <w:rsid w:val="003737B7"/>
    <w:rsid w:val="003740CC"/>
    <w:rsid w:val="003745F4"/>
    <w:rsid w:val="0037491A"/>
    <w:rsid w:val="00374A14"/>
    <w:rsid w:val="00374E79"/>
    <w:rsid w:val="0037529A"/>
    <w:rsid w:val="00375388"/>
    <w:rsid w:val="00375559"/>
    <w:rsid w:val="00375FB9"/>
    <w:rsid w:val="00376170"/>
    <w:rsid w:val="003762F9"/>
    <w:rsid w:val="003766DE"/>
    <w:rsid w:val="00376851"/>
    <w:rsid w:val="00376FA2"/>
    <w:rsid w:val="00377133"/>
    <w:rsid w:val="00377A3B"/>
    <w:rsid w:val="00377B8B"/>
    <w:rsid w:val="00377D34"/>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BB9"/>
    <w:rsid w:val="00385C25"/>
    <w:rsid w:val="003861F0"/>
    <w:rsid w:val="00387051"/>
    <w:rsid w:val="003876F0"/>
    <w:rsid w:val="00387ECF"/>
    <w:rsid w:val="003901EA"/>
    <w:rsid w:val="0039021B"/>
    <w:rsid w:val="00390353"/>
    <w:rsid w:val="00390429"/>
    <w:rsid w:val="003906A0"/>
    <w:rsid w:val="00391413"/>
    <w:rsid w:val="003915B2"/>
    <w:rsid w:val="003923D5"/>
    <w:rsid w:val="003931AF"/>
    <w:rsid w:val="0039338D"/>
    <w:rsid w:val="0039366C"/>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584"/>
    <w:rsid w:val="003B3A90"/>
    <w:rsid w:val="003B3D01"/>
    <w:rsid w:val="003B534F"/>
    <w:rsid w:val="003B7A79"/>
    <w:rsid w:val="003C0FE1"/>
    <w:rsid w:val="003C151A"/>
    <w:rsid w:val="003C1D27"/>
    <w:rsid w:val="003C308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312"/>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0ED"/>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144E"/>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C3B"/>
    <w:rsid w:val="00406F10"/>
    <w:rsid w:val="0040763D"/>
    <w:rsid w:val="00410156"/>
    <w:rsid w:val="0041038E"/>
    <w:rsid w:val="00410D17"/>
    <w:rsid w:val="0041183A"/>
    <w:rsid w:val="00412656"/>
    <w:rsid w:val="00412AA9"/>
    <w:rsid w:val="00413442"/>
    <w:rsid w:val="00413821"/>
    <w:rsid w:val="00413BA5"/>
    <w:rsid w:val="004141A3"/>
    <w:rsid w:val="00414909"/>
    <w:rsid w:val="00415304"/>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147E"/>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404"/>
    <w:rsid w:val="00444DB3"/>
    <w:rsid w:val="00445617"/>
    <w:rsid w:val="00445A2F"/>
    <w:rsid w:val="0044680A"/>
    <w:rsid w:val="0044684E"/>
    <w:rsid w:val="0044697A"/>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86F"/>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B69"/>
    <w:rsid w:val="00485406"/>
    <w:rsid w:val="0048590F"/>
    <w:rsid w:val="004864D4"/>
    <w:rsid w:val="00486D60"/>
    <w:rsid w:val="00486DBC"/>
    <w:rsid w:val="00491FA1"/>
    <w:rsid w:val="00492A25"/>
    <w:rsid w:val="004938A3"/>
    <w:rsid w:val="004950A6"/>
    <w:rsid w:val="0049558B"/>
    <w:rsid w:val="00496026"/>
    <w:rsid w:val="00496350"/>
    <w:rsid w:val="004968F3"/>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4772"/>
    <w:rsid w:val="004A5088"/>
    <w:rsid w:val="004A50E5"/>
    <w:rsid w:val="004A5255"/>
    <w:rsid w:val="004A5DC2"/>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6FD"/>
    <w:rsid w:val="004B6E54"/>
    <w:rsid w:val="004B722E"/>
    <w:rsid w:val="004B72E8"/>
    <w:rsid w:val="004B771A"/>
    <w:rsid w:val="004C01A5"/>
    <w:rsid w:val="004C0412"/>
    <w:rsid w:val="004C0882"/>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5AB3"/>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E2F"/>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0E5D"/>
    <w:rsid w:val="00561730"/>
    <w:rsid w:val="00561B97"/>
    <w:rsid w:val="00562149"/>
    <w:rsid w:val="0056248C"/>
    <w:rsid w:val="005640EB"/>
    <w:rsid w:val="00565027"/>
    <w:rsid w:val="00565559"/>
    <w:rsid w:val="005666A4"/>
    <w:rsid w:val="00567B5D"/>
    <w:rsid w:val="00567D10"/>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BEE"/>
    <w:rsid w:val="005B645C"/>
    <w:rsid w:val="005B6AA9"/>
    <w:rsid w:val="005B77D2"/>
    <w:rsid w:val="005B7BDA"/>
    <w:rsid w:val="005B7EF2"/>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D7DF9"/>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75B"/>
    <w:rsid w:val="00604BED"/>
    <w:rsid w:val="00604FB6"/>
    <w:rsid w:val="00605387"/>
    <w:rsid w:val="00606302"/>
    <w:rsid w:val="006076FD"/>
    <w:rsid w:val="00610597"/>
    <w:rsid w:val="006107B1"/>
    <w:rsid w:val="00610811"/>
    <w:rsid w:val="0061100F"/>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5964"/>
    <w:rsid w:val="00676B25"/>
    <w:rsid w:val="00677576"/>
    <w:rsid w:val="0068051E"/>
    <w:rsid w:val="00680B9D"/>
    <w:rsid w:val="00680DF1"/>
    <w:rsid w:val="00681F13"/>
    <w:rsid w:val="0068231C"/>
    <w:rsid w:val="00682344"/>
    <w:rsid w:val="00682C87"/>
    <w:rsid w:val="00682F28"/>
    <w:rsid w:val="0068321C"/>
    <w:rsid w:val="00683515"/>
    <w:rsid w:val="00684842"/>
    <w:rsid w:val="006856CA"/>
    <w:rsid w:val="006859AA"/>
    <w:rsid w:val="00685BD6"/>
    <w:rsid w:val="00686A20"/>
    <w:rsid w:val="00687116"/>
    <w:rsid w:val="006872D2"/>
    <w:rsid w:val="006878A6"/>
    <w:rsid w:val="00687D5F"/>
    <w:rsid w:val="00687F20"/>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00B2"/>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B19"/>
    <w:rsid w:val="006D0C1D"/>
    <w:rsid w:val="006D1BB1"/>
    <w:rsid w:val="006D2606"/>
    <w:rsid w:val="006D28F3"/>
    <w:rsid w:val="006D2E9D"/>
    <w:rsid w:val="006D3043"/>
    <w:rsid w:val="006D3B34"/>
    <w:rsid w:val="006D3B48"/>
    <w:rsid w:val="006D4305"/>
    <w:rsid w:val="006D4970"/>
    <w:rsid w:val="006D4A4E"/>
    <w:rsid w:val="006D4C42"/>
    <w:rsid w:val="006D5067"/>
    <w:rsid w:val="006D5389"/>
    <w:rsid w:val="006D53A2"/>
    <w:rsid w:val="006D5809"/>
    <w:rsid w:val="006D607E"/>
    <w:rsid w:val="006D68DB"/>
    <w:rsid w:val="006D6E12"/>
    <w:rsid w:val="006D70CB"/>
    <w:rsid w:val="006D715C"/>
    <w:rsid w:val="006D7363"/>
    <w:rsid w:val="006D774E"/>
    <w:rsid w:val="006D7F08"/>
    <w:rsid w:val="006E0754"/>
    <w:rsid w:val="006E1201"/>
    <w:rsid w:val="006E12B2"/>
    <w:rsid w:val="006E1347"/>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52"/>
    <w:rsid w:val="006F2574"/>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60B"/>
    <w:rsid w:val="00720B1B"/>
    <w:rsid w:val="00721062"/>
    <w:rsid w:val="00721D3D"/>
    <w:rsid w:val="00721E5D"/>
    <w:rsid w:val="007229D4"/>
    <w:rsid w:val="00722AE0"/>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D5C"/>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E22"/>
    <w:rsid w:val="007C5022"/>
    <w:rsid w:val="007C58C1"/>
    <w:rsid w:val="007C5B39"/>
    <w:rsid w:val="007C5CAB"/>
    <w:rsid w:val="007C6218"/>
    <w:rsid w:val="007C6484"/>
    <w:rsid w:val="007C67C6"/>
    <w:rsid w:val="007C78BE"/>
    <w:rsid w:val="007C7A5D"/>
    <w:rsid w:val="007C7A74"/>
    <w:rsid w:val="007C7E59"/>
    <w:rsid w:val="007D0476"/>
    <w:rsid w:val="007D0B91"/>
    <w:rsid w:val="007D0FE7"/>
    <w:rsid w:val="007D1197"/>
    <w:rsid w:val="007D1452"/>
    <w:rsid w:val="007D1563"/>
    <w:rsid w:val="007D23FD"/>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E66"/>
    <w:rsid w:val="00831758"/>
    <w:rsid w:val="008317D9"/>
    <w:rsid w:val="00831AEC"/>
    <w:rsid w:val="00831DCE"/>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122"/>
    <w:rsid w:val="0085788B"/>
    <w:rsid w:val="00857A9E"/>
    <w:rsid w:val="00857D1F"/>
    <w:rsid w:val="00857DE2"/>
    <w:rsid w:val="0086003D"/>
    <w:rsid w:val="008613DD"/>
    <w:rsid w:val="00861507"/>
    <w:rsid w:val="0086174F"/>
    <w:rsid w:val="00861D63"/>
    <w:rsid w:val="008623B9"/>
    <w:rsid w:val="00863285"/>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EE2"/>
    <w:rsid w:val="00882910"/>
    <w:rsid w:val="00882B44"/>
    <w:rsid w:val="00883809"/>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717"/>
    <w:rsid w:val="008A0FAC"/>
    <w:rsid w:val="008A0FC9"/>
    <w:rsid w:val="008A14C8"/>
    <w:rsid w:val="008A1956"/>
    <w:rsid w:val="008A1A7C"/>
    <w:rsid w:val="008A2990"/>
    <w:rsid w:val="008A2CE2"/>
    <w:rsid w:val="008A40D3"/>
    <w:rsid w:val="008A413F"/>
    <w:rsid w:val="008A451F"/>
    <w:rsid w:val="008A469C"/>
    <w:rsid w:val="008A50FB"/>
    <w:rsid w:val="008A51D1"/>
    <w:rsid w:val="008A5C90"/>
    <w:rsid w:val="008A5DCE"/>
    <w:rsid w:val="008A75D3"/>
    <w:rsid w:val="008A7DEA"/>
    <w:rsid w:val="008A7F09"/>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A39"/>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6672"/>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232"/>
    <w:rsid w:val="008E3674"/>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29A"/>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85"/>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20B"/>
    <w:rsid w:val="0092430E"/>
    <w:rsid w:val="00924451"/>
    <w:rsid w:val="00925889"/>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4BBB"/>
    <w:rsid w:val="0097560A"/>
    <w:rsid w:val="00975E1E"/>
    <w:rsid w:val="00975E70"/>
    <w:rsid w:val="009761DE"/>
    <w:rsid w:val="009766FA"/>
    <w:rsid w:val="009770BE"/>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3DB1"/>
    <w:rsid w:val="00994AAD"/>
    <w:rsid w:val="00995150"/>
    <w:rsid w:val="009956BA"/>
    <w:rsid w:val="00995B89"/>
    <w:rsid w:val="00995D67"/>
    <w:rsid w:val="00997613"/>
    <w:rsid w:val="009A013B"/>
    <w:rsid w:val="009A02F4"/>
    <w:rsid w:val="009A06BF"/>
    <w:rsid w:val="009A0D17"/>
    <w:rsid w:val="009A2494"/>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5F29"/>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A23"/>
    <w:rsid w:val="009E7C14"/>
    <w:rsid w:val="009F0494"/>
    <w:rsid w:val="009F0CD9"/>
    <w:rsid w:val="009F1A79"/>
    <w:rsid w:val="009F1F57"/>
    <w:rsid w:val="009F2DDD"/>
    <w:rsid w:val="009F3447"/>
    <w:rsid w:val="009F446D"/>
    <w:rsid w:val="009F65F4"/>
    <w:rsid w:val="009F6763"/>
    <w:rsid w:val="009F676B"/>
    <w:rsid w:val="009F6D2D"/>
    <w:rsid w:val="009F6D54"/>
    <w:rsid w:val="00A0028A"/>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DEF"/>
    <w:rsid w:val="00A65311"/>
    <w:rsid w:val="00A654D2"/>
    <w:rsid w:val="00A665DF"/>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04"/>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6B9B"/>
    <w:rsid w:val="00A87519"/>
    <w:rsid w:val="00A90213"/>
    <w:rsid w:val="00A90870"/>
    <w:rsid w:val="00A9246D"/>
    <w:rsid w:val="00A92CCA"/>
    <w:rsid w:val="00A936E7"/>
    <w:rsid w:val="00A93BD0"/>
    <w:rsid w:val="00A93CC2"/>
    <w:rsid w:val="00A9430B"/>
    <w:rsid w:val="00A94D4B"/>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4014"/>
    <w:rsid w:val="00AD41B3"/>
    <w:rsid w:val="00AD5721"/>
    <w:rsid w:val="00AD62FE"/>
    <w:rsid w:val="00AD69F0"/>
    <w:rsid w:val="00AD7127"/>
    <w:rsid w:val="00AD72E3"/>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75"/>
    <w:rsid w:val="00AE4A3E"/>
    <w:rsid w:val="00AE4CCE"/>
    <w:rsid w:val="00AE5C6A"/>
    <w:rsid w:val="00AE60A9"/>
    <w:rsid w:val="00AE7058"/>
    <w:rsid w:val="00AE7280"/>
    <w:rsid w:val="00AE7B5F"/>
    <w:rsid w:val="00AF01FA"/>
    <w:rsid w:val="00AF033A"/>
    <w:rsid w:val="00AF118E"/>
    <w:rsid w:val="00AF132D"/>
    <w:rsid w:val="00AF1658"/>
    <w:rsid w:val="00AF1699"/>
    <w:rsid w:val="00AF18D1"/>
    <w:rsid w:val="00AF1BA4"/>
    <w:rsid w:val="00AF1FD3"/>
    <w:rsid w:val="00AF2910"/>
    <w:rsid w:val="00AF34B8"/>
    <w:rsid w:val="00AF3896"/>
    <w:rsid w:val="00AF39C9"/>
    <w:rsid w:val="00AF3DB7"/>
    <w:rsid w:val="00AF3F97"/>
    <w:rsid w:val="00AF3FC2"/>
    <w:rsid w:val="00AF4687"/>
    <w:rsid w:val="00AF4DEC"/>
    <w:rsid w:val="00AF6541"/>
    <w:rsid w:val="00AF6B57"/>
    <w:rsid w:val="00B003FF"/>
    <w:rsid w:val="00B0098A"/>
    <w:rsid w:val="00B00A5F"/>
    <w:rsid w:val="00B024FB"/>
    <w:rsid w:val="00B029B8"/>
    <w:rsid w:val="00B02F60"/>
    <w:rsid w:val="00B02F94"/>
    <w:rsid w:val="00B032B8"/>
    <w:rsid w:val="00B03765"/>
    <w:rsid w:val="00B0396A"/>
    <w:rsid w:val="00B046D9"/>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2DE"/>
    <w:rsid w:val="00B23738"/>
    <w:rsid w:val="00B23BEF"/>
    <w:rsid w:val="00B247BB"/>
    <w:rsid w:val="00B2490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55B"/>
    <w:rsid w:val="00B40C29"/>
    <w:rsid w:val="00B414F5"/>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3CB"/>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8A1"/>
    <w:rsid w:val="00B85FEC"/>
    <w:rsid w:val="00B864A3"/>
    <w:rsid w:val="00B86C2A"/>
    <w:rsid w:val="00B87575"/>
    <w:rsid w:val="00B902A5"/>
    <w:rsid w:val="00B90420"/>
    <w:rsid w:val="00B90848"/>
    <w:rsid w:val="00B91146"/>
    <w:rsid w:val="00B913E4"/>
    <w:rsid w:val="00B91DB9"/>
    <w:rsid w:val="00B91FF3"/>
    <w:rsid w:val="00B925F8"/>
    <w:rsid w:val="00B9330A"/>
    <w:rsid w:val="00B93352"/>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0473"/>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427"/>
    <w:rsid w:val="00C014C7"/>
    <w:rsid w:val="00C031CF"/>
    <w:rsid w:val="00C047AB"/>
    <w:rsid w:val="00C058AF"/>
    <w:rsid w:val="00C075B6"/>
    <w:rsid w:val="00C07C94"/>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82C"/>
    <w:rsid w:val="00C25C0F"/>
    <w:rsid w:val="00C26353"/>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7027"/>
    <w:rsid w:val="00C373BF"/>
    <w:rsid w:val="00C37B15"/>
    <w:rsid w:val="00C37B19"/>
    <w:rsid w:val="00C41349"/>
    <w:rsid w:val="00C413CB"/>
    <w:rsid w:val="00C41558"/>
    <w:rsid w:val="00C416B8"/>
    <w:rsid w:val="00C41A60"/>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0B37"/>
    <w:rsid w:val="00C712AC"/>
    <w:rsid w:val="00C7158C"/>
    <w:rsid w:val="00C71C15"/>
    <w:rsid w:val="00C71F3D"/>
    <w:rsid w:val="00C72F53"/>
    <w:rsid w:val="00C734E7"/>
    <w:rsid w:val="00C74035"/>
    <w:rsid w:val="00C748EA"/>
    <w:rsid w:val="00C76FB0"/>
    <w:rsid w:val="00C77818"/>
    <w:rsid w:val="00C8063F"/>
    <w:rsid w:val="00C81282"/>
    <w:rsid w:val="00C8155F"/>
    <w:rsid w:val="00C8198D"/>
    <w:rsid w:val="00C82167"/>
    <w:rsid w:val="00C827B4"/>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6D7C"/>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68F"/>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9A7"/>
    <w:rsid w:val="00CD7FAD"/>
    <w:rsid w:val="00CE0331"/>
    <w:rsid w:val="00CE0789"/>
    <w:rsid w:val="00CE0E8D"/>
    <w:rsid w:val="00CE1A03"/>
    <w:rsid w:val="00CE1B5D"/>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B3E"/>
    <w:rsid w:val="00CF1D74"/>
    <w:rsid w:val="00CF2BE2"/>
    <w:rsid w:val="00CF348C"/>
    <w:rsid w:val="00CF371A"/>
    <w:rsid w:val="00CF37C2"/>
    <w:rsid w:val="00CF3DE4"/>
    <w:rsid w:val="00CF3DEB"/>
    <w:rsid w:val="00CF55F9"/>
    <w:rsid w:val="00CF578D"/>
    <w:rsid w:val="00CF7074"/>
    <w:rsid w:val="00CF7495"/>
    <w:rsid w:val="00CF76D6"/>
    <w:rsid w:val="00D01CF9"/>
    <w:rsid w:val="00D021E8"/>
    <w:rsid w:val="00D0334D"/>
    <w:rsid w:val="00D0374D"/>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A1F"/>
    <w:rsid w:val="00D12B03"/>
    <w:rsid w:val="00D1368C"/>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4A85"/>
    <w:rsid w:val="00D2585A"/>
    <w:rsid w:val="00D25920"/>
    <w:rsid w:val="00D259B0"/>
    <w:rsid w:val="00D259C2"/>
    <w:rsid w:val="00D26C3F"/>
    <w:rsid w:val="00D27185"/>
    <w:rsid w:val="00D3028A"/>
    <w:rsid w:val="00D30E98"/>
    <w:rsid w:val="00D30FE1"/>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903"/>
    <w:rsid w:val="00D96F7C"/>
    <w:rsid w:val="00D9714B"/>
    <w:rsid w:val="00D97DA2"/>
    <w:rsid w:val="00DA0485"/>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198"/>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2DB9"/>
    <w:rsid w:val="00DE3D2C"/>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0DC"/>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5FB9"/>
    <w:rsid w:val="00E6680A"/>
    <w:rsid w:val="00E669E3"/>
    <w:rsid w:val="00E66F0D"/>
    <w:rsid w:val="00E67976"/>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B70C5"/>
    <w:rsid w:val="00EC005F"/>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73D0"/>
    <w:rsid w:val="00EE7CB0"/>
    <w:rsid w:val="00EE7CD1"/>
    <w:rsid w:val="00EF08A8"/>
    <w:rsid w:val="00EF167B"/>
    <w:rsid w:val="00EF1B4A"/>
    <w:rsid w:val="00EF1C90"/>
    <w:rsid w:val="00EF2496"/>
    <w:rsid w:val="00EF41A8"/>
    <w:rsid w:val="00EF44FB"/>
    <w:rsid w:val="00EF5122"/>
    <w:rsid w:val="00EF5554"/>
    <w:rsid w:val="00EF5AD8"/>
    <w:rsid w:val="00EF6B90"/>
    <w:rsid w:val="00EF70C9"/>
    <w:rsid w:val="00EF741E"/>
    <w:rsid w:val="00EF7807"/>
    <w:rsid w:val="00EF79F7"/>
    <w:rsid w:val="00F006C0"/>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C62"/>
    <w:rsid w:val="00F134BA"/>
    <w:rsid w:val="00F13599"/>
    <w:rsid w:val="00F13A71"/>
    <w:rsid w:val="00F13B28"/>
    <w:rsid w:val="00F142DD"/>
    <w:rsid w:val="00F14DCD"/>
    <w:rsid w:val="00F156A0"/>
    <w:rsid w:val="00F15730"/>
    <w:rsid w:val="00F176A6"/>
    <w:rsid w:val="00F17A24"/>
    <w:rsid w:val="00F202C2"/>
    <w:rsid w:val="00F204B3"/>
    <w:rsid w:val="00F212F6"/>
    <w:rsid w:val="00F2190F"/>
    <w:rsid w:val="00F22756"/>
    <w:rsid w:val="00F23248"/>
    <w:rsid w:val="00F23890"/>
    <w:rsid w:val="00F24D4E"/>
    <w:rsid w:val="00F2504D"/>
    <w:rsid w:val="00F2595D"/>
    <w:rsid w:val="00F25B26"/>
    <w:rsid w:val="00F2637F"/>
    <w:rsid w:val="00F268F7"/>
    <w:rsid w:val="00F3092B"/>
    <w:rsid w:val="00F30B83"/>
    <w:rsid w:val="00F30BDB"/>
    <w:rsid w:val="00F30CF8"/>
    <w:rsid w:val="00F31402"/>
    <w:rsid w:val="00F31EDF"/>
    <w:rsid w:val="00F31F89"/>
    <w:rsid w:val="00F32507"/>
    <w:rsid w:val="00F32CC8"/>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67F12"/>
    <w:rsid w:val="00F705F6"/>
    <w:rsid w:val="00F70795"/>
    <w:rsid w:val="00F70799"/>
    <w:rsid w:val="00F70A8B"/>
    <w:rsid w:val="00F70B22"/>
    <w:rsid w:val="00F70B8D"/>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A92"/>
    <w:rsid w:val="00FA681F"/>
    <w:rsid w:val="00FB0261"/>
    <w:rsid w:val="00FB0CBF"/>
    <w:rsid w:val="00FB18F6"/>
    <w:rsid w:val="00FB24CB"/>
    <w:rsid w:val="00FB2A52"/>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E0794"/>
    <w:rsid w:val="00FE1041"/>
    <w:rsid w:val="00FE1614"/>
    <w:rsid w:val="00FE24CB"/>
    <w:rsid w:val="00FE323F"/>
    <w:rsid w:val="00FE3473"/>
    <w:rsid w:val="00FE4049"/>
    <w:rsid w:val="00FE4794"/>
    <w:rsid w:val="00FE480F"/>
    <w:rsid w:val="00FE4998"/>
    <w:rsid w:val="00FE5382"/>
    <w:rsid w:val="00FE57DE"/>
    <w:rsid w:val="00FE60C3"/>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1F33A1"/>
    <w:rsid w:val="0129164F"/>
    <w:rsid w:val="012C5FAF"/>
    <w:rsid w:val="0196219F"/>
    <w:rsid w:val="01AF3D99"/>
    <w:rsid w:val="01BE7323"/>
    <w:rsid w:val="01CD3708"/>
    <w:rsid w:val="024908D6"/>
    <w:rsid w:val="02511F9D"/>
    <w:rsid w:val="025739FF"/>
    <w:rsid w:val="02DE00A8"/>
    <w:rsid w:val="03402545"/>
    <w:rsid w:val="03A314B8"/>
    <w:rsid w:val="03B65EE5"/>
    <w:rsid w:val="03CB1052"/>
    <w:rsid w:val="03CE6EAF"/>
    <w:rsid w:val="03D82B98"/>
    <w:rsid w:val="03F83E8B"/>
    <w:rsid w:val="042D3749"/>
    <w:rsid w:val="043B3C82"/>
    <w:rsid w:val="04E53CD2"/>
    <w:rsid w:val="05C56868"/>
    <w:rsid w:val="062F6F16"/>
    <w:rsid w:val="06BF4168"/>
    <w:rsid w:val="071E0FDD"/>
    <w:rsid w:val="072027E6"/>
    <w:rsid w:val="07A539BD"/>
    <w:rsid w:val="07B72767"/>
    <w:rsid w:val="07B95303"/>
    <w:rsid w:val="07F36ECC"/>
    <w:rsid w:val="08077E72"/>
    <w:rsid w:val="08882DD0"/>
    <w:rsid w:val="08A92ADB"/>
    <w:rsid w:val="08DF1565"/>
    <w:rsid w:val="092240AC"/>
    <w:rsid w:val="09A80C8A"/>
    <w:rsid w:val="09CC2AAC"/>
    <w:rsid w:val="0A652D3E"/>
    <w:rsid w:val="0A7807AD"/>
    <w:rsid w:val="0AA37C63"/>
    <w:rsid w:val="0B0B182B"/>
    <w:rsid w:val="0B326F2A"/>
    <w:rsid w:val="0B3B0D2B"/>
    <w:rsid w:val="0B412BB2"/>
    <w:rsid w:val="0B4B280E"/>
    <w:rsid w:val="0B9F75D5"/>
    <w:rsid w:val="0C1E2888"/>
    <w:rsid w:val="0C92213C"/>
    <w:rsid w:val="0CC2027E"/>
    <w:rsid w:val="0D84032B"/>
    <w:rsid w:val="0E2F4BB4"/>
    <w:rsid w:val="0E307F9E"/>
    <w:rsid w:val="0EBA1B76"/>
    <w:rsid w:val="0EF63F9C"/>
    <w:rsid w:val="0F2A74C4"/>
    <w:rsid w:val="0F5470D8"/>
    <w:rsid w:val="10195CB9"/>
    <w:rsid w:val="10A27F31"/>
    <w:rsid w:val="10AB2212"/>
    <w:rsid w:val="1192548D"/>
    <w:rsid w:val="11927058"/>
    <w:rsid w:val="120E171E"/>
    <w:rsid w:val="12142745"/>
    <w:rsid w:val="123E0112"/>
    <w:rsid w:val="12EA5144"/>
    <w:rsid w:val="13012033"/>
    <w:rsid w:val="13AF4F03"/>
    <w:rsid w:val="14005BFD"/>
    <w:rsid w:val="14736E66"/>
    <w:rsid w:val="14772ABA"/>
    <w:rsid w:val="147F458F"/>
    <w:rsid w:val="14CF4840"/>
    <w:rsid w:val="152B7943"/>
    <w:rsid w:val="1534169A"/>
    <w:rsid w:val="15B61356"/>
    <w:rsid w:val="15C03E03"/>
    <w:rsid w:val="15CD6317"/>
    <w:rsid w:val="162A25EB"/>
    <w:rsid w:val="16735895"/>
    <w:rsid w:val="16FD2A55"/>
    <w:rsid w:val="17067C1A"/>
    <w:rsid w:val="170C2C04"/>
    <w:rsid w:val="17325554"/>
    <w:rsid w:val="17366761"/>
    <w:rsid w:val="177C01F0"/>
    <w:rsid w:val="179E3EFA"/>
    <w:rsid w:val="17A8108B"/>
    <w:rsid w:val="17CE6630"/>
    <w:rsid w:val="17D66916"/>
    <w:rsid w:val="18121CCF"/>
    <w:rsid w:val="18E40145"/>
    <w:rsid w:val="197C0E5B"/>
    <w:rsid w:val="19802F5A"/>
    <w:rsid w:val="1A7B4AAD"/>
    <w:rsid w:val="1AB17DEC"/>
    <w:rsid w:val="1AB80A4A"/>
    <w:rsid w:val="1AFF0AFE"/>
    <w:rsid w:val="1B495A4F"/>
    <w:rsid w:val="1B4F19F8"/>
    <w:rsid w:val="1C4353EA"/>
    <w:rsid w:val="1C8808A6"/>
    <w:rsid w:val="1D3F49BE"/>
    <w:rsid w:val="1D5976B7"/>
    <w:rsid w:val="1DF41563"/>
    <w:rsid w:val="1ECC44FA"/>
    <w:rsid w:val="1EE4323A"/>
    <w:rsid w:val="1F063325"/>
    <w:rsid w:val="1F1106BF"/>
    <w:rsid w:val="1FA17E7A"/>
    <w:rsid w:val="1FAA2A49"/>
    <w:rsid w:val="1FB953DB"/>
    <w:rsid w:val="1FBC5DF5"/>
    <w:rsid w:val="1FD40978"/>
    <w:rsid w:val="1FD537FD"/>
    <w:rsid w:val="1FF90588"/>
    <w:rsid w:val="2017731F"/>
    <w:rsid w:val="208158A4"/>
    <w:rsid w:val="209D2ACD"/>
    <w:rsid w:val="209E07E9"/>
    <w:rsid w:val="20C3623F"/>
    <w:rsid w:val="210E298D"/>
    <w:rsid w:val="213C5C7D"/>
    <w:rsid w:val="21781212"/>
    <w:rsid w:val="21B83F86"/>
    <w:rsid w:val="21C13819"/>
    <w:rsid w:val="21D92AFA"/>
    <w:rsid w:val="21FD486B"/>
    <w:rsid w:val="221178A8"/>
    <w:rsid w:val="221213CF"/>
    <w:rsid w:val="22327A92"/>
    <w:rsid w:val="227117A8"/>
    <w:rsid w:val="22C32B15"/>
    <w:rsid w:val="22F55B9C"/>
    <w:rsid w:val="231D53A2"/>
    <w:rsid w:val="236D5383"/>
    <w:rsid w:val="238D02D4"/>
    <w:rsid w:val="23B7504C"/>
    <w:rsid w:val="24085F40"/>
    <w:rsid w:val="24571307"/>
    <w:rsid w:val="24BC1709"/>
    <w:rsid w:val="25072C0B"/>
    <w:rsid w:val="25110A2A"/>
    <w:rsid w:val="256C0944"/>
    <w:rsid w:val="25C20AD6"/>
    <w:rsid w:val="25E20CCE"/>
    <w:rsid w:val="26446DE3"/>
    <w:rsid w:val="26610044"/>
    <w:rsid w:val="26877DFE"/>
    <w:rsid w:val="269669E7"/>
    <w:rsid w:val="26A270C1"/>
    <w:rsid w:val="26D7699F"/>
    <w:rsid w:val="27EA115B"/>
    <w:rsid w:val="28481571"/>
    <w:rsid w:val="28926C90"/>
    <w:rsid w:val="28F14975"/>
    <w:rsid w:val="29280946"/>
    <w:rsid w:val="296740C8"/>
    <w:rsid w:val="296F2ACE"/>
    <w:rsid w:val="29703308"/>
    <w:rsid w:val="2994145A"/>
    <w:rsid w:val="29D75F7F"/>
    <w:rsid w:val="2A3D49B0"/>
    <w:rsid w:val="2A51512F"/>
    <w:rsid w:val="2A704DAF"/>
    <w:rsid w:val="2AAF72FD"/>
    <w:rsid w:val="2B774624"/>
    <w:rsid w:val="2B980F11"/>
    <w:rsid w:val="2BA44FDA"/>
    <w:rsid w:val="2BB65B59"/>
    <w:rsid w:val="2BCF57CB"/>
    <w:rsid w:val="2BD17EE7"/>
    <w:rsid w:val="2BEE242F"/>
    <w:rsid w:val="2C043A15"/>
    <w:rsid w:val="2C2C3FF1"/>
    <w:rsid w:val="2C412912"/>
    <w:rsid w:val="2C7A72BE"/>
    <w:rsid w:val="2C9A7D75"/>
    <w:rsid w:val="2CB12282"/>
    <w:rsid w:val="2CC17412"/>
    <w:rsid w:val="2D7C1E99"/>
    <w:rsid w:val="2DE15A8F"/>
    <w:rsid w:val="2E5E298C"/>
    <w:rsid w:val="2E9976CE"/>
    <w:rsid w:val="2EA86681"/>
    <w:rsid w:val="2EF01DEE"/>
    <w:rsid w:val="2F401D3C"/>
    <w:rsid w:val="2F5B24E1"/>
    <w:rsid w:val="2FA95C88"/>
    <w:rsid w:val="3041370F"/>
    <w:rsid w:val="30B87FED"/>
    <w:rsid w:val="30C0177C"/>
    <w:rsid w:val="312B50A3"/>
    <w:rsid w:val="317C1D74"/>
    <w:rsid w:val="31894FD2"/>
    <w:rsid w:val="32453A27"/>
    <w:rsid w:val="32501629"/>
    <w:rsid w:val="3263064A"/>
    <w:rsid w:val="32A43132"/>
    <w:rsid w:val="32AC0C06"/>
    <w:rsid w:val="33227AA6"/>
    <w:rsid w:val="33344EF5"/>
    <w:rsid w:val="337367F5"/>
    <w:rsid w:val="33AA7F09"/>
    <w:rsid w:val="34270E8D"/>
    <w:rsid w:val="345D63A4"/>
    <w:rsid w:val="3537750C"/>
    <w:rsid w:val="3537798C"/>
    <w:rsid w:val="35C13FC9"/>
    <w:rsid w:val="36197F72"/>
    <w:rsid w:val="36372B05"/>
    <w:rsid w:val="363870C8"/>
    <w:rsid w:val="364257B6"/>
    <w:rsid w:val="36CB311C"/>
    <w:rsid w:val="37EA5922"/>
    <w:rsid w:val="38276B93"/>
    <w:rsid w:val="382E58B8"/>
    <w:rsid w:val="38AC3431"/>
    <w:rsid w:val="38D03161"/>
    <w:rsid w:val="392F2E16"/>
    <w:rsid w:val="395B30CE"/>
    <w:rsid w:val="398467A9"/>
    <w:rsid w:val="39E00529"/>
    <w:rsid w:val="3A0B64A7"/>
    <w:rsid w:val="3A574DDA"/>
    <w:rsid w:val="3A897277"/>
    <w:rsid w:val="3AD3075A"/>
    <w:rsid w:val="3AF74C02"/>
    <w:rsid w:val="3AF77EB0"/>
    <w:rsid w:val="3BAE3ABF"/>
    <w:rsid w:val="3BE858D1"/>
    <w:rsid w:val="3C0059A5"/>
    <w:rsid w:val="3C081E40"/>
    <w:rsid w:val="3C134E78"/>
    <w:rsid w:val="3C3D2D60"/>
    <w:rsid w:val="3CAC5063"/>
    <w:rsid w:val="3CD77CE5"/>
    <w:rsid w:val="3DF6345D"/>
    <w:rsid w:val="3E172254"/>
    <w:rsid w:val="3E2B5515"/>
    <w:rsid w:val="3E2B6A45"/>
    <w:rsid w:val="3E4D4F28"/>
    <w:rsid w:val="3E6C05EC"/>
    <w:rsid w:val="3E8B00EC"/>
    <w:rsid w:val="3E8D75E9"/>
    <w:rsid w:val="3ED92EC4"/>
    <w:rsid w:val="3EE13701"/>
    <w:rsid w:val="3F1A4BB3"/>
    <w:rsid w:val="3F684455"/>
    <w:rsid w:val="3FFD3288"/>
    <w:rsid w:val="40192BA6"/>
    <w:rsid w:val="408D7648"/>
    <w:rsid w:val="40D84160"/>
    <w:rsid w:val="415D70B9"/>
    <w:rsid w:val="41766EA9"/>
    <w:rsid w:val="42550A18"/>
    <w:rsid w:val="429D496A"/>
    <w:rsid w:val="42CB3746"/>
    <w:rsid w:val="42F473A1"/>
    <w:rsid w:val="435026E1"/>
    <w:rsid w:val="437217EA"/>
    <w:rsid w:val="43AB7156"/>
    <w:rsid w:val="440E1ED7"/>
    <w:rsid w:val="441E62C0"/>
    <w:rsid w:val="445F6F48"/>
    <w:rsid w:val="448E23DE"/>
    <w:rsid w:val="45080B3C"/>
    <w:rsid w:val="45325D14"/>
    <w:rsid w:val="45605CF4"/>
    <w:rsid w:val="45811C7C"/>
    <w:rsid w:val="45906116"/>
    <w:rsid w:val="45931B8C"/>
    <w:rsid w:val="45B778DE"/>
    <w:rsid w:val="45EF2552"/>
    <w:rsid w:val="46304F0D"/>
    <w:rsid w:val="463547D3"/>
    <w:rsid w:val="468B3EFB"/>
    <w:rsid w:val="46914823"/>
    <w:rsid w:val="46D26D07"/>
    <w:rsid w:val="46E40E94"/>
    <w:rsid w:val="470A6193"/>
    <w:rsid w:val="47385210"/>
    <w:rsid w:val="475510F8"/>
    <w:rsid w:val="47DC4F5C"/>
    <w:rsid w:val="488E0423"/>
    <w:rsid w:val="48B40671"/>
    <w:rsid w:val="48BD5172"/>
    <w:rsid w:val="48C346DF"/>
    <w:rsid w:val="491267FF"/>
    <w:rsid w:val="499B5738"/>
    <w:rsid w:val="499F244D"/>
    <w:rsid w:val="49BC7BE9"/>
    <w:rsid w:val="4A1762AC"/>
    <w:rsid w:val="4A973F3F"/>
    <w:rsid w:val="4AA7787A"/>
    <w:rsid w:val="4AF96BC7"/>
    <w:rsid w:val="4B2257F9"/>
    <w:rsid w:val="4B862A85"/>
    <w:rsid w:val="4CEF36E2"/>
    <w:rsid w:val="4CEF4DC5"/>
    <w:rsid w:val="4CFE5DF2"/>
    <w:rsid w:val="4D4759EB"/>
    <w:rsid w:val="4DBB078C"/>
    <w:rsid w:val="4DE72F2C"/>
    <w:rsid w:val="4E257655"/>
    <w:rsid w:val="4E8634E9"/>
    <w:rsid w:val="4F2E0C11"/>
    <w:rsid w:val="4F372380"/>
    <w:rsid w:val="4F372FFB"/>
    <w:rsid w:val="500A342C"/>
    <w:rsid w:val="5025116D"/>
    <w:rsid w:val="506128E9"/>
    <w:rsid w:val="5146225E"/>
    <w:rsid w:val="52395ECD"/>
    <w:rsid w:val="52650B49"/>
    <w:rsid w:val="526967B0"/>
    <w:rsid w:val="52C10D75"/>
    <w:rsid w:val="53C27FF8"/>
    <w:rsid w:val="53DE68C7"/>
    <w:rsid w:val="53E53CEE"/>
    <w:rsid w:val="53E91E83"/>
    <w:rsid w:val="54207923"/>
    <w:rsid w:val="5449029B"/>
    <w:rsid w:val="54806794"/>
    <w:rsid w:val="549E1A80"/>
    <w:rsid w:val="54BF6E29"/>
    <w:rsid w:val="54C658F4"/>
    <w:rsid w:val="550C4BD7"/>
    <w:rsid w:val="554C1D56"/>
    <w:rsid w:val="55572986"/>
    <w:rsid w:val="55C950A6"/>
    <w:rsid w:val="561E3AC3"/>
    <w:rsid w:val="565340FA"/>
    <w:rsid w:val="56625829"/>
    <w:rsid w:val="56AD5F59"/>
    <w:rsid w:val="56C553EB"/>
    <w:rsid w:val="56C60774"/>
    <w:rsid w:val="576D42FC"/>
    <w:rsid w:val="577675F9"/>
    <w:rsid w:val="577E316C"/>
    <w:rsid w:val="5784475F"/>
    <w:rsid w:val="57B12A52"/>
    <w:rsid w:val="582A3F3F"/>
    <w:rsid w:val="58A61397"/>
    <w:rsid w:val="58B4208E"/>
    <w:rsid w:val="59627F23"/>
    <w:rsid w:val="59807BFB"/>
    <w:rsid w:val="59995821"/>
    <w:rsid w:val="5A2F2CC8"/>
    <w:rsid w:val="5B2D2167"/>
    <w:rsid w:val="5B5B33E7"/>
    <w:rsid w:val="5B852B8B"/>
    <w:rsid w:val="5B9506DE"/>
    <w:rsid w:val="5BB4064D"/>
    <w:rsid w:val="5BE8625B"/>
    <w:rsid w:val="5C10702D"/>
    <w:rsid w:val="5C152601"/>
    <w:rsid w:val="5C591F03"/>
    <w:rsid w:val="5C7C690A"/>
    <w:rsid w:val="5C8A1B2F"/>
    <w:rsid w:val="5DF50B4C"/>
    <w:rsid w:val="5E3168E5"/>
    <w:rsid w:val="5F561B72"/>
    <w:rsid w:val="606007BB"/>
    <w:rsid w:val="60AC7F66"/>
    <w:rsid w:val="60ED7BB7"/>
    <w:rsid w:val="6105582E"/>
    <w:rsid w:val="61BF10D9"/>
    <w:rsid w:val="61DF6FF8"/>
    <w:rsid w:val="62AC22DC"/>
    <w:rsid w:val="63A22BFD"/>
    <w:rsid w:val="649B6BBE"/>
    <w:rsid w:val="64A65808"/>
    <w:rsid w:val="64BD1FDD"/>
    <w:rsid w:val="64E45EF7"/>
    <w:rsid w:val="66216270"/>
    <w:rsid w:val="66803B32"/>
    <w:rsid w:val="6691014E"/>
    <w:rsid w:val="66A40361"/>
    <w:rsid w:val="66C87CCE"/>
    <w:rsid w:val="6749301F"/>
    <w:rsid w:val="677435B2"/>
    <w:rsid w:val="67EF75F1"/>
    <w:rsid w:val="684F4F11"/>
    <w:rsid w:val="68620760"/>
    <w:rsid w:val="68915D86"/>
    <w:rsid w:val="68A64CF8"/>
    <w:rsid w:val="68C563C3"/>
    <w:rsid w:val="68FA4878"/>
    <w:rsid w:val="69124F16"/>
    <w:rsid w:val="69627BA1"/>
    <w:rsid w:val="69BA0848"/>
    <w:rsid w:val="69CD5C14"/>
    <w:rsid w:val="69CF0D33"/>
    <w:rsid w:val="69E05B56"/>
    <w:rsid w:val="6A6432E1"/>
    <w:rsid w:val="6A650142"/>
    <w:rsid w:val="6B9946B3"/>
    <w:rsid w:val="6BAD72FF"/>
    <w:rsid w:val="6BE518DA"/>
    <w:rsid w:val="6BE64B4B"/>
    <w:rsid w:val="6BF90722"/>
    <w:rsid w:val="6C276F3A"/>
    <w:rsid w:val="6C7007C7"/>
    <w:rsid w:val="6D367C4B"/>
    <w:rsid w:val="6D46417D"/>
    <w:rsid w:val="6DA24475"/>
    <w:rsid w:val="6DE76850"/>
    <w:rsid w:val="6E2039C3"/>
    <w:rsid w:val="6E2D3BE1"/>
    <w:rsid w:val="6E30265D"/>
    <w:rsid w:val="6E663ACB"/>
    <w:rsid w:val="6EE56D78"/>
    <w:rsid w:val="6F2D03B1"/>
    <w:rsid w:val="6F9D35BA"/>
    <w:rsid w:val="6FB20BD4"/>
    <w:rsid w:val="6FBA59BE"/>
    <w:rsid w:val="6FCF1288"/>
    <w:rsid w:val="6FF419D0"/>
    <w:rsid w:val="70296B3E"/>
    <w:rsid w:val="70611204"/>
    <w:rsid w:val="70AC7790"/>
    <w:rsid w:val="70AD2BDA"/>
    <w:rsid w:val="7165620F"/>
    <w:rsid w:val="716B66CA"/>
    <w:rsid w:val="717039F8"/>
    <w:rsid w:val="71A9509C"/>
    <w:rsid w:val="72CA35BE"/>
    <w:rsid w:val="73CA1C03"/>
    <w:rsid w:val="74D13AD5"/>
    <w:rsid w:val="74FA2C30"/>
    <w:rsid w:val="75141CBA"/>
    <w:rsid w:val="754A7FA8"/>
    <w:rsid w:val="754D5C4B"/>
    <w:rsid w:val="759E1D21"/>
    <w:rsid w:val="75A02CB7"/>
    <w:rsid w:val="761D5360"/>
    <w:rsid w:val="76B611F5"/>
    <w:rsid w:val="76C240A7"/>
    <w:rsid w:val="76DA416A"/>
    <w:rsid w:val="775246B7"/>
    <w:rsid w:val="77B5608C"/>
    <w:rsid w:val="781E69D1"/>
    <w:rsid w:val="788B1A02"/>
    <w:rsid w:val="7901747F"/>
    <w:rsid w:val="792E291A"/>
    <w:rsid w:val="796B38FC"/>
    <w:rsid w:val="79B77EE9"/>
    <w:rsid w:val="7A263B6B"/>
    <w:rsid w:val="7AF46346"/>
    <w:rsid w:val="7B0F5EBF"/>
    <w:rsid w:val="7B130FB9"/>
    <w:rsid w:val="7BD71E38"/>
    <w:rsid w:val="7BF64EDE"/>
    <w:rsid w:val="7C400C1E"/>
    <w:rsid w:val="7C4F582A"/>
    <w:rsid w:val="7C86358B"/>
    <w:rsid w:val="7CCD4830"/>
    <w:rsid w:val="7DD11708"/>
    <w:rsid w:val="7DEE4A4F"/>
    <w:rsid w:val="7DFD085E"/>
    <w:rsid w:val="7EAE6230"/>
    <w:rsid w:val="7EBD579E"/>
    <w:rsid w:val="7EC06213"/>
    <w:rsid w:val="7EC167BD"/>
    <w:rsid w:val="7EF82E4A"/>
    <w:rsid w:val="7F2400A8"/>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4"/>
    <w:qFormat/>
    <w:uiPriority w:val="0"/>
    <w:pPr>
      <w:keepNext/>
      <w:keepLines/>
      <w:spacing w:before="260" w:after="260" w:line="416" w:lineRule="auto"/>
      <w:outlineLvl w:val="2"/>
    </w:pPr>
    <w:rPr>
      <w:b/>
      <w:bCs/>
      <w:sz w:val="32"/>
      <w:szCs w:val="32"/>
    </w:rPr>
  </w:style>
  <w:style w:type="paragraph" w:styleId="5">
    <w:name w:val="heading 4"/>
    <w:basedOn w:val="1"/>
    <w:next w:val="1"/>
    <w:link w:val="158"/>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6"/>
    <w:qFormat/>
    <w:uiPriority w:val="99"/>
    <w:pPr>
      <w:keepNext/>
      <w:keepLines/>
      <w:spacing w:before="280" w:after="290" w:line="376" w:lineRule="auto"/>
      <w:outlineLvl w:val="4"/>
    </w:pPr>
    <w:rPr>
      <w:b/>
      <w:bCs/>
      <w:sz w:val="28"/>
      <w:szCs w:val="28"/>
    </w:rPr>
  </w:style>
  <w:style w:type="paragraph" w:styleId="8">
    <w:name w:val="heading 6"/>
    <w:basedOn w:val="1"/>
    <w:next w:val="1"/>
    <w:link w:val="186"/>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6"/>
    <w:qFormat/>
    <w:uiPriority w:val="0"/>
    <w:pPr>
      <w:keepNext/>
      <w:keepLines/>
      <w:spacing w:before="240" w:after="64" w:line="317" w:lineRule="auto"/>
      <w:outlineLvl w:val="6"/>
    </w:pPr>
    <w:rPr>
      <w:b/>
      <w:bCs/>
      <w:kern w:val="0"/>
      <w:sz w:val="24"/>
    </w:rPr>
  </w:style>
  <w:style w:type="paragraph" w:styleId="10">
    <w:name w:val="heading 8"/>
    <w:basedOn w:val="1"/>
    <w:next w:val="1"/>
    <w:link w:val="178"/>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91"/>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5"/>
    <w:qFormat/>
    <w:uiPriority w:val="0"/>
    <w:pPr>
      <w:ind w:firstLine="420"/>
    </w:pPr>
    <w:rPr>
      <w:szCs w:val="20"/>
    </w:rPr>
  </w:style>
  <w:style w:type="paragraph" w:styleId="12">
    <w:name w:val="toc 7"/>
    <w:basedOn w:val="1"/>
    <w:next w:val="1"/>
    <w:qFormat/>
    <w:uiPriority w:val="0"/>
    <w:pPr>
      <w:ind w:left="2520" w:leftChars="1200"/>
    </w:pPr>
    <w:rPr>
      <w:rFonts w:ascii="Calibri" w:hAnsi="Calibri" w:cs="Calibri"/>
      <w:szCs w:val="21"/>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214"/>
    <w:qFormat/>
    <w:uiPriority w:val="0"/>
    <w:pPr>
      <w:shd w:val="clear" w:color="auto" w:fill="000080"/>
    </w:pPr>
    <w:rPr>
      <w:sz w:val="24"/>
      <w:shd w:val="clear" w:color="auto" w:fill="000080"/>
    </w:rPr>
  </w:style>
  <w:style w:type="paragraph" w:styleId="17">
    <w:name w:val="annotation text"/>
    <w:basedOn w:val="1"/>
    <w:link w:val="66"/>
    <w:qFormat/>
    <w:uiPriority w:val="99"/>
    <w:pPr>
      <w:jc w:val="left"/>
    </w:pPr>
  </w:style>
  <w:style w:type="paragraph" w:styleId="18">
    <w:name w:val="Body Text 3"/>
    <w:basedOn w:val="1"/>
    <w:link w:val="169"/>
    <w:unhideWhenUsed/>
    <w:qFormat/>
    <w:uiPriority w:val="0"/>
    <w:pPr>
      <w:spacing w:after="120"/>
    </w:pPr>
    <w:rPr>
      <w:sz w:val="16"/>
      <w:szCs w:val="16"/>
    </w:rPr>
  </w:style>
  <w:style w:type="paragraph" w:styleId="19">
    <w:name w:val="Body Text"/>
    <w:basedOn w:val="1"/>
    <w:next w:val="1"/>
    <w:link w:val="90"/>
    <w:unhideWhenUsed/>
    <w:qFormat/>
    <w:uiPriority w:val="0"/>
    <w:pPr>
      <w:spacing w:after="120"/>
    </w:pPr>
  </w:style>
  <w:style w:type="paragraph" w:styleId="20">
    <w:name w:val="Body Text Indent"/>
    <w:basedOn w:val="1"/>
    <w:link w:val="192"/>
    <w:qFormat/>
    <w:uiPriority w:val="0"/>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Block Text"/>
    <w:basedOn w:val="1"/>
    <w:unhideWhenUsed/>
    <w:qFormat/>
    <w:uiPriority w:val="99"/>
    <w:pPr>
      <w:adjustRightInd w:val="0"/>
      <w:spacing w:line="400" w:lineRule="exact"/>
      <w:ind w:left="420" w:right="33" w:firstLine="1044" w:firstLineChars="200"/>
      <w:jc w:val="left"/>
    </w:pPr>
    <w:rPr>
      <w:kern w:val="0"/>
      <w:sz w:val="24"/>
      <w:szCs w:val="20"/>
    </w:rPr>
  </w:style>
  <w:style w:type="paragraph" w:styleId="23">
    <w:name w:val="index 4"/>
    <w:basedOn w:val="1"/>
    <w:next w:val="1"/>
    <w:semiHidden/>
    <w:qFormat/>
    <w:uiPriority w:val="99"/>
    <w:pPr>
      <w:ind w:left="600" w:leftChars="600"/>
    </w:pPr>
    <w:rPr>
      <w:szCs w:val="21"/>
    </w:rPr>
  </w:style>
  <w:style w:type="paragraph" w:styleId="24">
    <w:name w:val="toc 5"/>
    <w:basedOn w:val="1"/>
    <w:next w:val="1"/>
    <w:qFormat/>
    <w:uiPriority w:val="0"/>
    <w:pPr>
      <w:ind w:left="1680" w:leftChars="800"/>
    </w:pPr>
    <w:rPr>
      <w:rFonts w:ascii="Calibri" w:hAnsi="Calibri" w:cs="Calibri"/>
      <w:szCs w:val="21"/>
    </w:rPr>
  </w:style>
  <w:style w:type="paragraph" w:styleId="25">
    <w:name w:val="toc 3"/>
    <w:basedOn w:val="1"/>
    <w:next w:val="1"/>
    <w:qFormat/>
    <w:uiPriority w:val="0"/>
    <w:pPr>
      <w:ind w:left="840" w:leftChars="400"/>
    </w:pPr>
    <w:rPr>
      <w:szCs w:val="21"/>
    </w:rPr>
  </w:style>
  <w:style w:type="paragraph" w:styleId="26">
    <w:name w:val="Plain Text"/>
    <w:basedOn w:val="1"/>
    <w:next w:val="13"/>
    <w:link w:val="104"/>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cs="Calibri"/>
      <w:szCs w:val="21"/>
    </w:rPr>
  </w:style>
  <w:style w:type="paragraph" w:styleId="28">
    <w:name w:val="Date"/>
    <w:basedOn w:val="1"/>
    <w:next w:val="1"/>
    <w:link w:val="205"/>
    <w:unhideWhenUsed/>
    <w:qFormat/>
    <w:uiPriority w:val="0"/>
    <w:pPr>
      <w:ind w:left="100" w:leftChars="2500"/>
    </w:pPr>
  </w:style>
  <w:style w:type="paragraph" w:styleId="29">
    <w:name w:val="Body Text Indent 2"/>
    <w:basedOn w:val="1"/>
    <w:link w:val="75"/>
    <w:qFormat/>
    <w:uiPriority w:val="0"/>
    <w:pPr>
      <w:spacing w:after="120" w:line="480" w:lineRule="auto"/>
      <w:ind w:left="420" w:leftChars="200"/>
    </w:pPr>
    <w:rPr>
      <w:sz w:val="24"/>
    </w:rPr>
  </w:style>
  <w:style w:type="paragraph" w:styleId="30">
    <w:name w:val="Balloon Text"/>
    <w:basedOn w:val="1"/>
    <w:link w:val="212"/>
    <w:qFormat/>
    <w:uiPriority w:val="0"/>
    <w:rPr>
      <w:sz w:val="18"/>
      <w:szCs w:val="18"/>
    </w:rPr>
  </w:style>
  <w:style w:type="paragraph" w:styleId="31">
    <w:name w:val="footer"/>
    <w:basedOn w:val="1"/>
    <w:link w:val="102"/>
    <w:unhideWhenUsed/>
    <w:qFormat/>
    <w:uiPriority w:val="99"/>
    <w:pPr>
      <w:tabs>
        <w:tab w:val="center" w:pos="4153"/>
        <w:tab w:val="right" w:pos="8306"/>
      </w:tabs>
      <w:snapToGrid w:val="0"/>
      <w:jc w:val="left"/>
    </w:pPr>
    <w:rPr>
      <w:kern w:val="0"/>
      <w:sz w:val="18"/>
      <w:szCs w:val="18"/>
    </w:rPr>
  </w:style>
  <w:style w:type="paragraph" w:styleId="32">
    <w:name w:val="header"/>
    <w:basedOn w:val="1"/>
    <w:link w:val="1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unhideWhenUsed/>
    <w:qFormat/>
    <w:uiPriority w:val="0"/>
  </w:style>
  <w:style w:type="paragraph" w:styleId="34">
    <w:name w:val="toc 4"/>
    <w:basedOn w:val="1"/>
    <w:next w:val="1"/>
    <w:qFormat/>
    <w:uiPriority w:val="0"/>
    <w:pPr>
      <w:ind w:left="1260" w:leftChars="600"/>
    </w:pPr>
    <w:rPr>
      <w:rFonts w:ascii="Calibri" w:hAnsi="Calibri" w:cs="Calibri"/>
      <w:szCs w:val="21"/>
    </w:rPr>
  </w:style>
  <w:style w:type="paragraph" w:styleId="35">
    <w:name w:val="Subtitle"/>
    <w:basedOn w:val="1"/>
    <w:next w:val="1"/>
    <w:link w:val="135"/>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179"/>
    <w:qFormat/>
    <w:uiPriority w:val="0"/>
    <w:pPr>
      <w:adjustRightInd w:val="0"/>
      <w:spacing w:line="312" w:lineRule="atLeast"/>
      <w:jc w:val="left"/>
      <w:textAlignment w:val="baseline"/>
    </w:pPr>
    <w:rPr>
      <w:kern w:val="0"/>
      <w:sz w:val="18"/>
      <w:szCs w:val="18"/>
    </w:rPr>
  </w:style>
  <w:style w:type="paragraph" w:styleId="37">
    <w:name w:val="toc 6"/>
    <w:basedOn w:val="1"/>
    <w:next w:val="1"/>
    <w:qFormat/>
    <w:uiPriority w:val="0"/>
    <w:pPr>
      <w:ind w:left="2100" w:leftChars="1000"/>
    </w:pPr>
    <w:rPr>
      <w:rFonts w:ascii="Calibri" w:hAnsi="Calibri" w:cs="Calibri"/>
      <w:szCs w:val="21"/>
    </w:rPr>
  </w:style>
  <w:style w:type="paragraph" w:styleId="38">
    <w:name w:val="Body Text Indent 3"/>
    <w:basedOn w:val="1"/>
    <w:link w:val="143"/>
    <w:unhideWhenUsed/>
    <w:qFormat/>
    <w:uiPriority w:val="0"/>
    <w:pPr>
      <w:adjustRightInd w:val="0"/>
      <w:spacing w:line="360" w:lineRule="auto"/>
      <w:ind w:firstLine="527"/>
    </w:pPr>
    <w:rPr>
      <w:kern w:val="0"/>
      <w:sz w:val="28"/>
      <w:szCs w:val="20"/>
    </w:rPr>
  </w:style>
  <w:style w:type="paragraph" w:styleId="39">
    <w:name w:val="toc 2"/>
    <w:basedOn w:val="1"/>
    <w:next w:val="1"/>
    <w:unhideWhenUsed/>
    <w:qFormat/>
    <w:uiPriority w:val="0"/>
    <w:pPr>
      <w:tabs>
        <w:tab w:val="right" w:leader="dot" w:pos="8296"/>
      </w:tabs>
      <w:ind w:left="420" w:leftChars="200"/>
    </w:pPr>
  </w:style>
  <w:style w:type="paragraph" w:styleId="40">
    <w:name w:val="toc 9"/>
    <w:basedOn w:val="1"/>
    <w:next w:val="1"/>
    <w:qFormat/>
    <w:uiPriority w:val="0"/>
    <w:pPr>
      <w:ind w:left="3360" w:leftChars="1600"/>
    </w:pPr>
    <w:rPr>
      <w:rFonts w:ascii="Calibri" w:hAnsi="Calibri" w:cs="Calibri"/>
      <w:szCs w:val="21"/>
    </w:rPr>
  </w:style>
  <w:style w:type="paragraph" w:styleId="41">
    <w:name w:val="HTML Preformatted"/>
    <w:basedOn w:val="1"/>
    <w:link w:val="16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2">
    <w:name w:val="Normal (Web)"/>
    <w:basedOn w:val="1"/>
    <w:unhideWhenUsed/>
    <w:qFormat/>
    <w:uiPriority w:val="0"/>
    <w:rPr>
      <w:rFonts w:ascii="Calibri" w:hAnsi="Calibri"/>
      <w:kern w:val="0"/>
      <w:sz w:val="24"/>
    </w:rPr>
  </w:style>
  <w:style w:type="paragraph" w:styleId="43">
    <w:name w:val="index 1"/>
    <w:basedOn w:val="1"/>
    <w:next w:val="1"/>
    <w:unhideWhenUsed/>
    <w:qFormat/>
    <w:uiPriority w:val="0"/>
    <w:pPr>
      <w:adjustRightInd w:val="0"/>
      <w:spacing w:line="312" w:lineRule="atLeast"/>
    </w:pPr>
    <w:rPr>
      <w:kern w:val="0"/>
      <w:szCs w:val="20"/>
    </w:rPr>
  </w:style>
  <w:style w:type="paragraph" w:styleId="44">
    <w:name w:val="Title"/>
    <w:basedOn w:val="1"/>
    <w:next w:val="1"/>
    <w:link w:val="199"/>
    <w:qFormat/>
    <w:uiPriority w:val="0"/>
    <w:pPr>
      <w:spacing w:before="240" w:after="60"/>
      <w:jc w:val="center"/>
      <w:outlineLvl w:val="0"/>
    </w:pPr>
    <w:rPr>
      <w:rFonts w:ascii="Cambria" w:hAnsi="Cambria"/>
      <w:b/>
      <w:bCs/>
      <w:sz w:val="32"/>
      <w:szCs w:val="32"/>
    </w:rPr>
  </w:style>
  <w:style w:type="paragraph" w:styleId="45">
    <w:name w:val="annotation subject"/>
    <w:basedOn w:val="17"/>
    <w:next w:val="17"/>
    <w:link w:val="177"/>
    <w:qFormat/>
    <w:uiPriority w:val="0"/>
    <w:rPr>
      <w:b/>
      <w:bCs/>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unhideWhenUsed/>
    <w:qFormat/>
    <w:uiPriority w:val="99"/>
    <w:rPr>
      <w:vertAlign w:val="superscript"/>
    </w:rPr>
  </w:style>
  <w:style w:type="character" w:styleId="51">
    <w:name w:val="page number"/>
    <w:qFormat/>
    <w:uiPriority w:val="99"/>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TML Definition"/>
    <w:basedOn w:val="48"/>
    <w:unhideWhenUsed/>
    <w:qFormat/>
    <w:uiPriority w:val="0"/>
  </w:style>
  <w:style w:type="character" w:styleId="55">
    <w:name w:val="HTML Typewriter"/>
    <w:basedOn w:val="48"/>
    <w:unhideWhenUsed/>
    <w:qFormat/>
    <w:uiPriority w:val="0"/>
    <w:rPr>
      <w:rFonts w:hint="default" w:ascii="Courier New" w:hAnsi="Courier New" w:eastAsia="Courier New" w:cs="Courier New"/>
      <w:sz w:val="24"/>
      <w:szCs w:val="24"/>
    </w:rPr>
  </w:style>
  <w:style w:type="character" w:styleId="56">
    <w:name w:val="HTML Variable"/>
    <w:basedOn w:val="48"/>
    <w:unhideWhenUsed/>
    <w:qFormat/>
    <w:uiPriority w:val="0"/>
    <w:rPr>
      <w:vanish/>
      <w:bdr w:val="single" w:color="DCDCDC" w:sz="6" w:space="0"/>
    </w:rPr>
  </w:style>
  <w:style w:type="character" w:styleId="57">
    <w:name w:val="Hyperlink"/>
    <w:unhideWhenUsed/>
    <w:qFormat/>
    <w:uiPriority w:val="0"/>
    <w:rPr>
      <w:color w:val="0000FF"/>
      <w:u w:val="single"/>
    </w:rPr>
  </w:style>
  <w:style w:type="character" w:styleId="58">
    <w:name w:val="HTML Code"/>
    <w:basedOn w:val="48"/>
    <w:unhideWhenUsed/>
    <w:qFormat/>
    <w:uiPriority w:val="0"/>
    <w:rPr>
      <w:rFonts w:hint="default" w:ascii="Courier New" w:hAnsi="Courier New" w:eastAsia="Courier New" w:cs="Courier New"/>
      <w:sz w:val="24"/>
      <w:szCs w:val="24"/>
    </w:rPr>
  </w:style>
  <w:style w:type="character" w:styleId="59">
    <w:name w:val="annotation reference"/>
    <w:qFormat/>
    <w:uiPriority w:val="99"/>
    <w:rPr>
      <w:sz w:val="21"/>
      <w:szCs w:val="21"/>
    </w:rPr>
  </w:style>
  <w:style w:type="character" w:styleId="60">
    <w:name w:val="HTML Cite"/>
    <w:basedOn w:val="48"/>
    <w:unhideWhenUsed/>
    <w:qFormat/>
    <w:uiPriority w:val="0"/>
  </w:style>
  <w:style w:type="character" w:styleId="61">
    <w:name w:val="footnote reference"/>
    <w:basedOn w:val="48"/>
    <w:unhideWhenUsed/>
    <w:qFormat/>
    <w:uiPriority w:val="0"/>
    <w:rPr>
      <w:vertAlign w:val="superscript"/>
    </w:rPr>
  </w:style>
  <w:style w:type="character" w:styleId="62">
    <w:name w:val="HTML Keyboard"/>
    <w:basedOn w:val="48"/>
    <w:unhideWhenUsed/>
    <w:qFormat/>
    <w:uiPriority w:val="0"/>
    <w:rPr>
      <w:rFonts w:hint="default" w:ascii="Courier New" w:hAnsi="Courier New" w:eastAsia="Courier New" w:cs="Courier New"/>
      <w:sz w:val="24"/>
      <w:szCs w:val="24"/>
    </w:rPr>
  </w:style>
  <w:style w:type="character" w:styleId="63">
    <w:name w:val="HTML Sample"/>
    <w:basedOn w:val="48"/>
    <w:unhideWhenUsed/>
    <w:qFormat/>
    <w:uiPriority w:val="0"/>
    <w:rPr>
      <w:rFonts w:hint="default" w:ascii="Courier New" w:hAnsi="Courier New" w:eastAsia="Courier New" w:cs="Courier New"/>
    </w:rPr>
  </w:style>
  <w:style w:type="paragraph" w:customStyle="1" w:styleId="64">
    <w:name w:val="_Style 2"/>
    <w:qFormat/>
    <w:uiPriority w:val="1"/>
    <w:rPr>
      <w:rFonts w:ascii="Times New Roman" w:hAnsi="Times New Roman" w:eastAsia="宋体" w:cs="Times New Roman"/>
      <w:sz w:val="22"/>
      <w:szCs w:val="22"/>
      <w:lang w:val="en-US" w:eastAsia="zh-CN" w:bidi="ar-SA"/>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批注文字 字符2"/>
    <w:link w:val="17"/>
    <w:qFormat/>
    <w:uiPriority w:val="99"/>
    <w:rPr>
      <w:rFonts w:ascii="Times New Roman" w:hAnsi="Times New Roman"/>
      <w:kern w:val="2"/>
      <w:sz w:val="21"/>
      <w:szCs w:val="24"/>
    </w:rPr>
  </w:style>
  <w:style w:type="character" w:customStyle="1" w:styleId="67">
    <w:name w:val="正文文本缩进 Char1"/>
    <w:basedOn w:val="48"/>
    <w:semiHidden/>
    <w:qFormat/>
    <w:locked/>
    <w:uiPriority w:val="0"/>
    <w:rPr>
      <w:kern w:val="2"/>
      <w:sz w:val="21"/>
      <w:szCs w:val="24"/>
    </w:rPr>
  </w:style>
  <w:style w:type="character" w:customStyle="1" w:styleId="68">
    <w:name w:val="Body text|2_"/>
    <w:link w:val="69"/>
    <w:qFormat/>
    <w:uiPriority w:val="0"/>
    <w:rPr>
      <w:sz w:val="21"/>
    </w:rPr>
  </w:style>
  <w:style w:type="paragraph" w:customStyle="1" w:styleId="69">
    <w:name w:val="Body text|2"/>
    <w:basedOn w:val="1"/>
    <w:link w:val="68"/>
    <w:qFormat/>
    <w:uiPriority w:val="0"/>
    <w:pPr>
      <w:spacing w:after="30"/>
      <w:ind w:firstLine="420"/>
      <w:jc w:val="left"/>
    </w:pPr>
    <w:rPr>
      <w:kern w:val="0"/>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Comment Text Char1"/>
    <w:qFormat/>
    <w:uiPriority w:val="99"/>
    <w:rPr>
      <w:sz w:val="24"/>
      <w:szCs w:val="24"/>
    </w:rPr>
  </w:style>
  <w:style w:type="character" w:customStyle="1" w:styleId="72">
    <w:name w:val="Char Char19"/>
    <w:qFormat/>
    <w:uiPriority w:val="99"/>
    <w:rPr>
      <w:rFonts w:ascii="Arial" w:hAnsi="Arial" w:eastAsia="宋体" w:cs="Arial"/>
      <w:b/>
      <w:bCs/>
      <w:sz w:val="28"/>
      <w:szCs w:val="28"/>
    </w:rPr>
  </w:style>
  <w:style w:type="character" w:styleId="73">
    <w:name w:val="Placeholder Text"/>
    <w:unhideWhenUsed/>
    <w:qFormat/>
    <w:uiPriority w:val="99"/>
    <w:rPr>
      <w:color w:val="808080"/>
    </w:rPr>
  </w:style>
  <w:style w:type="character" w:customStyle="1" w:styleId="74">
    <w:name w:val="apple-converted-space"/>
    <w:basedOn w:val="48"/>
    <w:qFormat/>
    <w:uiPriority w:val="0"/>
  </w:style>
  <w:style w:type="character" w:customStyle="1" w:styleId="75">
    <w:name w:val="正文文本缩进 2 字符"/>
    <w:basedOn w:val="48"/>
    <w:link w:val="29"/>
    <w:qFormat/>
    <w:uiPriority w:val="0"/>
    <w:rPr>
      <w:kern w:val="2"/>
      <w:sz w:val="24"/>
      <w:szCs w:val="24"/>
    </w:rPr>
  </w:style>
  <w:style w:type="character" w:customStyle="1" w:styleId="76">
    <w:name w:val="Heading 5 Char"/>
    <w:qFormat/>
    <w:uiPriority w:val="99"/>
    <w:rPr>
      <w:rFonts w:eastAsia="宋体"/>
      <w:b/>
      <w:bCs/>
      <w:kern w:val="2"/>
      <w:sz w:val="28"/>
      <w:szCs w:val="28"/>
      <w:lang w:val="en-US" w:eastAsia="zh-CN"/>
    </w:rPr>
  </w:style>
  <w:style w:type="character" w:customStyle="1" w:styleId="77">
    <w:name w:val="正文呀2 Char"/>
    <w:basedOn w:val="78"/>
    <w:link w:val="80"/>
    <w:qFormat/>
    <w:locked/>
    <w:uiPriority w:val="0"/>
    <w:rPr>
      <w:rFonts w:ascii="宋体" w:hAnsi="宋体"/>
      <w:szCs w:val="21"/>
    </w:rPr>
  </w:style>
  <w:style w:type="character" w:customStyle="1" w:styleId="78">
    <w:name w:val="正文呀 Char"/>
    <w:link w:val="79"/>
    <w:qFormat/>
    <w:locked/>
    <w:uiPriority w:val="0"/>
    <w:rPr>
      <w:rFonts w:ascii="宋体" w:hAnsi="宋体"/>
      <w:szCs w:val="21"/>
    </w:rPr>
  </w:style>
  <w:style w:type="paragraph" w:customStyle="1" w:styleId="79">
    <w:name w:val="正文呀"/>
    <w:basedOn w:val="1"/>
    <w:link w:val="78"/>
    <w:qFormat/>
    <w:uiPriority w:val="0"/>
    <w:pPr>
      <w:adjustRightInd w:val="0"/>
      <w:spacing w:line="420" w:lineRule="exact"/>
      <w:ind w:firstLine="420" w:firstLineChars="200"/>
    </w:pPr>
    <w:rPr>
      <w:rFonts w:ascii="宋体" w:hAnsi="宋体"/>
      <w:kern w:val="0"/>
      <w:sz w:val="20"/>
      <w:szCs w:val="21"/>
    </w:rPr>
  </w:style>
  <w:style w:type="paragraph" w:customStyle="1" w:styleId="80">
    <w:name w:val="正文呀2"/>
    <w:basedOn w:val="79"/>
    <w:link w:val="77"/>
    <w:qFormat/>
    <w:uiPriority w:val="0"/>
  </w:style>
  <w:style w:type="character" w:customStyle="1" w:styleId="81">
    <w:name w:val="Document Map Char"/>
    <w:qFormat/>
    <w:uiPriority w:val="99"/>
    <w:rPr>
      <w:rFonts w:eastAsia="宋体"/>
      <w:kern w:val="2"/>
      <w:sz w:val="24"/>
      <w:szCs w:val="24"/>
      <w:lang w:val="en-US" w:eastAsia="zh-CN"/>
    </w:rPr>
  </w:style>
  <w:style w:type="character" w:customStyle="1" w:styleId="82">
    <w:name w:val="Char Char18"/>
    <w:qFormat/>
    <w:uiPriority w:val="99"/>
    <w:rPr>
      <w:rFonts w:ascii="Times New Roman" w:hAnsi="Times New Roman" w:eastAsia="宋体" w:cs="Times New Roman"/>
      <w:b/>
      <w:bCs/>
      <w:sz w:val="28"/>
      <w:szCs w:val="28"/>
    </w:rPr>
  </w:style>
  <w:style w:type="character" w:customStyle="1" w:styleId="83">
    <w:name w:val="Heading 1 Char"/>
    <w:qFormat/>
    <w:uiPriority w:val="99"/>
    <w:rPr>
      <w:rFonts w:eastAsia="宋体"/>
      <w:b/>
      <w:bCs/>
      <w:kern w:val="44"/>
      <w:sz w:val="44"/>
      <w:szCs w:val="44"/>
      <w:lang w:val="en-US" w:eastAsia="zh-CN"/>
    </w:rPr>
  </w:style>
  <w:style w:type="character" w:customStyle="1" w:styleId="84">
    <w:name w:val="ca-51"/>
    <w:qFormat/>
    <w:uiPriority w:val="0"/>
    <w:rPr>
      <w:rFonts w:hint="eastAsia" w:ascii="宋体" w:hAnsi="宋体" w:eastAsia="宋体" w:cs="Times New Roman"/>
      <w:color w:val="E60000"/>
      <w:sz w:val="20"/>
      <w:szCs w:val="20"/>
    </w:rPr>
  </w:style>
  <w:style w:type="character" w:customStyle="1" w:styleId="85">
    <w:name w:val="正文缩进 字符"/>
    <w:link w:val="7"/>
    <w:qFormat/>
    <w:uiPriority w:val="0"/>
    <w:rPr>
      <w:kern w:val="2"/>
      <w:sz w:val="21"/>
    </w:rPr>
  </w:style>
  <w:style w:type="character" w:customStyle="1" w:styleId="86">
    <w:name w:val="Heading #3|1_"/>
    <w:link w:val="87"/>
    <w:qFormat/>
    <w:uiPriority w:val="0"/>
    <w:rPr>
      <w:rFonts w:ascii="宋体" w:hAnsi="宋体" w:cs="宋体"/>
      <w:sz w:val="28"/>
      <w:szCs w:val="28"/>
      <w:lang w:val="zh-CN" w:bidi="zh-CN"/>
    </w:rPr>
  </w:style>
  <w:style w:type="paragraph" w:customStyle="1" w:styleId="87">
    <w:name w:val="Heading #3|1"/>
    <w:basedOn w:val="1"/>
    <w:link w:val="86"/>
    <w:qFormat/>
    <w:uiPriority w:val="0"/>
    <w:pPr>
      <w:spacing w:after="570"/>
      <w:jc w:val="center"/>
      <w:outlineLvl w:val="2"/>
    </w:pPr>
    <w:rPr>
      <w:rFonts w:ascii="宋体" w:hAnsi="宋体" w:cs="宋体"/>
      <w:kern w:val="0"/>
      <w:sz w:val="28"/>
      <w:szCs w:val="28"/>
      <w:lang w:val="zh-CN" w:bidi="zh-CN"/>
    </w:rPr>
  </w:style>
  <w:style w:type="character" w:customStyle="1" w:styleId="88">
    <w:name w:val="标题5 Char Char"/>
    <w:link w:val="89"/>
    <w:qFormat/>
    <w:locked/>
    <w:uiPriority w:val="99"/>
    <w:rPr>
      <w:rFonts w:ascii="Arial" w:hAnsi="Arial" w:cs="Arial"/>
      <w:b/>
      <w:bCs/>
      <w:sz w:val="32"/>
      <w:szCs w:val="32"/>
    </w:rPr>
  </w:style>
  <w:style w:type="paragraph" w:customStyle="1" w:styleId="89">
    <w:name w:val="标题5"/>
    <w:basedOn w:val="4"/>
    <w:link w:val="88"/>
    <w:qFormat/>
    <w:uiPriority w:val="99"/>
    <w:pPr>
      <w:spacing w:line="413" w:lineRule="auto"/>
    </w:pPr>
    <w:rPr>
      <w:rFonts w:ascii="Arial" w:hAnsi="Arial"/>
      <w:kern w:val="0"/>
    </w:rPr>
  </w:style>
  <w:style w:type="character" w:customStyle="1" w:styleId="90">
    <w:name w:val="正文文本 字符1"/>
    <w:link w:val="19"/>
    <w:qFormat/>
    <w:uiPriority w:val="0"/>
    <w:rPr>
      <w:rFonts w:ascii="Times New Roman" w:hAnsi="Times New Roman"/>
      <w:kern w:val="2"/>
      <w:sz w:val="21"/>
      <w:szCs w:val="24"/>
    </w:rPr>
  </w:style>
  <w:style w:type="character" w:customStyle="1" w:styleId="91">
    <w:name w:val="明显强调1"/>
    <w:qFormat/>
    <w:uiPriority w:val="99"/>
    <w:rPr>
      <w:b/>
      <w:bCs/>
      <w:i/>
      <w:iCs/>
      <w:color w:val="4F81BD"/>
    </w:rPr>
  </w:style>
  <w:style w:type="character" w:customStyle="1" w:styleId="92">
    <w:name w:val="Char Char24"/>
    <w:qFormat/>
    <w:uiPriority w:val="99"/>
    <w:rPr>
      <w:rFonts w:eastAsia="宋体"/>
      <w:b/>
      <w:bCs/>
      <w:kern w:val="44"/>
      <w:sz w:val="44"/>
      <w:szCs w:val="44"/>
      <w:lang w:val="en-US" w:eastAsia="zh-CN"/>
    </w:rPr>
  </w:style>
  <w:style w:type="character" w:customStyle="1" w:styleId="93">
    <w:name w:val="ca-71"/>
    <w:qFormat/>
    <w:uiPriority w:val="0"/>
    <w:rPr>
      <w:rFonts w:hint="eastAsia" w:ascii="宋体" w:hAnsi="宋体" w:eastAsia="宋体" w:cs="Times New Roman"/>
      <w:color w:val="000000"/>
      <w:sz w:val="12"/>
      <w:szCs w:val="12"/>
    </w:rPr>
  </w:style>
  <w:style w:type="character" w:customStyle="1" w:styleId="94">
    <w:name w:val="书籍标题1"/>
    <w:qFormat/>
    <w:uiPriority w:val="99"/>
    <w:rPr>
      <w:b/>
      <w:bCs/>
      <w:smallCaps/>
      <w:spacing w:val="5"/>
    </w:rPr>
  </w:style>
  <w:style w:type="character" w:customStyle="1" w:styleId="95">
    <w:name w:val="ca-41"/>
    <w:qFormat/>
    <w:uiPriority w:val="0"/>
    <w:rPr>
      <w:rFonts w:hint="eastAsia" w:ascii="宋体" w:hAnsi="宋体" w:eastAsia="宋体" w:cs="Times New Roman"/>
      <w:color w:val="000000"/>
      <w:sz w:val="20"/>
      <w:szCs w:val="20"/>
    </w:rPr>
  </w:style>
  <w:style w:type="character" w:customStyle="1" w:styleId="96">
    <w:name w:val="不明显强调1"/>
    <w:qFormat/>
    <w:uiPriority w:val="99"/>
    <w:rPr>
      <w:i/>
      <w:iCs/>
      <w:color w:val="808080"/>
    </w:rPr>
  </w:style>
  <w:style w:type="character" w:customStyle="1" w:styleId="97">
    <w:name w:val="标题 1 字符1"/>
    <w:qFormat/>
    <w:uiPriority w:val="0"/>
    <w:rPr>
      <w:b/>
      <w:bCs/>
      <w:kern w:val="44"/>
      <w:sz w:val="44"/>
      <w:szCs w:val="44"/>
    </w:rPr>
  </w:style>
  <w:style w:type="character" w:customStyle="1" w:styleId="98">
    <w:name w:val="Body Text Indent 2 Char"/>
    <w:qFormat/>
    <w:uiPriority w:val="99"/>
    <w:rPr>
      <w:rFonts w:eastAsia="宋体"/>
      <w:kern w:val="2"/>
      <w:sz w:val="24"/>
      <w:szCs w:val="24"/>
      <w:lang w:val="en-US" w:eastAsia="zh-CN"/>
    </w:rPr>
  </w:style>
  <w:style w:type="character" w:customStyle="1" w:styleId="99">
    <w:name w:val="普通文字 Char Char3"/>
    <w:qFormat/>
    <w:uiPriority w:val="0"/>
    <w:rPr>
      <w:rFonts w:hint="eastAsia" w:ascii="宋体" w:hAnsi="Courier New" w:eastAsia="宋体"/>
      <w:kern w:val="2"/>
      <w:sz w:val="21"/>
      <w:lang w:val="en-US" w:eastAsia="zh-CN" w:bidi="ar-SA"/>
    </w:rPr>
  </w:style>
  <w:style w:type="character" w:customStyle="1" w:styleId="100">
    <w:name w:val="标题 Char2"/>
    <w:qFormat/>
    <w:uiPriority w:val="99"/>
    <w:rPr>
      <w:rFonts w:ascii="Cambria" w:hAnsi="Cambria" w:eastAsia="宋体" w:cs="Cambria"/>
      <w:b/>
      <w:bCs/>
      <w:sz w:val="32"/>
      <w:szCs w:val="32"/>
    </w:rPr>
  </w:style>
  <w:style w:type="character" w:customStyle="1" w:styleId="101">
    <w:name w:val="标题 2 Char"/>
    <w:qFormat/>
    <w:uiPriority w:val="0"/>
    <w:rPr>
      <w:rFonts w:ascii="Cambria" w:hAnsi="Cambria" w:eastAsia="宋体" w:cs="Times New Roman"/>
      <w:b/>
      <w:bCs/>
      <w:kern w:val="2"/>
      <w:sz w:val="32"/>
      <w:szCs w:val="32"/>
    </w:rPr>
  </w:style>
  <w:style w:type="character" w:customStyle="1" w:styleId="102">
    <w:name w:val="页脚 字符"/>
    <w:link w:val="31"/>
    <w:qFormat/>
    <w:uiPriority w:val="99"/>
    <w:rPr>
      <w:sz w:val="18"/>
      <w:szCs w:val="18"/>
    </w:rPr>
  </w:style>
  <w:style w:type="character" w:customStyle="1" w:styleId="103">
    <w:name w:val="批注主题 Char1"/>
    <w:qFormat/>
    <w:uiPriority w:val="99"/>
    <w:rPr>
      <w:rFonts w:ascii="Times New Roman" w:hAnsi="Times New Roman" w:eastAsia="宋体" w:cs="Times New Roman"/>
      <w:b/>
      <w:bCs/>
      <w:sz w:val="24"/>
      <w:szCs w:val="24"/>
    </w:rPr>
  </w:style>
  <w:style w:type="character" w:customStyle="1" w:styleId="104">
    <w:name w:val="纯文本 字符3"/>
    <w:link w:val="26"/>
    <w:qFormat/>
    <w:uiPriority w:val="0"/>
    <w:rPr>
      <w:rFonts w:ascii="宋体" w:hAnsi="Courier New" w:eastAsia="宋体" w:cs="Courier New"/>
      <w:szCs w:val="21"/>
    </w:rPr>
  </w:style>
  <w:style w:type="character" w:customStyle="1" w:styleId="105">
    <w:name w:val="Heading #2|1_"/>
    <w:link w:val="106"/>
    <w:qFormat/>
    <w:uiPriority w:val="0"/>
    <w:rPr>
      <w:rFonts w:ascii="宋体" w:hAnsi="宋体" w:cs="宋体"/>
      <w:sz w:val="34"/>
      <w:szCs w:val="34"/>
      <w:lang w:val="zh-CN" w:bidi="zh-CN"/>
    </w:rPr>
  </w:style>
  <w:style w:type="paragraph" w:customStyle="1" w:styleId="106">
    <w:name w:val="Heading #2|1"/>
    <w:basedOn w:val="1"/>
    <w:link w:val="105"/>
    <w:qFormat/>
    <w:uiPriority w:val="0"/>
    <w:pPr>
      <w:spacing w:after="900"/>
      <w:jc w:val="center"/>
      <w:outlineLvl w:val="1"/>
    </w:pPr>
    <w:rPr>
      <w:rFonts w:ascii="宋体" w:hAnsi="宋体" w:cs="宋体"/>
      <w:kern w:val="0"/>
      <w:sz w:val="34"/>
      <w:szCs w:val="34"/>
      <w:lang w:val="zh-CN" w:bidi="zh-CN"/>
    </w:rPr>
  </w:style>
  <w:style w:type="character" w:customStyle="1" w:styleId="107">
    <w:name w:val="Body text|7_"/>
    <w:link w:val="108"/>
    <w:qFormat/>
    <w:uiPriority w:val="0"/>
    <w:rPr>
      <w:rFonts w:ascii="Courier New" w:hAnsi="Courier New" w:eastAsia="Courier New" w:cs="Courier New"/>
      <w:b/>
      <w:bCs/>
      <w:sz w:val="8"/>
      <w:szCs w:val="8"/>
      <w:lang w:val="zh-CN"/>
    </w:rPr>
  </w:style>
  <w:style w:type="paragraph" w:customStyle="1" w:styleId="108">
    <w:name w:val="Body text|7"/>
    <w:basedOn w:val="1"/>
    <w:link w:val="107"/>
    <w:qFormat/>
    <w:uiPriority w:val="0"/>
    <w:pPr>
      <w:ind w:hanging="1760"/>
      <w:jc w:val="left"/>
    </w:pPr>
    <w:rPr>
      <w:rFonts w:ascii="Courier New" w:hAnsi="Courier New" w:eastAsia="Courier New"/>
      <w:b/>
      <w:bCs/>
      <w:kern w:val="0"/>
      <w:sz w:val="8"/>
      <w:szCs w:val="8"/>
      <w:lang w:val="zh-CN"/>
    </w:rPr>
  </w:style>
  <w:style w:type="character" w:customStyle="1" w:styleId="109">
    <w:name w:val="Heading 3 Char"/>
    <w:qFormat/>
    <w:uiPriority w:val="99"/>
    <w:rPr>
      <w:b/>
      <w:bCs/>
      <w:kern w:val="2"/>
      <w:sz w:val="32"/>
      <w:szCs w:val="32"/>
    </w:rPr>
  </w:style>
  <w:style w:type="character" w:customStyle="1" w:styleId="110">
    <w:name w:val="正文文本 Char"/>
    <w:qFormat/>
    <w:uiPriority w:val="0"/>
    <w:rPr>
      <w:rFonts w:ascii="Times New Roman" w:hAnsi="Times New Roman"/>
      <w:kern w:val="2"/>
      <w:sz w:val="21"/>
      <w:szCs w:val="24"/>
    </w:rPr>
  </w:style>
  <w:style w:type="character" w:customStyle="1" w:styleId="111">
    <w:name w:val="正文文本 字符"/>
    <w:qFormat/>
    <w:uiPriority w:val="0"/>
    <w:rPr>
      <w:rFonts w:ascii="Times New Roman" w:hAnsi="Times New Roman"/>
      <w:kern w:val="2"/>
      <w:sz w:val="21"/>
      <w:szCs w:val="24"/>
    </w:rPr>
  </w:style>
  <w:style w:type="character" w:customStyle="1" w:styleId="112">
    <w:name w:val="Balloon Text Char"/>
    <w:qFormat/>
    <w:uiPriority w:val="99"/>
    <w:rPr>
      <w:sz w:val="18"/>
      <w:szCs w:val="18"/>
    </w:rPr>
  </w:style>
  <w:style w:type="character" w:customStyle="1" w:styleId="113">
    <w:name w:val="Footnote Text Char"/>
    <w:qFormat/>
    <w:uiPriority w:val="99"/>
    <w:rPr>
      <w:rFonts w:eastAsia="宋体"/>
      <w:sz w:val="18"/>
      <w:szCs w:val="18"/>
      <w:lang w:val="en-US" w:eastAsia="zh-CN"/>
    </w:rPr>
  </w:style>
  <w:style w:type="character" w:customStyle="1" w:styleId="114">
    <w:name w:val="列出段落 字符"/>
    <w:link w:val="115"/>
    <w:qFormat/>
    <w:locked/>
    <w:uiPriority w:val="0"/>
    <w:rPr>
      <w:kern w:val="2"/>
      <w:sz w:val="21"/>
      <w:szCs w:val="24"/>
    </w:rPr>
  </w:style>
  <w:style w:type="paragraph" w:styleId="115">
    <w:name w:val="List Paragraph"/>
    <w:basedOn w:val="1"/>
    <w:link w:val="114"/>
    <w:qFormat/>
    <w:uiPriority w:val="0"/>
    <w:pPr>
      <w:ind w:firstLine="420" w:firstLineChars="200"/>
    </w:pPr>
  </w:style>
  <w:style w:type="character" w:customStyle="1" w:styleId="116">
    <w:name w:val="引用 Char1"/>
    <w:qFormat/>
    <w:uiPriority w:val="99"/>
    <w:rPr>
      <w:rFonts w:ascii="Times New Roman" w:hAnsi="Times New Roman" w:eastAsia="宋体" w:cs="Times New Roman"/>
      <w:i/>
      <w:iCs/>
      <w:color w:val="000000"/>
      <w:sz w:val="24"/>
      <w:szCs w:val="24"/>
    </w:rPr>
  </w:style>
  <w:style w:type="character" w:customStyle="1" w:styleId="117">
    <w:name w:val="Title Char"/>
    <w:qFormat/>
    <w:uiPriority w:val="99"/>
    <w:rPr>
      <w:rFonts w:ascii="Cambria" w:hAnsi="Cambria" w:cs="Cambria"/>
      <w:b/>
      <w:bCs/>
      <w:sz w:val="32"/>
      <w:szCs w:val="32"/>
    </w:rPr>
  </w:style>
  <w:style w:type="character" w:customStyle="1" w:styleId="118">
    <w:name w:val="Plain Text Char"/>
    <w:qFormat/>
    <w:uiPriority w:val="99"/>
    <w:rPr>
      <w:rFonts w:ascii="宋体" w:hAnsi="Courier New" w:eastAsia="宋体" w:cs="宋体"/>
      <w:sz w:val="24"/>
      <w:szCs w:val="24"/>
    </w:rPr>
  </w:style>
  <w:style w:type="character" w:customStyle="1" w:styleId="119">
    <w:name w:val="批注文字 字符1"/>
    <w:qFormat/>
    <w:uiPriority w:val="0"/>
    <w:rPr>
      <w:rFonts w:ascii="Times New Roman" w:hAnsi="Times New Roman"/>
      <w:kern w:val="2"/>
      <w:sz w:val="21"/>
      <w:szCs w:val="24"/>
    </w:rPr>
  </w:style>
  <w:style w:type="character" w:customStyle="1" w:styleId="120">
    <w:name w:val="纯文本 字符2"/>
    <w:qFormat/>
    <w:uiPriority w:val="0"/>
    <w:rPr>
      <w:rFonts w:ascii="宋体" w:hAnsi="Courier New" w:eastAsia="宋体" w:cs="Courier New"/>
      <w:szCs w:val="21"/>
    </w:rPr>
  </w:style>
  <w:style w:type="character" w:customStyle="1" w:styleId="121">
    <w:name w:val="纯文本 Char2"/>
    <w:qFormat/>
    <w:uiPriority w:val="0"/>
    <w:rPr>
      <w:rFonts w:hint="eastAsia" w:ascii="宋体" w:hAnsi="Courier New" w:eastAsia="宋体" w:cs="宋体"/>
      <w:kern w:val="0"/>
      <w:sz w:val="20"/>
      <w:szCs w:val="20"/>
    </w:rPr>
  </w:style>
  <w:style w:type="character" w:customStyle="1" w:styleId="122">
    <w:name w:val="不明显参考1"/>
    <w:qFormat/>
    <w:uiPriority w:val="99"/>
    <w:rPr>
      <w:smallCaps/>
      <w:color w:val="auto"/>
      <w:u w:val="single"/>
    </w:rPr>
  </w:style>
  <w:style w:type="character" w:customStyle="1" w:styleId="123">
    <w:name w:val="页脚 Char1"/>
    <w:qFormat/>
    <w:locked/>
    <w:uiPriority w:val="0"/>
    <w:rPr>
      <w:sz w:val="18"/>
      <w:szCs w:val="18"/>
    </w:rPr>
  </w:style>
  <w:style w:type="character" w:customStyle="1" w:styleId="124">
    <w:name w:val="Char Char20"/>
    <w:qFormat/>
    <w:uiPriority w:val="99"/>
    <w:rPr>
      <w:rFonts w:ascii="Times New Roman" w:hAnsi="Times New Roman" w:eastAsia="宋体" w:cs="Times New Roman"/>
      <w:b/>
      <w:bCs/>
      <w:sz w:val="32"/>
      <w:szCs w:val="32"/>
    </w:rPr>
  </w:style>
  <w:style w:type="character" w:customStyle="1" w:styleId="125">
    <w:name w:val="Char Char23"/>
    <w:qFormat/>
    <w:uiPriority w:val="99"/>
    <w:rPr>
      <w:rFonts w:eastAsia="宋体"/>
      <w:b/>
      <w:bCs/>
      <w:kern w:val="44"/>
      <w:sz w:val="44"/>
      <w:szCs w:val="44"/>
      <w:lang w:val="en-US" w:eastAsia="zh-CN"/>
    </w:rPr>
  </w:style>
  <w:style w:type="character" w:customStyle="1" w:styleId="126">
    <w:name w:val="标题 7 字符"/>
    <w:basedOn w:val="48"/>
    <w:link w:val="9"/>
    <w:qFormat/>
    <w:uiPriority w:val="0"/>
    <w:rPr>
      <w:b/>
      <w:bCs/>
      <w:sz w:val="24"/>
      <w:szCs w:val="24"/>
    </w:rPr>
  </w:style>
  <w:style w:type="character" w:customStyle="1" w:styleId="127">
    <w:name w:val="Body text|6_"/>
    <w:link w:val="128"/>
    <w:qFormat/>
    <w:uiPriority w:val="0"/>
    <w:rPr>
      <w:rFonts w:ascii="Arial" w:hAnsi="Arial" w:eastAsia="Arial" w:cs="Arial"/>
      <w:lang w:val="zh-CN"/>
    </w:rPr>
  </w:style>
  <w:style w:type="paragraph" w:customStyle="1" w:styleId="128">
    <w:name w:val="Body text|6"/>
    <w:basedOn w:val="1"/>
    <w:link w:val="127"/>
    <w:qFormat/>
    <w:uiPriority w:val="0"/>
    <w:pPr>
      <w:ind w:hanging="2220"/>
      <w:jc w:val="left"/>
    </w:pPr>
    <w:rPr>
      <w:rFonts w:ascii="Arial" w:hAnsi="Arial" w:eastAsia="Arial"/>
      <w:kern w:val="0"/>
      <w:sz w:val="20"/>
      <w:szCs w:val="20"/>
      <w:lang w:val="zh-CN"/>
    </w:rPr>
  </w:style>
  <w:style w:type="character" w:customStyle="1" w:styleId="129">
    <w:name w:val="Body text|5_"/>
    <w:link w:val="130"/>
    <w:qFormat/>
    <w:uiPriority w:val="0"/>
    <w:rPr>
      <w:rFonts w:ascii="宋体" w:hAnsi="宋体" w:cs="宋体"/>
      <w:sz w:val="52"/>
      <w:szCs w:val="52"/>
      <w:lang w:val="zh-CN" w:bidi="zh-CN"/>
    </w:rPr>
  </w:style>
  <w:style w:type="paragraph" w:customStyle="1" w:styleId="130">
    <w:name w:val="Body text|5"/>
    <w:basedOn w:val="1"/>
    <w:link w:val="129"/>
    <w:qFormat/>
    <w:uiPriority w:val="0"/>
    <w:pPr>
      <w:jc w:val="center"/>
    </w:pPr>
    <w:rPr>
      <w:rFonts w:ascii="宋体" w:hAnsi="宋体" w:cs="宋体"/>
      <w:kern w:val="0"/>
      <w:sz w:val="52"/>
      <w:szCs w:val="52"/>
      <w:lang w:val="zh-CN" w:bidi="zh-CN"/>
    </w:rPr>
  </w:style>
  <w:style w:type="character" w:customStyle="1" w:styleId="131">
    <w:name w:val="批注文字 Char Char"/>
    <w:qFormat/>
    <w:uiPriority w:val="99"/>
    <w:rPr>
      <w:rFonts w:ascii="宋体" w:hAnsi="Times New Roman" w:eastAsia="宋体" w:cs="宋体"/>
      <w:sz w:val="20"/>
      <w:szCs w:val="20"/>
    </w:rPr>
  </w:style>
  <w:style w:type="character" w:customStyle="1" w:styleId="132">
    <w:name w:val="引用 Char"/>
    <w:link w:val="133"/>
    <w:qFormat/>
    <w:locked/>
    <w:uiPriority w:val="99"/>
    <w:rPr>
      <w:i/>
      <w:iCs/>
      <w:color w:val="000000"/>
    </w:rPr>
  </w:style>
  <w:style w:type="paragraph" w:customStyle="1" w:styleId="133">
    <w:name w:val="引用1"/>
    <w:basedOn w:val="1"/>
    <w:next w:val="1"/>
    <w:link w:val="132"/>
    <w:qFormat/>
    <w:uiPriority w:val="99"/>
    <w:rPr>
      <w:i/>
      <w:iCs/>
      <w:color w:val="000000"/>
      <w:kern w:val="0"/>
      <w:sz w:val="20"/>
      <w:szCs w:val="20"/>
    </w:rPr>
  </w:style>
  <w:style w:type="character" w:customStyle="1" w:styleId="134">
    <w:name w:val="批注文字 Char2"/>
    <w:qFormat/>
    <w:uiPriority w:val="0"/>
    <w:rPr>
      <w:rFonts w:ascii="Times New Roman" w:hAnsi="Times New Roman"/>
      <w:kern w:val="2"/>
      <w:sz w:val="21"/>
      <w:szCs w:val="24"/>
    </w:rPr>
  </w:style>
  <w:style w:type="character" w:customStyle="1" w:styleId="135">
    <w:name w:val="副标题 字符"/>
    <w:basedOn w:val="48"/>
    <w:link w:val="35"/>
    <w:qFormat/>
    <w:uiPriority w:val="11"/>
    <w:rPr>
      <w:rFonts w:ascii="Cambria" w:hAnsi="Cambria"/>
      <w:b/>
      <w:bCs/>
      <w:kern w:val="28"/>
      <w:sz w:val="32"/>
      <w:szCs w:val="32"/>
    </w:rPr>
  </w:style>
  <w:style w:type="character" w:customStyle="1" w:styleId="136">
    <w:name w:val="正文文本缩进 3 Char1"/>
    <w:basedOn w:val="48"/>
    <w:semiHidden/>
    <w:qFormat/>
    <w:locked/>
    <w:uiPriority w:val="0"/>
    <w:rPr>
      <w:sz w:val="28"/>
    </w:rPr>
  </w:style>
  <w:style w:type="character" w:customStyle="1" w:styleId="137">
    <w:name w:val="textcontents"/>
    <w:qFormat/>
    <w:uiPriority w:val="0"/>
  </w:style>
  <w:style w:type="character" w:customStyle="1" w:styleId="138">
    <w:name w:val="Heading 2 Char"/>
    <w:qFormat/>
    <w:uiPriority w:val="99"/>
    <w:rPr>
      <w:rFonts w:ascii="Arial" w:hAnsi="Arial" w:eastAsia="黑体" w:cs="Arial"/>
      <w:b/>
      <w:bCs/>
      <w:kern w:val="2"/>
      <w:sz w:val="32"/>
      <w:szCs w:val="32"/>
      <w:lang w:val="en-US" w:eastAsia="zh-CN"/>
    </w:rPr>
  </w:style>
  <w:style w:type="character" w:customStyle="1" w:styleId="139">
    <w:name w:val="Char Char9"/>
    <w:qFormat/>
    <w:uiPriority w:val="0"/>
    <w:rPr>
      <w:rFonts w:eastAsia="宋体"/>
      <w:b/>
      <w:bCs/>
      <w:kern w:val="44"/>
      <w:sz w:val="44"/>
      <w:szCs w:val="44"/>
      <w:lang w:val="en-US" w:eastAsia="zh-CN"/>
    </w:rPr>
  </w:style>
  <w:style w:type="character" w:customStyle="1" w:styleId="140">
    <w:name w:val="Other|1_"/>
    <w:link w:val="141"/>
    <w:qFormat/>
    <w:uiPriority w:val="0"/>
    <w:rPr>
      <w:rFonts w:ascii="宋体" w:hAnsi="宋体" w:cs="宋体"/>
      <w:lang w:val="zh-CN" w:bidi="zh-CN"/>
    </w:rPr>
  </w:style>
  <w:style w:type="paragraph" w:customStyle="1" w:styleId="141">
    <w:name w:val="Other|1"/>
    <w:basedOn w:val="1"/>
    <w:link w:val="140"/>
    <w:qFormat/>
    <w:uiPriority w:val="0"/>
    <w:pPr>
      <w:spacing w:line="360" w:lineRule="auto"/>
      <w:ind w:firstLine="400"/>
      <w:jc w:val="left"/>
    </w:pPr>
    <w:rPr>
      <w:rFonts w:ascii="宋体" w:hAnsi="宋体" w:cs="宋体"/>
      <w:kern w:val="0"/>
      <w:sz w:val="20"/>
      <w:szCs w:val="20"/>
      <w:lang w:val="zh-CN" w:bidi="zh-CN"/>
    </w:rPr>
  </w:style>
  <w:style w:type="character" w:customStyle="1" w:styleId="142">
    <w:name w:val="标题 Char1"/>
    <w:qFormat/>
    <w:uiPriority w:val="99"/>
    <w:rPr>
      <w:rFonts w:ascii="Cambria" w:hAnsi="Cambria" w:eastAsia="宋体" w:cs="Cambria"/>
      <w:b/>
      <w:bCs/>
      <w:sz w:val="32"/>
      <w:szCs w:val="32"/>
    </w:rPr>
  </w:style>
  <w:style w:type="character" w:customStyle="1" w:styleId="143">
    <w:name w:val="正文文本缩进 3 字符"/>
    <w:basedOn w:val="48"/>
    <w:link w:val="38"/>
    <w:semiHidden/>
    <w:qFormat/>
    <w:uiPriority w:val="0"/>
    <w:rPr>
      <w:sz w:val="28"/>
    </w:rPr>
  </w:style>
  <w:style w:type="character" w:customStyle="1" w:styleId="144">
    <w:name w:val="Heading #4|1_"/>
    <w:link w:val="145"/>
    <w:qFormat/>
    <w:uiPriority w:val="0"/>
    <w:rPr>
      <w:rFonts w:ascii="宋体" w:hAnsi="宋体" w:cs="宋体"/>
      <w:lang w:val="zh-CN" w:bidi="zh-CN"/>
    </w:rPr>
  </w:style>
  <w:style w:type="paragraph" w:customStyle="1" w:styleId="145">
    <w:name w:val="Heading #4|1"/>
    <w:basedOn w:val="1"/>
    <w:link w:val="144"/>
    <w:qFormat/>
    <w:uiPriority w:val="0"/>
    <w:pPr>
      <w:spacing w:after="120"/>
      <w:jc w:val="left"/>
      <w:outlineLvl w:val="3"/>
    </w:pPr>
    <w:rPr>
      <w:rFonts w:ascii="宋体" w:hAnsi="宋体" w:cs="宋体"/>
      <w:kern w:val="0"/>
      <w:sz w:val="20"/>
      <w:szCs w:val="20"/>
      <w:lang w:val="zh-CN" w:bidi="zh-CN"/>
    </w:rPr>
  </w:style>
  <w:style w:type="character" w:customStyle="1" w:styleId="146">
    <w:name w:val="标题 5 字符"/>
    <w:link w:val="6"/>
    <w:qFormat/>
    <w:uiPriority w:val="99"/>
    <w:rPr>
      <w:rFonts w:ascii="Times New Roman" w:hAnsi="Times New Roman"/>
      <w:b/>
      <w:bCs/>
      <w:kern w:val="2"/>
      <w:sz w:val="28"/>
      <w:szCs w:val="28"/>
    </w:rPr>
  </w:style>
  <w:style w:type="character" w:customStyle="1" w:styleId="147">
    <w:name w:val="Char Char6"/>
    <w:qFormat/>
    <w:uiPriority w:val="99"/>
    <w:rPr>
      <w:rFonts w:eastAsia="宋体"/>
      <w:b/>
      <w:bCs/>
      <w:kern w:val="44"/>
      <w:sz w:val="44"/>
      <w:szCs w:val="44"/>
      <w:lang w:val="en-US" w:eastAsia="zh-CN"/>
    </w:rPr>
  </w:style>
  <w:style w:type="character" w:customStyle="1" w:styleId="148">
    <w:name w:val="文档结构图 Char1"/>
    <w:qFormat/>
    <w:uiPriority w:val="0"/>
    <w:rPr>
      <w:rFonts w:ascii="宋体" w:hAnsi="Times New Roman" w:eastAsia="宋体" w:cs="宋体"/>
      <w:sz w:val="18"/>
      <w:szCs w:val="18"/>
    </w:rPr>
  </w:style>
  <w:style w:type="character" w:customStyle="1" w:styleId="149">
    <w:name w:val="Char Char22"/>
    <w:qFormat/>
    <w:uiPriority w:val="99"/>
    <w:rPr>
      <w:rFonts w:ascii="Times New Roman" w:hAnsi="Times New Roman" w:eastAsia="宋体" w:cs="Times New Roman"/>
      <w:b/>
      <w:bCs/>
      <w:kern w:val="44"/>
      <w:sz w:val="44"/>
      <w:szCs w:val="44"/>
    </w:rPr>
  </w:style>
  <w:style w:type="character" w:customStyle="1" w:styleId="150">
    <w:name w:val="Comment Subject Char"/>
    <w:qFormat/>
    <w:uiPriority w:val="99"/>
    <w:rPr>
      <w:b/>
      <w:bCs/>
      <w:sz w:val="24"/>
      <w:szCs w:val="24"/>
    </w:rPr>
  </w:style>
  <w:style w:type="character" w:customStyle="1" w:styleId="151">
    <w:name w:val="！正文 Char Char"/>
    <w:link w:val="152"/>
    <w:qFormat/>
    <w:locked/>
    <w:uiPriority w:val="0"/>
    <w:rPr>
      <w:rFonts w:ascii="华文细黑" w:hAnsi="华文细黑" w:eastAsia="华文细黑"/>
      <w:sz w:val="24"/>
    </w:rPr>
  </w:style>
  <w:style w:type="paragraph" w:customStyle="1" w:styleId="152">
    <w:name w:val="！正文"/>
    <w:basedOn w:val="1"/>
    <w:link w:val="151"/>
    <w:qFormat/>
    <w:uiPriority w:val="0"/>
    <w:pPr>
      <w:spacing w:line="360" w:lineRule="auto"/>
      <w:ind w:firstLine="200" w:firstLineChars="200"/>
    </w:pPr>
    <w:rPr>
      <w:rFonts w:ascii="华文细黑" w:hAnsi="华文细黑" w:eastAsia="华文细黑"/>
      <w:kern w:val="0"/>
      <w:sz w:val="24"/>
      <w:szCs w:val="20"/>
    </w:rPr>
  </w:style>
  <w:style w:type="character" w:customStyle="1" w:styleId="153">
    <w:name w:val="Comment Text Char"/>
    <w:qFormat/>
    <w:uiPriority w:val="99"/>
    <w:rPr>
      <w:sz w:val="24"/>
      <w:szCs w:val="24"/>
    </w:rPr>
  </w:style>
  <w:style w:type="character" w:customStyle="1" w:styleId="154">
    <w:name w:val="正文2 Char Char"/>
    <w:link w:val="155"/>
    <w:qFormat/>
    <w:uiPriority w:val="0"/>
    <w:rPr>
      <w:kern w:val="2"/>
      <w:sz w:val="24"/>
    </w:rPr>
  </w:style>
  <w:style w:type="paragraph" w:customStyle="1" w:styleId="155">
    <w:name w:val="正文2"/>
    <w:basedOn w:val="1"/>
    <w:link w:val="154"/>
    <w:qFormat/>
    <w:uiPriority w:val="0"/>
    <w:pPr>
      <w:adjustRightInd w:val="0"/>
      <w:spacing w:before="156" w:line="360" w:lineRule="auto"/>
      <w:ind w:firstLine="510" w:firstLineChars="200"/>
    </w:pPr>
    <w:rPr>
      <w:sz w:val="24"/>
      <w:szCs w:val="20"/>
    </w:rPr>
  </w:style>
  <w:style w:type="character" w:customStyle="1" w:styleId="156">
    <w:name w:val="Table caption|1_"/>
    <w:link w:val="157"/>
    <w:qFormat/>
    <w:uiPriority w:val="0"/>
    <w:rPr>
      <w:rFonts w:ascii="宋体" w:hAnsi="宋体" w:cs="宋体"/>
      <w:lang w:val="zh-CN" w:bidi="zh-CN"/>
    </w:rPr>
  </w:style>
  <w:style w:type="paragraph" w:customStyle="1" w:styleId="157">
    <w:name w:val="Table caption|1"/>
    <w:basedOn w:val="1"/>
    <w:link w:val="156"/>
    <w:qFormat/>
    <w:uiPriority w:val="0"/>
    <w:pPr>
      <w:jc w:val="left"/>
    </w:pPr>
    <w:rPr>
      <w:rFonts w:ascii="宋体" w:hAnsi="宋体" w:cs="宋体"/>
      <w:kern w:val="0"/>
      <w:sz w:val="20"/>
      <w:szCs w:val="20"/>
      <w:lang w:val="zh-CN" w:bidi="zh-CN"/>
    </w:rPr>
  </w:style>
  <w:style w:type="character" w:customStyle="1" w:styleId="158">
    <w:name w:val="标题 4 字符"/>
    <w:basedOn w:val="48"/>
    <w:link w:val="5"/>
    <w:qFormat/>
    <w:uiPriority w:val="0"/>
    <w:rPr>
      <w:rFonts w:ascii="Arial" w:hAnsi="Arial"/>
      <w:b/>
      <w:bCs/>
      <w:kern w:val="2"/>
      <w:sz w:val="28"/>
      <w:szCs w:val="28"/>
    </w:rPr>
  </w:style>
  <w:style w:type="character" w:customStyle="1" w:styleId="159">
    <w:name w:val="明显引用 Char1"/>
    <w:qFormat/>
    <w:uiPriority w:val="99"/>
    <w:rPr>
      <w:rFonts w:ascii="Times New Roman" w:hAnsi="Times New Roman" w:eastAsia="宋体" w:cs="Times New Roman"/>
      <w:b/>
      <w:bCs/>
      <w:i/>
      <w:iCs/>
      <w:color w:val="4F81BD"/>
      <w:sz w:val="24"/>
      <w:szCs w:val="24"/>
    </w:rPr>
  </w:style>
  <w:style w:type="character" w:customStyle="1" w:styleId="1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61">
    <w:name w:val="页眉 Char1"/>
    <w:basedOn w:val="48"/>
    <w:semiHidden/>
    <w:qFormat/>
    <w:locked/>
    <w:uiPriority w:val="0"/>
    <w:rPr>
      <w:kern w:val="2"/>
      <w:sz w:val="18"/>
      <w:szCs w:val="18"/>
    </w:rPr>
  </w:style>
  <w:style w:type="character" w:customStyle="1" w:styleId="162">
    <w:name w:val="页眉 字符"/>
    <w:link w:val="32"/>
    <w:qFormat/>
    <w:uiPriority w:val="0"/>
    <w:rPr>
      <w:sz w:val="18"/>
      <w:szCs w:val="18"/>
    </w:rPr>
  </w:style>
  <w:style w:type="character" w:customStyle="1" w:styleId="163">
    <w:name w:val="Heading 4 Char"/>
    <w:qFormat/>
    <w:uiPriority w:val="99"/>
    <w:rPr>
      <w:rFonts w:ascii="Arial" w:hAnsi="Arial" w:eastAsia="宋体" w:cs="Arial"/>
      <w:b/>
      <w:bCs/>
      <w:kern w:val="2"/>
      <w:sz w:val="28"/>
      <w:szCs w:val="28"/>
      <w:lang w:val="en-US" w:eastAsia="zh-CN"/>
    </w:rPr>
  </w:style>
  <w:style w:type="character" w:customStyle="1" w:styleId="164">
    <w:name w:val="Char Char21"/>
    <w:qFormat/>
    <w:uiPriority w:val="99"/>
    <w:rPr>
      <w:rFonts w:ascii="Arial" w:hAnsi="Arial" w:eastAsia="黑体" w:cs="Arial"/>
      <w:b/>
      <w:bCs/>
      <w:sz w:val="32"/>
      <w:szCs w:val="32"/>
    </w:rPr>
  </w:style>
  <w:style w:type="character" w:customStyle="1" w:styleId="165">
    <w:name w:val="Header or footer|2_"/>
    <w:link w:val="166"/>
    <w:qFormat/>
    <w:uiPriority w:val="0"/>
    <w:rPr>
      <w:lang w:val="zh-CN" w:bidi="zh-CN"/>
    </w:rPr>
  </w:style>
  <w:style w:type="paragraph" w:customStyle="1" w:styleId="166">
    <w:name w:val="Header or footer|2"/>
    <w:basedOn w:val="1"/>
    <w:link w:val="165"/>
    <w:qFormat/>
    <w:uiPriority w:val="0"/>
    <w:pPr>
      <w:jc w:val="left"/>
    </w:pPr>
    <w:rPr>
      <w:kern w:val="0"/>
      <w:sz w:val="20"/>
      <w:szCs w:val="20"/>
      <w:lang w:val="zh-CN" w:bidi="zh-CN"/>
    </w:rPr>
  </w:style>
  <w:style w:type="character" w:customStyle="1" w:styleId="167">
    <w:name w:val="HTML 预设格式 字符"/>
    <w:basedOn w:val="48"/>
    <w:link w:val="41"/>
    <w:qFormat/>
    <w:uiPriority w:val="99"/>
    <w:rPr>
      <w:rFonts w:ascii="宋体" w:hAnsi="宋体"/>
      <w:sz w:val="24"/>
      <w:szCs w:val="24"/>
    </w:rPr>
  </w:style>
  <w:style w:type="character" w:customStyle="1" w:styleId="168">
    <w:name w:val="纯文本 字符"/>
    <w:qFormat/>
    <w:uiPriority w:val="0"/>
    <w:rPr>
      <w:rFonts w:ascii="宋体" w:hAnsi="Courier New" w:eastAsia="宋体" w:cs="Courier New"/>
      <w:szCs w:val="21"/>
    </w:rPr>
  </w:style>
  <w:style w:type="character" w:customStyle="1" w:styleId="169">
    <w:name w:val="正文文本 3 字符"/>
    <w:link w:val="18"/>
    <w:semiHidden/>
    <w:qFormat/>
    <w:uiPriority w:val="0"/>
    <w:rPr>
      <w:kern w:val="2"/>
      <w:sz w:val="16"/>
      <w:szCs w:val="16"/>
    </w:rPr>
  </w:style>
  <w:style w:type="character" w:customStyle="1" w:styleId="170">
    <w:name w:val="Heading 3 Char1"/>
    <w:qFormat/>
    <w:uiPriority w:val="99"/>
    <w:rPr>
      <w:rFonts w:eastAsia="宋体"/>
      <w:b/>
      <w:bCs/>
      <w:kern w:val="2"/>
      <w:sz w:val="32"/>
      <w:szCs w:val="32"/>
      <w:lang w:val="en-US" w:eastAsia="zh-CN"/>
    </w:rPr>
  </w:style>
  <w:style w:type="character" w:customStyle="1" w:styleId="171">
    <w:name w:val="日期 Char1"/>
    <w:qFormat/>
    <w:uiPriority w:val="0"/>
    <w:rPr>
      <w:rFonts w:ascii="Times New Roman" w:hAnsi="Times New Roman" w:eastAsia="宋体" w:cs="Times New Roman"/>
      <w:sz w:val="24"/>
      <w:szCs w:val="24"/>
    </w:rPr>
  </w:style>
  <w:style w:type="character" w:customStyle="1" w:styleId="172">
    <w:name w:val="Date Char"/>
    <w:qFormat/>
    <w:uiPriority w:val="99"/>
    <w:rPr>
      <w:rFonts w:eastAsia="宋体"/>
      <w:kern w:val="2"/>
      <w:sz w:val="24"/>
      <w:szCs w:val="24"/>
      <w:lang w:val="en-US" w:eastAsia="zh-CN"/>
    </w:rPr>
  </w:style>
  <w:style w:type="character" w:customStyle="1" w:styleId="173">
    <w:name w:val="Heading #1|1_"/>
    <w:link w:val="174"/>
    <w:qFormat/>
    <w:uiPriority w:val="0"/>
    <w:rPr>
      <w:rFonts w:ascii="宋体" w:hAnsi="宋体" w:cs="宋体"/>
      <w:sz w:val="38"/>
      <w:szCs w:val="38"/>
      <w:lang w:val="zh-CN" w:bidi="zh-CN"/>
    </w:rPr>
  </w:style>
  <w:style w:type="paragraph" w:customStyle="1" w:styleId="174">
    <w:name w:val="Heading #1|1"/>
    <w:basedOn w:val="1"/>
    <w:link w:val="173"/>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5">
    <w:name w:val="ca-31"/>
    <w:qFormat/>
    <w:uiPriority w:val="0"/>
    <w:rPr>
      <w:rFonts w:hint="eastAsia" w:ascii="宋体" w:hAnsi="宋体" w:eastAsia="宋体" w:cs="Times New Roman"/>
      <w:color w:val="000000"/>
      <w:sz w:val="24"/>
      <w:szCs w:val="24"/>
    </w:rPr>
  </w:style>
  <w:style w:type="character" w:customStyle="1" w:styleId="176">
    <w:name w:val="批注框文本 Char1"/>
    <w:qFormat/>
    <w:uiPriority w:val="0"/>
    <w:rPr>
      <w:rFonts w:ascii="Times New Roman" w:hAnsi="Times New Roman" w:eastAsia="宋体" w:cs="Times New Roman"/>
      <w:sz w:val="18"/>
      <w:szCs w:val="18"/>
    </w:rPr>
  </w:style>
  <w:style w:type="character" w:customStyle="1" w:styleId="177">
    <w:name w:val="批注主题 字符"/>
    <w:link w:val="45"/>
    <w:qFormat/>
    <w:uiPriority w:val="0"/>
    <w:rPr>
      <w:rFonts w:ascii="Times New Roman" w:hAnsi="Times New Roman"/>
      <w:b/>
      <w:bCs/>
      <w:kern w:val="2"/>
      <w:sz w:val="21"/>
      <w:szCs w:val="24"/>
    </w:rPr>
  </w:style>
  <w:style w:type="character" w:customStyle="1" w:styleId="178">
    <w:name w:val="标题 8 字符"/>
    <w:link w:val="10"/>
    <w:semiHidden/>
    <w:qFormat/>
    <w:uiPriority w:val="9"/>
    <w:rPr>
      <w:rFonts w:ascii="等线 Light" w:hAnsi="等线 Light" w:eastAsia="等线 Light" w:cs="Times New Roman"/>
      <w:kern w:val="2"/>
      <w:sz w:val="24"/>
      <w:szCs w:val="24"/>
    </w:rPr>
  </w:style>
  <w:style w:type="character" w:customStyle="1" w:styleId="179">
    <w:name w:val="脚注文本 字符"/>
    <w:basedOn w:val="48"/>
    <w:link w:val="36"/>
    <w:semiHidden/>
    <w:qFormat/>
    <w:uiPriority w:val="0"/>
    <w:rPr>
      <w:sz w:val="18"/>
      <w:szCs w:val="18"/>
    </w:rPr>
  </w:style>
  <w:style w:type="character" w:customStyle="1" w:styleId="180">
    <w:name w:val="Table of contents|1_"/>
    <w:link w:val="181"/>
    <w:qFormat/>
    <w:uiPriority w:val="0"/>
    <w:rPr>
      <w:rFonts w:ascii="宋体" w:hAnsi="宋体" w:cs="宋体"/>
      <w:lang w:val="zh-CN" w:bidi="zh-CN"/>
    </w:rPr>
  </w:style>
  <w:style w:type="paragraph" w:customStyle="1" w:styleId="181">
    <w:name w:val="Table of contents|1"/>
    <w:basedOn w:val="1"/>
    <w:link w:val="180"/>
    <w:qFormat/>
    <w:uiPriority w:val="0"/>
    <w:pPr>
      <w:spacing w:after="100"/>
      <w:ind w:firstLine="600"/>
      <w:jc w:val="left"/>
    </w:pPr>
    <w:rPr>
      <w:rFonts w:ascii="宋体" w:hAnsi="宋体" w:cs="宋体"/>
      <w:kern w:val="0"/>
      <w:sz w:val="20"/>
      <w:szCs w:val="20"/>
      <w:lang w:val="zh-CN" w:bidi="zh-CN"/>
    </w:rPr>
  </w:style>
  <w:style w:type="character" w:customStyle="1" w:styleId="182">
    <w:name w:val="Char Char181"/>
    <w:qFormat/>
    <w:uiPriority w:val="99"/>
    <w:rPr>
      <w:b/>
      <w:bCs/>
      <w:kern w:val="44"/>
      <w:sz w:val="44"/>
      <w:szCs w:val="44"/>
    </w:rPr>
  </w:style>
  <w:style w:type="character" w:customStyle="1" w:styleId="183">
    <w:name w:val="NormalCharacter"/>
    <w:qFormat/>
    <w:uiPriority w:val="0"/>
  </w:style>
  <w:style w:type="character" w:customStyle="1" w:styleId="184">
    <w:name w:val="标题 3 字符"/>
    <w:basedOn w:val="48"/>
    <w:link w:val="4"/>
    <w:qFormat/>
    <w:uiPriority w:val="0"/>
    <w:rPr>
      <w:b/>
      <w:bCs/>
      <w:kern w:val="2"/>
      <w:sz w:val="32"/>
      <w:szCs w:val="32"/>
    </w:rPr>
  </w:style>
  <w:style w:type="character" w:customStyle="1" w:styleId="185">
    <w:name w:val="Footer Char"/>
    <w:qFormat/>
    <w:uiPriority w:val="99"/>
    <w:rPr>
      <w:rFonts w:eastAsia="宋体"/>
      <w:kern w:val="2"/>
      <w:sz w:val="18"/>
      <w:szCs w:val="18"/>
      <w:lang w:val="en-US" w:eastAsia="zh-CN"/>
    </w:rPr>
  </w:style>
  <w:style w:type="character" w:customStyle="1" w:styleId="186">
    <w:name w:val="标题 6 字符"/>
    <w:basedOn w:val="48"/>
    <w:link w:val="8"/>
    <w:qFormat/>
    <w:uiPriority w:val="0"/>
    <w:rPr>
      <w:rFonts w:ascii="Cambria" w:hAnsi="Cambria"/>
      <w:b/>
      <w:bCs/>
      <w:sz w:val="24"/>
      <w:szCs w:val="24"/>
    </w:rPr>
  </w:style>
  <w:style w:type="character" w:customStyle="1" w:styleId="187">
    <w:name w:val="Body text|3_"/>
    <w:link w:val="188"/>
    <w:qFormat/>
    <w:uiPriority w:val="0"/>
    <w:rPr>
      <w:rFonts w:ascii="宋体" w:hAnsi="宋体" w:cs="宋体"/>
      <w:lang w:val="zh-CN" w:bidi="zh-CN"/>
    </w:rPr>
  </w:style>
  <w:style w:type="paragraph" w:customStyle="1" w:styleId="188">
    <w:name w:val="Body text|3"/>
    <w:basedOn w:val="1"/>
    <w:link w:val="187"/>
    <w:qFormat/>
    <w:uiPriority w:val="0"/>
    <w:pPr>
      <w:spacing w:after="340"/>
      <w:jc w:val="left"/>
    </w:pPr>
    <w:rPr>
      <w:rFonts w:ascii="宋体" w:hAnsi="宋体" w:cs="宋体"/>
      <w:kern w:val="0"/>
      <w:sz w:val="20"/>
      <w:szCs w:val="20"/>
      <w:lang w:val="zh-CN" w:bidi="zh-CN"/>
    </w:rPr>
  </w:style>
  <w:style w:type="character" w:customStyle="1" w:styleId="189">
    <w:name w:val="批注文字 Char"/>
    <w:qFormat/>
    <w:uiPriority w:val="0"/>
    <w:rPr>
      <w:rFonts w:ascii="Times New Roman" w:hAnsi="Times New Roman"/>
      <w:kern w:val="2"/>
      <w:sz w:val="21"/>
      <w:szCs w:val="24"/>
    </w:rPr>
  </w:style>
  <w:style w:type="character" w:customStyle="1" w:styleId="190">
    <w:name w:val="标题 2 字符"/>
    <w:link w:val="3"/>
    <w:qFormat/>
    <w:uiPriority w:val="9"/>
    <w:rPr>
      <w:rFonts w:ascii="Cambria" w:hAnsi="Cambria" w:eastAsia="宋体" w:cs="Times New Roman"/>
      <w:b/>
      <w:bCs/>
      <w:kern w:val="2"/>
      <w:sz w:val="32"/>
      <w:szCs w:val="32"/>
    </w:rPr>
  </w:style>
  <w:style w:type="character" w:customStyle="1" w:styleId="191">
    <w:name w:val="标题 9 字符"/>
    <w:basedOn w:val="48"/>
    <w:link w:val="11"/>
    <w:qFormat/>
    <w:uiPriority w:val="0"/>
    <w:rPr>
      <w:rFonts w:ascii="Cambria" w:hAnsi="Cambria"/>
      <w:szCs w:val="21"/>
    </w:rPr>
  </w:style>
  <w:style w:type="character" w:customStyle="1" w:styleId="192">
    <w:name w:val="正文文本缩进 字符"/>
    <w:link w:val="20"/>
    <w:qFormat/>
    <w:uiPriority w:val="0"/>
    <w:rPr>
      <w:rFonts w:ascii="仿宋_GB2312" w:hAnsi="Times New Roman" w:eastAsia="仿宋_GB2312" w:cs="Times New Roman"/>
      <w:sz w:val="32"/>
      <w:szCs w:val="20"/>
    </w:rPr>
  </w:style>
  <w:style w:type="character" w:customStyle="1" w:styleId="193">
    <w:name w:val="纯文本 Char"/>
    <w:qFormat/>
    <w:uiPriority w:val="0"/>
    <w:rPr>
      <w:rFonts w:ascii="宋体" w:hAnsi="Courier New" w:eastAsia="宋体" w:cs="Courier New"/>
      <w:szCs w:val="21"/>
    </w:rPr>
  </w:style>
  <w:style w:type="character" w:customStyle="1" w:styleId="194">
    <w:name w:val="Body text|4_"/>
    <w:link w:val="195"/>
    <w:qFormat/>
    <w:uiPriority w:val="0"/>
    <w:rPr>
      <w:rFonts w:ascii="宋体" w:hAnsi="宋体" w:cs="宋体"/>
      <w:b/>
      <w:bCs/>
      <w:sz w:val="17"/>
      <w:szCs w:val="17"/>
      <w:lang w:val="zh-CN" w:bidi="zh-CN"/>
    </w:rPr>
  </w:style>
  <w:style w:type="paragraph" w:customStyle="1" w:styleId="195">
    <w:name w:val="Body text|4"/>
    <w:basedOn w:val="1"/>
    <w:link w:val="194"/>
    <w:qFormat/>
    <w:uiPriority w:val="0"/>
    <w:pPr>
      <w:spacing w:line="281" w:lineRule="exact"/>
      <w:jc w:val="center"/>
    </w:pPr>
    <w:rPr>
      <w:rFonts w:ascii="宋体" w:hAnsi="宋体" w:cs="宋体"/>
      <w:b/>
      <w:bCs/>
      <w:kern w:val="0"/>
      <w:sz w:val="17"/>
      <w:szCs w:val="17"/>
      <w:lang w:val="zh-CN" w:bidi="zh-CN"/>
    </w:rPr>
  </w:style>
  <w:style w:type="character" w:customStyle="1" w:styleId="196">
    <w:name w:val="明显参考1"/>
    <w:qFormat/>
    <w:uiPriority w:val="99"/>
    <w:rPr>
      <w:b/>
      <w:bCs/>
      <w:smallCaps/>
      <w:color w:val="auto"/>
      <w:spacing w:val="5"/>
      <w:u w:val="single"/>
    </w:rPr>
  </w:style>
  <w:style w:type="character" w:customStyle="1" w:styleId="197">
    <w:name w:val="UserStyle_9"/>
    <w:link w:val="198"/>
    <w:qFormat/>
    <w:locked/>
    <w:uiPriority w:val="0"/>
    <w:rPr>
      <w:kern w:val="2"/>
      <w:sz w:val="21"/>
      <w:szCs w:val="24"/>
    </w:rPr>
  </w:style>
  <w:style w:type="paragraph" w:customStyle="1" w:styleId="198">
    <w:name w:val="AnnotationText"/>
    <w:basedOn w:val="1"/>
    <w:link w:val="197"/>
    <w:qFormat/>
    <w:uiPriority w:val="0"/>
    <w:pPr>
      <w:widowControl/>
      <w:jc w:val="left"/>
    </w:pPr>
  </w:style>
  <w:style w:type="character" w:customStyle="1" w:styleId="199">
    <w:name w:val="标题 字符"/>
    <w:basedOn w:val="48"/>
    <w:link w:val="44"/>
    <w:qFormat/>
    <w:uiPriority w:val="0"/>
    <w:rPr>
      <w:rFonts w:ascii="Cambria" w:hAnsi="Cambria"/>
      <w:b/>
      <w:bCs/>
      <w:kern w:val="2"/>
      <w:sz w:val="32"/>
      <w:szCs w:val="32"/>
    </w:rPr>
  </w:style>
  <w:style w:type="character" w:customStyle="1" w:styleId="200">
    <w:name w:val="标题 1 字符"/>
    <w:link w:val="2"/>
    <w:qFormat/>
    <w:uiPriority w:val="0"/>
    <w:rPr>
      <w:b/>
      <w:bCs/>
      <w:kern w:val="44"/>
      <w:sz w:val="44"/>
      <w:szCs w:val="44"/>
    </w:rPr>
  </w:style>
  <w:style w:type="character" w:customStyle="1" w:styleId="201">
    <w:name w:val="Char Char91"/>
    <w:qFormat/>
    <w:uiPriority w:val="99"/>
    <w:rPr>
      <w:rFonts w:eastAsia="宋体"/>
      <w:b/>
      <w:bCs/>
      <w:kern w:val="44"/>
      <w:sz w:val="44"/>
      <w:szCs w:val="44"/>
      <w:lang w:val="en-US" w:eastAsia="zh-CN"/>
    </w:rPr>
  </w:style>
  <w:style w:type="character" w:customStyle="1" w:styleId="202">
    <w:name w:val="明显引用 Char"/>
    <w:link w:val="203"/>
    <w:qFormat/>
    <w:locked/>
    <w:uiPriority w:val="99"/>
    <w:rPr>
      <w:b/>
      <w:bCs/>
      <w:i/>
      <w:iCs/>
      <w:color w:val="4F81BD"/>
    </w:rPr>
  </w:style>
  <w:style w:type="paragraph" w:customStyle="1" w:styleId="203">
    <w:name w:val="明显引用1"/>
    <w:basedOn w:val="1"/>
    <w:next w:val="1"/>
    <w:link w:val="202"/>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4">
    <w:name w:val="手改 Char Char"/>
    <w:qFormat/>
    <w:uiPriority w:val="0"/>
    <w:rPr>
      <w:rFonts w:hint="default" w:ascii="Times New Roman" w:hAnsi="Times New Roman" w:eastAsia="宋体" w:cs="Times New Roman"/>
      <w:sz w:val="24"/>
      <w:szCs w:val="24"/>
      <w:lang w:bidi="ar-SA"/>
    </w:rPr>
  </w:style>
  <w:style w:type="character" w:customStyle="1" w:styleId="205">
    <w:name w:val="日期 字符"/>
    <w:link w:val="28"/>
    <w:qFormat/>
    <w:uiPriority w:val="0"/>
    <w:rPr>
      <w:rFonts w:ascii="Times New Roman" w:hAnsi="Times New Roman"/>
      <w:kern w:val="2"/>
      <w:sz w:val="21"/>
      <w:szCs w:val="24"/>
    </w:rPr>
  </w:style>
  <w:style w:type="character" w:customStyle="1" w:styleId="206">
    <w:name w:val="标准文本 Char"/>
    <w:link w:val="207"/>
    <w:qFormat/>
    <w:locked/>
    <w:uiPriority w:val="0"/>
    <w:rPr>
      <w:kern w:val="2"/>
      <w:sz w:val="24"/>
    </w:rPr>
  </w:style>
  <w:style w:type="paragraph" w:customStyle="1" w:styleId="207">
    <w:name w:val="标准文本"/>
    <w:basedOn w:val="1"/>
    <w:link w:val="206"/>
    <w:qFormat/>
    <w:uiPriority w:val="0"/>
    <w:pPr>
      <w:spacing w:line="360" w:lineRule="auto"/>
      <w:ind w:firstLine="480" w:firstLineChars="200"/>
    </w:pPr>
    <w:rPr>
      <w:sz w:val="24"/>
      <w:szCs w:val="20"/>
    </w:rPr>
  </w:style>
  <w:style w:type="character" w:customStyle="1" w:styleId="208">
    <w:name w:val="段 Char"/>
    <w:link w:val="209"/>
    <w:qFormat/>
    <w:locked/>
    <w:uiPriority w:val="0"/>
    <w:rPr>
      <w:rFonts w:ascii="宋体" w:hAnsi="宋体"/>
      <w:lang w:val="en-US" w:eastAsia="zh-CN" w:bidi="ar-SA"/>
    </w:rPr>
  </w:style>
  <w:style w:type="paragraph" w:customStyle="1" w:styleId="209">
    <w:name w:val="段"/>
    <w:link w:val="208"/>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10">
    <w:name w:val="批注文字 字符"/>
    <w:qFormat/>
    <w:uiPriority w:val="99"/>
    <w:rPr>
      <w:rFonts w:ascii="Times New Roman" w:hAnsi="Times New Roman"/>
      <w:kern w:val="2"/>
      <w:sz w:val="21"/>
      <w:szCs w:val="24"/>
    </w:rPr>
  </w:style>
  <w:style w:type="character" w:customStyle="1" w:styleId="211">
    <w:name w:val="apple-style-span"/>
    <w:qFormat/>
    <w:uiPriority w:val="0"/>
  </w:style>
  <w:style w:type="character" w:customStyle="1" w:styleId="212">
    <w:name w:val="批注框文本 字符"/>
    <w:link w:val="30"/>
    <w:qFormat/>
    <w:locked/>
    <w:uiPriority w:val="0"/>
    <w:rPr>
      <w:kern w:val="2"/>
      <w:sz w:val="18"/>
      <w:szCs w:val="18"/>
    </w:rPr>
  </w:style>
  <w:style w:type="character" w:customStyle="1" w:styleId="213">
    <w:name w:val="纯文本 字符1"/>
    <w:qFormat/>
    <w:uiPriority w:val="0"/>
    <w:rPr>
      <w:rFonts w:ascii="宋体" w:hAnsi="Courier New"/>
    </w:rPr>
  </w:style>
  <w:style w:type="character" w:customStyle="1" w:styleId="214">
    <w:name w:val="文档结构图 字符"/>
    <w:basedOn w:val="48"/>
    <w:link w:val="16"/>
    <w:qFormat/>
    <w:uiPriority w:val="0"/>
    <w:rPr>
      <w:kern w:val="2"/>
      <w:sz w:val="24"/>
      <w:szCs w:val="24"/>
      <w:shd w:val="clear" w:color="auto" w:fill="000080"/>
    </w:rPr>
  </w:style>
  <w:style w:type="character" w:customStyle="1" w:styleId="215">
    <w:name w:val="Header or footer|1_"/>
    <w:link w:val="216"/>
    <w:qFormat/>
    <w:uiPriority w:val="0"/>
    <w:rPr>
      <w:sz w:val="17"/>
      <w:szCs w:val="17"/>
      <w:lang w:val="zh-CN" w:bidi="zh-CN"/>
    </w:rPr>
  </w:style>
  <w:style w:type="paragraph" w:customStyle="1" w:styleId="216">
    <w:name w:val="Header or footer|1"/>
    <w:basedOn w:val="1"/>
    <w:link w:val="215"/>
    <w:qFormat/>
    <w:uiPriority w:val="0"/>
    <w:pPr>
      <w:jc w:val="center"/>
    </w:pPr>
    <w:rPr>
      <w:kern w:val="0"/>
      <w:sz w:val="17"/>
      <w:szCs w:val="17"/>
      <w:lang w:val="zh-CN" w:bidi="zh-CN"/>
    </w:rPr>
  </w:style>
  <w:style w:type="character" w:customStyle="1" w:styleId="217">
    <w:name w:val="Body text|1_"/>
    <w:link w:val="218"/>
    <w:qFormat/>
    <w:uiPriority w:val="0"/>
    <w:rPr>
      <w:rFonts w:ascii="宋体" w:hAnsi="宋体" w:cs="宋体"/>
      <w:kern w:val="2"/>
      <w:sz w:val="21"/>
      <w:lang w:val="zh-CN" w:bidi="zh-CN"/>
    </w:rPr>
  </w:style>
  <w:style w:type="paragraph" w:customStyle="1" w:styleId="218">
    <w:name w:val="Body text|1"/>
    <w:basedOn w:val="1"/>
    <w:link w:val="217"/>
    <w:qFormat/>
    <w:uiPriority w:val="0"/>
    <w:pPr>
      <w:spacing w:line="360" w:lineRule="auto"/>
      <w:ind w:firstLine="400"/>
    </w:pPr>
    <w:rPr>
      <w:rFonts w:ascii="宋体" w:hAnsi="宋体" w:cs="宋体"/>
      <w:szCs w:val="20"/>
      <w:lang w:val="zh-CN" w:bidi="zh-CN"/>
    </w:rPr>
  </w:style>
  <w:style w:type="character" w:customStyle="1" w:styleId="219">
    <w:name w:val="Body Text Indent Char"/>
    <w:qFormat/>
    <w:uiPriority w:val="99"/>
    <w:rPr>
      <w:rFonts w:ascii="宋体" w:hAnsi="宋体" w:eastAsia="宋体" w:cs="宋体"/>
      <w:kern w:val="2"/>
      <w:sz w:val="21"/>
      <w:szCs w:val="21"/>
      <w:lang w:val="en-US" w:eastAsia="zh-CN"/>
    </w:rPr>
  </w:style>
  <w:style w:type="character" w:customStyle="1" w:styleId="220">
    <w:name w:val="Header Char"/>
    <w:qFormat/>
    <w:uiPriority w:val="99"/>
    <w:rPr>
      <w:rFonts w:eastAsia="宋体"/>
      <w:kern w:val="2"/>
      <w:sz w:val="18"/>
      <w:szCs w:val="18"/>
      <w:lang w:val="en-US" w:eastAsia="zh-CN"/>
    </w:rPr>
  </w:style>
  <w:style w:type="character" w:customStyle="1" w:styleId="221">
    <w:name w:val="标题4 Char Char"/>
    <w:link w:val="222"/>
    <w:qFormat/>
    <w:locked/>
    <w:uiPriority w:val="99"/>
    <w:rPr>
      <w:rFonts w:ascii="Arial" w:hAnsi="Arial" w:cs="Arial"/>
      <w:b/>
      <w:bCs/>
      <w:sz w:val="32"/>
      <w:szCs w:val="32"/>
    </w:rPr>
  </w:style>
  <w:style w:type="paragraph" w:customStyle="1" w:styleId="222">
    <w:name w:val="标题4"/>
    <w:basedOn w:val="3"/>
    <w:next w:val="23"/>
    <w:link w:val="221"/>
    <w:qFormat/>
    <w:uiPriority w:val="99"/>
    <w:pPr>
      <w:spacing w:before="60" w:after="60" w:line="413" w:lineRule="auto"/>
    </w:pPr>
    <w:rPr>
      <w:rFonts w:ascii="Arial" w:hAnsi="Arial"/>
      <w:kern w:val="0"/>
    </w:rPr>
  </w:style>
  <w:style w:type="paragraph" w:customStyle="1" w:styleId="223">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4">
    <w:name w:val="Char Char1 Char Char Char Char Char Char Char Char Char Char"/>
    <w:basedOn w:val="1"/>
    <w:qFormat/>
    <w:uiPriority w:val="0"/>
    <w:pPr>
      <w:widowControl/>
      <w:spacing w:after="160" w:line="240" w:lineRule="exact"/>
      <w:jc w:val="left"/>
    </w:pPr>
    <w:rPr>
      <w:szCs w:val="20"/>
    </w:rPr>
  </w:style>
  <w:style w:type="paragraph" w:customStyle="1" w:styleId="225">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6">
    <w:name w:val="Char1 Char Char Char Char Char Char"/>
    <w:basedOn w:val="1"/>
    <w:qFormat/>
    <w:uiPriority w:val="0"/>
    <w:rPr>
      <w:rFonts w:ascii="Tahoma" w:hAnsi="Tahoma"/>
      <w:sz w:val="24"/>
      <w:szCs w:val="20"/>
    </w:rPr>
  </w:style>
  <w:style w:type="paragraph" w:customStyle="1" w:styleId="227">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8">
    <w:name w:val="表格文字"/>
    <w:basedOn w:val="1"/>
    <w:qFormat/>
    <w:uiPriority w:val="0"/>
    <w:pPr>
      <w:adjustRightInd w:val="0"/>
      <w:spacing w:line="420" w:lineRule="atLeast"/>
      <w:jc w:val="left"/>
    </w:pPr>
    <w:rPr>
      <w:kern w:val="0"/>
    </w:rPr>
  </w:style>
  <w:style w:type="paragraph" w:customStyle="1" w:styleId="229">
    <w:name w:val="正文_2"/>
    <w:qFormat/>
    <w:uiPriority w:val="0"/>
    <w:pPr>
      <w:widowControl w:val="0"/>
      <w:spacing w:line="400" w:lineRule="exact"/>
      <w:ind w:firstLine="420" w:firstLineChars="200"/>
      <w:jc w:val="both"/>
    </w:pPr>
    <w:rPr>
      <w:rFonts w:ascii="宋体" w:hAnsi="宋体" w:eastAsia="宋体" w:cs="宋体"/>
      <w:kern w:val="2"/>
      <w:sz w:val="21"/>
      <w:szCs w:val="22"/>
      <w:lang w:val="en-US" w:eastAsia="zh-CN" w:bidi="ar-SA"/>
    </w:rPr>
  </w:style>
  <w:style w:type="paragraph" w:customStyle="1" w:styleId="230">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2">
    <w:name w:val="次小点说明 Char"/>
    <w:basedOn w:val="7"/>
    <w:qFormat/>
    <w:uiPriority w:val="0"/>
    <w:pPr>
      <w:ind w:firstLine="0"/>
    </w:pPr>
    <w:rPr>
      <w:sz w:val="24"/>
      <w:szCs w:val="24"/>
    </w:rPr>
  </w:style>
  <w:style w:type="paragraph" w:customStyle="1" w:styleId="23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Char Char Char Char Char Char Char"/>
    <w:basedOn w:val="1"/>
    <w:qFormat/>
    <w:uiPriority w:val="99"/>
    <w:pPr>
      <w:widowControl/>
      <w:spacing w:after="160" w:line="240" w:lineRule="exact"/>
      <w:jc w:val="left"/>
    </w:pPr>
    <w:rPr>
      <w:szCs w:val="21"/>
    </w:rPr>
  </w:style>
  <w:style w:type="paragraph" w:customStyle="1" w:styleId="235">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6">
    <w:name w:val="修订1"/>
    <w:qFormat/>
    <w:uiPriority w:val="99"/>
    <w:rPr>
      <w:rFonts w:ascii="Times New Roman" w:hAnsi="Times New Roman" w:eastAsia="宋体" w:cs="Times New Roman"/>
      <w:kern w:val="2"/>
      <w:sz w:val="21"/>
      <w:szCs w:val="21"/>
      <w:lang w:val="en-US" w:eastAsia="zh-CN" w:bidi="ar-SA"/>
    </w:rPr>
  </w:style>
  <w:style w:type="paragraph" w:customStyle="1" w:styleId="237">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8">
    <w:name w:val="正文_0_0"/>
    <w:next w:val="2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_Style 5_0"/>
    <w:qFormat/>
    <w:uiPriority w:val="0"/>
    <w:rPr>
      <w:rFonts w:ascii="Times New Roman" w:hAnsi="Times New Roman" w:eastAsia="宋体" w:cs="Times New Roman"/>
      <w:sz w:val="22"/>
      <w:szCs w:val="22"/>
      <w:lang w:val="en-US" w:eastAsia="zh-CN" w:bidi="ar-SA"/>
    </w:rPr>
  </w:style>
  <w:style w:type="paragraph" w:customStyle="1" w:styleId="240">
    <w:name w:val="样式1"/>
    <w:basedOn w:val="1"/>
    <w:next w:val="5"/>
    <w:qFormat/>
    <w:uiPriority w:val="99"/>
    <w:pPr>
      <w:spacing w:line="360" w:lineRule="auto"/>
      <w:ind w:firstLine="420" w:firstLineChars="200"/>
    </w:pPr>
    <w:rPr>
      <w:rFonts w:ascii="宋体" w:hAnsi="宋体" w:cs="宋体"/>
      <w:szCs w:val="21"/>
    </w:rPr>
  </w:style>
  <w:style w:type="paragraph" w:customStyle="1" w:styleId="241">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2">
    <w:name w:val="列出段落1"/>
    <w:basedOn w:val="1"/>
    <w:qFormat/>
    <w:uiPriority w:val="0"/>
    <w:pPr>
      <w:ind w:firstLine="420" w:firstLineChars="200"/>
    </w:pPr>
    <w:rPr>
      <w:rFonts w:ascii="Calibri" w:hAnsi="Calibri" w:cs="Calibri"/>
      <w:szCs w:val="21"/>
    </w:rPr>
  </w:style>
  <w:style w:type="paragraph" w:customStyle="1" w:styleId="243">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4">
    <w:name w:val="修订11"/>
    <w:qFormat/>
    <w:uiPriority w:val="99"/>
    <w:rPr>
      <w:rFonts w:ascii="Times New Roman" w:hAnsi="Times New Roman" w:eastAsia="宋体" w:cs="Times New Roman"/>
      <w:kern w:val="2"/>
      <w:sz w:val="21"/>
      <w:szCs w:val="21"/>
      <w:lang w:val="en-US" w:eastAsia="zh-CN" w:bidi="ar-SA"/>
    </w:rPr>
  </w:style>
  <w:style w:type="paragraph" w:customStyle="1" w:styleId="245">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6">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7">
    <w:name w:val="p0"/>
    <w:basedOn w:val="1"/>
    <w:qFormat/>
    <w:uiPriority w:val="0"/>
    <w:pPr>
      <w:widowControl/>
    </w:pPr>
    <w:rPr>
      <w:rFonts w:ascii="Calibri" w:hAnsi="Calibri" w:cs="Calibri"/>
      <w:kern w:val="0"/>
      <w:szCs w:val="21"/>
    </w:rPr>
  </w:style>
  <w:style w:type="paragraph" w:customStyle="1" w:styleId="248">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9">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customStyle="1" w:styleId="250">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51">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2">
    <w:name w:val="Char Char Char1"/>
    <w:basedOn w:val="1"/>
    <w:qFormat/>
    <w:uiPriority w:val="0"/>
    <w:rPr>
      <w:rFonts w:ascii="Tahoma" w:hAnsi="Tahoma"/>
      <w:sz w:val="24"/>
      <w:szCs w:val="20"/>
    </w:rPr>
  </w:style>
  <w:style w:type="paragraph" w:customStyle="1" w:styleId="253">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4">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5">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6">
    <w:name w:val="TOC 标题1"/>
    <w:basedOn w:val="2"/>
    <w:next w:val="1"/>
    <w:qFormat/>
    <w:uiPriority w:val="99"/>
    <w:pPr>
      <w:spacing w:line="576" w:lineRule="auto"/>
      <w:outlineLvl w:val="9"/>
    </w:pPr>
    <w:rPr>
      <w:rFonts w:ascii="Calibri" w:hAnsi="Calibri" w:eastAsia="黑体" w:cs="Calibri"/>
      <w:lang w:val="zh-CN"/>
    </w:rPr>
  </w:style>
  <w:style w:type="paragraph" w:customStyle="1" w:styleId="257">
    <w:name w:val="列表段落1"/>
    <w:basedOn w:val="1"/>
    <w:qFormat/>
    <w:uiPriority w:val="34"/>
    <w:pPr>
      <w:ind w:firstLine="420" w:firstLineChars="200"/>
    </w:pPr>
    <w:rPr>
      <w:rFonts w:ascii="Calibri" w:hAnsi="Calibri"/>
      <w:szCs w:val="22"/>
    </w:rPr>
  </w:style>
  <w:style w:type="paragraph" w:customStyle="1" w:styleId="25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9">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60">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61">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2">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3">
    <w:name w:val="_Style 36"/>
    <w:basedOn w:val="1"/>
    <w:qFormat/>
    <w:uiPriority w:val="0"/>
    <w:rPr>
      <w:rFonts w:ascii="Tahoma" w:hAnsi="Tahoma"/>
      <w:sz w:val="24"/>
      <w:szCs w:val="20"/>
    </w:rPr>
  </w:style>
  <w:style w:type="paragraph" w:customStyle="1" w:styleId="264">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5">
    <w:name w:val="Char Char Char"/>
    <w:basedOn w:val="1"/>
    <w:qFormat/>
    <w:uiPriority w:val="0"/>
    <w:rPr>
      <w:rFonts w:ascii="Tahoma" w:hAnsi="Tahoma"/>
      <w:sz w:val="24"/>
      <w:szCs w:val="20"/>
    </w:rPr>
  </w:style>
  <w:style w:type="paragraph" w:customStyle="1" w:styleId="266">
    <w:name w:val="Char"/>
    <w:basedOn w:val="1"/>
    <w:qFormat/>
    <w:uiPriority w:val="0"/>
    <w:pPr>
      <w:widowControl/>
      <w:spacing w:after="160" w:line="240" w:lineRule="exact"/>
      <w:jc w:val="left"/>
    </w:pPr>
    <w:rPr>
      <w:szCs w:val="21"/>
    </w:rPr>
  </w:style>
  <w:style w:type="paragraph" w:customStyle="1" w:styleId="267">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9">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70">
    <w:name w:val="正文呀2_0"/>
    <w:basedOn w:val="271"/>
    <w:qFormat/>
    <w:uiPriority w:val="0"/>
    <w:rPr>
      <w:rFonts w:ascii="Times New Roman" w:hAnsi="Times New Roman" w:eastAsia="宋体"/>
    </w:rPr>
  </w:style>
  <w:style w:type="paragraph" w:customStyle="1" w:styleId="271">
    <w:name w:val="正文呀_0"/>
    <w:basedOn w:val="272"/>
    <w:qFormat/>
    <w:uiPriority w:val="0"/>
    <w:pPr>
      <w:spacing w:line="420" w:lineRule="exact"/>
      <w:ind w:firstLine="420" w:firstLineChars="200"/>
    </w:pPr>
    <w:rPr>
      <w:rFonts w:ascii="宋体" w:hAnsi="宋体" w:eastAsia="等线"/>
    </w:rPr>
  </w:style>
  <w:style w:type="paragraph" w:customStyle="1" w:styleId="2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5">
    <w:name w:val="默认段落字体 Para Char Char Char Char Char Char Char Char Char1 Char Char Char Char"/>
    <w:basedOn w:val="1"/>
    <w:qFormat/>
    <w:uiPriority w:val="0"/>
    <w:rPr>
      <w:rFonts w:ascii="Tahoma" w:hAnsi="Tahoma"/>
      <w:sz w:val="24"/>
      <w:szCs w:val="20"/>
    </w:rPr>
  </w:style>
  <w:style w:type="paragraph" w:customStyle="1" w:styleId="27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7">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8">
    <w:name w:val="标题 3_0"/>
    <w:basedOn w:val="279"/>
    <w:next w:val="229"/>
    <w:qFormat/>
    <w:uiPriority w:val="0"/>
    <w:pPr>
      <w:keepNext/>
      <w:keepLines/>
      <w:spacing w:before="260" w:after="260" w:line="412" w:lineRule="auto"/>
      <w:jc w:val="left"/>
      <w:outlineLvl w:val="2"/>
    </w:pPr>
    <w:rPr>
      <w:b/>
    </w:rPr>
  </w:style>
  <w:style w:type="paragraph" w:customStyle="1" w:styleId="279">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80">
    <w:name w:val="font7"/>
    <w:basedOn w:val="1"/>
    <w:qFormat/>
    <w:uiPriority w:val="0"/>
    <w:pPr>
      <w:widowControl/>
      <w:spacing w:before="100" w:beforeAutospacing="1" w:after="100" w:afterAutospacing="1"/>
      <w:jc w:val="left"/>
    </w:pPr>
    <w:rPr>
      <w:kern w:val="0"/>
      <w:sz w:val="20"/>
      <w:szCs w:val="20"/>
    </w:rPr>
  </w:style>
  <w:style w:type="paragraph" w:customStyle="1" w:styleId="281">
    <w:name w:val="列出段落1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3">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4">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5">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7">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8">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9">
    <w:name w:val="列出段落2"/>
    <w:basedOn w:val="1"/>
    <w:qFormat/>
    <w:uiPriority w:val="99"/>
    <w:pPr>
      <w:ind w:firstLine="420" w:firstLineChars="200"/>
    </w:pPr>
    <w:rPr>
      <w:rFonts w:ascii="Calibri" w:hAnsi="Calibri" w:cs="Calibri"/>
      <w:szCs w:val="21"/>
    </w:rPr>
  </w:style>
  <w:style w:type="paragraph" w:customStyle="1" w:styleId="29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91">
    <w:name w:val="标题 2_0"/>
    <w:basedOn w:val="229"/>
    <w:next w:val="229"/>
    <w:qFormat/>
    <w:uiPriority w:val="9"/>
    <w:pPr>
      <w:keepNext/>
      <w:keepLines/>
      <w:spacing w:before="260" w:after="260" w:line="412" w:lineRule="auto"/>
      <w:jc w:val="left"/>
      <w:outlineLvl w:val="1"/>
    </w:pPr>
    <w:rPr>
      <w:rFonts w:ascii="Arial" w:hAnsi="Arial"/>
      <w:b/>
    </w:rPr>
  </w:style>
  <w:style w:type="paragraph" w:customStyle="1" w:styleId="292">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5">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6">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7">
    <w:name w:val="1"/>
    <w:basedOn w:val="1"/>
    <w:next w:val="1"/>
    <w:qFormat/>
    <w:uiPriority w:val="99"/>
    <w:rPr>
      <w:szCs w:val="21"/>
    </w:rPr>
  </w:style>
  <w:style w:type="paragraph" w:customStyle="1" w:styleId="298">
    <w:name w:val="Table Paragraph"/>
    <w:basedOn w:val="1"/>
    <w:qFormat/>
    <w:uiPriority w:val="1"/>
    <w:pPr>
      <w:jc w:val="left"/>
    </w:pPr>
    <w:rPr>
      <w:rFonts w:ascii="Calibri" w:hAnsi="Calibri"/>
      <w:kern w:val="0"/>
      <w:sz w:val="22"/>
      <w:szCs w:val="22"/>
      <w:lang w:eastAsia="en-US"/>
    </w:rPr>
  </w:style>
  <w:style w:type="paragraph" w:customStyle="1" w:styleId="299">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300">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301">
    <w:name w:val="正文缩进1"/>
    <w:basedOn w:val="1"/>
    <w:next w:val="1"/>
    <w:qFormat/>
    <w:uiPriority w:val="0"/>
    <w:pPr>
      <w:widowControl/>
      <w:ind w:firstLine="420"/>
    </w:pPr>
    <w:rPr>
      <w:color w:val="000000"/>
      <w:szCs w:val="20"/>
    </w:rPr>
  </w:style>
  <w:style w:type="paragraph" w:customStyle="1" w:styleId="3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3">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4">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5">
    <w:name w:val="pa-1"/>
    <w:basedOn w:val="1"/>
    <w:qFormat/>
    <w:uiPriority w:val="0"/>
    <w:pPr>
      <w:widowControl/>
      <w:spacing w:line="384" w:lineRule="atLeast"/>
      <w:jc w:val="left"/>
    </w:pPr>
    <w:rPr>
      <w:rFonts w:ascii="宋体" w:hAnsi="宋体" w:cs="宋体"/>
      <w:kern w:val="0"/>
      <w:sz w:val="24"/>
    </w:rPr>
  </w:style>
  <w:style w:type="paragraph" w:customStyle="1" w:styleId="306">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7">
    <w:name w:val="one"/>
    <w:basedOn w:val="1"/>
    <w:qFormat/>
    <w:uiPriority w:val="0"/>
    <w:pPr>
      <w:widowControl/>
      <w:jc w:val="left"/>
    </w:pPr>
    <w:rPr>
      <w:rFonts w:ascii="宋体" w:cs="宋体"/>
      <w:kern w:val="0"/>
      <w:sz w:val="24"/>
    </w:rPr>
  </w:style>
  <w:style w:type="paragraph" w:customStyle="1" w:styleId="308">
    <w:name w:val="Char1"/>
    <w:basedOn w:val="1"/>
    <w:qFormat/>
    <w:uiPriority w:val="99"/>
    <w:pPr>
      <w:widowControl/>
      <w:spacing w:after="160" w:line="240" w:lineRule="exact"/>
      <w:jc w:val="left"/>
    </w:pPr>
    <w:rPr>
      <w:szCs w:val="21"/>
    </w:rPr>
  </w:style>
  <w:style w:type="paragraph" w:customStyle="1" w:styleId="309">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10">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11">
    <w:name w:val="Char Char1 Char Char Char Char Char Char"/>
    <w:basedOn w:val="1"/>
    <w:qFormat/>
    <w:uiPriority w:val="0"/>
    <w:pPr>
      <w:widowControl/>
      <w:adjustRightInd w:val="0"/>
      <w:snapToGrid w:val="0"/>
      <w:spacing w:beforeLines="25" w:line="240" w:lineRule="exact"/>
      <w:ind w:firstLine="560" w:firstLineChars="192"/>
      <w:jc w:val="left"/>
    </w:pPr>
    <w:rPr>
      <w:szCs w:val="20"/>
    </w:rPr>
  </w:style>
  <w:style w:type="paragraph" w:customStyle="1" w:styleId="31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4">
    <w:name w:val="_Style 37"/>
    <w:basedOn w:val="1"/>
    <w:next w:val="1"/>
    <w:qFormat/>
    <w:uiPriority w:val="0"/>
    <w:rPr>
      <w:szCs w:val="21"/>
    </w:rPr>
  </w:style>
  <w:style w:type="paragraph" w:customStyle="1" w:styleId="315">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6">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7">
    <w:name w:val="font9"/>
    <w:basedOn w:val="1"/>
    <w:qFormat/>
    <w:uiPriority w:val="0"/>
    <w:pPr>
      <w:widowControl/>
      <w:spacing w:before="100" w:beforeAutospacing="1" w:after="100" w:afterAutospacing="1"/>
      <w:jc w:val="left"/>
    </w:pPr>
    <w:rPr>
      <w:b/>
      <w:bCs/>
      <w:color w:val="000000"/>
      <w:kern w:val="0"/>
      <w:szCs w:val="21"/>
    </w:rPr>
  </w:style>
  <w:style w:type="paragraph" w:customStyle="1" w:styleId="318">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20">
    <w:name w:val="_Style 20"/>
    <w:basedOn w:val="1"/>
    <w:qFormat/>
    <w:uiPriority w:val="0"/>
    <w:rPr>
      <w:rFonts w:ascii="Tahoma" w:hAnsi="Tahoma"/>
      <w:sz w:val="24"/>
      <w:szCs w:val="20"/>
    </w:rPr>
  </w:style>
  <w:style w:type="paragraph" w:customStyle="1" w:styleId="321">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2">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3">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4">
    <w:name w:val="正文小标题"/>
    <w:basedOn w:val="2"/>
    <w:qFormat/>
    <w:uiPriority w:val="0"/>
    <w:pPr>
      <w:spacing w:line="420" w:lineRule="exact"/>
    </w:pPr>
    <w:rPr>
      <w:rFonts w:hAnsi="宋体"/>
      <w:sz w:val="21"/>
      <w:szCs w:val="21"/>
    </w:rPr>
  </w:style>
  <w:style w:type="paragraph" w:customStyle="1" w:styleId="325">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6">
    <w:name w:val="2-2ji"/>
    <w:basedOn w:val="3"/>
    <w:qFormat/>
    <w:uiPriority w:val="99"/>
    <w:pPr>
      <w:spacing w:before="0" w:after="0" w:line="360" w:lineRule="auto"/>
      <w:jc w:val="center"/>
    </w:pPr>
    <w:rPr>
      <w:rFonts w:ascii="宋体" w:hAnsi="宋体" w:cs="宋体"/>
      <w:sz w:val="36"/>
      <w:szCs w:val="36"/>
      <w:lang w:val="zh-CN"/>
    </w:rPr>
  </w:style>
  <w:style w:type="paragraph" w:customStyle="1" w:styleId="327">
    <w:name w:val="_Style 5"/>
    <w:qFormat/>
    <w:uiPriority w:val="1"/>
    <w:rPr>
      <w:rFonts w:ascii="Times New Roman" w:hAnsi="Times New Roman" w:eastAsia="宋体" w:cs="Times New Roman"/>
      <w:sz w:val="22"/>
      <w:szCs w:val="22"/>
      <w:lang w:val="en-US" w:eastAsia="zh-CN" w:bidi="ar-SA"/>
    </w:rPr>
  </w:style>
  <w:style w:type="paragraph" w:customStyle="1" w:styleId="328">
    <w:name w:val="首行缩进"/>
    <w:basedOn w:val="1"/>
    <w:qFormat/>
    <w:uiPriority w:val="0"/>
    <w:pPr>
      <w:ind w:firstLine="480" w:firstLineChars="200"/>
    </w:pPr>
  </w:style>
  <w:style w:type="paragraph" w:customStyle="1" w:styleId="329">
    <w:name w:val="无间隔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31">
    <w:name w:val="cf01"/>
    <w:basedOn w:val="48"/>
    <w:qFormat/>
    <w:uiPriority w:val="0"/>
    <w:rPr>
      <w:rFonts w:hint="eastAsia" w:ascii="Microsoft YaHei UI" w:hAnsi="Microsoft YaHei UI" w:eastAsia="Microsoft YaHei UI"/>
      <w:sz w:val="18"/>
      <w:szCs w:val="18"/>
      <w:u w:val="single"/>
    </w:rPr>
  </w:style>
  <w:style w:type="paragraph" w:customStyle="1" w:styleId="3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3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35">
    <w:name w:val="font31"/>
    <w:basedOn w:val="48"/>
    <w:qFormat/>
    <w:uiPriority w:val="0"/>
    <w:rPr>
      <w:rFonts w:hint="default" w:ascii="Times New Roman" w:hAnsi="Times New Roman" w:cs="Times New Roman"/>
      <w:color w:val="000000"/>
      <w:sz w:val="22"/>
      <w:szCs w:val="22"/>
      <w:u w:val="none"/>
    </w:rPr>
  </w:style>
  <w:style w:type="character" w:customStyle="1" w:styleId="336">
    <w:name w:val="font01"/>
    <w:basedOn w:val="48"/>
    <w:qFormat/>
    <w:uiPriority w:val="0"/>
    <w:rPr>
      <w:rFonts w:hint="eastAsia" w:ascii="宋体" w:hAnsi="宋体" w:eastAsia="宋体" w:cs="宋体"/>
      <w:color w:val="000000"/>
      <w:sz w:val="22"/>
      <w:szCs w:val="22"/>
      <w:u w:val="none"/>
    </w:rPr>
  </w:style>
  <w:style w:type="character" w:customStyle="1" w:styleId="337">
    <w:name w:val="font91"/>
    <w:basedOn w:val="48"/>
    <w:qFormat/>
    <w:uiPriority w:val="0"/>
    <w:rPr>
      <w:rFonts w:hint="eastAsia" w:ascii="宋体" w:hAnsi="宋体" w:eastAsia="宋体" w:cs="宋体"/>
      <w:color w:val="000000"/>
      <w:sz w:val="22"/>
      <w:szCs w:val="22"/>
      <w:u w:val="none"/>
    </w:rPr>
  </w:style>
  <w:style w:type="character" w:customStyle="1" w:styleId="338">
    <w:name w:val="15"/>
    <w:basedOn w:val="4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D4AD8-3954-46EF-B55C-76993EF6E742}">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130</Pages>
  <Words>9013</Words>
  <Characters>9805</Characters>
  <Lines>1</Lines>
  <Paragraphs>1</Paragraphs>
  <TotalTime>34</TotalTime>
  <ScaleCrop>false</ScaleCrop>
  <LinksUpToDate>false</LinksUpToDate>
  <CharactersWithSpaces>9985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2025-09-12T06:20:00Z</dcterms:created>
  <dc:creator>唐冰</dc:creator>
  <cp:lastModifiedBy>Administrator</cp:lastModifiedBy>
  <cp:lastPrinted>2024-02-18T07:56:00Z</cp:lastPrinted>
  <dcterms:modified xsi:type="dcterms:W3CDTF">2025-10-27T10:21:11Z</dcterms:modified>
  <dc:title>竞争性谈判文件规范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FA9459A9C96948BEA569509E20124054_13</vt:lpwstr>
  </property>
  <property fmtid="{D5CDD505-2E9C-101B-9397-08002B2CF9AE}" pid="4" name="KSOTemplateDocerSaveRecord">
    <vt:lpwstr>eyJoZGlkIjoiNzI5OWM3OGY1NTAzMjZjNjUxMTAzMDE0ZGZiNTY1MWMifQ==</vt:lpwstr>
  </property>
</Properties>
</file>