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43020">
      <w:pPr>
        <w:spacing w:before="312" w:beforeLines="100" w:after="156" w:afterLines="50" w:line="600" w:lineRule="exact"/>
        <w:jc w:val="center"/>
        <w:rPr>
          <w:rFonts w:hint="eastAsia" w:ascii="方正小标宋简体" w:hAnsi="宋体" w:eastAsia="方正小标宋简体"/>
          <w:color w:val="auto"/>
          <w:sz w:val="28"/>
          <w:szCs w:val="28"/>
          <w:highlight w:val="none"/>
        </w:rPr>
      </w:pPr>
    </w:p>
    <w:p w14:paraId="5227105E">
      <w:pPr>
        <w:spacing w:line="360" w:lineRule="auto"/>
        <w:jc w:val="center"/>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3FABD0B2">
      <w:pPr>
        <w:spacing w:before="156" w:beforeLines="50" w:line="360" w:lineRule="auto"/>
        <w:jc w:val="center"/>
        <w:rPr>
          <w:rFonts w:ascii="宋体"/>
          <w:i/>
          <w:color w:val="auto"/>
          <w:sz w:val="52"/>
          <w:szCs w:val="52"/>
          <w:highlight w:val="none"/>
        </w:rPr>
      </w:pPr>
    </w:p>
    <w:p w14:paraId="3D7221BE">
      <w:pPr>
        <w:spacing w:line="360" w:lineRule="auto"/>
        <w:rPr>
          <w:rFonts w:ascii="方正小标宋简体" w:hAnsi="方正小标宋简体" w:eastAsia="方正小标宋简体" w:cs="方正小标宋简体"/>
          <w:b/>
          <w:color w:val="auto"/>
          <w:sz w:val="44"/>
          <w:szCs w:val="44"/>
          <w:highlight w:val="none"/>
        </w:rPr>
      </w:pPr>
    </w:p>
    <w:p w14:paraId="5E855122">
      <w:pPr>
        <w:snapToGrid w:val="0"/>
        <w:spacing w:before="156"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竞争性谈判文件</w:t>
      </w:r>
    </w:p>
    <w:p w14:paraId="3B8680C2">
      <w:pPr>
        <w:snapToGrid w:val="0"/>
        <w:spacing w:before="156" w:beforeLines="50" w:line="360" w:lineRule="auto"/>
        <w:jc w:val="center"/>
        <w:rPr>
          <w:rFonts w:ascii="仿宋" w:hAnsi="仿宋" w:eastAsia="仿宋"/>
          <w:b/>
          <w:color w:val="auto"/>
          <w:sz w:val="30"/>
          <w:szCs w:val="72"/>
          <w:highlight w:val="none"/>
        </w:rPr>
      </w:pPr>
      <w:r>
        <w:rPr>
          <w:rFonts w:hint="eastAsia" w:ascii="仿宋" w:hAnsi="仿宋" w:eastAsia="仿宋"/>
          <w:b/>
          <w:color w:val="auto"/>
          <w:sz w:val="48"/>
          <w:szCs w:val="48"/>
          <w:highlight w:val="none"/>
        </w:rPr>
        <w:t>（全流程电子化采购）</w:t>
      </w:r>
    </w:p>
    <w:p w14:paraId="32067289">
      <w:pPr>
        <w:snapToGrid w:val="0"/>
        <w:spacing w:line="360" w:lineRule="auto"/>
        <w:rPr>
          <w:rFonts w:ascii="仿宋" w:hAnsi="仿宋" w:eastAsia="仿宋"/>
          <w:color w:val="auto"/>
          <w:sz w:val="30"/>
          <w:szCs w:val="72"/>
          <w:highlight w:val="none"/>
        </w:rPr>
      </w:pPr>
    </w:p>
    <w:p w14:paraId="3C64C65D">
      <w:pPr>
        <w:pStyle w:val="14"/>
        <w:snapToGrid w:val="0"/>
        <w:spacing w:line="360" w:lineRule="auto"/>
        <w:ind w:left="1252" w:leftChars="596"/>
        <w:rPr>
          <w:rFonts w:ascii="仿宋" w:hAnsi="仿宋" w:eastAsia="仿宋"/>
          <w:b/>
          <w:bCs/>
          <w:color w:val="auto"/>
          <w:spacing w:val="-4"/>
          <w:sz w:val="30"/>
          <w:szCs w:val="30"/>
          <w:highlight w:val="none"/>
        </w:rPr>
      </w:pPr>
      <w:r>
        <w:rPr>
          <w:rFonts w:hint="eastAsia" w:ascii="仿宋" w:hAnsi="仿宋" w:eastAsia="仿宋"/>
          <w:b/>
          <w:bCs/>
          <w:color w:val="auto"/>
          <w:sz w:val="30"/>
          <w:szCs w:val="30"/>
          <w:highlight w:val="none"/>
        </w:rPr>
        <w:t>项目名称：</w:t>
      </w:r>
      <w:r>
        <w:rPr>
          <w:rFonts w:hint="eastAsia" w:ascii="仿宋" w:hAnsi="仿宋" w:eastAsia="仿宋"/>
          <w:b/>
          <w:bCs/>
          <w:color w:val="auto"/>
          <w:spacing w:val="-4"/>
          <w:sz w:val="30"/>
          <w:szCs w:val="30"/>
          <w:highlight w:val="none"/>
        </w:rPr>
        <w:t>广西大江大河水文监测系统建设工程</w:t>
      </w:r>
    </w:p>
    <w:p w14:paraId="011ABA67">
      <w:pPr>
        <w:pStyle w:val="14"/>
        <w:snapToGrid w:val="0"/>
        <w:spacing w:line="360" w:lineRule="auto"/>
        <w:ind w:firstLine="2345" w:firstLineChars="800"/>
        <w:rPr>
          <w:rFonts w:ascii="仿宋" w:hAnsi="仿宋" w:eastAsia="仿宋"/>
          <w:b/>
          <w:bCs/>
          <w:color w:val="auto"/>
          <w:sz w:val="30"/>
          <w:szCs w:val="30"/>
          <w:highlight w:val="none"/>
        </w:rPr>
      </w:pPr>
      <w:r>
        <w:rPr>
          <w:rFonts w:hint="eastAsia" w:ascii="仿宋" w:hAnsi="仿宋" w:eastAsia="仿宋"/>
          <w:b/>
          <w:bCs/>
          <w:color w:val="auto"/>
          <w:spacing w:val="-4"/>
          <w:sz w:val="30"/>
          <w:szCs w:val="30"/>
          <w:highlight w:val="none"/>
        </w:rPr>
        <w:t>（2021-2025年）桂林部分（仪器设备）</w:t>
      </w:r>
    </w:p>
    <w:p w14:paraId="796DA202">
      <w:pPr>
        <w:pStyle w:val="14"/>
        <w:snapToGrid w:val="0"/>
        <w:spacing w:line="360" w:lineRule="auto"/>
        <w:ind w:firstLine="1193" w:firstLineChars="396"/>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项目编号：GXZC2025-J1-002494-YZLZ</w:t>
      </w:r>
    </w:p>
    <w:p w14:paraId="7DED2773">
      <w:pPr>
        <w:pStyle w:val="14"/>
        <w:snapToGrid w:val="0"/>
        <w:spacing w:line="360" w:lineRule="auto"/>
        <w:ind w:firstLine="1193" w:firstLineChars="396"/>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采购人：桂林水文中心</w:t>
      </w:r>
    </w:p>
    <w:p w14:paraId="0E0F74C5">
      <w:pPr>
        <w:pStyle w:val="14"/>
        <w:snapToGrid w:val="0"/>
        <w:spacing w:line="360" w:lineRule="auto"/>
        <w:ind w:firstLine="1133" w:firstLineChars="396"/>
        <w:rPr>
          <w:rFonts w:ascii="仿宋" w:hAnsi="仿宋" w:eastAsia="仿宋"/>
          <w:b/>
          <w:bCs/>
          <w:color w:val="auto"/>
          <w:sz w:val="30"/>
          <w:szCs w:val="30"/>
          <w:highlight w:val="none"/>
        </w:rPr>
      </w:pPr>
      <w:r>
        <w:rPr>
          <w:rFonts w:hint="eastAsia" w:ascii="仿宋" w:hAnsi="仿宋" w:eastAsia="仿宋"/>
          <w:b/>
          <w:bCs/>
          <w:color w:val="auto"/>
          <w:w w:val="95"/>
          <w:sz w:val="30"/>
          <w:szCs w:val="30"/>
          <w:highlight w:val="none"/>
        </w:rPr>
        <w:t>采购代理机构：云之龙咨询集团有限公司</w:t>
      </w:r>
    </w:p>
    <w:p w14:paraId="01FF6523">
      <w:pPr>
        <w:pStyle w:val="14"/>
        <w:snapToGrid w:val="0"/>
        <w:spacing w:line="360" w:lineRule="auto"/>
        <w:ind w:firstLine="1125" w:firstLineChars="393"/>
        <w:rPr>
          <w:rFonts w:ascii="仿宋_GB2312" w:hAnsi="宋体" w:eastAsia="仿宋_GB2312"/>
          <w:b/>
          <w:bCs/>
          <w:color w:val="auto"/>
          <w:w w:val="95"/>
          <w:sz w:val="30"/>
          <w:szCs w:val="30"/>
          <w:highlight w:val="none"/>
        </w:rPr>
      </w:pPr>
    </w:p>
    <w:p w14:paraId="3DD7B2B4">
      <w:pPr>
        <w:pStyle w:val="14"/>
        <w:snapToGrid w:val="0"/>
        <w:spacing w:line="360" w:lineRule="auto"/>
        <w:ind w:firstLine="1125" w:firstLineChars="393"/>
        <w:rPr>
          <w:rFonts w:ascii="仿宋_GB2312" w:hAnsi="宋体" w:eastAsia="仿宋_GB2312"/>
          <w:b/>
          <w:bCs/>
          <w:color w:val="auto"/>
          <w:w w:val="95"/>
          <w:sz w:val="30"/>
          <w:szCs w:val="30"/>
          <w:highlight w:val="none"/>
        </w:rPr>
      </w:pPr>
    </w:p>
    <w:p w14:paraId="16EF65B5">
      <w:pPr>
        <w:pStyle w:val="14"/>
        <w:snapToGrid w:val="0"/>
        <w:spacing w:line="360" w:lineRule="auto"/>
        <w:ind w:firstLine="3131" w:firstLineChars="1094"/>
        <w:rPr>
          <w:rFonts w:ascii="仿宋" w:hAnsi="仿宋" w:eastAsia="仿宋"/>
          <w:color w:val="auto"/>
          <w:szCs w:val="20"/>
          <w:highlight w:val="none"/>
        </w:rPr>
      </w:pPr>
      <w:r>
        <w:rPr>
          <w:rFonts w:hint="eastAsia" w:ascii="仿宋" w:hAnsi="仿宋" w:eastAsia="仿宋"/>
          <w:b/>
          <w:bCs/>
          <w:color w:val="auto"/>
          <w:w w:val="95"/>
          <w:sz w:val="30"/>
          <w:szCs w:val="30"/>
          <w:highlight w:val="none"/>
        </w:rPr>
        <w:t>2025年</w:t>
      </w:r>
      <w:r>
        <w:rPr>
          <w:rFonts w:hint="eastAsia" w:ascii="仿宋" w:hAnsi="仿宋" w:eastAsia="仿宋"/>
          <w:b/>
          <w:bCs/>
          <w:color w:val="auto"/>
          <w:w w:val="95"/>
          <w:sz w:val="30"/>
          <w:szCs w:val="30"/>
          <w:highlight w:val="none"/>
          <w:lang w:val="en-US" w:eastAsia="zh-CN"/>
        </w:rPr>
        <w:t>9</w:t>
      </w:r>
      <w:r>
        <w:rPr>
          <w:rFonts w:hint="eastAsia" w:ascii="仿宋" w:hAnsi="仿宋" w:eastAsia="仿宋"/>
          <w:b/>
          <w:bCs/>
          <w:color w:val="auto"/>
          <w:w w:val="95"/>
          <w:sz w:val="30"/>
          <w:szCs w:val="30"/>
          <w:highlight w:val="none"/>
        </w:rPr>
        <w:t>月</w:t>
      </w:r>
      <w:r>
        <w:rPr>
          <w:rFonts w:hint="eastAsia" w:ascii="仿宋" w:hAnsi="仿宋" w:eastAsia="仿宋"/>
          <w:b/>
          <w:bCs/>
          <w:color w:val="auto"/>
          <w:w w:val="95"/>
          <w:sz w:val="30"/>
          <w:szCs w:val="30"/>
          <w:highlight w:val="none"/>
          <w:lang w:val="en-US" w:eastAsia="zh-CN"/>
        </w:rPr>
        <w:t>15</w:t>
      </w:r>
      <w:r>
        <w:rPr>
          <w:rFonts w:hint="eastAsia" w:ascii="仿宋" w:hAnsi="仿宋" w:eastAsia="仿宋"/>
          <w:b/>
          <w:bCs/>
          <w:color w:val="auto"/>
          <w:w w:val="95"/>
          <w:sz w:val="30"/>
          <w:szCs w:val="30"/>
          <w:highlight w:val="none"/>
        </w:rPr>
        <w:t>日</w:t>
      </w:r>
    </w:p>
    <w:p w14:paraId="791D91B7">
      <w:pPr>
        <w:spacing w:line="360" w:lineRule="auto"/>
        <w:jc w:val="center"/>
        <w:rPr>
          <w:rFonts w:ascii="宋体" w:hAnsi="宋体"/>
          <w:b/>
          <w:color w:val="auto"/>
          <w:sz w:val="44"/>
          <w:szCs w:val="44"/>
          <w:highlight w:val="none"/>
        </w:rPr>
      </w:pPr>
    </w:p>
    <w:p w14:paraId="7E6C05D3">
      <w:pPr>
        <w:spacing w:line="360" w:lineRule="auto"/>
        <w:jc w:val="center"/>
        <w:rPr>
          <w:rFonts w:ascii="宋体" w:hAnsi="宋体"/>
          <w:b/>
          <w:color w:val="auto"/>
          <w:sz w:val="44"/>
          <w:szCs w:val="44"/>
          <w:highlight w:val="none"/>
        </w:rPr>
      </w:pPr>
    </w:p>
    <w:p w14:paraId="112862AC">
      <w:pPr>
        <w:spacing w:line="360" w:lineRule="auto"/>
        <w:jc w:val="center"/>
        <w:rPr>
          <w:rFonts w:ascii="宋体"/>
          <w:b/>
          <w:color w:val="auto"/>
          <w:sz w:val="44"/>
          <w:szCs w:val="44"/>
          <w:highlight w:val="none"/>
        </w:rPr>
      </w:pPr>
      <w:r>
        <w:rPr>
          <w:rFonts w:hint="eastAsia" w:ascii="宋体" w:hAnsi="宋体"/>
          <w:b/>
          <w:color w:val="auto"/>
          <w:sz w:val="44"/>
          <w:szCs w:val="44"/>
          <w:highlight w:val="none"/>
        </w:rPr>
        <w:t>目录</w:t>
      </w:r>
    </w:p>
    <w:p w14:paraId="555E0D11">
      <w:pPr>
        <w:spacing w:line="400" w:lineRule="exact"/>
        <w:jc w:val="center"/>
        <w:rPr>
          <w:rFonts w:ascii="宋体"/>
          <w:b/>
          <w:color w:val="auto"/>
          <w:sz w:val="44"/>
          <w:szCs w:val="44"/>
          <w:highlight w:val="none"/>
        </w:rPr>
      </w:pPr>
    </w:p>
    <w:p w14:paraId="142821F1">
      <w:pPr>
        <w:pStyle w:val="21"/>
        <w:tabs>
          <w:tab w:val="right" w:leader="dot" w:pos="8931"/>
          <w:tab w:val="clear" w:pos="8296"/>
        </w:tabs>
        <w:snapToGrid w:val="0"/>
        <w:spacing w:line="500" w:lineRule="atLeast"/>
        <w:ind w:left="0" w:leftChars="0"/>
        <w:rPr>
          <w:rFonts w:ascii="宋体"/>
          <w:b/>
          <w:color w:val="auto"/>
          <w:sz w:val="24"/>
          <w:highlight w:val="none"/>
        </w:rPr>
      </w:pPr>
    </w:p>
    <w:p w14:paraId="62AAC914">
      <w:pPr>
        <w:pStyle w:val="20"/>
        <w:tabs>
          <w:tab w:val="right" w:leader="dot" w:pos="8869"/>
        </w:tabs>
        <w:rPr>
          <w:rFonts w:ascii="黑体" w:hAnsi="黑体" w:eastAsia="黑体" w:cstheme="minorBidi"/>
          <w:color w:val="auto"/>
          <w:sz w:val="28"/>
          <w:szCs w:val="28"/>
          <w:highlight w:val="none"/>
        </w:rPr>
      </w:pPr>
      <w:r>
        <w:rPr>
          <w:rFonts w:hint="eastAsia" w:ascii="黑体" w:hAnsi="黑体" w:eastAsia="黑体"/>
          <w:color w:val="auto"/>
          <w:sz w:val="28"/>
          <w:szCs w:val="28"/>
          <w:highlight w:val="none"/>
        </w:rPr>
        <w:t>第一章  竞争性谈判公告</w:t>
      </w:r>
      <w:r>
        <w:rPr>
          <w:rFonts w:ascii="黑体" w:hAnsi="黑体" w:eastAsia="黑体"/>
          <w:color w:val="auto"/>
          <w:sz w:val="28"/>
          <w:szCs w:val="28"/>
          <w:highlight w:val="none"/>
        </w:rPr>
        <w:tab/>
      </w:r>
      <w:r>
        <w:rPr>
          <w:rFonts w:ascii="黑体" w:hAnsi="黑体" w:eastAsia="黑体"/>
          <w:color w:val="auto"/>
          <w:sz w:val="28"/>
          <w:szCs w:val="28"/>
          <w:highlight w:val="none"/>
        </w:rPr>
        <w:t>2</w:t>
      </w:r>
    </w:p>
    <w:p w14:paraId="4CF0FCC0">
      <w:pPr>
        <w:pStyle w:val="20"/>
        <w:tabs>
          <w:tab w:val="right" w:leader="dot" w:pos="8869"/>
        </w:tabs>
        <w:rPr>
          <w:rFonts w:ascii="黑体" w:hAnsi="黑体" w:eastAsia="黑体" w:cstheme="minorBidi"/>
          <w:color w:val="auto"/>
          <w:sz w:val="28"/>
          <w:szCs w:val="28"/>
          <w:highlight w:val="none"/>
        </w:rPr>
      </w:pPr>
      <w:r>
        <w:rPr>
          <w:rFonts w:hint="eastAsia" w:ascii="黑体" w:hAnsi="黑体" w:eastAsia="黑体"/>
          <w:color w:val="auto"/>
          <w:sz w:val="28"/>
          <w:szCs w:val="28"/>
          <w:highlight w:val="none"/>
        </w:rPr>
        <w:t>第二章  供应商须知</w:t>
      </w:r>
      <w:r>
        <w:rPr>
          <w:rFonts w:ascii="黑体" w:hAnsi="黑体" w:eastAsia="黑体"/>
          <w:color w:val="auto"/>
          <w:sz w:val="28"/>
          <w:szCs w:val="28"/>
          <w:highlight w:val="none"/>
        </w:rPr>
        <w:tab/>
      </w:r>
      <w:r>
        <w:rPr>
          <w:rFonts w:hint="eastAsia" w:ascii="黑体" w:hAnsi="黑体" w:eastAsia="黑体"/>
          <w:color w:val="auto"/>
          <w:sz w:val="28"/>
          <w:szCs w:val="28"/>
          <w:highlight w:val="none"/>
        </w:rPr>
        <w:t>6</w:t>
      </w:r>
    </w:p>
    <w:p w14:paraId="541D2E96">
      <w:pPr>
        <w:pStyle w:val="20"/>
        <w:tabs>
          <w:tab w:val="right" w:leader="dot" w:pos="8869"/>
        </w:tabs>
        <w:rPr>
          <w:rFonts w:ascii="黑体" w:hAnsi="黑体" w:eastAsia="黑体" w:cstheme="minorBidi"/>
          <w:color w:val="auto"/>
          <w:sz w:val="28"/>
          <w:szCs w:val="28"/>
          <w:highlight w:val="none"/>
        </w:rPr>
      </w:pPr>
      <w:r>
        <w:rPr>
          <w:rFonts w:hint="eastAsia" w:ascii="黑体" w:hAnsi="黑体" w:eastAsia="黑体"/>
          <w:color w:val="auto"/>
          <w:sz w:val="28"/>
          <w:szCs w:val="28"/>
          <w:highlight w:val="none"/>
        </w:rPr>
        <w:t>第三章  采购需求</w:t>
      </w:r>
      <w:r>
        <w:rPr>
          <w:rFonts w:ascii="黑体" w:hAnsi="黑体" w:eastAsia="黑体"/>
          <w:color w:val="auto"/>
          <w:sz w:val="28"/>
          <w:szCs w:val="28"/>
          <w:highlight w:val="none"/>
        </w:rPr>
        <w:tab/>
      </w:r>
      <w:r>
        <w:rPr>
          <w:rFonts w:ascii="黑体" w:hAnsi="黑体" w:eastAsia="黑体"/>
          <w:color w:val="auto"/>
          <w:sz w:val="28"/>
          <w:szCs w:val="28"/>
          <w:highlight w:val="none"/>
        </w:rPr>
        <w:t>23</w:t>
      </w:r>
    </w:p>
    <w:p w14:paraId="7E910C5A">
      <w:pPr>
        <w:pStyle w:val="20"/>
        <w:tabs>
          <w:tab w:val="right" w:leader="dot" w:pos="8869"/>
        </w:tabs>
        <w:rPr>
          <w:rFonts w:ascii="黑体" w:hAnsi="黑体" w:eastAsia="黑体" w:cstheme="minorBidi"/>
          <w:color w:val="auto"/>
          <w:sz w:val="28"/>
          <w:szCs w:val="28"/>
          <w:highlight w:val="none"/>
        </w:rPr>
      </w:pPr>
      <w:r>
        <w:rPr>
          <w:rFonts w:hint="eastAsia" w:ascii="黑体" w:hAnsi="黑体" w:eastAsia="黑体"/>
          <w:color w:val="auto"/>
          <w:sz w:val="28"/>
          <w:szCs w:val="28"/>
          <w:highlight w:val="none"/>
        </w:rPr>
        <w:t>第四章  评审程序和评定成交的标准</w:t>
      </w:r>
      <w:r>
        <w:rPr>
          <w:rFonts w:ascii="黑体" w:hAnsi="黑体" w:eastAsia="黑体"/>
          <w:color w:val="auto"/>
          <w:sz w:val="28"/>
          <w:szCs w:val="28"/>
          <w:highlight w:val="none"/>
        </w:rPr>
        <w:tab/>
      </w:r>
      <w:r>
        <w:rPr>
          <w:rFonts w:hint="eastAsia" w:ascii="黑体" w:hAnsi="黑体" w:eastAsia="黑体"/>
          <w:color w:val="auto"/>
          <w:sz w:val="28"/>
          <w:szCs w:val="28"/>
          <w:highlight w:val="none"/>
        </w:rPr>
        <w:t>78</w:t>
      </w:r>
    </w:p>
    <w:p w14:paraId="1D93CD10">
      <w:pPr>
        <w:pStyle w:val="20"/>
        <w:tabs>
          <w:tab w:val="right" w:leader="dot" w:pos="8869"/>
        </w:tabs>
        <w:rPr>
          <w:rFonts w:ascii="黑体" w:hAnsi="黑体" w:eastAsia="黑体" w:cstheme="minorBidi"/>
          <w:color w:val="auto"/>
          <w:sz w:val="28"/>
          <w:szCs w:val="28"/>
          <w:highlight w:val="none"/>
        </w:rPr>
      </w:pPr>
      <w:r>
        <w:rPr>
          <w:rFonts w:hint="eastAsia" w:ascii="黑体" w:hAnsi="黑体" w:eastAsia="黑体"/>
          <w:color w:val="auto"/>
          <w:sz w:val="28"/>
          <w:szCs w:val="28"/>
          <w:highlight w:val="none"/>
        </w:rPr>
        <w:t>第五章  响应文件格式</w:t>
      </w:r>
      <w:r>
        <w:rPr>
          <w:rFonts w:ascii="黑体" w:hAnsi="黑体" w:eastAsia="黑体"/>
          <w:color w:val="auto"/>
          <w:sz w:val="28"/>
          <w:szCs w:val="28"/>
          <w:highlight w:val="none"/>
        </w:rPr>
        <w:tab/>
      </w:r>
      <w:r>
        <w:rPr>
          <w:rFonts w:hint="eastAsia" w:ascii="黑体" w:hAnsi="黑体" w:eastAsia="黑体"/>
          <w:color w:val="auto"/>
          <w:sz w:val="28"/>
          <w:szCs w:val="28"/>
          <w:highlight w:val="none"/>
        </w:rPr>
        <w:t>84</w:t>
      </w:r>
    </w:p>
    <w:p w14:paraId="4A2E95BC">
      <w:pPr>
        <w:pStyle w:val="20"/>
        <w:tabs>
          <w:tab w:val="right" w:leader="dot" w:pos="8869"/>
        </w:tabs>
        <w:rPr>
          <w:rFonts w:ascii="黑体" w:hAnsi="黑体" w:eastAsia="黑体" w:cstheme="minorBidi"/>
          <w:color w:val="auto"/>
          <w:sz w:val="28"/>
          <w:szCs w:val="28"/>
          <w:highlight w:val="none"/>
        </w:rPr>
      </w:pPr>
      <w:r>
        <w:rPr>
          <w:rFonts w:hint="eastAsia" w:ascii="黑体" w:hAnsi="黑体" w:eastAsia="黑体"/>
          <w:color w:val="auto"/>
          <w:sz w:val="28"/>
          <w:szCs w:val="28"/>
          <w:highlight w:val="none"/>
        </w:rPr>
        <w:t>第六章  合同文本</w:t>
      </w:r>
      <w:r>
        <w:rPr>
          <w:rFonts w:ascii="黑体" w:hAnsi="黑体" w:eastAsia="黑体"/>
          <w:color w:val="auto"/>
          <w:sz w:val="28"/>
          <w:szCs w:val="28"/>
          <w:highlight w:val="none"/>
        </w:rPr>
        <w:tab/>
      </w:r>
      <w:r>
        <w:rPr>
          <w:rFonts w:hint="eastAsia" w:ascii="黑体" w:hAnsi="黑体" w:eastAsia="黑体"/>
          <w:color w:val="auto"/>
          <w:sz w:val="28"/>
          <w:szCs w:val="28"/>
          <w:highlight w:val="none"/>
        </w:rPr>
        <w:t>113</w:t>
      </w:r>
    </w:p>
    <w:p w14:paraId="78332C9A">
      <w:pPr>
        <w:spacing w:line="400" w:lineRule="exact"/>
        <w:jc w:val="left"/>
        <w:rPr>
          <w:rFonts w:ascii="宋体"/>
          <w:b/>
          <w:color w:val="auto"/>
          <w:sz w:val="32"/>
          <w:szCs w:val="32"/>
          <w:highlight w:val="none"/>
        </w:rPr>
      </w:pPr>
    </w:p>
    <w:p w14:paraId="5E4311F2">
      <w:pPr>
        <w:spacing w:line="400" w:lineRule="exact"/>
        <w:jc w:val="center"/>
        <w:rPr>
          <w:rFonts w:ascii="宋体"/>
          <w:b/>
          <w:color w:val="auto"/>
          <w:sz w:val="32"/>
          <w:szCs w:val="32"/>
          <w:highlight w:val="none"/>
        </w:rPr>
      </w:pPr>
    </w:p>
    <w:p w14:paraId="4E145072">
      <w:pPr>
        <w:spacing w:line="400" w:lineRule="exact"/>
        <w:jc w:val="center"/>
        <w:rPr>
          <w:rFonts w:ascii="宋体"/>
          <w:b/>
          <w:color w:val="auto"/>
          <w:sz w:val="32"/>
          <w:szCs w:val="32"/>
          <w:highlight w:val="none"/>
        </w:rPr>
      </w:pPr>
    </w:p>
    <w:p w14:paraId="7C5F15F4">
      <w:pPr>
        <w:spacing w:line="400" w:lineRule="exact"/>
        <w:jc w:val="center"/>
        <w:rPr>
          <w:rFonts w:ascii="宋体"/>
          <w:b/>
          <w:color w:val="auto"/>
          <w:sz w:val="32"/>
          <w:szCs w:val="32"/>
          <w:highlight w:val="none"/>
        </w:rPr>
      </w:pPr>
    </w:p>
    <w:p w14:paraId="66DA2B19">
      <w:pPr>
        <w:spacing w:line="400" w:lineRule="exact"/>
        <w:jc w:val="center"/>
        <w:rPr>
          <w:rFonts w:ascii="宋体"/>
          <w:b/>
          <w:color w:val="auto"/>
          <w:sz w:val="32"/>
          <w:szCs w:val="32"/>
          <w:highlight w:val="none"/>
        </w:rPr>
      </w:pPr>
    </w:p>
    <w:p w14:paraId="2764AF5B">
      <w:pPr>
        <w:spacing w:line="400" w:lineRule="exact"/>
        <w:rPr>
          <w:rFonts w:ascii="宋体"/>
          <w:b/>
          <w:color w:val="auto"/>
          <w:sz w:val="32"/>
          <w:szCs w:val="32"/>
          <w:highlight w:val="none"/>
        </w:rPr>
        <w:sectPr>
          <w:headerReference r:id="rId5" w:type="first"/>
          <w:headerReference r:id="rId3" w:type="default"/>
          <w:footerReference r:id="rId6" w:type="default"/>
          <w:headerReference r:id="rId4" w:type="even"/>
          <w:pgSz w:w="11906" w:h="16838"/>
          <w:pgMar w:top="1440" w:right="1440" w:bottom="1440" w:left="1587" w:header="851" w:footer="992" w:gutter="0"/>
          <w:pgNumType w:start="0"/>
          <w:cols w:space="720" w:num="1"/>
          <w:titlePg/>
          <w:docGrid w:type="lines" w:linePitch="312" w:charSpace="0"/>
        </w:sectPr>
      </w:pPr>
    </w:p>
    <w:p w14:paraId="5CA7F5BF">
      <w:pPr>
        <w:pStyle w:val="2"/>
        <w:spacing w:line="300" w:lineRule="exact"/>
        <w:jc w:val="center"/>
        <w:rPr>
          <w:color w:val="auto"/>
          <w:highlight w:val="none"/>
        </w:rPr>
      </w:pPr>
      <w:bookmarkStart w:id="0" w:name="_Toc74322008"/>
      <w:bookmarkStart w:id="1" w:name="_Toc137109005"/>
      <w:r>
        <w:rPr>
          <w:rFonts w:hint="eastAsia"/>
          <w:color w:val="auto"/>
          <w:highlight w:val="none"/>
        </w:rPr>
        <w:t>第一章竞争性谈判公告</w:t>
      </w:r>
      <w:bookmarkEnd w:id="0"/>
      <w:bookmarkEnd w:id="1"/>
    </w:p>
    <w:p w14:paraId="328B895D">
      <w:pPr>
        <w:spacing w:line="300" w:lineRule="exact"/>
        <w:jc w:val="center"/>
        <w:rPr>
          <w:rFonts w:ascii="宋体"/>
          <w:b/>
          <w:bCs/>
          <w:color w:val="auto"/>
          <w:sz w:val="32"/>
          <w:szCs w:val="32"/>
          <w:highlight w:val="none"/>
        </w:rPr>
      </w:pPr>
      <w:r>
        <w:rPr>
          <w:rFonts w:hint="eastAsia" w:ascii="宋体" w:hAnsi="宋体"/>
          <w:b/>
          <w:bCs/>
          <w:color w:val="auto"/>
          <w:sz w:val="32"/>
          <w:szCs w:val="32"/>
          <w:highlight w:val="none"/>
        </w:rPr>
        <w:t>竞争性谈判公告</w:t>
      </w:r>
    </w:p>
    <w:p w14:paraId="2E217A9F">
      <w:pPr>
        <w:spacing w:line="360" w:lineRule="auto"/>
        <w:rPr>
          <w:rFonts w:ascii="宋体"/>
          <w:color w:val="auto"/>
          <w:szCs w:val="21"/>
          <w:highlight w:val="none"/>
        </w:rPr>
      </w:pPr>
    </w:p>
    <w:p w14:paraId="5569E45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olor w:val="auto"/>
          <w:szCs w:val="21"/>
          <w:highlight w:val="none"/>
        </w:rPr>
      </w:pPr>
      <w:bookmarkStart w:id="2" w:name="_Hlk37430271"/>
      <w:r>
        <w:rPr>
          <w:rFonts w:hint="eastAsia" w:ascii="宋体" w:hAnsi="宋体"/>
          <w:color w:val="auto"/>
          <w:szCs w:val="21"/>
          <w:highlight w:val="none"/>
        </w:rPr>
        <w:t>项目概况</w:t>
      </w:r>
    </w:p>
    <w:p w14:paraId="5A6937B1">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广西大江大河水文监测系统建设工程（2021-2025年）桂林部分（仪器设备）的潜在供应商应在广西政府采购云平台（</w:t>
      </w:r>
      <w:r>
        <w:rPr>
          <w:rFonts w:hint="eastAsia"/>
          <w:color w:val="auto"/>
          <w:highlight w:val="none"/>
        </w:rPr>
        <w:t>www.gcy.zfcg.gxzf.gov.cn）获取（下载）竞争性谈判文件，并于2025年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19</w:t>
      </w:r>
      <w:r>
        <w:rPr>
          <w:rFonts w:hint="eastAsia"/>
          <w:color w:val="auto"/>
          <w:highlight w:val="none"/>
        </w:rPr>
        <w:t>日</w:t>
      </w:r>
      <w:r>
        <w:rPr>
          <w:rFonts w:hint="eastAsia" w:ascii="宋体" w:hAnsi="宋体"/>
          <w:color w:val="auto"/>
          <w:szCs w:val="21"/>
          <w:highlight w:val="none"/>
        </w:rPr>
        <w:t>上午9时30分（北京时间）前提交（上传）响应文件。</w:t>
      </w:r>
    </w:p>
    <w:p w14:paraId="118A5E97">
      <w:pPr>
        <w:spacing w:line="360" w:lineRule="auto"/>
        <w:rPr>
          <w:rFonts w:ascii="宋体"/>
          <w:color w:val="auto"/>
          <w:szCs w:val="21"/>
          <w:highlight w:val="none"/>
        </w:rPr>
      </w:pPr>
    </w:p>
    <w:p w14:paraId="045B7FCE">
      <w:pPr>
        <w:spacing w:line="360" w:lineRule="exact"/>
        <w:ind w:firstLine="360" w:firstLineChars="150"/>
        <w:rPr>
          <w:rFonts w:ascii="黑体" w:hAnsi="黑体" w:eastAsia="黑体"/>
          <w:color w:val="auto"/>
          <w:sz w:val="24"/>
          <w:highlight w:val="none"/>
        </w:rPr>
      </w:pPr>
      <w:bookmarkStart w:id="3" w:name="_Toc28359089"/>
      <w:bookmarkStart w:id="4" w:name="_Toc35393629"/>
      <w:bookmarkStart w:id="5" w:name="_Toc28359012"/>
      <w:bookmarkStart w:id="6" w:name="_Toc35393798"/>
      <w:bookmarkStart w:id="7" w:name="_Toc71365362"/>
      <w:bookmarkStart w:id="8" w:name="_Toc71366040"/>
      <w:r>
        <w:rPr>
          <w:rFonts w:hint="eastAsia" w:ascii="黑体" w:hAnsi="黑体" w:eastAsia="黑体"/>
          <w:color w:val="auto"/>
          <w:sz w:val="24"/>
          <w:highlight w:val="none"/>
        </w:rPr>
        <w:t>一、项目基本情况</w:t>
      </w:r>
      <w:bookmarkEnd w:id="3"/>
      <w:bookmarkEnd w:id="4"/>
      <w:bookmarkEnd w:id="5"/>
      <w:bookmarkEnd w:id="6"/>
      <w:bookmarkEnd w:id="7"/>
      <w:bookmarkEnd w:id="8"/>
    </w:p>
    <w:p w14:paraId="4542B71C">
      <w:pPr>
        <w:spacing w:line="360" w:lineRule="exact"/>
        <w:ind w:firstLine="420" w:firstLineChars="200"/>
        <w:rPr>
          <w:rFonts w:ascii="宋体"/>
          <w:color w:val="auto"/>
          <w:szCs w:val="21"/>
          <w:highlight w:val="none"/>
        </w:rPr>
      </w:pPr>
      <w:r>
        <w:rPr>
          <w:rFonts w:hint="eastAsia" w:ascii="宋体" w:hAnsi="宋体"/>
          <w:color w:val="auto"/>
          <w:szCs w:val="21"/>
          <w:highlight w:val="none"/>
        </w:rPr>
        <w:t>项目编号：GXZC2025-J1-002494-YZLZ（代理编号：YZLGL2025-J1-026-GXZC）</w:t>
      </w:r>
    </w:p>
    <w:p w14:paraId="2B778CA2">
      <w:pPr>
        <w:spacing w:line="360" w:lineRule="exact"/>
        <w:ind w:firstLine="420" w:firstLineChars="200"/>
        <w:rPr>
          <w:rFonts w:ascii="宋体"/>
          <w:color w:val="auto"/>
          <w:szCs w:val="21"/>
          <w:highlight w:val="none"/>
        </w:rPr>
      </w:pPr>
      <w:r>
        <w:rPr>
          <w:rFonts w:hint="eastAsia" w:ascii="宋体" w:hAnsi="宋体"/>
          <w:color w:val="auto"/>
          <w:szCs w:val="21"/>
          <w:highlight w:val="none"/>
        </w:rPr>
        <w:t>项目名称：广西大江大河水文监测系统建设工程（2021-2025年）桂林部分（仪器设备）</w:t>
      </w:r>
    </w:p>
    <w:p w14:paraId="245AE610">
      <w:pPr>
        <w:spacing w:line="360" w:lineRule="exact"/>
        <w:ind w:firstLine="420" w:firstLineChars="200"/>
        <w:rPr>
          <w:rFonts w:ascii="宋体"/>
          <w:color w:val="auto"/>
          <w:szCs w:val="21"/>
          <w:highlight w:val="none"/>
        </w:rPr>
      </w:pPr>
      <w:r>
        <w:rPr>
          <w:rFonts w:hint="eastAsia" w:ascii="宋体" w:hAnsi="宋体"/>
          <w:color w:val="auto"/>
          <w:szCs w:val="21"/>
          <w:highlight w:val="none"/>
        </w:rPr>
        <w:t>采购方式：☑竞争性谈判 □竞争性磋商 □询价</w:t>
      </w:r>
    </w:p>
    <w:p w14:paraId="4E38CB0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预算总金额：1227400.00元</w:t>
      </w:r>
    </w:p>
    <w:p w14:paraId="73D1B5D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最高限价（如有）：/</w:t>
      </w:r>
    </w:p>
    <w:p w14:paraId="4F3AD5D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采购需求：</w:t>
      </w:r>
    </w:p>
    <w:p w14:paraId="1F29C0EB">
      <w:pPr>
        <w:spacing w:line="36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分标1</w:t>
      </w:r>
    </w:p>
    <w:p w14:paraId="1FDAB2DE">
      <w:pPr>
        <w:spacing w:line="360" w:lineRule="exact"/>
        <w:ind w:firstLine="420" w:firstLineChars="200"/>
        <w:rPr>
          <w:rFonts w:ascii="宋体" w:hAnsi="宋体"/>
          <w:color w:val="auto"/>
          <w:szCs w:val="21"/>
          <w:highlight w:val="none"/>
        </w:rPr>
      </w:pPr>
      <w:bookmarkStart w:id="9" w:name="_Toc71365363"/>
      <w:bookmarkStart w:id="10" w:name="_Toc28359013"/>
      <w:bookmarkStart w:id="11" w:name="_Toc35393799"/>
      <w:bookmarkStart w:id="12" w:name="_Toc35393630"/>
      <w:bookmarkStart w:id="13" w:name="_Toc28359090"/>
      <w:bookmarkStart w:id="14" w:name="_Toc71366041"/>
      <w:r>
        <w:rPr>
          <w:rFonts w:hint="eastAsia" w:ascii="宋体" w:hAnsi="宋体"/>
          <w:color w:val="auto"/>
          <w:szCs w:val="21"/>
          <w:highlight w:val="none"/>
        </w:rPr>
        <w:t>标项名称：水情设备</w:t>
      </w:r>
    </w:p>
    <w:p w14:paraId="240CAAA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数量：1批</w:t>
      </w:r>
    </w:p>
    <w:p w14:paraId="14FC288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w:t>
      </w:r>
    </w:p>
    <w:p w14:paraId="28AC9F89">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（1）标的的名称、数量：</w:t>
      </w:r>
      <w:r>
        <w:rPr>
          <w:rFonts w:hint="eastAsia" w:ascii="宋体" w:hAnsi="宋体"/>
          <w:color w:val="auto"/>
          <w:szCs w:val="21"/>
          <w:highlight w:val="none"/>
          <w:lang w:eastAsia="zh-CN"/>
        </w:rPr>
        <w:t>①</w:t>
      </w:r>
      <w:r>
        <w:rPr>
          <w:rFonts w:hint="eastAsia" w:ascii="宋体" w:hAnsi="宋体"/>
          <w:color w:val="auto"/>
          <w:szCs w:val="21"/>
          <w:highlight w:val="none"/>
        </w:rPr>
        <w:t>雨量信息采集设备：翻斗式雨量计4台；</w:t>
      </w:r>
      <w:r>
        <w:rPr>
          <w:rFonts w:hint="eastAsia" w:ascii="宋体" w:hAnsi="宋体"/>
          <w:color w:val="auto"/>
          <w:szCs w:val="21"/>
          <w:highlight w:val="none"/>
          <w:lang w:eastAsia="zh-CN"/>
        </w:rPr>
        <w:t>②</w:t>
      </w:r>
      <w:r>
        <w:rPr>
          <w:rFonts w:hint="eastAsia" w:ascii="宋体" w:hAnsi="宋体"/>
          <w:color w:val="auto"/>
          <w:szCs w:val="21"/>
          <w:highlight w:val="none"/>
        </w:rPr>
        <w:t>水位信息采集设备：浮子水位计2套、不锈钢安装平台4套、不锈钢平台1套、雷达水位计1台、视频水位识别系统5</w:t>
      </w:r>
      <w:r>
        <w:rPr>
          <w:rFonts w:hint="eastAsia" w:ascii="宋体" w:hAnsi="宋体"/>
          <w:color w:val="auto"/>
          <w:szCs w:val="21"/>
          <w:highlight w:val="none"/>
        </w:rPr>
        <w:tab/>
      </w:r>
      <w:r>
        <w:rPr>
          <w:rFonts w:hint="eastAsia" w:ascii="宋体" w:hAnsi="宋体"/>
          <w:color w:val="auto"/>
          <w:szCs w:val="21"/>
          <w:highlight w:val="none"/>
        </w:rPr>
        <w:t>套、供电系统（柜式）4套、供电系统（杆式）1套、水尺视频安装支架5站；</w:t>
      </w:r>
      <w:r>
        <w:rPr>
          <w:rFonts w:hint="eastAsia" w:ascii="宋体" w:hAnsi="宋体"/>
          <w:color w:val="auto"/>
          <w:szCs w:val="21"/>
          <w:highlight w:val="none"/>
          <w:lang w:eastAsia="zh-CN"/>
        </w:rPr>
        <w:t>③</w:t>
      </w:r>
      <w:r>
        <w:rPr>
          <w:rFonts w:hint="eastAsia" w:ascii="宋体" w:hAnsi="宋体"/>
          <w:color w:val="auto"/>
          <w:szCs w:val="21"/>
          <w:highlight w:val="none"/>
        </w:rPr>
        <w:t>视频监控系统：视频监控系统球型摄像机6套、硬盘录像机4套、存储卡1张、网络交换机5套；</w:t>
      </w:r>
      <w:r>
        <w:rPr>
          <w:rFonts w:hint="eastAsia" w:ascii="宋体" w:hAnsi="宋体"/>
          <w:color w:val="auto"/>
          <w:szCs w:val="21"/>
          <w:highlight w:val="none"/>
          <w:lang w:eastAsia="zh-CN"/>
        </w:rPr>
        <w:t>④</w:t>
      </w:r>
      <w:r>
        <w:rPr>
          <w:rFonts w:hint="eastAsia" w:ascii="宋体" w:hAnsi="宋体"/>
          <w:color w:val="auto"/>
          <w:szCs w:val="21"/>
          <w:highlight w:val="none"/>
        </w:rPr>
        <w:t>遥测通信终端：遥测终端RTU3套、通讯模块（DTU）3个、充电控制器3个、30W太阳能电池板3套、</w:t>
      </w:r>
      <w:bookmarkStart w:id="104" w:name="_GoBack"/>
      <w:bookmarkEnd w:id="104"/>
      <w:r>
        <w:rPr>
          <w:rFonts w:hint="eastAsia" w:ascii="宋体" w:hAnsi="宋体"/>
          <w:color w:val="auto"/>
          <w:szCs w:val="21"/>
          <w:highlight w:val="none"/>
        </w:rPr>
        <w:t>蓄电池3</w:t>
      </w:r>
      <w:r>
        <w:rPr>
          <w:rFonts w:hint="eastAsia" w:ascii="宋体" w:hAnsi="宋体"/>
          <w:color w:val="auto"/>
          <w:szCs w:val="21"/>
          <w:highlight w:val="none"/>
        </w:rPr>
        <w:tab/>
      </w:r>
      <w:r>
        <w:rPr>
          <w:rFonts w:hint="eastAsia" w:ascii="宋体" w:hAnsi="宋体"/>
          <w:color w:val="auto"/>
          <w:szCs w:val="21"/>
          <w:highlight w:val="none"/>
        </w:rPr>
        <w:t>块；</w:t>
      </w:r>
      <w:r>
        <w:rPr>
          <w:rFonts w:hint="eastAsia" w:ascii="宋体" w:hAnsi="宋体"/>
          <w:color w:val="auto"/>
          <w:szCs w:val="21"/>
          <w:highlight w:val="none"/>
          <w:lang w:eastAsia="zh-CN"/>
        </w:rPr>
        <w:t>⑤</w:t>
      </w:r>
      <w:r>
        <w:rPr>
          <w:rFonts w:hint="eastAsia" w:ascii="宋体" w:hAnsi="宋体"/>
          <w:color w:val="auto"/>
          <w:szCs w:val="21"/>
          <w:highlight w:val="none"/>
        </w:rPr>
        <w:t>智能一体化遥测终端：智能一体化遥测终端机3</w:t>
      </w:r>
      <w:r>
        <w:rPr>
          <w:rFonts w:hint="eastAsia" w:ascii="宋体" w:hAnsi="宋体"/>
          <w:color w:val="auto"/>
          <w:szCs w:val="21"/>
          <w:highlight w:val="none"/>
        </w:rPr>
        <w:tab/>
      </w:r>
      <w:r>
        <w:rPr>
          <w:rFonts w:hint="eastAsia" w:ascii="宋体" w:hAnsi="宋体"/>
          <w:color w:val="auto"/>
          <w:szCs w:val="21"/>
          <w:highlight w:val="none"/>
        </w:rPr>
        <w:t>套、300AH磷酸铁锂电池2套、200W太阳能电池板2套、机柜5台、路灯4个。</w:t>
      </w:r>
    </w:p>
    <w:p w14:paraId="01711D5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（2）简要技术需求或服务要求：按国家有关产品“三包”规定执行“三包”，具体详见采购需求。</w:t>
      </w:r>
    </w:p>
    <w:p w14:paraId="6B7F72E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预算金额</w:t>
      </w:r>
      <w:r>
        <w:rPr>
          <w:rFonts w:hint="eastAsia" w:ascii="宋体" w:hAnsi="宋体"/>
          <w:color w:val="auto"/>
          <w:szCs w:val="21"/>
          <w:highlight w:val="none"/>
        </w:rPr>
        <w:t>：人民币叁拾陆万柒仟肆佰元整（</w:t>
      </w:r>
      <w:r>
        <w:rPr>
          <w:rFonts w:ascii="宋体" w:hAnsi="宋体"/>
          <w:color w:val="auto"/>
          <w:szCs w:val="21"/>
          <w:highlight w:val="none"/>
        </w:rPr>
        <w:t>¥</w:t>
      </w:r>
      <w:r>
        <w:rPr>
          <w:rFonts w:hint="eastAsia" w:ascii="宋体" w:hAnsi="宋体"/>
          <w:color w:val="auto"/>
          <w:szCs w:val="21"/>
          <w:highlight w:val="none"/>
        </w:rPr>
        <w:t>367400.00）。</w:t>
      </w:r>
    </w:p>
    <w:p w14:paraId="136757F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（4）最高限价（如有）：/。</w:t>
      </w:r>
    </w:p>
    <w:p w14:paraId="7EA67A84">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合同履约期限：</w:t>
      </w:r>
      <w:r>
        <w:rPr>
          <w:rFonts w:hint="eastAsia" w:ascii="宋体" w:hAnsi="宋体"/>
          <w:color w:val="auto"/>
          <w:szCs w:val="21"/>
          <w:highlight w:val="none"/>
        </w:rPr>
        <w:t>自签订合同之日起</w:t>
      </w:r>
      <w:r>
        <w:rPr>
          <w:rFonts w:hint="eastAsia" w:ascii="宋体" w:hAnsi="宋体"/>
          <w:color w:val="auto"/>
          <w:szCs w:val="21"/>
          <w:highlight w:val="none"/>
          <w:u w:val="single"/>
        </w:rPr>
        <w:t>90</w:t>
      </w:r>
      <w:r>
        <w:rPr>
          <w:rFonts w:hint="eastAsia" w:ascii="宋体" w:hAnsi="宋体"/>
          <w:color w:val="auto"/>
          <w:szCs w:val="21"/>
          <w:highlight w:val="none"/>
        </w:rPr>
        <w:t>个日历日内到货并全部安装调试合格完毕。</w:t>
      </w:r>
    </w:p>
    <w:p w14:paraId="53B7075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（6）本分标不接受联合体参与谈判。</w:t>
      </w:r>
    </w:p>
    <w:p w14:paraId="2FA1C2AA">
      <w:pPr>
        <w:spacing w:line="36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分标2</w:t>
      </w:r>
    </w:p>
    <w:p w14:paraId="6BB5CBB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标项名称：站网设备</w:t>
      </w:r>
    </w:p>
    <w:p w14:paraId="38555B7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数量：1批</w:t>
      </w:r>
    </w:p>
    <w:p w14:paraId="3DA397D0">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w:t>
      </w:r>
    </w:p>
    <w:p w14:paraId="4803D264">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（1）标的的名称、数量：走航式 ADCP1 套、水平ADCP1 套、视频测流系统 1 套、电波流速仪1台。</w:t>
      </w:r>
    </w:p>
    <w:p w14:paraId="55AB1946">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（2）简要技术需求或服务要求：按国家有关产品“三包”规定执行“三包”，具体详见采购需求。</w:t>
      </w:r>
    </w:p>
    <w:p w14:paraId="1FF56F3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（3）预算金额：人民币柒拾肆万元整（¥740000.00）。</w:t>
      </w:r>
    </w:p>
    <w:p w14:paraId="25B77FB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（4）最高限价（如有）：/。</w:t>
      </w:r>
    </w:p>
    <w:p w14:paraId="0BAAA1CA">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（5）合同履约期限：自签订合同之日起</w:t>
      </w:r>
      <w:r>
        <w:rPr>
          <w:rFonts w:hint="eastAsia" w:ascii="宋体" w:hAnsi="宋体"/>
          <w:color w:val="auto"/>
          <w:szCs w:val="21"/>
          <w:highlight w:val="none"/>
          <w:u w:val="single"/>
        </w:rPr>
        <w:t>90</w:t>
      </w:r>
      <w:r>
        <w:rPr>
          <w:rFonts w:hint="eastAsia" w:ascii="宋体" w:hAnsi="宋体"/>
          <w:color w:val="auto"/>
          <w:szCs w:val="21"/>
          <w:highlight w:val="none"/>
        </w:rPr>
        <w:t>个日历日内到货并全部安装调试合格完毕。</w:t>
      </w:r>
    </w:p>
    <w:p w14:paraId="2C0D78D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（6）本分标不接受联合体参与谈判。</w:t>
      </w:r>
    </w:p>
    <w:p w14:paraId="1BE2456C">
      <w:pPr>
        <w:spacing w:line="36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分标3</w:t>
      </w:r>
    </w:p>
    <w:p w14:paraId="528E0E3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标项名称：缆道设备</w:t>
      </w:r>
    </w:p>
    <w:p w14:paraId="2EC4F10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数量：1套</w:t>
      </w:r>
    </w:p>
    <w:p w14:paraId="545EB211">
      <w:pPr>
        <w:wordWrap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w:t>
      </w:r>
    </w:p>
    <w:p w14:paraId="4FE215EF">
      <w:pPr>
        <w:wordWrap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（1）标的的名称、数量：水文缆道测控台1套、手持应急控制盒1个、设备总电源箱</w:t>
      </w:r>
      <w:r>
        <w:rPr>
          <w:rFonts w:hint="eastAsia" w:ascii="宋体" w:hAnsi="宋体"/>
          <w:color w:val="auto"/>
          <w:szCs w:val="21"/>
          <w:highlight w:val="none"/>
        </w:rPr>
        <w:tab/>
      </w:r>
      <w:r>
        <w:rPr>
          <w:rFonts w:hint="eastAsia" w:ascii="宋体" w:hAnsi="宋体"/>
          <w:color w:val="auto"/>
          <w:szCs w:val="21"/>
          <w:highlight w:val="none"/>
        </w:rPr>
        <w:t>1套、设备安装附件1项、信号地线布设1</w:t>
      </w:r>
      <w:r>
        <w:rPr>
          <w:rFonts w:hint="eastAsia" w:ascii="宋体" w:hAnsi="宋体"/>
          <w:color w:val="auto"/>
          <w:szCs w:val="21"/>
          <w:highlight w:val="none"/>
        </w:rPr>
        <w:tab/>
      </w:r>
      <w:r>
        <w:rPr>
          <w:rFonts w:hint="eastAsia" w:ascii="宋体" w:hAnsi="宋体"/>
          <w:color w:val="auto"/>
          <w:szCs w:val="21"/>
          <w:highlight w:val="none"/>
        </w:rPr>
        <w:t>项、不锈钢仪器操作台1张、网络监控系统1</w:t>
      </w:r>
      <w:r>
        <w:rPr>
          <w:rFonts w:hint="eastAsia" w:ascii="宋体" w:hAnsi="宋体"/>
          <w:color w:val="auto"/>
          <w:szCs w:val="21"/>
          <w:highlight w:val="none"/>
        </w:rPr>
        <w:tab/>
      </w:r>
      <w:r>
        <w:rPr>
          <w:rFonts w:hint="eastAsia" w:ascii="宋体" w:hAnsi="宋体"/>
          <w:color w:val="auto"/>
          <w:szCs w:val="21"/>
          <w:highlight w:val="none"/>
        </w:rPr>
        <w:t>套、异地组网1套、中心站控制系统1套、限位装置1套。</w:t>
      </w:r>
    </w:p>
    <w:p w14:paraId="2F7050E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（2）简要技术需求或服务要求：按国家有关产品“三包”规定执行“三包”，具体详见采购需求。</w:t>
      </w:r>
    </w:p>
    <w:p w14:paraId="02DCC16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（3）预算金额：人民币壹拾贰万元整（¥120000.00）。</w:t>
      </w:r>
    </w:p>
    <w:p w14:paraId="69F36BB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（4）最高限价（如有）：/。</w:t>
      </w:r>
    </w:p>
    <w:p w14:paraId="3A77741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（5）合同履约期限：自签订合同之日起60个日历日内到货并全部安装调试合格完毕。</w:t>
      </w:r>
    </w:p>
    <w:p w14:paraId="13AE755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（6）本分标不接受联合体参与谈判。</w:t>
      </w:r>
    </w:p>
    <w:p w14:paraId="26D79D23">
      <w:pPr>
        <w:spacing w:line="360" w:lineRule="exact"/>
        <w:ind w:firstLine="360" w:firstLineChars="150"/>
        <w:rPr>
          <w:rFonts w:ascii="黑体" w:hAnsi="黑体" w:eastAsia="黑体"/>
          <w:color w:val="auto"/>
          <w:sz w:val="24"/>
          <w:highlight w:val="none"/>
        </w:rPr>
      </w:pPr>
      <w:r>
        <w:rPr>
          <w:rFonts w:hint="eastAsia" w:ascii="黑体" w:hAnsi="黑体" w:eastAsia="黑体"/>
          <w:color w:val="auto"/>
          <w:sz w:val="24"/>
          <w:highlight w:val="none"/>
        </w:rPr>
        <w:t>二、供应商的资格条件：</w:t>
      </w:r>
      <w:bookmarkEnd w:id="9"/>
      <w:bookmarkEnd w:id="10"/>
      <w:bookmarkEnd w:id="11"/>
      <w:bookmarkEnd w:id="12"/>
      <w:bookmarkEnd w:id="13"/>
      <w:bookmarkEnd w:id="14"/>
    </w:p>
    <w:p w14:paraId="38B41318">
      <w:pPr>
        <w:spacing w:line="360" w:lineRule="exact"/>
        <w:ind w:firstLine="420" w:firstLineChars="200"/>
        <w:rPr>
          <w:rFonts w:ascii="宋体" w:hAnsi="宋体"/>
          <w:color w:val="auto"/>
          <w:szCs w:val="21"/>
          <w:highlight w:val="none"/>
        </w:rPr>
      </w:pPr>
      <w:bookmarkStart w:id="15" w:name="_Toc28359014"/>
      <w:bookmarkStart w:id="16" w:name="_Toc28359091"/>
      <w:r>
        <w:rPr>
          <w:rFonts w:ascii="宋体" w:hAnsi="宋体"/>
          <w:color w:val="auto"/>
          <w:szCs w:val="21"/>
          <w:highlight w:val="none"/>
        </w:rPr>
        <w:t>1.</w:t>
      </w:r>
      <w:r>
        <w:rPr>
          <w:rFonts w:hint="eastAsia" w:ascii="宋体" w:hAnsi="宋体"/>
          <w:color w:val="auto"/>
          <w:szCs w:val="21"/>
          <w:highlight w:val="none"/>
        </w:rPr>
        <w:t>满足《中华人民共和国政府采购法》第二十二条规定；</w:t>
      </w:r>
    </w:p>
    <w:p w14:paraId="6F4D4F37">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14:paraId="03E4E679">
      <w:pPr>
        <w:spacing w:line="36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本项目的特定资格要求：无。</w:t>
      </w:r>
    </w:p>
    <w:p w14:paraId="7F6A5C3C">
      <w:pPr>
        <w:spacing w:line="360" w:lineRule="exact"/>
        <w:ind w:firstLine="480" w:firstLineChars="200"/>
        <w:rPr>
          <w:rFonts w:ascii="黑体" w:hAnsi="黑体" w:eastAsia="黑体"/>
          <w:color w:val="auto"/>
          <w:sz w:val="24"/>
          <w:highlight w:val="none"/>
        </w:rPr>
      </w:pPr>
      <w:bookmarkStart w:id="17" w:name="_Toc35393800"/>
      <w:bookmarkStart w:id="18" w:name="_Toc35393631"/>
      <w:bookmarkStart w:id="19" w:name="_Toc71365364"/>
      <w:bookmarkStart w:id="20" w:name="_Toc71366042"/>
      <w:r>
        <w:rPr>
          <w:rFonts w:hint="eastAsia" w:ascii="黑体" w:hAnsi="黑体" w:eastAsia="黑体"/>
          <w:color w:val="auto"/>
          <w:sz w:val="24"/>
          <w:highlight w:val="none"/>
        </w:rPr>
        <w:t>三、获取竞争性谈判文件</w:t>
      </w:r>
      <w:bookmarkEnd w:id="15"/>
      <w:bookmarkEnd w:id="16"/>
      <w:bookmarkEnd w:id="17"/>
      <w:bookmarkEnd w:id="18"/>
      <w:bookmarkEnd w:id="19"/>
      <w:bookmarkEnd w:id="20"/>
    </w:p>
    <w:p w14:paraId="2E61776A">
      <w:pPr>
        <w:spacing w:line="360" w:lineRule="exact"/>
        <w:ind w:firstLine="424" w:firstLineChars="202"/>
        <w:rPr>
          <w:rFonts w:ascii="宋体" w:cs="宋体"/>
          <w:bCs/>
          <w:color w:val="auto"/>
          <w:kern w:val="0"/>
          <w:szCs w:val="21"/>
          <w:highlight w:val="none"/>
        </w:rPr>
      </w:pPr>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15</w:t>
      </w:r>
      <w:r>
        <w:rPr>
          <w:rFonts w:hint="eastAsia" w:ascii="宋体" w:hAnsi="宋体" w:cs="宋体"/>
          <w:bCs/>
          <w:color w:val="auto"/>
          <w:kern w:val="0"/>
          <w:szCs w:val="21"/>
          <w:highlight w:val="none"/>
        </w:rPr>
        <w:t>日至2025年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18</w:t>
      </w:r>
      <w:r>
        <w:rPr>
          <w:rFonts w:hint="eastAsia" w:ascii="宋体" w:hAnsi="宋体" w:cs="宋体"/>
          <w:bCs/>
          <w:color w:val="auto"/>
          <w:kern w:val="0"/>
          <w:szCs w:val="21"/>
          <w:highlight w:val="none"/>
        </w:rPr>
        <w:t>日，每天上午00</w:t>
      </w:r>
      <w:r>
        <w:rPr>
          <w:rFonts w:ascii="宋体" w:hAnsi="宋体" w:cs="宋体"/>
          <w:bCs/>
          <w:color w:val="auto"/>
          <w:kern w:val="0"/>
          <w:szCs w:val="21"/>
          <w:highlight w:val="none"/>
        </w:rPr>
        <w:t>：00</w:t>
      </w:r>
      <w:r>
        <w:rPr>
          <w:rFonts w:hint="eastAsia" w:ascii="宋体" w:hAnsi="宋体" w:cs="宋体"/>
          <w:bCs/>
          <w:color w:val="auto"/>
          <w:kern w:val="0"/>
          <w:szCs w:val="21"/>
          <w:highlight w:val="none"/>
        </w:rPr>
        <w:t>至</w:t>
      </w:r>
      <w:r>
        <w:rPr>
          <w:rFonts w:ascii="宋体" w:hAnsi="宋体" w:cs="宋体"/>
          <w:bCs/>
          <w:color w:val="auto"/>
          <w:kern w:val="0"/>
          <w:szCs w:val="21"/>
          <w:highlight w:val="none"/>
        </w:rPr>
        <w:t>11</w:t>
      </w:r>
      <w:r>
        <w:rPr>
          <w:rFonts w:hint="eastAsia" w:ascii="宋体" w:hAnsi="宋体" w:cs="宋体"/>
          <w:bCs/>
          <w:color w:val="auto"/>
          <w:kern w:val="0"/>
          <w:szCs w:val="21"/>
          <w:highlight w:val="none"/>
        </w:rPr>
        <w:t>:</w:t>
      </w:r>
      <w:r>
        <w:rPr>
          <w:rFonts w:ascii="宋体" w:hAnsi="宋体" w:cs="宋体"/>
          <w:bCs/>
          <w:color w:val="auto"/>
          <w:kern w:val="0"/>
          <w:szCs w:val="21"/>
          <w:highlight w:val="none"/>
        </w:rPr>
        <w:t>59</w:t>
      </w:r>
      <w:r>
        <w:rPr>
          <w:rFonts w:hint="eastAsia" w:ascii="宋体" w:hAnsi="宋体" w:cs="宋体"/>
          <w:bCs/>
          <w:color w:val="auto"/>
          <w:kern w:val="0"/>
          <w:szCs w:val="21"/>
          <w:highlight w:val="none"/>
        </w:rPr>
        <w:t>，下午</w:t>
      </w:r>
      <w:r>
        <w:rPr>
          <w:rFonts w:ascii="宋体" w:hAnsi="宋体" w:cs="宋体"/>
          <w:bCs/>
          <w:color w:val="auto"/>
          <w:kern w:val="0"/>
          <w:szCs w:val="21"/>
          <w:highlight w:val="none"/>
        </w:rPr>
        <w:t>12</w:t>
      </w:r>
      <w:r>
        <w:rPr>
          <w:rFonts w:hint="eastAsia" w:ascii="宋体" w:hAnsi="宋体" w:cs="宋体"/>
          <w:bCs/>
          <w:color w:val="auto"/>
          <w:kern w:val="0"/>
          <w:szCs w:val="21"/>
          <w:highlight w:val="none"/>
        </w:rPr>
        <w:t>:</w:t>
      </w:r>
      <w:r>
        <w:rPr>
          <w:rFonts w:ascii="宋体" w:hAnsi="宋体" w:cs="宋体"/>
          <w:bCs/>
          <w:color w:val="auto"/>
          <w:kern w:val="0"/>
          <w:szCs w:val="21"/>
          <w:highlight w:val="none"/>
        </w:rPr>
        <w:t>00</w:t>
      </w:r>
      <w:r>
        <w:rPr>
          <w:rFonts w:hint="eastAsia" w:ascii="宋体" w:hAnsi="宋体" w:cs="宋体"/>
          <w:bCs/>
          <w:color w:val="auto"/>
          <w:kern w:val="0"/>
          <w:szCs w:val="21"/>
          <w:highlight w:val="none"/>
        </w:rPr>
        <w:t>至23:59（北京时间，法定节假日除外）</w:t>
      </w:r>
    </w:p>
    <w:p w14:paraId="6C2EDCAC">
      <w:pPr>
        <w:spacing w:line="360" w:lineRule="exact"/>
        <w:ind w:firstLine="424" w:firstLineChars="202"/>
        <w:rPr>
          <w:rFonts w:ascii="宋体" w:cs="宋体"/>
          <w:bCs/>
          <w:color w:val="auto"/>
          <w:kern w:val="0"/>
          <w:szCs w:val="21"/>
          <w:highlight w:val="none"/>
        </w:rPr>
      </w:pPr>
      <w:r>
        <w:rPr>
          <w:rFonts w:hint="eastAsia" w:ascii="宋体" w:hAnsi="宋体" w:cs="宋体"/>
          <w:bCs/>
          <w:color w:val="auto"/>
          <w:kern w:val="0"/>
          <w:szCs w:val="21"/>
          <w:highlight w:val="none"/>
        </w:rPr>
        <w:t>地点：广西政府采购云平台（www.gcy.zfcg.gxzf.gov.cn）。</w:t>
      </w:r>
    </w:p>
    <w:p w14:paraId="5CD4910B">
      <w:pPr>
        <w:spacing w:line="360" w:lineRule="exact"/>
        <w:ind w:firstLine="424" w:firstLineChars="202"/>
        <w:rPr>
          <w:rFonts w:asci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w:t>
      </w:r>
      <w:r>
        <w:rPr>
          <w:rFonts w:ascii="宋体" w:hAnsi="宋体" w:cs="宋体"/>
          <w:bCs/>
          <w:color w:val="auto"/>
          <w:kern w:val="0"/>
          <w:szCs w:val="21"/>
          <w:highlight w:val="none"/>
        </w:rPr>
        <w:t>CA</w:t>
      </w:r>
      <w:r>
        <w:rPr>
          <w:rFonts w:hint="eastAsia" w:ascii="宋体" w:hAnsi="宋体" w:cs="宋体"/>
          <w:bCs/>
          <w:color w:val="auto"/>
          <w:kern w:val="0"/>
          <w:szCs w:val="21"/>
          <w:highlight w:val="none"/>
        </w:rPr>
        <w:t>登录广西政府采购云平台（www.gcy.zfcg.gxzf.gov.cn）</w:t>
      </w:r>
      <w:r>
        <w:rPr>
          <w:rFonts w:ascii="宋体" w:cs="宋体"/>
          <w:bCs/>
          <w:color w:val="auto"/>
          <w:kern w:val="0"/>
          <w:szCs w:val="21"/>
          <w:highlight w:val="none"/>
        </w:rPr>
        <w:t>-</w:t>
      </w:r>
      <w:r>
        <w:rPr>
          <w:rFonts w:hint="eastAsia" w:ascii="宋体" w:hAnsi="宋体" w:cs="宋体"/>
          <w:bCs/>
          <w:color w:val="auto"/>
          <w:kern w:val="0"/>
          <w:szCs w:val="21"/>
          <w:highlight w:val="none"/>
        </w:rPr>
        <w:t>进入“项目采购”应用，在获取采购文件菜单中选择项目，获取竞争性谈判文件。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制作需要基于广西政府采购云平台获取的谈判文件编制，</w:t>
      </w:r>
      <w:r>
        <w:rPr>
          <w:rFonts w:hint="eastAsia" w:ascii="宋体" w:hAnsi="宋体" w:cs="宋体"/>
          <w:bCs/>
          <w:color w:val="auto"/>
          <w:kern w:val="0"/>
          <w:szCs w:val="21"/>
          <w:highlight w:val="none"/>
        </w:rPr>
        <w:t>通过其他方式获取谈判文件的，将有可能导致供应商无法在</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编制及上传响应文件。</w:t>
      </w:r>
    </w:p>
    <w:p w14:paraId="61CD35D3">
      <w:pPr>
        <w:spacing w:line="360" w:lineRule="exact"/>
        <w:ind w:firstLine="424" w:firstLineChars="202"/>
        <w:rPr>
          <w:rFonts w:ascii="宋体" w:cs="宋体"/>
          <w:bCs/>
          <w:color w:val="auto"/>
          <w:kern w:val="0"/>
          <w:szCs w:val="21"/>
          <w:highlight w:val="none"/>
        </w:rPr>
      </w:pPr>
      <w:r>
        <w:rPr>
          <w:rFonts w:hint="eastAsia" w:ascii="宋体" w:hAnsi="宋体" w:cs="宋体"/>
          <w:bCs/>
          <w:color w:val="auto"/>
          <w:kern w:val="0"/>
          <w:szCs w:val="21"/>
          <w:highlight w:val="none"/>
        </w:rPr>
        <w:t>售价：</w:t>
      </w:r>
      <w:r>
        <w:rPr>
          <w:rFonts w:ascii="宋体" w:cs="宋体"/>
          <w:bCs/>
          <w:color w:val="auto"/>
          <w:kern w:val="0"/>
          <w:szCs w:val="21"/>
          <w:highlight w:val="none"/>
        </w:rPr>
        <w:t>0</w:t>
      </w:r>
      <w:r>
        <w:rPr>
          <w:rFonts w:hint="eastAsia" w:ascii="宋体" w:hAnsi="宋体" w:cs="宋体"/>
          <w:bCs/>
          <w:color w:val="auto"/>
          <w:kern w:val="0"/>
          <w:szCs w:val="21"/>
          <w:highlight w:val="none"/>
        </w:rPr>
        <w:t>元</w:t>
      </w:r>
    </w:p>
    <w:p w14:paraId="1896CFE6">
      <w:pPr>
        <w:spacing w:line="360" w:lineRule="exact"/>
        <w:ind w:firstLine="360" w:firstLineChars="150"/>
        <w:rPr>
          <w:rFonts w:ascii="黑体" w:hAnsi="黑体" w:eastAsia="黑体"/>
          <w:color w:val="auto"/>
          <w:sz w:val="24"/>
          <w:highlight w:val="none"/>
        </w:rPr>
      </w:pPr>
      <w:bookmarkStart w:id="21" w:name="_Toc71365365"/>
      <w:bookmarkStart w:id="22" w:name="_Toc28359015"/>
      <w:bookmarkStart w:id="23" w:name="_Toc35393632"/>
      <w:bookmarkStart w:id="24" w:name="_Toc71366043"/>
      <w:bookmarkStart w:id="25" w:name="_Toc28359092"/>
      <w:bookmarkStart w:id="26" w:name="_Toc35393801"/>
      <w:r>
        <w:rPr>
          <w:rFonts w:hint="eastAsia" w:ascii="黑体" w:hAnsi="黑体" w:eastAsia="黑体"/>
          <w:color w:val="auto"/>
          <w:sz w:val="24"/>
          <w:highlight w:val="none"/>
        </w:rPr>
        <w:t>四、响应文件提交</w:t>
      </w:r>
      <w:bookmarkEnd w:id="21"/>
      <w:bookmarkEnd w:id="22"/>
      <w:bookmarkEnd w:id="23"/>
      <w:bookmarkEnd w:id="24"/>
      <w:bookmarkEnd w:id="25"/>
      <w:bookmarkEnd w:id="26"/>
    </w:p>
    <w:p w14:paraId="6CB261C6">
      <w:pPr>
        <w:spacing w:line="360" w:lineRule="exact"/>
        <w:ind w:firstLine="420" w:firstLineChars="200"/>
        <w:rPr>
          <w:rFonts w:ascii="宋体"/>
          <w:bCs/>
          <w:color w:val="auto"/>
          <w:szCs w:val="21"/>
          <w:highlight w:val="none"/>
          <w:u w:val="single"/>
        </w:rPr>
      </w:pPr>
      <w:r>
        <w:rPr>
          <w:rFonts w:hint="eastAsia" w:ascii="宋体" w:hAnsi="宋体"/>
          <w:color w:val="auto"/>
          <w:szCs w:val="21"/>
          <w:highlight w:val="none"/>
        </w:rPr>
        <w:t>截止时间：2025年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19</w:t>
      </w:r>
      <w:r>
        <w:rPr>
          <w:rFonts w:hint="eastAsia" w:ascii="宋体" w:hAnsi="宋体"/>
          <w:color w:val="auto"/>
          <w:szCs w:val="21"/>
          <w:highlight w:val="none"/>
        </w:rPr>
        <w:t>日上午9点</w:t>
      </w:r>
      <w:r>
        <w:rPr>
          <w:rFonts w:hint="eastAsia" w:ascii="宋体"/>
          <w:color w:val="auto"/>
          <w:szCs w:val="21"/>
          <w:highlight w:val="none"/>
        </w:rPr>
        <w:t>30</w:t>
      </w:r>
      <w:r>
        <w:rPr>
          <w:rFonts w:hint="eastAsia" w:ascii="宋体" w:hAnsi="宋体"/>
          <w:color w:val="auto"/>
          <w:szCs w:val="21"/>
          <w:highlight w:val="none"/>
        </w:rPr>
        <w:t>分（北京时间</w:t>
      </w:r>
      <w:r>
        <w:rPr>
          <w:rFonts w:hint="eastAsia" w:ascii="宋体" w:hAnsi="宋体"/>
          <w:bCs/>
          <w:color w:val="auto"/>
          <w:szCs w:val="21"/>
          <w:highlight w:val="none"/>
        </w:rPr>
        <w:t>）</w:t>
      </w:r>
    </w:p>
    <w:p w14:paraId="125DE41D">
      <w:pPr>
        <w:spacing w:line="360" w:lineRule="exact"/>
        <w:ind w:left="422"/>
        <w:rPr>
          <w:rFonts w:ascii="宋体"/>
          <w:bCs/>
          <w:color w:val="auto"/>
          <w:szCs w:val="21"/>
          <w:highlight w:val="none"/>
          <w:u w:val="single"/>
        </w:rPr>
      </w:pPr>
      <w:r>
        <w:rPr>
          <w:rFonts w:hint="eastAsia" w:ascii="宋体" w:hAnsi="宋体"/>
          <w:color w:val="auto"/>
          <w:szCs w:val="21"/>
          <w:highlight w:val="none"/>
        </w:rPr>
        <w:t>地点：</w:t>
      </w:r>
      <w:r>
        <w:rPr>
          <w:rFonts w:hint="eastAsia" w:ascii="宋体" w:hAnsi="宋体" w:cs="宋体"/>
          <w:bCs/>
          <w:color w:val="auto"/>
          <w:kern w:val="0"/>
          <w:szCs w:val="21"/>
          <w:highlight w:val="none"/>
        </w:rPr>
        <w:t>广西政府采购云平台（www.gcy.zfcg.gxzf.gov.cn）</w:t>
      </w:r>
    </w:p>
    <w:p w14:paraId="3704F7B0">
      <w:pPr>
        <w:spacing w:line="360" w:lineRule="exact"/>
        <w:ind w:firstLine="360" w:firstLineChars="150"/>
        <w:rPr>
          <w:rFonts w:ascii="黑体" w:hAnsi="黑体" w:eastAsia="黑体"/>
          <w:color w:val="auto"/>
          <w:sz w:val="24"/>
          <w:highlight w:val="none"/>
        </w:rPr>
      </w:pPr>
      <w:bookmarkStart w:id="27" w:name="_Toc28359016"/>
      <w:bookmarkStart w:id="28" w:name="_Toc71366044"/>
      <w:bookmarkStart w:id="29" w:name="_Toc35393802"/>
      <w:bookmarkStart w:id="30" w:name="_Toc28359093"/>
      <w:bookmarkStart w:id="31" w:name="_Toc35393633"/>
      <w:bookmarkStart w:id="32" w:name="_Toc71365366"/>
      <w:r>
        <w:rPr>
          <w:rFonts w:hint="eastAsia" w:ascii="黑体" w:hAnsi="黑体" w:eastAsia="黑体"/>
          <w:color w:val="auto"/>
          <w:sz w:val="24"/>
          <w:highlight w:val="none"/>
        </w:rPr>
        <w:t>五、开启</w:t>
      </w:r>
      <w:bookmarkEnd w:id="27"/>
      <w:bookmarkEnd w:id="28"/>
      <w:bookmarkEnd w:id="29"/>
      <w:bookmarkEnd w:id="30"/>
      <w:bookmarkEnd w:id="31"/>
      <w:bookmarkEnd w:id="32"/>
    </w:p>
    <w:p w14:paraId="549EFBE5">
      <w:pPr>
        <w:spacing w:line="360" w:lineRule="exact"/>
        <w:ind w:firstLine="420" w:firstLineChars="200"/>
        <w:rPr>
          <w:rFonts w:ascii="宋体"/>
          <w:bCs/>
          <w:color w:val="auto"/>
          <w:szCs w:val="21"/>
          <w:highlight w:val="none"/>
          <w:u w:val="single"/>
        </w:rPr>
      </w:pPr>
      <w:r>
        <w:rPr>
          <w:rFonts w:hint="eastAsia" w:ascii="宋体" w:hAnsi="宋体"/>
          <w:color w:val="auto"/>
          <w:szCs w:val="21"/>
          <w:highlight w:val="none"/>
        </w:rPr>
        <w:t>时间：2025年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19</w:t>
      </w:r>
      <w:r>
        <w:rPr>
          <w:rFonts w:hint="eastAsia" w:ascii="宋体" w:hAnsi="宋体"/>
          <w:color w:val="auto"/>
          <w:szCs w:val="21"/>
          <w:highlight w:val="none"/>
        </w:rPr>
        <w:t>日上午9点</w:t>
      </w:r>
      <w:r>
        <w:rPr>
          <w:rFonts w:hint="eastAsia" w:ascii="宋体"/>
          <w:color w:val="auto"/>
          <w:szCs w:val="21"/>
          <w:highlight w:val="none"/>
        </w:rPr>
        <w:t>30</w:t>
      </w:r>
      <w:r>
        <w:rPr>
          <w:rFonts w:hint="eastAsia" w:ascii="宋体" w:hAnsi="宋体"/>
          <w:color w:val="auto"/>
          <w:szCs w:val="21"/>
          <w:highlight w:val="none"/>
        </w:rPr>
        <w:t>分（北京时间）</w:t>
      </w:r>
    </w:p>
    <w:p w14:paraId="72325BAD">
      <w:pPr>
        <w:spacing w:line="360" w:lineRule="exact"/>
        <w:ind w:firstLine="420" w:firstLineChars="200"/>
        <w:rPr>
          <w:rFonts w:ascii="宋体"/>
          <w:bCs/>
          <w:color w:val="auto"/>
          <w:szCs w:val="21"/>
          <w:highlight w:val="none"/>
          <w:u w:val="single"/>
        </w:rPr>
      </w:pPr>
      <w:r>
        <w:rPr>
          <w:rFonts w:hint="eastAsia" w:ascii="宋体" w:hAnsi="宋体"/>
          <w:color w:val="auto"/>
          <w:szCs w:val="21"/>
          <w:highlight w:val="none"/>
        </w:rPr>
        <w:t>地点：</w:t>
      </w:r>
      <w:r>
        <w:rPr>
          <w:rFonts w:hint="eastAsia" w:ascii="宋体" w:hAnsi="宋体" w:cs="宋体"/>
          <w:bCs/>
          <w:color w:val="auto"/>
          <w:kern w:val="0"/>
          <w:szCs w:val="21"/>
          <w:highlight w:val="none"/>
        </w:rPr>
        <w:t>广西政府采购云平台（www.gcy.zfcg.gxzf.gov.cn）</w:t>
      </w:r>
    </w:p>
    <w:p w14:paraId="10F3F3BC">
      <w:pPr>
        <w:spacing w:line="360" w:lineRule="exact"/>
        <w:ind w:firstLine="360" w:firstLineChars="150"/>
        <w:rPr>
          <w:rFonts w:ascii="黑体" w:hAnsi="黑体" w:eastAsia="黑体"/>
          <w:color w:val="auto"/>
          <w:sz w:val="24"/>
          <w:highlight w:val="none"/>
        </w:rPr>
      </w:pPr>
      <w:bookmarkStart w:id="33" w:name="_Toc71365367"/>
      <w:bookmarkStart w:id="34" w:name="_Toc28359017"/>
      <w:bookmarkStart w:id="35" w:name="_Toc35393634"/>
      <w:bookmarkStart w:id="36" w:name="_Toc28359094"/>
      <w:bookmarkStart w:id="37" w:name="_Toc35393803"/>
      <w:bookmarkStart w:id="38" w:name="_Toc71366045"/>
      <w:r>
        <w:rPr>
          <w:rFonts w:hint="eastAsia" w:ascii="黑体" w:hAnsi="黑体" w:eastAsia="黑体"/>
          <w:color w:val="auto"/>
          <w:sz w:val="24"/>
          <w:highlight w:val="none"/>
        </w:rPr>
        <w:t>六、公告期限</w:t>
      </w:r>
      <w:bookmarkEnd w:id="33"/>
      <w:bookmarkEnd w:id="34"/>
      <w:bookmarkEnd w:id="35"/>
      <w:bookmarkEnd w:id="36"/>
      <w:bookmarkEnd w:id="37"/>
      <w:bookmarkEnd w:id="38"/>
    </w:p>
    <w:p w14:paraId="79DA3EBF">
      <w:pPr>
        <w:spacing w:line="36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3</w:t>
      </w:r>
      <w:r>
        <w:rPr>
          <w:rFonts w:hint="eastAsia" w:ascii="宋体" w:hAnsi="宋体" w:cs="宋体"/>
          <w:color w:val="auto"/>
          <w:kern w:val="0"/>
          <w:szCs w:val="21"/>
          <w:highlight w:val="none"/>
        </w:rPr>
        <w:t>个工作日。</w:t>
      </w:r>
    </w:p>
    <w:p w14:paraId="44A62238">
      <w:pPr>
        <w:spacing w:line="360" w:lineRule="exact"/>
        <w:ind w:firstLine="360" w:firstLineChars="150"/>
        <w:rPr>
          <w:rFonts w:ascii="黑体" w:hAnsi="黑体" w:eastAsia="黑体"/>
          <w:color w:val="auto"/>
          <w:sz w:val="24"/>
          <w:highlight w:val="none"/>
        </w:rPr>
      </w:pPr>
      <w:bookmarkStart w:id="39" w:name="_Toc35393804"/>
      <w:bookmarkStart w:id="40" w:name="_Toc71366046"/>
      <w:bookmarkStart w:id="41" w:name="_Toc71365368"/>
      <w:bookmarkStart w:id="42" w:name="_Toc35393635"/>
      <w:r>
        <w:rPr>
          <w:rFonts w:hint="eastAsia" w:ascii="黑体" w:hAnsi="黑体" w:eastAsia="黑体"/>
          <w:color w:val="auto"/>
          <w:sz w:val="24"/>
          <w:highlight w:val="none"/>
        </w:rPr>
        <w:t>七、其他补充事宜</w:t>
      </w:r>
      <w:bookmarkEnd w:id="39"/>
      <w:bookmarkEnd w:id="40"/>
      <w:bookmarkEnd w:id="41"/>
      <w:bookmarkEnd w:id="42"/>
    </w:p>
    <w:p w14:paraId="347B897F">
      <w:pPr>
        <w:spacing w:line="360" w:lineRule="exact"/>
        <w:ind w:firstLine="420" w:firstLineChars="200"/>
        <w:rPr>
          <w:rFonts w:ascii="宋体" w:cs="宋体"/>
          <w:color w:val="auto"/>
          <w:kern w:val="0"/>
          <w:szCs w:val="21"/>
          <w:highlight w:val="none"/>
        </w:rPr>
      </w:pPr>
      <w:r>
        <w:rPr>
          <w:rFonts w:ascii="宋体" w:hAnsi="宋体" w:cs="宋体"/>
          <w:color w:val="auto"/>
          <w:kern w:val="0"/>
          <w:szCs w:val="21"/>
          <w:highlight w:val="none"/>
        </w:rPr>
        <w:t>1</w:t>
      </w:r>
      <w:r>
        <w:rPr>
          <w:rFonts w:ascii="宋体" w:cs="宋体"/>
          <w:color w:val="auto"/>
          <w:kern w:val="0"/>
          <w:szCs w:val="21"/>
          <w:highlight w:val="none"/>
        </w:rPr>
        <w:t>.</w:t>
      </w:r>
      <w:r>
        <w:rPr>
          <w:rFonts w:hint="eastAsia" w:ascii="宋体" w:hAnsi="宋体" w:cs="宋体"/>
          <w:color w:val="auto"/>
          <w:kern w:val="0"/>
          <w:szCs w:val="21"/>
          <w:highlight w:val="none"/>
        </w:rPr>
        <w:t>网上查询地址</w:t>
      </w:r>
    </w:p>
    <w:p w14:paraId="0256AE19">
      <w:pPr>
        <w:spacing w:line="36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中国政府采购网（</w:t>
      </w:r>
      <w:r>
        <w:rPr>
          <w:rFonts w:ascii="宋体" w:hAnsi="宋体" w:cs="宋体"/>
          <w:color w:val="auto"/>
          <w:kern w:val="0"/>
          <w:szCs w:val="21"/>
          <w:highlight w:val="none"/>
        </w:rPr>
        <w:t>www.ccgp.gov.cn</w:t>
      </w:r>
      <w:r>
        <w:rPr>
          <w:rFonts w:hint="eastAsia" w:ascii="宋体" w:hAnsi="宋体" w:cs="宋体"/>
          <w:color w:val="auto"/>
          <w:kern w:val="0"/>
          <w:szCs w:val="21"/>
          <w:highlight w:val="none"/>
        </w:rPr>
        <w:t>）、广西壮族自治区政府采购网（</w:t>
      </w:r>
      <w:r>
        <w:rPr>
          <w:rFonts w:ascii="宋体" w:hAnsi="宋体" w:cs="宋体"/>
          <w:color w:val="auto"/>
          <w:kern w:val="0"/>
          <w:szCs w:val="21"/>
          <w:highlight w:val="none"/>
        </w:rPr>
        <w:t>zfcg.gxzf.gov.cn</w:t>
      </w:r>
      <w:r>
        <w:rPr>
          <w:rFonts w:hint="eastAsia" w:ascii="宋体" w:hAnsi="宋体" w:cs="宋体"/>
          <w:color w:val="auto"/>
          <w:kern w:val="0"/>
          <w:szCs w:val="21"/>
          <w:highlight w:val="none"/>
        </w:rPr>
        <w:t>）。</w:t>
      </w:r>
    </w:p>
    <w:p w14:paraId="5261AA35">
      <w:pPr>
        <w:spacing w:line="360" w:lineRule="exact"/>
        <w:ind w:firstLine="424" w:firstLineChars="202"/>
        <w:rPr>
          <w:rFonts w:ascii="宋体" w:cs="宋体"/>
          <w:color w:val="auto"/>
          <w:kern w:val="0"/>
          <w:szCs w:val="21"/>
          <w:highlight w:val="none"/>
        </w:rPr>
      </w:pPr>
      <w:bookmarkStart w:id="43" w:name="_Hlk37429674"/>
      <w:bookmarkStart w:id="44" w:name="_Toc71366047"/>
      <w:bookmarkStart w:id="45" w:name="_Toc35393636"/>
      <w:bookmarkStart w:id="46" w:name="_Toc35393805"/>
      <w:bookmarkStart w:id="47" w:name="_Toc71365369"/>
      <w:bookmarkStart w:id="48" w:name="_Toc28359095"/>
      <w:bookmarkStart w:id="49" w:name="_Toc28359018"/>
      <w:r>
        <w:rPr>
          <w:rFonts w:ascii="宋体" w:hAnsi="宋体"/>
          <w:color w:val="auto"/>
          <w:szCs w:val="21"/>
          <w:highlight w:val="none"/>
        </w:rPr>
        <w:t>2</w:t>
      </w:r>
      <w:r>
        <w:rPr>
          <w:rFonts w:ascii="宋体"/>
          <w:color w:val="auto"/>
          <w:szCs w:val="21"/>
          <w:highlight w:val="none"/>
        </w:rPr>
        <w:t>.</w:t>
      </w:r>
      <w:r>
        <w:rPr>
          <w:rFonts w:hint="eastAsia" w:ascii="宋体" w:hAnsi="宋体" w:cs="宋体"/>
          <w:color w:val="auto"/>
          <w:kern w:val="0"/>
          <w:szCs w:val="21"/>
          <w:highlight w:val="none"/>
        </w:rPr>
        <w:t>本项目需要落实的政府采购政策</w:t>
      </w:r>
    </w:p>
    <w:p w14:paraId="07CB84C8">
      <w:pPr>
        <w:spacing w:line="360" w:lineRule="exact"/>
        <w:ind w:firstLine="420" w:firstLineChars="200"/>
        <w:rPr>
          <w:rFonts w:ascii="宋体" w:cs="宋体"/>
          <w:iCs/>
          <w:color w:val="auto"/>
          <w:kern w:val="0"/>
          <w:szCs w:val="21"/>
          <w:highlight w:val="none"/>
        </w:rPr>
      </w:pPr>
      <w:r>
        <w:rPr>
          <w:rFonts w:hint="eastAsia" w:ascii="宋体" w:hAnsi="宋体" w:cs="宋体"/>
          <w:iCs/>
          <w:color w:val="auto"/>
          <w:kern w:val="0"/>
          <w:szCs w:val="21"/>
          <w:highlight w:val="none"/>
        </w:rPr>
        <w:t>（</w:t>
      </w:r>
      <w:r>
        <w:rPr>
          <w:rFonts w:ascii="宋体" w:hAnsi="宋体" w:cs="宋体"/>
          <w:iCs/>
          <w:color w:val="auto"/>
          <w:kern w:val="0"/>
          <w:szCs w:val="21"/>
          <w:highlight w:val="none"/>
        </w:rPr>
        <w:t>1</w:t>
      </w:r>
      <w:r>
        <w:rPr>
          <w:rFonts w:hint="eastAsia" w:ascii="宋体" w:hAnsi="宋体" w:cs="宋体"/>
          <w:iCs/>
          <w:color w:val="auto"/>
          <w:kern w:val="0"/>
          <w:szCs w:val="21"/>
          <w:highlight w:val="none"/>
        </w:rPr>
        <w:t>）政府采购促进中小企业发展</w:t>
      </w:r>
      <w:r>
        <w:rPr>
          <w:rFonts w:hint="eastAsia" w:ascii="宋体" w:hAnsi="宋体" w:cs="宋体"/>
          <w:bCs/>
          <w:color w:val="auto"/>
          <w:szCs w:val="21"/>
          <w:highlight w:val="none"/>
        </w:rPr>
        <w:t>（</w:t>
      </w:r>
      <w:r>
        <w:rPr>
          <w:rFonts w:hint="eastAsia" w:ascii="宋体" w:hAnsi="宋体" w:cs="宋体"/>
          <w:color w:val="auto"/>
          <w:szCs w:val="21"/>
          <w:highlight w:val="none"/>
        </w:rPr>
        <w:t>本项目非专门面向中小企业采购）</w:t>
      </w:r>
      <w:r>
        <w:rPr>
          <w:rFonts w:hint="eastAsia" w:ascii="宋体" w:hAnsi="宋体" w:cs="宋体"/>
          <w:iCs/>
          <w:color w:val="auto"/>
          <w:kern w:val="0"/>
          <w:szCs w:val="21"/>
          <w:highlight w:val="none"/>
        </w:rPr>
        <w:t>。</w:t>
      </w:r>
    </w:p>
    <w:p w14:paraId="25B1A8C0">
      <w:pPr>
        <w:spacing w:line="360" w:lineRule="exact"/>
        <w:ind w:firstLine="420" w:firstLineChars="200"/>
        <w:rPr>
          <w:rFonts w:ascii="宋体" w:cs="宋体"/>
          <w:iCs/>
          <w:color w:val="auto"/>
          <w:kern w:val="0"/>
          <w:szCs w:val="21"/>
          <w:highlight w:val="none"/>
        </w:rPr>
      </w:pPr>
      <w:r>
        <w:rPr>
          <w:rFonts w:hint="eastAsia" w:ascii="宋体" w:hAnsi="宋体" w:cs="宋体"/>
          <w:iCs/>
          <w:color w:val="auto"/>
          <w:kern w:val="0"/>
          <w:szCs w:val="21"/>
          <w:highlight w:val="none"/>
        </w:rPr>
        <w:t>（</w:t>
      </w:r>
      <w:r>
        <w:rPr>
          <w:rFonts w:ascii="宋体" w:hAnsi="宋体" w:cs="宋体"/>
          <w:iCs/>
          <w:color w:val="auto"/>
          <w:kern w:val="0"/>
          <w:szCs w:val="21"/>
          <w:highlight w:val="none"/>
        </w:rPr>
        <w:t>2</w:t>
      </w:r>
      <w:r>
        <w:rPr>
          <w:rFonts w:hint="eastAsia" w:ascii="宋体" w:hAnsi="宋体" w:cs="宋体"/>
          <w:iCs/>
          <w:color w:val="auto"/>
          <w:kern w:val="0"/>
          <w:szCs w:val="21"/>
          <w:highlight w:val="none"/>
        </w:rPr>
        <w:t>）政府采购支持采用本国产品的政策。</w:t>
      </w:r>
    </w:p>
    <w:p w14:paraId="2BA39B27">
      <w:pPr>
        <w:spacing w:line="360" w:lineRule="exact"/>
        <w:ind w:firstLine="420" w:firstLineChars="200"/>
        <w:rPr>
          <w:rFonts w:ascii="宋体" w:cs="宋体"/>
          <w:iCs/>
          <w:color w:val="auto"/>
          <w:kern w:val="0"/>
          <w:szCs w:val="21"/>
          <w:highlight w:val="none"/>
        </w:rPr>
      </w:pPr>
      <w:r>
        <w:rPr>
          <w:rFonts w:hint="eastAsia" w:ascii="宋体" w:hAnsi="宋体" w:cs="宋体"/>
          <w:iCs/>
          <w:color w:val="auto"/>
          <w:kern w:val="0"/>
          <w:szCs w:val="21"/>
          <w:highlight w:val="none"/>
        </w:rPr>
        <w:t>（</w:t>
      </w:r>
      <w:r>
        <w:rPr>
          <w:rFonts w:ascii="宋体" w:hAnsi="宋体" w:cs="宋体"/>
          <w:iCs/>
          <w:color w:val="auto"/>
          <w:kern w:val="0"/>
          <w:szCs w:val="21"/>
          <w:highlight w:val="none"/>
        </w:rPr>
        <w:t>3</w:t>
      </w:r>
      <w:r>
        <w:rPr>
          <w:rFonts w:hint="eastAsia" w:ascii="宋体" w:hAnsi="宋体" w:cs="宋体"/>
          <w:iCs/>
          <w:color w:val="auto"/>
          <w:kern w:val="0"/>
          <w:szCs w:val="21"/>
          <w:highlight w:val="none"/>
        </w:rPr>
        <w:t>）强制采购节能产品；优先采购节能产品、环境标志产品。</w:t>
      </w:r>
    </w:p>
    <w:p w14:paraId="3E83F2FF">
      <w:pPr>
        <w:spacing w:line="360" w:lineRule="exact"/>
        <w:ind w:firstLine="420" w:firstLineChars="200"/>
        <w:rPr>
          <w:rFonts w:ascii="宋体" w:cs="宋体"/>
          <w:iCs/>
          <w:color w:val="auto"/>
          <w:kern w:val="0"/>
          <w:szCs w:val="21"/>
          <w:highlight w:val="none"/>
        </w:rPr>
      </w:pPr>
      <w:r>
        <w:rPr>
          <w:rFonts w:hint="eastAsia" w:ascii="宋体" w:hAnsi="宋体" w:cs="宋体"/>
          <w:iCs/>
          <w:color w:val="auto"/>
          <w:kern w:val="0"/>
          <w:szCs w:val="21"/>
          <w:highlight w:val="none"/>
        </w:rPr>
        <w:t>（</w:t>
      </w:r>
      <w:r>
        <w:rPr>
          <w:rFonts w:ascii="宋体" w:hAnsi="宋体" w:cs="宋体"/>
          <w:iCs/>
          <w:color w:val="auto"/>
          <w:kern w:val="0"/>
          <w:szCs w:val="21"/>
          <w:highlight w:val="none"/>
        </w:rPr>
        <w:t>4</w:t>
      </w:r>
      <w:r>
        <w:rPr>
          <w:rFonts w:hint="eastAsia" w:ascii="宋体" w:hAnsi="宋体" w:cs="宋体"/>
          <w:iCs/>
          <w:color w:val="auto"/>
          <w:kern w:val="0"/>
          <w:szCs w:val="21"/>
          <w:highlight w:val="none"/>
        </w:rPr>
        <w:t>）政府采购促进残疾人就业政策。</w:t>
      </w:r>
    </w:p>
    <w:p w14:paraId="670DF395">
      <w:pPr>
        <w:spacing w:line="360" w:lineRule="exact"/>
        <w:ind w:firstLine="420" w:firstLineChars="200"/>
        <w:rPr>
          <w:rFonts w:ascii="宋体" w:cs="宋体"/>
          <w:iCs/>
          <w:color w:val="auto"/>
          <w:kern w:val="0"/>
          <w:szCs w:val="21"/>
          <w:highlight w:val="none"/>
        </w:rPr>
      </w:pPr>
      <w:r>
        <w:rPr>
          <w:rFonts w:hint="eastAsia" w:ascii="宋体" w:hAnsi="宋体" w:cs="宋体"/>
          <w:iCs/>
          <w:color w:val="auto"/>
          <w:kern w:val="0"/>
          <w:szCs w:val="21"/>
          <w:highlight w:val="none"/>
        </w:rPr>
        <w:t>（</w:t>
      </w:r>
      <w:r>
        <w:rPr>
          <w:rFonts w:ascii="宋体" w:hAnsi="宋体" w:cs="宋体"/>
          <w:iCs/>
          <w:color w:val="auto"/>
          <w:kern w:val="0"/>
          <w:szCs w:val="21"/>
          <w:highlight w:val="none"/>
        </w:rPr>
        <w:t>5</w:t>
      </w:r>
      <w:r>
        <w:rPr>
          <w:rFonts w:hint="eastAsia" w:ascii="宋体" w:hAnsi="宋体" w:cs="宋体"/>
          <w:iCs/>
          <w:color w:val="auto"/>
          <w:kern w:val="0"/>
          <w:szCs w:val="21"/>
          <w:highlight w:val="none"/>
        </w:rPr>
        <w:t>）政府采购支持监狱企业发展。</w:t>
      </w:r>
    </w:p>
    <w:p w14:paraId="1D4677E4">
      <w:pPr>
        <w:spacing w:line="360" w:lineRule="exact"/>
        <w:ind w:firstLine="420"/>
        <w:rPr>
          <w:rFonts w:ascii="宋体" w:hAnsi="宋体" w:cs="宋体"/>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资格条件特别说明：</w:t>
      </w:r>
    </w:p>
    <w:p w14:paraId="33723AB9">
      <w:pPr>
        <w:spacing w:line="360" w:lineRule="exact"/>
        <w:ind w:firstLine="42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0439D54">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CF77C59">
      <w:pPr>
        <w:widowControl/>
        <w:spacing w:line="360" w:lineRule="exact"/>
        <w:ind w:firstLine="420" w:firstLineChars="200"/>
        <w:jc w:val="left"/>
        <w:rPr>
          <w:rFonts w:ascii="宋体"/>
          <w:color w:val="auto"/>
          <w:szCs w:val="21"/>
          <w:highlight w:val="none"/>
        </w:rPr>
      </w:pPr>
      <w:r>
        <w:rPr>
          <w:rFonts w:hint="eastAsia" w:ascii="宋体" w:hAnsi="宋体" w:cs="宋体"/>
          <w:color w:val="auto"/>
          <w:kern w:val="0"/>
          <w:szCs w:val="21"/>
          <w:highlight w:val="none"/>
        </w:rPr>
        <w:t>4.供应商</w:t>
      </w:r>
      <w:r>
        <w:rPr>
          <w:rFonts w:hint="eastAsia" w:ascii="宋体" w:hAnsi="宋体"/>
          <w:color w:val="auto"/>
          <w:szCs w:val="21"/>
          <w:highlight w:val="none"/>
        </w:rPr>
        <w:t>竞标注意事项</w:t>
      </w:r>
    </w:p>
    <w:p w14:paraId="3D6A648F">
      <w:pPr>
        <w:widowControl/>
        <w:spacing w:line="360" w:lineRule="exact"/>
        <w:ind w:firstLine="420" w:firstLineChars="20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本项目为全流程电子化采购项目，通过广西政府采购云平台（www.gcy.zfcg.gxzf.gov.cn）实行在线电子竞标，供应商应先安装广西政府采购云平台新版客户端（请自行前往广西政府采购网-办事服务-下载专区进行下载），并按照本项目竞争性谈判文件和广西政府采购云平台的要求编制、加密后在提交响应文件截止时间前通过网络上传至广西政府采购云平台（加密的电子响应文件是指</w:t>
      </w:r>
      <w:r>
        <w:rPr>
          <w:rFonts w:hint="eastAsia"/>
          <w:color w:val="auto"/>
          <w:highlight w:val="none"/>
        </w:rPr>
        <w:t>后缀名为“</w:t>
      </w:r>
      <w:r>
        <w:rPr>
          <w:color w:val="auto"/>
          <w:highlight w:val="none"/>
        </w:rPr>
        <w:t>jmbs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w:t>
      </w:r>
      <w:r>
        <w:rPr>
          <w:rFonts w:ascii="宋体"/>
          <w:color w:val="auto"/>
          <w:szCs w:val="21"/>
          <w:highlight w:val="none"/>
        </w:rPr>
        <w:t>-</w:t>
      </w:r>
      <w:r>
        <w:rPr>
          <w:rFonts w:hint="eastAsia" w:ascii="宋体" w:hAnsi="宋体"/>
          <w:color w:val="auto"/>
          <w:szCs w:val="21"/>
          <w:highlight w:val="none"/>
        </w:rPr>
        <w:t>项目采购</w:t>
      </w:r>
      <w:r>
        <w:rPr>
          <w:rFonts w:ascii="宋体"/>
          <w:color w:val="auto"/>
          <w:szCs w:val="21"/>
          <w:highlight w:val="none"/>
        </w:rPr>
        <w:t>-</w:t>
      </w:r>
      <w:r>
        <w:rPr>
          <w:rFonts w:hint="eastAsia" w:ascii="宋体" w:hAnsi="宋体"/>
          <w:color w:val="auto"/>
          <w:szCs w:val="21"/>
          <w:highlight w:val="none"/>
        </w:rPr>
        <w:t>操作流程</w:t>
      </w:r>
      <w:r>
        <w:rPr>
          <w:rFonts w:ascii="宋体"/>
          <w:color w:val="auto"/>
          <w:szCs w:val="21"/>
          <w:highlight w:val="none"/>
        </w:rPr>
        <w:t>-</w:t>
      </w:r>
      <w:r>
        <w:rPr>
          <w:rFonts w:hint="eastAsia" w:ascii="宋体" w:hAnsi="宋体"/>
          <w:color w:val="auto"/>
          <w:szCs w:val="21"/>
          <w:highlight w:val="none"/>
        </w:rPr>
        <w:t>电子招投标</w:t>
      </w:r>
      <w:r>
        <w:rPr>
          <w:rFonts w:ascii="宋体"/>
          <w:color w:val="auto"/>
          <w:szCs w:val="21"/>
          <w:highlight w:val="none"/>
        </w:rPr>
        <w:t>-</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14:paraId="35A0901A">
      <w:pPr>
        <w:widowControl/>
        <w:spacing w:line="360" w:lineRule="exact"/>
        <w:ind w:firstLine="420" w:firstLineChars="20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）未进行网上注册并办理数字证书（</w:t>
      </w:r>
      <w:r>
        <w:rPr>
          <w:rFonts w:ascii="宋体" w:hAnsi="宋体"/>
          <w:color w:val="auto"/>
          <w:szCs w:val="21"/>
          <w:highlight w:val="none"/>
        </w:rPr>
        <w:t>CA</w:t>
      </w:r>
      <w:r>
        <w:rPr>
          <w:rFonts w:hint="eastAsia" w:ascii="宋体" w:hAnsi="宋体"/>
          <w:color w:val="auto"/>
          <w:szCs w:val="21"/>
          <w:highlight w:val="none"/>
        </w:rPr>
        <w:t>认证）的供应商将无法参与本项目政府采购活动，供应商应当在提交响应文件截止时间前，完成电子交易平台上的</w:t>
      </w:r>
      <w:r>
        <w:rPr>
          <w:rFonts w:ascii="宋体" w:hAnsi="宋体"/>
          <w:color w:val="auto"/>
          <w:szCs w:val="21"/>
          <w:highlight w:val="none"/>
        </w:rPr>
        <w:t>CA</w:t>
      </w:r>
      <w:r>
        <w:rPr>
          <w:rFonts w:hint="eastAsia" w:ascii="宋体" w:hAnsi="宋体"/>
          <w:color w:val="auto"/>
          <w:szCs w:val="21"/>
          <w:highlight w:val="none"/>
        </w:rPr>
        <w:t>数字证书办理及响应文件的提交（供应商可登录“广西政府采购网”，依次进入“办事服务</w:t>
      </w:r>
      <w:r>
        <w:rPr>
          <w:rFonts w:ascii="宋体"/>
          <w:color w:val="auto"/>
          <w:szCs w:val="21"/>
          <w:highlight w:val="none"/>
        </w:rPr>
        <w:t>-</w:t>
      </w:r>
      <w:r>
        <w:rPr>
          <w:rFonts w:hint="eastAsia" w:ascii="宋体" w:hAnsi="宋体"/>
          <w:color w:val="auto"/>
          <w:szCs w:val="21"/>
          <w:highlight w:val="none"/>
        </w:rPr>
        <w:t>下载专区”或者登录</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w:t>
      </w:r>
      <w:r>
        <w:rPr>
          <w:rFonts w:ascii="宋体"/>
          <w:color w:val="auto"/>
          <w:szCs w:val="21"/>
          <w:highlight w:val="none"/>
        </w:rPr>
        <w:t>-</w:t>
      </w:r>
      <w:r>
        <w:rPr>
          <w:rFonts w:hint="eastAsia" w:ascii="宋体" w:hAnsi="宋体"/>
          <w:color w:val="auto"/>
          <w:szCs w:val="21"/>
          <w:highlight w:val="none"/>
        </w:rPr>
        <w:t>入驻与配置”中查看</w:t>
      </w:r>
      <w:r>
        <w:rPr>
          <w:rFonts w:ascii="宋体" w:hAnsi="宋体"/>
          <w:color w:val="auto"/>
          <w:szCs w:val="21"/>
          <w:highlight w:val="none"/>
        </w:rPr>
        <w:t>CA</w:t>
      </w:r>
      <w:r>
        <w:rPr>
          <w:rFonts w:hint="eastAsia" w:ascii="宋体" w:hAnsi="宋体"/>
          <w:color w:val="auto"/>
          <w:szCs w:val="21"/>
          <w:highlight w:val="none"/>
        </w:rPr>
        <w:t>数字证书办理操作流程。</w:t>
      </w:r>
      <w:r>
        <w:rPr>
          <w:rFonts w:hint="eastAsia" w:ascii="宋体" w:hAnsi="宋体" w:cs="宋体"/>
          <w:bCs/>
          <w:color w:val="auto"/>
          <w:kern w:val="0"/>
          <w:szCs w:val="21"/>
          <w:highlight w:val="none"/>
        </w:rPr>
        <w:t>如在操作过程中遇到问题或者需要技术支持，请致电广西政府采购云平台客服热线：95763、0771-3381253</w:t>
      </w:r>
      <w:r>
        <w:rPr>
          <w:rFonts w:hint="eastAsia" w:ascii="宋体" w:hAnsi="宋体"/>
          <w:color w:val="auto"/>
          <w:szCs w:val="21"/>
          <w:highlight w:val="none"/>
        </w:rPr>
        <w:t>）。</w:t>
      </w:r>
    </w:p>
    <w:p w14:paraId="6BC4FA3A">
      <w:pPr>
        <w:snapToGrid w:val="0"/>
        <w:spacing w:line="36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w:t>
      </w:r>
      <w:r>
        <w:rPr>
          <w:rFonts w:ascii="宋体" w:hAnsi="宋体" w:cs="宋体"/>
          <w:color w:val="auto"/>
          <w:kern w:val="0"/>
          <w:szCs w:val="21"/>
          <w:highlight w:val="none"/>
        </w:rPr>
        <w:t>CA</w:t>
      </w:r>
      <w:r>
        <w:rPr>
          <w:rFonts w:hint="eastAsia" w:ascii="宋体" w:hAnsi="宋体" w:cs="宋体"/>
          <w:color w:val="auto"/>
          <w:kern w:val="0"/>
          <w:szCs w:val="21"/>
          <w:highlight w:val="none"/>
        </w:rPr>
        <w:t>证书在线解密：首次响应文件开启时，需携带制作响应文件时用来加密的有效数字证书（</w:t>
      </w:r>
      <w:r>
        <w:rPr>
          <w:rFonts w:ascii="宋体" w:hAnsi="宋体" w:cs="宋体"/>
          <w:color w:val="auto"/>
          <w:kern w:val="0"/>
          <w:szCs w:val="21"/>
          <w:highlight w:val="none"/>
        </w:rPr>
        <w:t>CA</w:t>
      </w:r>
      <w:r>
        <w:rPr>
          <w:rFonts w:hint="eastAsia" w:ascii="宋体" w:hAnsi="宋体" w:cs="宋体"/>
          <w:color w:val="auto"/>
          <w:kern w:val="0"/>
          <w:szCs w:val="21"/>
          <w:highlight w:val="none"/>
        </w:rPr>
        <w:t>认证）登录广西政府采购云平台电子开标大厅现场按规定时间对加密的响应文件进行解密，否则后果自负。</w:t>
      </w:r>
    </w:p>
    <w:p w14:paraId="7EC07987">
      <w:pPr>
        <w:widowControl/>
        <w:spacing w:line="360" w:lineRule="exact"/>
        <w:ind w:firstLine="420" w:firstLineChars="200"/>
        <w:jc w:val="left"/>
        <w:rPr>
          <w:rFonts w:ascii="宋体"/>
          <w:bCs/>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）为确保网上操作合法、有效和安全，请供应商确保在电子竞标过程中能够对相关数据电文进行加密和使用电子签章，妥善保管</w:t>
      </w:r>
      <w:r>
        <w:rPr>
          <w:rFonts w:ascii="宋体" w:hAnsi="宋体"/>
          <w:color w:val="auto"/>
          <w:szCs w:val="21"/>
          <w:highlight w:val="none"/>
        </w:rPr>
        <w:t>CA</w:t>
      </w:r>
      <w:r>
        <w:rPr>
          <w:rFonts w:hint="eastAsia" w:ascii="宋体" w:hAnsi="宋体"/>
          <w:color w:val="auto"/>
          <w:szCs w:val="21"/>
          <w:highlight w:val="none"/>
        </w:rPr>
        <w:t>数字证书并使用有效的</w:t>
      </w:r>
      <w:r>
        <w:rPr>
          <w:rFonts w:ascii="宋体" w:hAnsi="宋体"/>
          <w:color w:val="auto"/>
          <w:szCs w:val="21"/>
          <w:highlight w:val="none"/>
        </w:rPr>
        <w:t>CA</w:t>
      </w:r>
      <w:r>
        <w:rPr>
          <w:rFonts w:hint="eastAsia" w:ascii="宋体" w:hAnsi="宋体"/>
          <w:color w:val="auto"/>
          <w:szCs w:val="21"/>
          <w:highlight w:val="none"/>
        </w:rPr>
        <w:t>数字证书参与整个采购活动。</w:t>
      </w: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止未完成提交（上传）的，视为撤回响应文件。提交响应文件截止时间以后提交（上传）的响应文件，广西政府采购云平台将予以拒收。</w:t>
      </w:r>
    </w:p>
    <w:p w14:paraId="390336FD">
      <w:pPr>
        <w:snapToGrid w:val="0"/>
        <w:spacing w:line="36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）供应商需要在具备摄像头及语音功能且互联网网络状况良好的电脑登录广西政府采购云平台远程开标大厅参与本次谈判，否则后果自负。</w:t>
      </w:r>
    </w:p>
    <w:bookmarkEnd w:id="43"/>
    <w:p w14:paraId="4B6166FE">
      <w:pPr>
        <w:spacing w:line="360" w:lineRule="exact"/>
        <w:ind w:firstLine="360" w:firstLineChars="150"/>
        <w:rPr>
          <w:rFonts w:ascii="黑体" w:hAnsi="黑体" w:eastAsia="黑体"/>
          <w:color w:val="auto"/>
          <w:sz w:val="24"/>
          <w:highlight w:val="none"/>
        </w:rPr>
      </w:pPr>
      <w:r>
        <w:rPr>
          <w:rFonts w:hint="eastAsia" w:ascii="黑体" w:hAnsi="黑体" w:eastAsia="黑体"/>
          <w:color w:val="auto"/>
          <w:sz w:val="24"/>
          <w:highlight w:val="none"/>
        </w:rPr>
        <w:t>八、凡对本次采购提出询问，请按以下方式联系。</w:t>
      </w:r>
      <w:bookmarkEnd w:id="44"/>
      <w:bookmarkEnd w:id="45"/>
      <w:bookmarkEnd w:id="46"/>
      <w:bookmarkEnd w:id="47"/>
      <w:bookmarkEnd w:id="48"/>
      <w:bookmarkEnd w:id="49"/>
    </w:p>
    <w:p w14:paraId="72B90B5E">
      <w:pPr>
        <w:spacing w:line="360" w:lineRule="exact"/>
        <w:ind w:firstLine="420" w:firstLineChars="200"/>
        <w:rPr>
          <w:rFonts w:ascii="宋体" w:cs="宋体"/>
          <w:color w:val="auto"/>
          <w:kern w:val="0"/>
          <w:szCs w:val="21"/>
          <w:highlight w:val="none"/>
        </w:rPr>
      </w:pPr>
      <w:bookmarkStart w:id="50" w:name="_Toc35393637"/>
      <w:bookmarkStart w:id="51" w:name="_Toc28359096"/>
      <w:bookmarkStart w:id="52" w:name="_Toc28359019"/>
      <w:bookmarkStart w:id="53" w:name="_Toc35393806"/>
      <w:r>
        <w:rPr>
          <w:rFonts w:ascii="宋体" w:hAnsi="宋体" w:cs="宋体"/>
          <w:color w:val="auto"/>
          <w:kern w:val="0"/>
          <w:szCs w:val="21"/>
          <w:highlight w:val="none"/>
        </w:rPr>
        <w:t>1.</w:t>
      </w:r>
      <w:r>
        <w:rPr>
          <w:rFonts w:hint="eastAsia" w:ascii="宋体" w:hAnsi="宋体" w:cs="宋体"/>
          <w:color w:val="auto"/>
          <w:kern w:val="0"/>
          <w:szCs w:val="21"/>
          <w:highlight w:val="none"/>
        </w:rPr>
        <w:t>采购人信息</w:t>
      </w:r>
      <w:bookmarkEnd w:id="50"/>
      <w:bookmarkEnd w:id="51"/>
      <w:bookmarkEnd w:id="52"/>
      <w:bookmarkEnd w:id="53"/>
    </w:p>
    <w:p w14:paraId="3FF600F8">
      <w:pPr>
        <w:spacing w:line="360" w:lineRule="exact"/>
        <w:ind w:firstLine="420" w:firstLineChars="200"/>
        <w:jc w:val="left"/>
        <w:rPr>
          <w:rFonts w:ascii="宋体"/>
          <w:color w:val="auto"/>
          <w:szCs w:val="21"/>
          <w:highlight w:val="none"/>
        </w:rPr>
      </w:pPr>
      <w:r>
        <w:rPr>
          <w:rFonts w:hint="eastAsia" w:ascii="宋体" w:hAnsi="宋体"/>
          <w:color w:val="auto"/>
          <w:szCs w:val="21"/>
          <w:highlight w:val="none"/>
        </w:rPr>
        <w:t>名称：桂林水文中心</w:t>
      </w:r>
    </w:p>
    <w:p w14:paraId="5B90129E">
      <w:pPr>
        <w:spacing w:line="360" w:lineRule="exact"/>
        <w:ind w:firstLine="420" w:firstLineChars="200"/>
        <w:jc w:val="left"/>
        <w:rPr>
          <w:rFonts w:ascii="宋体"/>
          <w:color w:val="auto"/>
          <w:szCs w:val="21"/>
          <w:highlight w:val="none"/>
        </w:rPr>
      </w:pPr>
      <w:r>
        <w:rPr>
          <w:rFonts w:hint="eastAsia" w:ascii="宋体" w:hAnsi="宋体"/>
          <w:color w:val="auto"/>
          <w:szCs w:val="21"/>
          <w:highlight w:val="none"/>
        </w:rPr>
        <w:t>地址：广西桂林市临桂区山水大道27号</w:t>
      </w:r>
    </w:p>
    <w:p w14:paraId="41272026">
      <w:pPr>
        <w:spacing w:line="360" w:lineRule="exact"/>
        <w:ind w:firstLine="420" w:firstLineChars="200"/>
        <w:jc w:val="left"/>
        <w:rPr>
          <w:rFonts w:ascii="宋体"/>
          <w:color w:val="auto"/>
          <w:szCs w:val="21"/>
          <w:highlight w:val="none"/>
        </w:rPr>
      </w:pPr>
      <w:r>
        <w:rPr>
          <w:rFonts w:hint="eastAsia" w:ascii="宋体" w:hAnsi="宋体"/>
          <w:color w:val="auto"/>
          <w:szCs w:val="21"/>
          <w:highlight w:val="none"/>
        </w:rPr>
        <w:t>联系方式：0773-2801193</w:t>
      </w:r>
    </w:p>
    <w:p w14:paraId="15092919">
      <w:pPr>
        <w:spacing w:line="360" w:lineRule="exact"/>
        <w:ind w:firstLine="420" w:firstLineChars="200"/>
        <w:rPr>
          <w:rFonts w:ascii="宋体" w:cs="宋体"/>
          <w:color w:val="auto"/>
          <w:kern w:val="0"/>
          <w:szCs w:val="21"/>
          <w:highlight w:val="none"/>
        </w:rPr>
      </w:pPr>
      <w:bookmarkStart w:id="54" w:name="_Toc28359020"/>
      <w:bookmarkStart w:id="55" w:name="_Toc28359097"/>
      <w:bookmarkStart w:id="56" w:name="_Toc35393638"/>
      <w:bookmarkStart w:id="57" w:name="_Toc35393807"/>
      <w:r>
        <w:rPr>
          <w:rFonts w:ascii="宋体" w:hAnsi="宋体" w:cs="宋体"/>
          <w:color w:val="auto"/>
          <w:kern w:val="0"/>
          <w:szCs w:val="21"/>
          <w:highlight w:val="none"/>
        </w:rPr>
        <w:t>2.</w:t>
      </w:r>
      <w:r>
        <w:rPr>
          <w:rFonts w:hint="eastAsia" w:ascii="宋体" w:hAnsi="宋体" w:cs="宋体"/>
          <w:color w:val="auto"/>
          <w:kern w:val="0"/>
          <w:szCs w:val="21"/>
          <w:highlight w:val="none"/>
        </w:rPr>
        <w:t>采购代理机构信息</w:t>
      </w:r>
      <w:bookmarkEnd w:id="54"/>
      <w:bookmarkEnd w:id="55"/>
      <w:bookmarkEnd w:id="56"/>
      <w:bookmarkEnd w:id="57"/>
    </w:p>
    <w:p w14:paraId="1B7A6F0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名    称：云之龙咨询集团有限公司</w:t>
      </w:r>
    </w:p>
    <w:p w14:paraId="43019224">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地　　址：广西桂林市临桂区西城北路2号耀辉•美好家园2幢12层1号房</w:t>
      </w:r>
    </w:p>
    <w:p w14:paraId="2E5056E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联系方式：0773-2887388  2887399</w:t>
      </w:r>
    </w:p>
    <w:p w14:paraId="5B23B8DC">
      <w:pPr>
        <w:spacing w:line="360" w:lineRule="exact"/>
        <w:ind w:firstLine="420" w:firstLineChars="200"/>
        <w:rPr>
          <w:rFonts w:ascii="宋体" w:hAnsi="宋体" w:cs="宋体"/>
          <w:color w:val="auto"/>
          <w:kern w:val="0"/>
          <w:szCs w:val="21"/>
          <w:highlight w:val="none"/>
        </w:rPr>
      </w:pPr>
      <w:bookmarkStart w:id="58" w:name="_Toc35393639"/>
      <w:bookmarkStart w:id="59" w:name="_Toc35393808"/>
      <w:bookmarkStart w:id="60" w:name="_Toc28359021"/>
      <w:bookmarkStart w:id="61" w:name="_Toc28359098"/>
      <w:r>
        <w:rPr>
          <w:rFonts w:hint="eastAsia" w:ascii="宋体" w:hAnsi="宋体" w:cs="宋体"/>
          <w:color w:val="auto"/>
          <w:kern w:val="0"/>
          <w:szCs w:val="21"/>
          <w:highlight w:val="none"/>
        </w:rPr>
        <w:t>3.项目联系方式</w:t>
      </w:r>
      <w:bookmarkEnd w:id="58"/>
      <w:bookmarkEnd w:id="59"/>
      <w:bookmarkEnd w:id="60"/>
      <w:bookmarkEnd w:id="61"/>
    </w:p>
    <w:p w14:paraId="0477A5F2">
      <w:pPr>
        <w:spacing w:line="360" w:lineRule="exact"/>
        <w:ind w:firstLine="420" w:firstLineChars="200"/>
        <w:rPr>
          <w:rFonts w:ascii="宋体" w:hAnsi="宋体"/>
          <w:color w:val="auto"/>
          <w:szCs w:val="21"/>
          <w:highlight w:val="none"/>
        </w:rPr>
      </w:pPr>
      <w:r>
        <w:rPr>
          <w:rFonts w:hint="eastAsia" w:hAnsi="宋体"/>
          <w:color w:val="auto"/>
          <w:highlight w:val="none"/>
        </w:rPr>
        <w:t>项目</w:t>
      </w:r>
      <w:r>
        <w:rPr>
          <w:rFonts w:hint="eastAsia" w:ascii="宋体" w:hAnsi="宋体"/>
          <w:color w:val="auto"/>
          <w:szCs w:val="21"/>
          <w:highlight w:val="none"/>
        </w:rPr>
        <w:t>联系人：李贞</w:t>
      </w:r>
    </w:p>
    <w:p w14:paraId="7D25D61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电　　话：0773-2887388  2887399</w:t>
      </w:r>
    </w:p>
    <w:p w14:paraId="2F93B58F">
      <w:pPr>
        <w:spacing w:line="360" w:lineRule="exact"/>
        <w:ind w:firstLine="420" w:firstLineChars="200"/>
        <w:rPr>
          <w:rFonts w:ascii="宋体" w:hAnsi="宋体"/>
          <w:color w:val="auto"/>
          <w:szCs w:val="21"/>
          <w:highlight w:val="none"/>
        </w:rPr>
      </w:pPr>
    </w:p>
    <w:bookmarkEnd w:id="2"/>
    <w:p w14:paraId="50A8EA38">
      <w:pPr>
        <w:pStyle w:val="2"/>
        <w:spacing w:line="500" w:lineRule="exact"/>
        <w:jc w:val="center"/>
        <w:rPr>
          <w:color w:val="auto"/>
          <w:highlight w:val="none"/>
        </w:rPr>
      </w:pPr>
      <w:bookmarkStart w:id="62" w:name="_Toc137109006"/>
      <w:bookmarkStart w:id="63" w:name="_Toc74322009"/>
    </w:p>
    <w:p w14:paraId="7B2E33D1">
      <w:pPr>
        <w:pStyle w:val="2"/>
        <w:spacing w:line="500" w:lineRule="exact"/>
        <w:jc w:val="center"/>
        <w:rPr>
          <w:color w:val="auto"/>
          <w:highlight w:val="none"/>
        </w:rPr>
      </w:pPr>
    </w:p>
    <w:p w14:paraId="3686D216">
      <w:pPr>
        <w:rPr>
          <w:color w:val="auto"/>
          <w:highlight w:val="none"/>
        </w:rPr>
      </w:pPr>
    </w:p>
    <w:p w14:paraId="6D3664E4">
      <w:pPr>
        <w:rPr>
          <w:color w:val="auto"/>
          <w:highlight w:val="none"/>
        </w:rPr>
      </w:pPr>
    </w:p>
    <w:p w14:paraId="5AC962EE">
      <w:pPr>
        <w:rPr>
          <w:color w:val="auto"/>
          <w:highlight w:val="none"/>
        </w:rPr>
      </w:pPr>
    </w:p>
    <w:p w14:paraId="7AE53812">
      <w:pPr>
        <w:rPr>
          <w:color w:val="auto"/>
          <w:highlight w:val="none"/>
        </w:rPr>
      </w:pPr>
    </w:p>
    <w:p w14:paraId="46A51528">
      <w:pPr>
        <w:rPr>
          <w:color w:val="auto"/>
          <w:highlight w:val="none"/>
        </w:rPr>
      </w:pPr>
    </w:p>
    <w:p w14:paraId="46297ADE">
      <w:pPr>
        <w:rPr>
          <w:color w:val="auto"/>
          <w:highlight w:val="none"/>
        </w:rPr>
      </w:pPr>
    </w:p>
    <w:p w14:paraId="405B8099">
      <w:pPr>
        <w:rPr>
          <w:color w:val="auto"/>
          <w:highlight w:val="none"/>
        </w:rPr>
      </w:pPr>
    </w:p>
    <w:p w14:paraId="11614148">
      <w:pPr>
        <w:rPr>
          <w:color w:val="auto"/>
          <w:highlight w:val="none"/>
        </w:rPr>
      </w:pPr>
    </w:p>
    <w:p w14:paraId="5B121682">
      <w:pPr>
        <w:rPr>
          <w:color w:val="auto"/>
          <w:highlight w:val="none"/>
        </w:rPr>
      </w:pPr>
    </w:p>
    <w:p w14:paraId="5FF671A2">
      <w:pPr>
        <w:rPr>
          <w:color w:val="auto"/>
          <w:highlight w:val="none"/>
        </w:rPr>
      </w:pPr>
    </w:p>
    <w:p w14:paraId="0C725016">
      <w:pPr>
        <w:rPr>
          <w:color w:val="auto"/>
          <w:highlight w:val="none"/>
        </w:rPr>
      </w:pPr>
    </w:p>
    <w:p w14:paraId="1877159D">
      <w:pPr>
        <w:rPr>
          <w:color w:val="auto"/>
          <w:highlight w:val="none"/>
        </w:rPr>
      </w:pPr>
    </w:p>
    <w:p w14:paraId="2B84F5AA">
      <w:pPr>
        <w:rPr>
          <w:color w:val="auto"/>
          <w:highlight w:val="none"/>
        </w:rPr>
      </w:pPr>
    </w:p>
    <w:p w14:paraId="26D13521">
      <w:pPr>
        <w:rPr>
          <w:color w:val="auto"/>
          <w:highlight w:val="none"/>
        </w:rPr>
      </w:pPr>
    </w:p>
    <w:p w14:paraId="42EFF992">
      <w:pPr>
        <w:rPr>
          <w:color w:val="auto"/>
          <w:highlight w:val="none"/>
        </w:rPr>
      </w:pPr>
    </w:p>
    <w:p w14:paraId="0B4633EE">
      <w:pPr>
        <w:rPr>
          <w:color w:val="auto"/>
          <w:highlight w:val="none"/>
        </w:rPr>
      </w:pPr>
    </w:p>
    <w:p w14:paraId="1F42D56E">
      <w:pPr>
        <w:rPr>
          <w:color w:val="auto"/>
          <w:highlight w:val="none"/>
        </w:rPr>
      </w:pPr>
    </w:p>
    <w:p w14:paraId="620297A1">
      <w:pPr>
        <w:rPr>
          <w:color w:val="auto"/>
          <w:highlight w:val="none"/>
        </w:rPr>
      </w:pPr>
    </w:p>
    <w:p w14:paraId="187FDDF2">
      <w:pPr>
        <w:rPr>
          <w:color w:val="auto"/>
          <w:highlight w:val="none"/>
        </w:rPr>
      </w:pPr>
    </w:p>
    <w:p w14:paraId="7C725A50">
      <w:pPr>
        <w:rPr>
          <w:color w:val="auto"/>
          <w:highlight w:val="none"/>
        </w:rPr>
      </w:pPr>
    </w:p>
    <w:p w14:paraId="49FFA141">
      <w:pPr>
        <w:rPr>
          <w:color w:val="auto"/>
          <w:highlight w:val="none"/>
        </w:rPr>
      </w:pPr>
    </w:p>
    <w:p w14:paraId="6EDA0D8E">
      <w:pPr>
        <w:rPr>
          <w:color w:val="auto"/>
          <w:highlight w:val="none"/>
        </w:rPr>
      </w:pPr>
    </w:p>
    <w:p w14:paraId="3E4703B6">
      <w:pPr>
        <w:rPr>
          <w:color w:val="auto"/>
          <w:highlight w:val="none"/>
        </w:rPr>
      </w:pPr>
    </w:p>
    <w:p w14:paraId="45663229">
      <w:pPr>
        <w:pStyle w:val="2"/>
        <w:spacing w:line="500" w:lineRule="exact"/>
        <w:jc w:val="center"/>
        <w:rPr>
          <w:color w:val="auto"/>
          <w:highlight w:val="none"/>
        </w:rPr>
      </w:pPr>
      <w:r>
        <w:rPr>
          <w:rFonts w:hint="eastAsia"/>
          <w:color w:val="auto"/>
          <w:highlight w:val="none"/>
        </w:rPr>
        <w:t>第二章供应商须知</w:t>
      </w:r>
      <w:bookmarkEnd w:id="62"/>
      <w:bookmarkEnd w:id="63"/>
    </w:p>
    <w:p w14:paraId="7C9F2EF3">
      <w:pPr>
        <w:spacing w:line="360" w:lineRule="exact"/>
        <w:jc w:val="center"/>
        <w:rPr>
          <w:rFonts w:ascii="宋体"/>
          <w:b/>
          <w:color w:val="auto"/>
          <w:sz w:val="32"/>
          <w:szCs w:val="32"/>
          <w:highlight w:val="none"/>
        </w:rPr>
      </w:pPr>
      <w:r>
        <w:rPr>
          <w:rFonts w:hint="eastAsia" w:ascii="宋体" w:hAnsi="宋体"/>
          <w:b/>
          <w:color w:val="auto"/>
          <w:sz w:val="32"/>
          <w:szCs w:val="32"/>
          <w:highlight w:val="none"/>
        </w:rPr>
        <w:t>供应商须知前附表</w:t>
      </w:r>
    </w:p>
    <w:p w14:paraId="01D91B3D">
      <w:pPr>
        <w:spacing w:line="300" w:lineRule="exact"/>
        <w:jc w:val="center"/>
        <w:rPr>
          <w:rFonts w:ascii="宋体"/>
          <w:b/>
          <w:color w:val="auto"/>
          <w:sz w:val="32"/>
          <w:szCs w:val="32"/>
          <w:highlight w:val="none"/>
        </w:rPr>
      </w:pPr>
    </w:p>
    <w:tbl>
      <w:tblPr>
        <w:tblStyle w:val="2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1948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00F6A97D">
            <w:pPr>
              <w:spacing w:line="340" w:lineRule="exact"/>
              <w:jc w:val="center"/>
              <w:rPr>
                <w:rFonts w:ascii="宋体" w:cs="宋体"/>
                <w:b/>
                <w:bCs/>
                <w:color w:val="auto"/>
                <w:szCs w:val="21"/>
                <w:highlight w:val="none"/>
              </w:rPr>
            </w:pPr>
            <w:r>
              <w:rPr>
                <w:rFonts w:hint="eastAsia" w:ascii="宋体" w:hAnsi="宋体" w:cs="宋体"/>
                <w:b/>
                <w:bCs/>
                <w:color w:val="auto"/>
                <w:szCs w:val="21"/>
                <w:highlight w:val="none"/>
              </w:rPr>
              <w:t>条款号</w:t>
            </w:r>
          </w:p>
        </w:tc>
        <w:tc>
          <w:tcPr>
            <w:tcW w:w="7912" w:type="dxa"/>
          </w:tcPr>
          <w:p w14:paraId="11D0C7FA">
            <w:pPr>
              <w:spacing w:line="340" w:lineRule="exact"/>
              <w:jc w:val="center"/>
              <w:rPr>
                <w:rFonts w:ascii="宋体" w:cs="宋体"/>
                <w:b/>
                <w:bCs/>
                <w:color w:val="auto"/>
                <w:szCs w:val="21"/>
                <w:highlight w:val="none"/>
              </w:rPr>
            </w:pPr>
            <w:r>
              <w:rPr>
                <w:rFonts w:hint="eastAsia" w:ascii="宋体" w:hAnsi="宋体" w:cs="宋体"/>
                <w:b/>
                <w:bCs/>
                <w:color w:val="auto"/>
                <w:szCs w:val="21"/>
                <w:highlight w:val="none"/>
              </w:rPr>
              <w:t>内容</w:t>
            </w:r>
          </w:p>
        </w:tc>
      </w:tr>
      <w:tr w14:paraId="68303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4CFB4D">
            <w:pPr>
              <w:spacing w:line="360" w:lineRule="auto"/>
              <w:jc w:val="center"/>
              <w:rPr>
                <w:rFonts w:ascii="宋体" w:cs="宋体"/>
                <w:color w:val="auto"/>
                <w:szCs w:val="21"/>
                <w:highlight w:val="none"/>
              </w:rPr>
            </w:pPr>
            <w:r>
              <w:rPr>
                <w:rFonts w:ascii="宋体" w:hAnsi="宋体" w:cs="宋体"/>
                <w:color w:val="auto"/>
                <w:szCs w:val="21"/>
                <w:highlight w:val="none"/>
              </w:rPr>
              <w:t>3</w:t>
            </w:r>
          </w:p>
        </w:tc>
        <w:tc>
          <w:tcPr>
            <w:tcW w:w="7912" w:type="dxa"/>
            <w:vAlign w:val="center"/>
          </w:tcPr>
          <w:p w14:paraId="46516E74">
            <w:pPr>
              <w:spacing w:line="34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供应商的资格条件：详见竞争性谈判公告</w:t>
            </w:r>
          </w:p>
          <w:p w14:paraId="3D072DFD">
            <w:pPr>
              <w:spacing w:line="34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577C2AC2">
            <w:pPr>
              <w:spacing w:line="340" w:lineRule="exact"/>
              <w:rPr>
                <w:rFonts w:ascii="宋体" w:hAns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单位负责人为同一人或者存在直接控股、管理关系的不同供应商，不得参加同一合同项下的政府采购活动。除单一来源采购项目外，为本项目提供过整体设计、规范编制或者项目管理、监理、检测等服务的供应商，不得再参加该采购项目的其他采购活动。</w:t>
            </w:r>
          </w:p>
          <w:p w14:paraId="51814B3D">
            <w:pPr>
              <w:spacing w:line="340" w:lineRule="exact"/>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对在“信用中国”网站（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）被列入失信被执行人、重大税收违法失信主体、政府采购严重违法失信行为记录名单及其他不符合《中华人民共和国政府采购法》第二十二条规定条件的供应商，不得参与政府采购活动。</w:t>
            </w:r>
          </w:p>
        </w:tc>
      </w:tr>
      <w:tr w14:paraId="2D927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92" w:type="dxa"/>
            <w:vAlign w:val="center"/>
          </w:tcPr>
          <w:p w14:paraId="1D0E6145">
            <w:pPr>
              <w:spacing w:line="340" w:lineRule="exact"/>
              <w:jc w:val="center"/>
              <w:rPr>
                <w:rFonts w:ascii="宋体" w:cs="宋体"/>
                <w:color w:val="auto"/>
                <w:szCs w:val="21"/>
                <w:highlight w:val="none"/>
              </w:rPr>
            </w:pPr>
            <w:r>
              <w:rPr>
                <w:rFonts w:ascii="宋体" w:hAnsi="宋体" w:cs="宋体"/>
                <w:color w:val="auto"/>
                <w:szCs w:val="21"/>
                <w:highlight w:val="none"/>
              </w:rPr>
              <w:t>5.1</w:t>
            </w:r>
          </w:p>
        </w:tc>
        <w:tc>
          <w:tcPr>
            <w:tcW w:w="7912" w:type="dxa"/>
            <w:vAlign w:val="center"/>
          </w:tcPr>
          <w:p w14:paraId="4BB65973">
            <w:pPr>
              <w:spacing w:line="340" w:lineRule="exact"/>
              <w:jc w:val="left"/>
              <w:rPr>
                <w:rFonts w:ascii="宋体" w:cs="宋体"/>
                <w:color w:val="auto"/>
                <w:szCs w:val="21"/>
                <w:highlight w:val="none"/>
              </w:rPr>
            </w:pPr>
            <w:r>
              <w:rPr>
                <w:rFonts w:hint="eastAsia" w:ascii="宋体" w:hAnsi="宋体" w:cs="宋体"/>
                <w:color w:val="auto"/>
                <w:szCs w:val="21"/>
                <w:highlight w:val="none"/>
              </w:rPr>
              <w:t>是否接受联合体竞标：详见竞争性谈判公告</w:t>
            </w:r>
          </w:p>
        </w:tc>
      </w:tr>
      <w:tr w14:paraId="5AD87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3633E1">
            <w:pPr>
              <w:spacing w:line="360" w:lineRule="auto"/>
              <w:jc w:val="center"/>
              <w:rPr>
                <w:rFonts w:ascii="宋体" w:cs="宋体"/>
                <w:color w:val="auto"/>
                <w:szCs w:val="21"/>
                <w:highlight w:val="none"/>
              </w:rPr>
            </w:pPr>
            <w:r>
              <w:rPr>
                <w:rFonts w:ascii="宋体" w:hAnsi="宋体" w:cs="宋体"/>
                <w:color w:val="auto"/>
                <w:szCs w:val="21"/>
                <w:highlight w:val="none"/>
              </w:rPr>
              <w:t>5.2</w:t>
            </w:r>
          </w:p>
        </w:tc>
        <w:tc>
          <w:tcPr>
            <w:tcW w:w="7912" w:type="dxa"/>
            <w:vAlign w:val="center"/>
          </w:tcPr>
          <w:p w14:paraId="487119C7">
            <w:pPr>
              <w:spacing w:line="340" w:lineRule="exact"/>
              <w:rPr>
                <w:rFonts w:ascii="宋体" w:cs="宋体"/>
                <w:color w:val="auto"/>
                <w:szCs w:val="21"/>
                <w:highlight w:val="none"/>
              </w:rPr>
            </w:pPr>
            <w:r>
              <w:rPr>
                <w:rFonts w:hint="eastAsia" w:ascii="宋体" w:hAnsi="宋体"/>
                <w:color w:val="auto"/>
                <w:szCs w:val="21"/>
                <w:highlight w:val="none"/>
              </w:rPr>
              <w:t>如接受联合体竞标，联合体竞标要求如下（如不接受联合体竞标的，此条忽略）：</w:t>
            </w:r>
          </w:p>
          <w:p w14:paraId="35F6B55F">
            <w:pPr>
              <w:spacing w:line="340" w:lineRule="exact"/>
              <w:rPr>
                <w:rFonts w:ascii="宋体" w:cs="宋体"/>
                <w:color w:val="auto"/>
                <w:szCs w:val="21"/>
                <w:highlight w:val="none"/>
              </w:rPr>
            </w:pPr>
            <w:r>
              <w:rPr>
                <w:rFonts w:ascii="宋体" w:hAnsi="宋体" w:cs="宋体"/>
                <w:color w:val="auto"/>
                <w:szCs w:val="21"/>
                <w:highlight w:val="none"/>
              </w:rPr>
              <w:t>1</w:t>
            </w:r>
            <w:r>
              <w:rPr>
                <w:rFonts w:asci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5498BB54">
            <w:pPr>
              <w:spacing w:line="340" w:lineRule="exact"/>
              <w:rPr>
                <w:rFonts w:ascii="宋体" w:cs="宋体"/>
                <w:color w:val="auto"/>
                <w:szCs w:val="21"/>
                <w:highlight w:val="none"/>
              </w:rPr>
            </w:pPr>
            <w:r>
              <w:rPr>
                <w:rFonts w:ascii="宋体" w:hAnsi="宋体" w:cs="宋体"/>
                <w:color w:val="auto"/>
                <w:szCs w:val="21"/>
                <w:highlight w:val="none"/>
              </w:rPr>
              <w:t>2</w:t>
            </w:r>
            <w:r>
              <w:rPr>
                <w:rFonts w:ascii="宋体" w:cs="宋体"/>
                <w:color w:val="auto"/>
                <w:szCs w:val="21"/>
                <w:highlight w:val="none"/>
              </w:rPr>
              <w:t>.</w:t>
            </w:r>
            <w:r>
              <w:rPr>
                <w:rFonts w:hint="eastAsia" w:ascii="宋体" w:hAnsi="宋体" w:cs="宋体"/>
                <w:color w:val="auto"/>
                <w:szCs w:val="21"/>
                <w:highlight w:val="none"/>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14:paraId="025759BD">
            <w:pPr>
              <w:spacing w:line="340" w:lineRule="exact"/>
              <w:rPr>
                <w:rFonts w:ascii="宋体" w:cs="宋体"/>
                <w:color w:val="auto"/>
                <w:szCs w:val="21"/>
                <w:highlight w:val="none"/>
              </w:rPr>
            </w:pPr>
            <w:r>
              <w:rPr>
                <w:rFonts w:ascii="宋体" w:hAnsi="宋体" w:cs="宋体"/>
                <w:color w:val="auto"/>
                <w:szCs w:val="21"/>
                <w:highlight w:val="none"/>
              </w:rPr>
              <w:t>3</w:t>
            </w:r>
            <w:r>
              <w:rPr>
                <w:rFonts w:asci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14:paraId="6C1A616D">
            <w:pPr>
              <w:spacing w:line="340" w:lineRule="exact"/>
              <w:rPr>
                <w:rFonts w:ascii="宋体" w:cs="宋体"/>
                <w:color w:val="auto"/>
                <w:szCs w:val="21"/>
                <w:highlight w:val="none"/>
              </w:rPr>
            </w:pPr>
            <w:r>
              <w:rPr>
                <w:rFonts w:ascii="宋体" w:hAnsi="宋体" w:cs="宋体"/>
                <w:color w:val="auto"/>
                <w:szCs w:val="21"/>
                <w:highlight w:val="none"/>
              </w:rPr>
              <w:t>4</w:t>
            </w:r>
            <w:r>
              <w:rPr>
                <w:rFonts w:asci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4B189486">
            <w:pPr>
              <w:spacing w:line="340" w:lineRule="exact"/>
              <w:rPr>
                <w:rFonts w:ascii="宋体" w:cs="宋体"/>
                <w:color w:val="auto"/>
                <w:szCs w:val="21"/>
                <w:highlight w:val="none"/>
              </w:rPr>
            </w:pPr>
            <w:r>
              <w:rPr>
                <w:rFonts w:ascii="宋体" w:hAnsi="宋体" w:cs="宋体"/>
                <w:color w:val="auto"/>
                <w:szCs w:val="21"/>
                <w:highlight w:val="none"/>
              </w:rPr>
              <w:t>5</w:t>
            </w:r>
            <w:r>
              <w:rPr>
                <w:rFonts w:asci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0906C840">
            <w:pPr>
              <w:spacing w:line="340" w:lineRule="exact"/>
              <w:rPr>
                <w:rFonts w:ascii="宋体" w:cs="宋体"/>
                <w:color w:val="auto"/>
                <w:szCs w:val="21"/>
                <w:highlight w:val="none"/>
              </w:rPr>
            </w:pPr>
            <w:r>
              <w:rPr>
                <w:rFonts w:ascii="宋体" w:hAnsi="宋体" w:cs="宋体"/>
                <w:color w:val="auto"/>
                <w:szCs w:val="21"/>
                <w:highlight w:val="none"/>
              </w:rPr>
              <w:t>6</w:t>
            </w:r>
            <w:r>
              <w:rPr>
                <w:rFonts w:asci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w:t>
            </w:r>
          </w:p>
          <w:p w14:paraId="643D047B">
            <w:pPr>
              <w:spacing w:line="340" w:lineRule="exact"/>
              <w:rPr>
                <w:rFonts w:ascii="宋体" w:cs="宋体"/>
                <w:color w:val="auto"/>
                <w:szCs w:val="21"/>
                <w:highlight w:val="none"/>
              </w:rPr>
            </w:pPr>
            <w:r>
              <w:rPr>
                <w:rFonts w:ascii="宋体" w:hAnsi="宋体" w:cs="宋体"/>
                <w:color w:val="auto"/>
                <w:szCs w:val="21"/>
                <w:highlight w:val="none"/>
              </w:rPr>
              <w:t>7</w:t>
            </w:r>
            <w:r>
              <w:rPr>
                <w:rFonts w:asci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供应商为联合体的，可以由联合体中的一方或者多方共同交纳保证金，其交纳的保证金对联合体各方均具有约束力。</w:t>
            </w:r>
          </w:p>
          <w:p w14:paraId="13E1DC98">
            <w:pPr>
              <w:spacing w:line="340" w:lineRule="exact"/>
              <w:rPr>
                <w:rFonts w:ascii="宋体" w:cs="宋体"/>
                <w:color w:val="auto"/>
                <w:szCs w:val="21"/>
                <w:highlight w:val="none"/>
              </w:rPr>
            </w:pPr>
            <w:r>
              <w:rPr>
                <w:rFonts w:ascii="宋体" w:hAnsi="宋体" w:cs="宋体"/>
                <w:color w:val="auto"/>
                <w:szCs w:val="21"/>
                <w:highlight w:val="none"/>
              </w:rPr>
              <w:t>8</w:t>
            </w:r>
            <w:r>
              <w:rPr>
                <w:rFonts w:ascii="宋体" w:cs="宋体"/>
                <w:color w:val="auto"/>
                <w:szCs w:val="21"/>
                <w:highlight w:val="none"/>
              </w:rPr>
              <w:t>.</w:t>
            </w:r>
            <w:r>
              <w:rPr>
                <w:rFonts w:hint="eastAsia" w:ascii="宋体" w:hAnsi="宋体" w:cs="宋体"/>
                <w:color w:val="auto"/>
                <w:szCs w:val="21"/>
                <w:highlight w:val="none"/>
              </w:rPr>
              <w:t>联合体各方均应按照谈判文件的规定分别提交资格证明文件。</w:t>
            </w:r>
          </w:p>
        </w:tc>
      </w:tr>
      <w:tr w14:paraId="65F99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F3894A">
            <w:pPr>
              <w:spacing w:line="360" w:lineRule="auto"/>
              <w:jc w:val="center"/>
              <w:rPr>
                <w:rFonts w:ascii="宋体" w:cs="宋体"/>
                <w:color w:val="auto"/>
                <w:szCs w:val="21"/>
                <w:highlight w:val="none"/>
              </w:rPr>
            </w:pPr>
            <w:r>
              <w:rPr>
                <w:rFonts w:ascii="宋体" w:hAnsi="宋体" w:cs="宋体"/>
                <w:color w:val="auto"/>
                <w:szCs w:val="21"/>
                <w:highlight w:val="none"/>
              </w:rPr>
              <w:t>6.2</w:t>
            </w:r>
          </w:p>
        </w:tc>
        <w:tc>
          <w:tcPr>
            <w:tcW w:w="7912" w:type="dxa"/>
            <w:vAlign w:val="center"/>
          </w:tcPr>
          <w:p w14:paraId="42E6B100">
            <w:pPr>
              <w:pStyle w:val="8"/>
              <w:spacing w:line="340" w:lineRule="exact"/>
              <w:rPr>
                <w:color w:val="auto"/>
                <w:highlight w:val="none"/>
              </w:rPr>
            </w:pPr>
            <w:r>
              <w:rPr>
                <w:color w:val="auto"/>
                <w:highlight w:val="none"/>
              </w:rPr>
              <w:fldChar w:fldCharType="begin"/>
            </w:r>
            <w:r>
              <w:rPr>
                <w:color w:val="auto"/>
                <w:highlight w:val="none"/>
              </w:rPr>
              <w:instrText xml:space="preserve"> eq \o\ac(</w:instrText>
            </w:r>
            <w:r>
              <w:rPr>
                <w:rFonts w:hint="eastAsia"/>
                <w:color w:val="auto"/>
                <w:highlight w:val="none"/>
              </w:rPr>
              <w:instrText xml:space="preserve">□</w:instrText>
            </w:r>
            <w:r>
              <w:rPr>
                <w:color w:val="auto"/>
                <w:highlight w:val="none"/>
              </w:rPr>
              <w:instrText xml:space="preserve">,</w:instrText>
            </w:r>
            <w:r>
              <w:rPr>
                <w:rFonts w:hint="eastAsia" w:ascii="宋体"/>
                <w:color w:val="auto"/>
                <w:position w:val="1"/>
                <w:sz w:val="14"/>
                <w:highlight w:val="none"/>
              </w:rPr>
              <w:instrText xml:space="preserve">√</w:instrText>
            </w:r>
            <w:r>
              <w:rPr>
                <w:color w:val="auto"/>
                <w:highlight w:val="none"/>
              </w:rPr>
              <w:instrText xml:space="preserve">)</w:instrText>
            </w:r>
            <w:r>
              <w:rPr>
                <w:color w:val="auto"/>
                <w:highlight w:val="none"/>
              </w:rPr>
              <w:fldChar w:fldCharType="end"/>
            </w:r>
            <w:r>
              <w:rPr>
                <w:rFonts w:hint="eastAsia"/>
                <w:color w:val="auto"/>
                <w:highlight w:val="none"/>
              </w:rPr>
              <w:t>不允许分包</w:t>
            </w:r>
          </w:p>
          <w:p w14:paraId="27213407">
            <w:pPr>
              <w:pStyle w:val="8"/>
              <w:spacing w:line="340" w:lineRule="exact"/>
              <w:rPr>
                <w:color w:val="auto"/>
                <w:highlight w:val="none"/>
              </w:rPr>
            </w:pPr>
            <w:r>
              <w:rPr>
                <w:rFonts w:hint="eastAsia"/>
                <w:color w:val="auto"/>
                <w:highlight w:val="none"/>
              </w:rPr>
              <w:t>□允许分包</w:t>
            </w:r>
          </w:p>
          <w:p w14:paraId="3FD5C104">
            <w:pPr>
              <w:pStyle w:val="8"/>
              <w:spacing w:line="340" w:lineRule="exact"/>
              <w:rPr>
                <w:color w:val="auto"/>
                <w:highlight w:val="none"/>
                <w:u w:val="single"/>
              </w:rPr>
            </w:pPr>
            <w:r>
              <w:rPr>
                <w:rFonts w:hint="eastAsia"/>
                <w:color w:val="auto"/>
                <w:highlight w:val="none"/>
              </w:rPr>
              <w:t>分包内容：</w:t>
            </w:r>
            <w:r>
              <w:rPr>
                <w:rFonts w:hint="eastAsia"/>
                <w:color w:val="auto"/>
                <w:highlight w:val="none"/>
                <w:u w:val="single"/>
              </w:rPr>
              <w:t xml:space="preserve">  \  </w:t>
            </w:r>
            <w:r>
              <w:rPr>
                <w:rFonts w:hint="eastAsia"/>
                <w:color w:val="auto"/>
                <w:highlight w:val="none"/>
              </w:rPr>
              <w:t>。</w:t>
            </w:r>
          </w:p>
          <w:p w14:paraId="065A9371">
            <w:pPr>
              <w:pStyle w:val="8"/>
              <w:spacing w:line="340" w:lineRule="exact"/>
              <w:rPr>
                <w:color w:val="auto"/>
                <w:highlight w:val="none"/>
                <w:u w:val="single"/>
              </w:rPr>
            </w:pPr>
            <w:r>
              <w:rPr>
                <w:rFonts w:hint="eastAsia"/>
                <w:color w:val="auto"/>
                <w:highlight w:val="none"/>
              </w:rPr>
              <w:t>分包金额或者比例：</w:t>
            </w:r>
            <w:r>
              <w:rPr>
                <w:rFonts w:hint="eastAsia"/>
                <w:color w:val="auto"/>
                <w:highlight w:val="none"/>
                <w:u w:val="single"/>
              </w:rPr>
              <w:t xml:space="preserve">   \  </w:t>
            </w:r>
            <w:r>
              <w:rPr>
                <w:rFonts w:hint="eastAsia"/>
                <w:color w:val="auto"/>
                <w:highlight w:val="none"/>
              </w:rPr>
              <w:t>。</w:t>
            </w:r>
          </w:p>
          <w:p w14:paraId="5BD7197C">
            <w:pPr>
              <w:pStyle w:val="8"/>
              <w:spacing w:line="340" w:lineRule="exact"/>
              <w:rPr>
                <w:color w:val="auto"/>
                <w:highlight w:val="none"/>
                <w:u w:val="single"/>
              </w:rPr>
            </w:pPr>
            <w:r>
              <w:rPr>
                <w:rFonts w:hint="eastAsia" w:ascii="宋体" w:hAnsi="宋体"/>
                <w:color w:val="auto"/>
                <w:highlight w:val="none"/>
              </w:rPr>
              <w:t>分包供应商必须具备的资质：</w:t>
            </w:r>
            <w:r>
              <w:rPr>
                <w:rFonts w:hint="eastAsia" w:ascii="宋体" w:hAnsi="宋体"/>
                <w:color w:val="auto"/>
                <w:highlight w:val="none"/>
                <w:u w:val="single"/>
              </w:rPr>
              <w:t xml:space="preserve">   \   </w:t>
            </w:r>
            <w:r>
              <w:rPr>
                <w:rFonts w:hint="eastAsia" w:ascii="宋体" w:hAnsi="宋体"/>
                <w:color w:val="auto"/>
                <w:highlight w:val="none"/>
              </w:rPr>
              <w:t>。</w:t>
            </w:r>
          </w:p>
        </w:tc>
      </w:tr>
      <w:tr w14:paraId="4AF78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02CD95">
            <w:pPr>
              <w:spacing w:line="360" w:lineRule="auto"/>
              <w:jc w:val="center"/>
              <w:rPr>
                <w:rFonts w:ascii="宋体" w:cs="宋体"/>
                <w:color w:val="auto"/>
                <w:szCs w:val="21"/>
                <w:highlight w:val="none"/>
              </w:rPr>
            </w:pPr>
            <w:r>
              <w:rPr>
                <w:rFonts w:ascii="宋体" w:hAnsi="宋体" w:cs="宋体"/>
                <w:color w:val="auto"/>
                <w:szCs w:val="21"/>
                <w:highlight w:val="none"/>
              </w:rPr>
              <w:t>7.1</w:t>
            </w:r>
          </w:p>
        </w:tc>
        <w:tc>
          <w:tcPr>
            <w:tcW w:w="7912" w:type="dxa"/>
            <w:vAlign w:val="center"/>
          </w:tcPr>
          <w:p w14:paraId="0D959E6E">
            <w:pPr>
              <w:autoSpaceDE w:val="0"/>
              <w:autoSpaceDN w:val="0"/>
              <w:snapToGrid w:val="0"/>
              <w:spacing w:line="340" w:lineRule="exact"/>
              <w:textAlignment w:val="bottom"/>
              <w:rPr>
                <w:rFonts w:ascii="宋体"/>
                <w:color w:val="auto"/>
                <w:szCs w:val="21"/>
                <w:highlight w:val="none"/>
              </w:rPr>
            </w:pPr>
            <w:r>
              <w:rPr>
                <w:rFonts w:hint="eastAsia" w:ascii="宋体" w:hAnsi="宋体"/>
                <w:color w:val="auto"/>
                <w:szCs w:val="21"/>
                <w:highlight w:val="none"/>
              </w:rPr>
              <w:t>提供相同品牌产品（非单一产品采购项目的，指核心产品）的不同供应商最后报价相同时，按照下列方式确定一个供应商获得成交供应商推荐资格：</w:t>
            </w:r>
          </w:p>
          <w:p w14:paraId="3FEB9882">
            <w:pPr>
              <w:autoSpaceDE w:val="0"/>
              <w:autoSpaceDN w:val="0"/>
              <w:snapToGrid w:val="0"/>
              <w:spacing w:line="340" w:lineRule="exact"/>
              <w:textAlignment w:val="bottom"/>
              <w:rPr>
                <w:rFonts w:ascii="宋体"/>
                <w:color w:val="auto"/>
                <w:szCs w:val="21"/>
                <w:highlight w:val="none"/>
              </w:rPr>
            </w:pPr>
            <w:r>
              <w:rPr>
                <w:rFonts w:hint="eastAsia" w:ascii="宋体" w:hAnsi="宋体"/>
                <w:color w:val="auto"/>
                <w:highlight w:val="none"/>
              </w:rPr>
              <w:t>□</w:t>
            </w:r>
            <w:r>
              <w:rPr>
                <w:rFonts w:hint="eastAsia" w:ascii="宋体" w:hAnsi="宋体"/>
                <w:color w:val="auto"/>
                <w:szCs w:val="21"/>
                <w:highlight w:val="none"/>
              </w:rPr>
              <w:t>随机抽取；</w:t>
            </w:r>
          </w:p>
          <w:p w14:paraId="4C46960E">
            <w:pPr>
              <w:pStyle w:val="8"/>
              <w:spacing w:line="340" w:lineRule="exact"/>
              <w:rPr>
                <w:rFonts w:ascii="宋体"/>
                <w:color w:val="auto"/>
                <w:highlight w:val="none"/>
              </w:rPr>
            </w:pPr>
            <w:r>
              <w:rPr>
                <w:color w:val="auto"/>
                <w:highlight w:val="none"/>
              </w:rPr>
              <w:fldChar w:fldCharType="begin"/>
            </w:r>
            <w:r>
              <w:rPr>
                <w:color w:val="auto"/>
                <w:highlight w:val="none"/>
              </w:rPr>
              <w:instrText xml:space="preserve"> eq \o\ac(</w:instrText>
            </w:r>
            <w:r>
              <w:rPr>
                <w:rFonts w:hint="eastAsia"/>
                <w:color w:val="auto"/>
                <w:highlight w:val="none"/>
              </w:rPr>
              <w:instrText xml:space="preserve">□</w:instrText>
            </w:r>
            <w:r>
              <w:rPr>
                <w:color w:val="auto"/>
                <w:highlight w:val="none"/>
              </w:rPr>
              <w:instrText xml:space="preserve">,</w:instrText>
            </w:r>
            <w:r>
              <w:rPr>
                <w:rFonts w:hint="eastAsia" w:ascii="宋体"/>
                <w:color w:val="auto"/>
                <w:position w:val="1"/>
                <w:sz w:val="14"/>
                <w:highlight w:val="none"/>
              </w:rPr>
              <w:instrText xml:space="preserve">√</w:instrText>
            </w:r>
            <w:r>
              <w:rPr>
                <w:color w:val="auto"/>
                <w:highlight w:val="none"/>
              </w:rPr>
              <w:instrText xml:space="preserve">)</w:instrText>
            </w:r>
            <w:r>
              <w:rPr>
                <w:color w:val="auto"/>
                <w:highlight w:val="none"/>
              </w:rPr>
              <w:fldChar w:fldCharType="end"/>
            </w:r>
            <w:r>
              <w:rPr>
                <w:color w:val="auto"/>
                <w:highlight w:val="none"/>
              </w:rPr>
              <w:t>依次按评审报价低的优先、节能、环保产品累计金额高的优先、正偏离项数多的优先、</w:t>
            </w:r>
            <w:r>
              <w:rPr>
                <w:rFonts w:hint="eastAsia"/>
                <w:color w:val="auto"/>
                <w:highlight w:val="none"/>
              </w:rPr>
              <w:t>保修期</w:t>
            </w:r>
            <w:r>
              <w:rPr>
                <w:color w:val="auto"/>
                <w:highlight w:val="none"/>
              </w:rPr>
              <w:t>长优先、</w:t>
            </w:r>
            <w:r>
              <w:rPr>
                <w:rFonts w:hint="eastAsia" w:ascii="宋体" w:hAnsi="宋体"/>
                <w:color w:val="auto"/>
                <w:highlight w:val="none"/>
              </w:rPr>
              <w:t>交付时间</w:t>
            </w:r>
            <w:r>
              <w:rPr>
                <w:color w:val="auto"/>
                <w:highlight w:val="none"/>
              </w:rPr>
              <w:t>短优先、故障响应时间短优先的顺序推荐。</w:t>
            </w:r>
          </w:p>
        </w:tc>
      </w:tr>
      <w:tr w14:paraId="76F4D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0F7F1B">
            <w:pPr>
              <w:spacing w:line="360" w:lineRule="auto"/>
              <w:jc w:val="center"/>
              <w:rPr>
                <w:rFonts w:ascii="宋体" w:cs="宋体"/>
                <w:color w:val="auto"/>
                <w:szCs w:val="21"/>
                <w:highlight w:val="none"/>
              </w:rPr>
            </w:pPr>
            <w:r>
              <w:rPr>
                <w:rFonts w:ascii="宋体" w:hAnsi="宋体" w:cs="宋体"/>
                <w:color w:val="auto"/>
                <w:szCs w:val="21"/>
                <w:highlight w:val="none"/>
              </w:rPr>
              <w:t>12.1.1</w:t>
            </w:r>
          </w:p>
        </w:tc>
        <w:tc>
          <w:tcPr>
            <w:tcW w:w="7912" w:type="dxa"/>
            <w:vAlign w:val="center"/>
          </w:tcPr>
          <w:p w14:paraId="0E8BDD44">
            <w:pPr>
              <w:snapToGrid w:val="0"/>
              <w:spacing w:line="340" w:lineRule="exact"/>
              <w:jc w:val="left"/>
              <w:rPr>
                <w:rFonts w:ascii="宋体" w:cs="宋体"/>
                <w:b/>
                <w:color w:val="auto"/>
                <w:szCs w:val="21"/>
                <w:highlight w:val="none"/>
              </w:rPr>
            </w:pPr>
            <w:r>
              <w:rPr>
                <w:rFonts w:hint="eastAsia" w:ascii="宋体" w:hAnsi="宋体" w:cs="宋体"/>
                <w:b/>
                <w:color w:val="auto"/>
                <w:szCs w:val="21"/>
                <w:highlight w:val="none"/>
              </w:rPr>
              <w:t>资格证明文件</w:t>
            </w:r>
          </w:p>
          <w:p w14:paraId="26B444DC">
            <w:pPr>
              <w:snapToGrid w:val="0"/>
              <w:spacing w:line="340" w:lineRule="exact"/>
              <w:jc w:val="lef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供应商为法人或者其他组织的提供其营业执照等证明文件（如营业执照或者事业单位法人证书或者执业许可证或者登记证书等；</w:t>
            </w:r>
            <w:r>
              <w:rPr>
                <w:rFonts w:ascii="宋体" w:hAnsi="宋体" w:cs="宋体"/>
                <w:color w:val="auto"/>
                <w:szCs w:val="21"/>
                <w:highlight w:val="none"/>
              </w:rPr>
              <w:t>供应商为分公司参与</w:t>
            </w:r>
            <w:r>
              <w:rPr>
                <w:rFonts w:hint="eastAsia" w:ascii="宋体" w:hAnsi="宋体" w:cs="宋体"/>
                <w:color w:val="auto"/>
                <w:szCs w:val="21"/>
                <w:highlight w:val="none"/>
              </w:rPr>
              <w:t>谈判</w:t>
            </w:r>
            <w:r>
              <w:rPr>
                <w:rFonts w:ascii="宋体" w:hAnsi="宋体" w:cs="宋体"/>
                <w:color w:val="auto"/>
                <w:szCs w:val="21"/>
                <w:highlight w:val="none"/>
              </w:rPr>
              <w:t>的，必须取得总公司授权，并于</w:t>
            </w:r>
            <w:r>
              <w:rPr>
                <w:rFonts w:hint="eastAsia" w:ascii="宋体" w:hAnsi="宋体" w:cs="宋体"/>
                <w:color w:val="auto"/>
                <w:szCs w:val="21"/>
                <w:highlight w:val="none"/>
              </w:rPr>
              <w:t>响应</w:t>
            </w:r>
            <w:r>
              <w:rPr>
                <w:rFonts w:ascii="宋体" w:hAnsi="宋体" w:cs="宋体"/>
                <w:color w:val="auto"/>
                <w:szCs w:val="21"/>
                <w:highlight w:val="none"/>
              </w:rPr>
              <w:t>文件中提供相应总公司法人授权书原件</w:t>
            </w:r>
            <w:r>
              <w:rPr>
                <w:rFonts w:hint="eastAsia" w:ascii="宋体" w:hAnsi="宋体" w:cs="宋体"/>
                <w:color w:val="auto"/>
                <w:szCs w:val="21"/>
                <w:highlight w:val="none"/>
              </w:rPr>
              <w:t>扫描件），供应商为自然人的提供其身份证复印件；（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CC26683">
            <w:pPr>
              <w:spacing w:line="340" w:lineRule="exact"/>
              <w:contextualSpacing/>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olor w:val="auto"/>
                <w:highlight w:val="none"/>
              </w:rPr>
              <w:t>供应商依法缴纳税收的相关材料（2025年1月以来任意1个月的依法缴纳税收的证明材料复印件；依法免税的供应商，必须提供符合免税条件的证明材料。从成立之日起到响应文件提交截止时间止不足要求月数的，则无需提供）；</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8E3B170">
            <w:pPr>
              <w:spacing w:line="340" w:lineRule="exact"/>
              <w:contextualSpacing/>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依法缴纳社会保障资金的相关材料[2025年1月以来任意1个月的依法缴纳社会保障资金的缴费证明材料（专用收据、社会保险缴纳清单或社保部门的证明）复印件；依法不需要缴纳社会保障资金的供应商，必须提供相应文件证明不需要缴纳社会保障资金。从成立之日起到响应文件提交截止时间止不足要求月数的，则无需提供] ；（</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21B0DA6">
            <w:pPr>
              <w:spacing w:line="340" w:lineRule="exact"/>
              <w:contextualSpacing/>
              <w:jc w:val="left"/>
              <w:rPr>
                <w:rFonts w:asci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供应商财务状况报告【2024年度的财务报表复印件，或者2025年以来银行出具的资信证明，或者中国人民银行征信中心出具的信用报告（企业竞标的提供企业信用报告，自然人竞标的提供个人信用报告）；供应商属于成立时间在规定年度之后的法人或其他组织，需提供成立之日起至响应文件提交截止时间前的月报表或银行出具的资信证明或者中国人民银行征信中心出具的企业信用报告】；</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72E76BCC">
            <w:pPr>
              <w:snapToGrid w:val="0"/>
              <w:spacing w:line="340" w:lineRule="exact"/>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31F70CA">
            <w:pPr>
              <w:snapToGrid w:val="0"/>
              <w:spacing w:line="340" w:lineRule="exact"/>
              <w:jc w:val="lef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836BCA3">
            <w:pPr>
              <w:snapToGrid w:val="0"/>
              <w:spacing w:line="340" w:lineRule="exact"/>
              <w:jc w:val="left"/>
              <w:rPr>
                <w:rFonts w:ascii="宋体" w:cs="宋体"/>
                <w:color w:val="auto"/>
                <w:szCs w:val="21"/>
                <w:highlight w:val="none"/>
              </w:rPr>
            </w:pPr>
            <w:r>
              <w:rPr>
                <w:rFonts w:ascii="宋体" w:hAnsi="宋体" w:cs="宋体"/>
                <w:color w:val="auto"/>
                <w:szCs w:val="21"/>
                <w:highlight w:val="none"/>
              </w:rPr>
              <w:t>7</w:t>
            </w:r>
            <w:r>
              <w:rPr>
                <w:rFonts w:ascii="宋体" w:cs="宋体"/>
                <w:color w:val="auto"/>
                <w:szCs w:val="21"/>
                <w:highlight w:val="none"/>
              </w:rPr>
              <w:t>.</w:t>
            </w:r>
            <w:r>
              <w:rPr>
                <w:rFonts w:hint="eastAsia" w:ascii="宋体" w:hAnsi="宋体" w:cs="宋体"/>
                <w:color w:val="auto"/>
                <w:szCs w:val="21"/>
                <w:highlight w:val="none"/>
              </w:rPr>
              <w:t>联合体竞标协议书（格式后附）；（</w:t>
            </w:r>
            <w:r>
              <w:rPr>
                <w:rFonts w:hint="eastAsia" w:ascii="宋体" w:hAnsi="宋体" w:cs="宋体"/>
                <w:b/>
                <w:color w:val="auto"/>
                <w:szCs w:val="21"/>
                <w:highlight w:val="none"/>
              </w:rPr>
              <w:t>联合体竞标时必须提供，否则响应文件按无效处理；不接受联合体的请忽略</w:t>
            </w:r>
            <w:r>
              <w:rPr>
                <w:rFonts w:hint="eastAsia" w:ascii="宋体" w:hAnsi="宋体" w:cs="宋体"/>
                <w:color w:val="auto"/>
                <w:szCs w:val="21"/>
                <w:highlight w:val="none"/>
              </w:rPr>
              <w:t>）</w:t>
            </w:r>
          </w:p>
          <w:p w14:paraId="46EFAF74">
            <w:pPr>
              <w:snapToGrid w:val="0"/>
              <w:spacing w:line="340" w:lineRule="exact"/>
              <w:jc w:val="left"/>
              <w:rPr>
                <w:rFonts w:ascii="宋体"/>
                <w:i/>
                <w:color w:val="auto"/>
                <w:szCs w:val="21"/>
                <w:highlight w:val="none"/>
              </w:rPr>
            </w:pPr>
            <w:r>
              <w:rPr>
                <w:rFonts w:ascii="宋体" w:hAnsi="宋体"/>
                <w:color w:val="auto"/>
                <w:szCs w:val="21"/>
                <w:highlight w:val="none"/>
              </w:rPr>
              <w:t>8.</w:t>
            </w:r>
            <w:r>
              <w:rPr>
                <w:rFonts w:hint="eastAsia" w:ascii="宋体" w:hAnsi="宋体" w:cs="宋体"/>
                <w:color w:val="auto"/>
                <w:szCs w:val="21"/>
                <w:highlight w:val="none"/>
              </w:rPr>
              <w:t>除谈判文件规定必须提供以外，供应商认为需要提供的其他证明材料。</w:t>
            </w:r>
          </w:p>
          <w:p w14:paraId="742AC0BE">
            <w:pPr>
              <w:snapToGrid w:val="0"/>
              <w:spacing w:line="340" w:lineRule="exact"/>
              <w:jc w:val="left"/>
              <w:rPr>
                <w:rFonts w:ascii="宋体" w:cs="宋体"/>
                <w:b/>
                <w:color w:val="auto"/>
                <w:szCs w:val="21"/>
                <w:highlight w:val="none"/>
              </w:rPr>
            </w:pPr>
            <w:r>
              <w:rPr>
                <w:rFonts w:hint="eastAsia" w:ascii="宋体" w:hAnsi="宋体" w:cs="宋体"/>
                <w:b/>
                <w:color w:val="auto"/>
                <w:szCs w:val="21"/>
                <w:highlight w:val="none"/>
              </w:rPr>
              <w:t>注：</w:t>
            </w:r>
          </w:p>
          <w:p w14:paraId="27311D6E">
            <w:pPr>
              <w:snapToGrid w:val="0"/>
              <w:spacing w:line="340" w:lineRule="exact"/>
              <w:jc w:val="left"/>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必须提供的材料在第五章“响应文件格式”中有要求法定代表人或委托代理人签字的，必须由法定代表人或委托代理人签字</w:t>
            </w:r>
            <w:r>
              <w:rPr>
                <w:rFonts w:hint="eastAsia" w:ascii="宋体" w:hAnsi="宋体"/>
                <w:b/>
                <w:bCs/>
                <w:color w:val="auto"/>
                <w:szCs w:val="21"/>
                <w:highlight w:val="none"/>
              </w:rPr>
              <w:t>（或者电子签名），其中“竞标声明”必须由法定代表人在规定位置上签字或者签章（或电子签名），</w:t>
            </w:r>
            <w:r>
              <w:rPr>
                <w:rFonts w:hint="eastAsia" w:ascii="宋体" w:hAnsi="宋体" w:cs="宋体"/>
                <w:b/>
                <w:color w:val="auto"/>
                <w:szCs w:val="21"/>
                <w:highlight w:val="none"/>
              </w:rPr>
              <w:t>否则响应文件按无效处理。</w:t>
            </w:r>
          </w:p>
          <w:p w14:paraId="2242C7B9">
            <w:pPr>
              <w:snapToGrid w:val="0"/>
              <w:spacing w:line="340" w:lineRule="exact"/>
              <w:jc w:val="left"/>
              <w:rPr>
                <w:rFonts w:ascii="宋体" w:hAns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联合体竞标时，第</w:t>
            </w:r>
            <w:r>
              <w:rPr>
                <w:rFonts w:ascii="宋体" w:hAnsi="宋体" w:cs="宋体"/>
                <w:b/>
                <w:color w:val="auto"/>
                <w:szCs w:val="21"/>
                <w:highlight w:val="none"/>
              </w:rPr>
              <w:t>1-5</w:t>
            </w:r>
            <w:r>
              <w:rPr>
                <w:rFonts w:hint="eastAsia" w:ascii="宋体" w:hAnsi="宋体" w:cs="宋体"/>
                <w:b/>
                <w:color w:val="auto"/>
                <w:szCs w:val="21"/>
                <w:highlight w:val="none"/>
              </w:rPr>
              <w:t>项资格证明文件联合体各方均必须分别提供，</w:t>
            </w:r>
            <w:r>
              <w:rPr>
                <w:rFonts w:hint="eastAsia"/>
                <w:b/>
                <w:color w:val="auto"/>
                <w:highlight w:val="none"/>
              </w:rPr>
              <w:t>并由</w:t>
            </w:r>
            <w:r>
              <w:rPr>
                <w:rFonts w:hint="eastAsia" w:ascii="宋体" w:hAnsi="宋体" w:cs="宋体"/>
                <w:b/>
                <w:color w:val="auto"/>
                <w:szCs w:val="21"/>
                <w:highlight w:val="none"/>
              </w:rPr>
              <w:t>联合体</w:t>
            </w:r>
            <w:r>
              <w:rPr>
                <w:rFonts w:hint="eastAsia"/>
                <w:b/>
                <w:color w:val="auto"/>
                <w:highlight w:val="none"/>
              </w:rPr>
              <w:t>牵头人加盖电子签章</w:t>
            </w:r>
            <w:r>
              <w:rPr>
                <w:rFonts w:hint="eastAsia" w:ascii="宋体" w:hAnsi="宋体" w:cs="宋体"/>
                <w:b/>
                <w:color w:val="auto"/>
                <w:szCs w:val="21"/>
                <w:highlight w:val="none"/>
              </w:rPr>
              <w:t>，</w:t>
            </w:r>
            <w:r>
              <w:rPr>
                <w:rFonts w:hint="eastAsia"/>
                <w:b/>
                <w:color w:val="auto"/>
                <w:highlight w:val="none"/>
              </w:rPr>
              <w:t>规定签字</w:t>
            </w:r>
            <w:r>
              <w:rPr>
                <w:rFonts w:hint="eastAsia" w:ascii="宋体" w:hAnsi="宋体" w:cs="宋体"/>
                <w:b/>
                <w:color w:val="auto"/>
                <w:szCs w:val="21"/>
                <w:highlight w:val="none"/>
              </w:rPr>
              <w:t>处签字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，否则响应文件按无效处理（不接受联合体的请忽略）。</w:t>
            </w:r>
          </w:p>
        </w:tc>
      </w:tr>
      <w:tr w14:paraId="3F756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A0E6E82">
            <w:pPr>
              <w:spacing w:line="360" w:lineRule="auto"/>
              <w:jc w:val="center"/>
              <w:rPr>
                <w:rFonts w:ascii="宋体" w:cs="宋体"/>
                <w:color w:val="auto"/>
                <w:szCs w:val="21"/>
                <w:highlight w:val="none"/>
              </w:rPr>
            </w:pPr>
            <w:r>
              <w:rPr>
                <w:rFonts w:ascii="宋体" w:hAnsi="宋体" w:cs="宋体"/>
                <w:color w:val="auto"/>
                <w:szCs w:val="21"/>
                <w:highlight w:val="none"/>
              </w:rPr>
              <w:t>12.1.2</w:t>
            </w:r>
          </w:p>
        </w:tc>
        <w:tc>
          <w:tcPr>
            <w:tcW w:w="7912" w:type="dxa"/>
            <w:vAlign w:val="center"/>
          </w:tcPr>
          <w:p w14:paraId="06B23F3B">
            <w:pPr>
              <w:spacing w:line="340" w:lineRule="exact"/>
              <w:rPr>
                <w:rFonts w:ascii="宋体" w:cs="宋体"/>
                <w:color w:val="auto"/>
                <w:szCs w:val="21"/>
                <w:highlight w:val="none"/>
              </w:rPr>
            </w:pPr>
            <w:r>
              <w:rPr>
                <w:rFonts w:hint="eastAsia" w:ascii="宋体" w:hAnsi="宋体" w:cs="宋体"/>
                <w:color w:val="auto"/>
                <w:szCs w:val="21"/>
                <w:highlight w:val="none"/>
              </w:rPr>
              <w:t>报价文件</w:t>
            </w:r>
          </w:p>
          <w:p w14:paraId="7F307147">
            <w:pPr>
              <w:spacing w:line="34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076AF80">
            <w:pPr>
              <w:spacing w:line="340" w:lineRule="exac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供应商认为需要提供的其他有关资料。</w:t>
            </w:r>
          </w:p>
          <w:p w14:paraId="64377AF8">
            <w:pPr>
              <w:spacing w:line="340" w:lineRule="exact"/>
              <w:rPr>
                <w:rFonts w:ascii="宋体" w:cs="宋体"/>
                <w:color w:val="auto"/>
                <w:szCs w:val="21"/>
                <w:highlight w:val="none"/>
              </w:rPr>
            </w:pPr>
            <w:r>
              <w:rPr>
                <w:rFonts w:hint="eastAsia" w:ascii="宋体" w:hAnsi="宋体" w:cs="宋体"/>
                <w:b/>
                <w:color w:val="auto"/>
                <w:szCs w:val="21"/>
                <w:highlight w:val="none"/>
              </w:rPr>
              <w:t>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必须提供的材料在第五章“响应文件格式”中有要求法定代表人或委托代理人签字的，必须由法定代表人或委托代理人签字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5AD34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4319E2">
            <w:pPr>
              <w:spacing w:line="360" w:lineRule="auto"/>
              <w:jc w:val="center"/>
              <w:rPr>
                <w:rFonts w:ascii="宋体" w:cs="宋体"/>
                <w:color w:val="auto"/>
                <w:szCs w:val="21"/>
                <w:highlight w:val="none"/>
              </w:rPr>
            </w:pPr>
            <w:r>
              <w:rPr>
                <w:rFonts w:ascii="宋体" w:hAnsi="宋体" w:cs="宋体"/>
                <w:color w:val="auto"/>
                <w:szCs w:val="21"/>
                <w:highlight w:val="none"/>
              </w:rPr>
              <w:t>12.1.3</w:t>
            </w:r>
          </w:p>
        </w:tc>
        <w:tc>
          <w:tcPr>
            <w:tcW w:w="7912" w:type="dxa"/>
            <w:vAlign w:val="center"/>
          </w:tcPr>
          <w:p w14:paraId="4A44B0EB">
            <w:pPr>
              <w:spacing w:line="340" w:lineRule="exact"/>
              <w:rPr>
                <w:rFonts w:ascii="宋体" w:cs="宋体"/>
                <w:color w:val="auto"/>
                <w:szCs w:val="21"/>
                <w:highlight w:val="none"/>
              </w:rPr>
            </w:pPr>
            <w:r>
              <w:rPr>
                <w:rFonts w:hint="eastAsia" w:ascii="宋体" w:hAnsi="宋体" w:cs="宋体"/>
                <w:color w:val="auto"/>
                <w:szCs w:val="21"/>
                <w:highlight w:val="none"/>
              </w:rPr>
              <w:t>商务技术文件</w:t>
            </w:r>
          </w:p>
          <w:p w14:paraId="4843FB97">
            <w:pPr>
              <w:spacing w:line="34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317AFFC">
            <w:pPr>
              <w:snapToGrid w:val="0"/>
              <w:spacing w:line="340" w:lineRule="exact"/>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EC75878">
            <w:pPr>
              <w:spacing w:line="340" w:lineRule="exact"/>
              <w:rPr>
                <w:rFonts w:ascii="宋体" w:cs="宋体"/>
                <w:b/>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7099F298">
            <w:pPr>
              <w:spacing w:line="340" w:lineRule="exact"/>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竞标保证金提交凭证；（</w:t>
            </w:r>
            <w:r>
              <w:rPr>
                <w:rFonts w:hint="eastAsia"/>
                <w:b/>
                <w:bCs/>
                <w:color w:val="auto"/>
                <w:highlight w:val="none"/>
              </w:rPr>
              <w:t>如要求提交竞标保证金的则必须提供</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5CFCACED">
            <w:pPr>
              <w:spacing w:line="340" w:lineRule="exac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商务要求响应承诺书（格式后附）；（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482D5BD">
            <w:pPr>
              <w:spacing w:line="340" w:lineRule="exact"/>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技术要求响应承诺书（格式后附）；（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A4EA51B">
            <w:pPr>
              <w:spacing w:line="340" w:lineRule="exact"/>
              <w:rPr>
                <w:rFonts w:ascii="宋体" w:hAnsi="宋体" w:cs="宋体"/>
                <w:color w:val="auto"/>
                <w:szCs w:val="21"/>
                <w:highlight w:val="none"/>
              </w:rPr>
            </w:pPr>
            <w:r>
              <w:rPr>
                <w:rFonts w:hint="eastAsia" w:ascii="宋体" w:hAnsi="宋体" w:cs="宋体"/>
                <w:bCs/>
                <w:color w:val="auto"/>
                <w:kern w:val="0"/>
                <w:szCs w:val="21"/>
                <w:highlight w:val="none"/>
              </w:rPr>
              <w:t>7.关于分标1技术要求的承诺函</w:t>
            </w:r>
            <w:r>
              <w:rPr>
                <w:rFonts w:hint="eastAsia" w:ascii="宋体" w:hAnsi="宋体" w:cs="宋体"/>
                <w:color w:val="auto"/>
                <w:szCs w:val="21"/>
                <w:highlight w:val="none"/>
              </w:rPr>
              <w:t>（格式后附）</w:t>
            </w:r>
            <w:r>
              <w:rPr>
                <w:rFonts w:hint="eastAsia" w:ascii="宋体" w:hAnsi="宋体" w:cs="宋体"/>
                <w:bCs/>
                <w:color w:val="auto"/>
                <w:kern w:val="0"/>
                <w:szCs w:val="21"/>
                <w:highlight w:val="none"/>
              </w:rPr>
              <w:t>；</w:t>
            </w:r>
            <w:r>
              <w:rPr>
                <w:rFonts w:hint="eastAsia" w:ascii="宋体" w:hAnsi="宋体" w:cs="宋体"/>
                <w:b/>
                <w:bCs/>
                <w:color w:val="auto"/>
                <w:szCs w:val="21"/>
                <w:highlight w:val="none"/>
              </w:rPr>
              <w:t>（参与分标1时必须提供，否则响应文件按无效处理）</w:t>
            </w:r>
          </w:p>
          <w:p w14:paraId="0620B070">
            <w:pPr>
              <w:spacing w:line="340" w:lineRule="exact"/>
              <w:rPr>
                <w:rFonts w:asci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货物配置清单（均不含报价）（格式后附）；</w:t>
            </w:r>
          </w:p>
          <w:p w14:paraId="2F1D71EF">
            <w:pPr>
              <w:spacing w:line="340" w:lineRule="exact"/>
              <w:rPr>
                <w:rFonts w:asci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w:t>
            </w:r>
            <w:r>
              <w:rPr>
                <w:rFonts w:hint="eastAsia" w:ascii="宋体" w:hAnsi="宋体" w:cs="宋体"/>
                <w:color w:val="auto"/>
                <w:szCs w:val="21"/>
                <w:highlight w:val="none"/>
              </w:rPr>
              <w:t>对应采购需求的技术要求、商务要求提供的其他文件资料（格式自拟）；</w:t>
            </w:r>
          </w:p>
          <w:p w14:paraId="17A8AEF9">
            <w:pPr>
              <w:spacing w:line="340" w:lineRule="exact"/>
              <w:rPr>
                <w:rFonts w:ascii="宋体" w:cs="宋体"/>
                <w:color w:val="auto"/>
                <w:szCs w:val="21"/>
                <w:highlight w:val="none"/>
              </w:rPr>
            </w:pPr>
            <w:r>
              <w:rPr>
                <w:rFonts w:hint="eastAsia" w:ascii="宋体" w:hAnsi="宋体" w:cs="宋体"/>
                <w:color w:val="auto"/>
                <w:szCs w:val="21"/>
                <w:highlight w:val="none"/>
              </w:rPr>
              <w:t>10</w:t>
            </w:r>
            <w:r>
              <w:rPr>
                <w:rFonts w:ascii="宋体" w:hAnsi="宋体" w:cs="宋体"/>
                <w:color w:val="auto"/>
                <w:szCs w:val="21"/>
                <w:highlight w:val="none"/>
              </w:rPr>
              <w:t>.</w:t>
            </w:r>
            <w:r>
              <w:rPr>
                <w:rFonts w:hint="eastAsia" w:ascii="宋体" w:hAnsi="宋体" w:cs="宋体"/>
                <w:color w:val="auto"/>
                <w:szCs w:val="21"/>
                <w:highlight w:val="none"/>
              </w:rPr>
              <w:t>供应商认为需要提供的其他有关资料。</w:t>
            </w:r>
          </w:p>
          <w:p w14:paraId="3D4D556F">
            <w:pPr>
              <w:snapToGrid w:val="0"/>
              <w:spacing w:line="340" w:lineRule="exact"/>
              <w:jc w:val="left"/>
              <w:rPr>
                <w:rFonts w:ascii="宋体" w:cs="宋体"/>
                <w:b/>
                <w:color w:val="auto"/>
                <w:szCs w:val="21"/>
                <w:highlight w:val="none"/>
              </w:rPr>
            </w:pPr>
            <w:r>
              <w:rPr>
                <w:rFonts w:hint="eastAsia" w:ascii="宋体" w:hAnsi="宋体" w:cs="宋体"/>
                <w:b/>
                <w:color w:val="auto"/>
                <w:szCs w:val="21"/>
                <w:highlight w:val="none"/>
              </w:rPr>
              <w:t>注：以上标明“必须提供”的材料，必须加盖供应商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必须提供的材料在第五章“响应文件格式”中有要求法定代表人或委托代理人签字的，必须由法定代表人或委托代理人签字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5CA48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7F4A66">
            <w:pPr>
              <w:spacing w:line="360" w:lineRule="auto"/>
              <w:jc w:val="center"/>
              <w:rPr>
                <w:rFonts w:ascii="宋体" w:cs="宋体"/>
                <w:color w:val="auto"/>
                <w:szCs w:val="21"/>
                <w:highlight w:val="none"/>
              </w:rPr>
            </w:pPr>
            <w:r>
              <w:rPr>
                <w:rFonts w:ascii="宋体" w:hAnsi="宋体" w:cs="宋体"/>
                <w:color w:val="auto"/>
                <w:szCs w:val="21"/>
                <w:highlight w:val="none"/>
              </w:rPr>
              <w:t>15.2</w:t>
            </w:r>
          </w:p>
        </w:tc>
        <w:tc>
          <w:tcPr>
            <w:tcW w:w="7912" w:type="dxa"/>
            <w:vAlign w:val="center"/>
          </w:tcPr>
          <w:p w14:paraId="0C560FB0">
            <w:pPr>
              <w:snapToGrid w:val="0"/>
              <w:spacing w:line="340" w:lineRule="exact"/>
              <w:jc w:val="left"/>
              <w:rPr>
                <w:rFonts w:ascii="宋体" w:cs="宋体"/>
                <w:color w:val="auto"/>
                <w:szCs w:val="21"/>
                <w:highlight w:val="none"/>
              </w:rPr>
            </w:pPr>
            <w:r>
              <w:rPr>
                <w:rFonts w:hint="eastAsia" w:ascii="宋体" w:hAnsi="宋体"/>
                <w:color w:val="auto"/>
                <w:highlight w:val="none"/>
              </w:rPr>
              <w:t>竞标报价应当包含货物价款、标准附件、备品备件、专用工具、辅材、安装调试、包装、运输、装卸、保险费、各类税费、产品检测、检验费、验收费、售后服务、技术培训费（包括但不限于场地费、教材费用等）、技术资料、涉及的人工、差旅以及其他与本项目有关的未列明的一切费用。</w:t>
            </w:r>
          </w:p>
        </w:tc>
      </w:tr>
      <w:tr w14:paraId="136BE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92" w:type="dxa"/>
            <w:vAlign w:val="center"/>
          </w:tcPr>
          <w:p w14:paraId="2E74E5CD">
            <w:pPr>
              <w:spacing w:line="340" w:lineRule="exact"/>
              <w:jc w:val="center"/>
              <w:rPr>
                <w:rFonts w:ascii="宋体" w:cs="宋体"/>
                <w:color w:val="auto"/>
                <w:szCs w:val="21"/>
                <w:highlight w:val="none"/>
              </w:rPr>
            </w:pPr>
            <w:r>
              <w:rPr>
                <w:rFonts w:ascii="宋体" w:hAnsi="宋体" w:cs="宋体"/>
                <w:color w:val="auto"/>
                <w:szCs w:val="21"/>
                <w:highlight w:val="none"/>
              </w:rPr>
              <w:t>16.2</w:t>
            </w:r>
          </w:p>
        </w:tc>
        <w:tc>
          <w:tcPr>
            <w:tcW w:w="7912" w:type="dxa"/>
            <w:vAlign w:val="center"/>
          </w:tcPr>
          <w:p w14:paraId="55A0C329">
            <w:pPr>
              <w:spacing w:line="340" w:lineRule="exact"/>
              <w:jc w:val="left"/>
              <w:rPr>
                <w:rFonts w:ascii="宋体" w:cs="宋体"/>
                <w:color w:val="auto"/>
                <w:szCs w:val="21"/>
                <w:highlight w:val="none"/>
              </w:rPr>
            </w:pPr>
            <w:r>
              <w:rPr>
                <w:rFonts w:hint="eastAsia" w:ascii="宋体" w:hAnsi="宋体" w:cs="宋体"/>
                <w:color w:val="auto"/>
                <w:szCs w:val="21"/>
                <w:highlight w:val="none"/>
              </w:rPr>
              <w:t>竞标有效期：自首次响应文件提交截止之日起</w:t>
            </w:r>
            <w:r>
              <w:rPr>
                <w:rFonts w:ascii="宋体" w:hAnsi="宋体" w:cs="宋体"/>
                <w:color w:val="auto"/>
                <w:szCs w:val="21"/>
                <w:highlight w:val="none"/>
              </w:rPr>
              <w:t>90</w:t>
            </w:r>
            <w:r>
              <w:rPr>
                <w:rFonts w:hint="eastAsia" w:ascii="宋体" w:hAnsi="宋体" w:cs="宋体"/>
                <w:color w:val="auto"/>
                <w:szCs w:val="21"/>
                <w:highlight w:val="none"/>
              </w:rPr>
              <w:t>日。</w:t>
            </w:r>
          </w:p>
        </w:tc>
      </w:tr>
      <w:tr w14:paraId="6F59E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D6322E8">
            <w:pPr>
              <w:spacing w:line="360" w:lineRule="auto"/>
              <w:jc w:val="center"/>
              <w:rPr>
                <w:rFonts w:ascii="宋体" w:cs="宋体"/>
                <w:color w:val="auto"/>
                <w:szCs w:val="21"/>
                <w:highlight w:val="none"/>
              </w:rPr>
            </w:pPr>
            <w:r>
              <w:rPr>
                <w:rFonts w:ascii="宋体" w:hAnsi="宋体" w:cs="宋体"/>
                <w:color w:val="auto"/>
                <w:szCs w:val="21"/>
                <w:highlight w:val="none"/>
              </w:rPr>
              <w:t>17.1</w:t>
            </w:r>
          </w:p>
        </w:tc>
        <w:tc>
          <w:tcPr>
            <w:tcW w:w="7912" w:type="dxa"/>
            <w:vAlign w:val="center"/>
          </w:tcPr>
          <w:p w14:paraId="4F3EEBC2">
            <w:pPr>
              <w:autoSpaceDE w:val="0"/>
              <w:autoSpaceDN w:val="0"/>
              <w:snapToGrid w:val="0"/>
              <w:spacing w:line="340" w:lineRule="exact"/>
              <w:textAlignment w:val="bottom"/>
              <w:rPr>
                <w:rFonts w:ascii="宋体"/>
                <w:color w:val="auto"/>
                <w:szCs w:val="21"/>
                <w:highlight w:val="none"/>
              </w:rPr>
            </w:pPr>
            <w:r>
              <w:rPr>
                <w:rFonts w:hint="eastAsia" w:ascii="宋体" w:hAnsi="宋体"/>
                <w:color w:val="auto"/>
                <w:szCs w:val="21"/>
                <w:highlight w:val="none"/>
              </w:rPr>
              <w:t>□本项目不收取竞标保证金。</w:t>
            </w:r>
          </w:p>
          <w:p w14:paraId="3BE74446">
            <w:pPr>
              <w:snapToGrid w:val="0"/>
              <w:spacing w:line="340" w:lineRule="exact"/>
              <w:rPr>
                <w:rFonts w:ascii="宋体"/>
                <w:color w:val="auto"/>
                <w:szCs w:val="21"/>
                <w:highlight w:val="none"/>
              </w:rPr>
            </w:pPr>
            <w:r>
              <w:rPr>
                <w:color w:val="auto"/>
                <w:highlight w:val="none"/>
              </w:rPr>
              <w:fldChar w:fldCharType="begin"/>
            </w:r>
            <w:r>
              <w:rPr>
                <w:color w:val="auto"/>
                <w:highlight w:val="none"/>
              </w:rPr>
              <w:instrText xml:space="preserve"> eq \o\ac(</w:instrText>
            </w:r>
            <w:r>
              <w:rPr>
                <w:rFonts w:hint="eastAsia"/>
                <w:color w:val="auto"/>
                <w:highlight w:val="none"/>
              </w:rPr>
              <w:instrText xml:space="preserve">□</w:instrText>
            </w:r>
            <w:r>
              <w:rPr>
                <w:color w:val="auto"/>
                <w:highlight w:val="none"/>
              </w:rPr>
              <w:instrText xml:space="preserve">,</w:instrText>
            </w:r>
            <w:r>
              <w:rPr>
                <w:rFonts w:hint="eastAsia" w:ascii="宋体"/>
                <w:color w:val="auto"/>
                <w:position w:val="1"/>
                <w:sz w:val="14"/>
                <w:highlight w:val="none"/>
              </w:rPr>
              <w:instrText xml:space="preserve">√</w:instrText>
            </w:r>
            <w:r>
              <w:rPr>
                <w:color w:val="auto"/>
                <w:highlight w:val="none"/>
              </w:rPr>
              <w:instrText xml:space="preserve">)</w:instrText>
            </w:r>
            <w:r>
              <w:rPr>
                <w:color w:val="auto"/>
                <w:highlight w:val="none"/>
              </w:rPr>
              <w:fldChar w:fldCharType="end"/>
            </w:r>
            <w:r>
              <w:rPr>
                <w:rFonts w:hint="eastAsia" w:ascii="宋体" w:hAnsi="宋体"/>
                <w:color w:val="auto"/>
                <w:szCs w:val="21"/>
                <w:highlight w:val="none"/>
              </w:rPr>
              <w:t>本项目收取竞标保证金，具体规定如下：分标1</w:t>
            </w:r>
            <w:r>
              <w:rPr>
                <w:rFonts w:hint="eastAsia" w:ascii="宋体" w:hAnsi="宋体" w:cs="宋体"/>
                <w:color w:val="auto"/>
                <w:kern w:val="0"/>
                <w:szCs w:val="21"/>
                <w:highlight w:val="none"/>
              </w:rPr>
              <w:t>竞标保证金为人民币</w:t>
            </w:r>
            <w:r>
              <w:rPr>
                <w:rFonts w:hint="eastAsia" w:ascii="宋体" w:hAnsi="宋体"/>
                <w:color w:val="auto"/>
                <w:szCs w:val="21"/>
                <w:highlight w:val="none"/>
              </w:rPr>
              <w:t>叁仟元整（¥3000.00）；分标2竞标保证金为人民币柒仟元整（¥7000.00）；分标3竞标保证金为人民币壹仟元整（¥1000.00）</w:t>
            </w:r>
            <w:r>
              <w:rPr>
                <w:rFonts w:hint="eastAsia" w:ascii="宋体" w:hAnsi="宋体" w:cs="宋体"/>
                <w:color w:val="auto"/>
                <w:kern w:val="0"/>
                <w:szCs w:val="21"/>
                <w:highlight w:val="none"/>
              </w:rPr>
              <w:t>。</w:t>
            </w:r>
          </w:p>
          <w:p w14:paraId="32330041">
            <w:pPr>
              <w:snapToGrid w:val="0"/>
              <w:spacing w:line="340" w:lineRule="exact"/>
              <w:rPr>
                <w:rFonts w:ascii="宋体" w:cs="宋体"/>
                <w:color w:val="auto"/>
                <w:kern w:val="0"/>
                <w:szCs w:val="21"/>
                <w:highlight w:val="none"/>
              </w:rPr>
            </w:pPr>
            <w:r>
              <w:rPr>
                <w:rFonts w:hint="eastAsia" w:ascii="宋体" w:hAnsi="宋体" w:cs="宋体"/>
                <w:color w:val="auto"/>
                <w:kern w:val="0"/>
                <w:szCs w:val="21"/>
                <w:highlight w:val="none"/>
              </w:rPr>
              <w:t>竞标保证金的交纳方式：银行转账、支票、汇票、本票或者金融、担保机构出具的保函（包含电子保函），禁止采用现钞方式。采用银行转账方式的，在响应文件提交截止时间前交至指定账户并且到账</w:t>
            </w:r>
            <w:r>
              <w:rPr>
                <w:rFonts w:hint="eastAsia" w:ascii="宋体" w:hAnsi="宋体" w:cs="宋体"/>
                <w:b/>
                <w:color w:val="auto"/>
                <w:kern w:val="0"/>
                <w:szCs w:val="21"/>
                <w:highlight w:val="none"/>
              </w:rPr>
              <w:t>（开户名称：云之龙咨询集团有限公司桂林分公司；开户银行：中信银行股份有限公司南宁东葛支行；银行账号：8113001013100074449）</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采用支票、汇票、本票或者保函等方式的，在响应文件提交截止时间前，供应商必须提交单独密封的支票、汇票、本票或者保函原件。否则视为无效竞标保证金。</w:t>
            </w:r>
          </w:p>
          <w:p w14:paraId="699D9ABF">
            <w:pPr>
              <w:snapToGrid w:val="0"/>
              <w:spacing w:line="340" w:lineRule="exact"/>
              <w:rPr>
                <w:rFonts w:ascii="宋体" w:cs="宋体"/>
                <w:color w:val="auto"/>
                <w:szCs w:val="21"/>
                <w:highlight w:val="none"/>
              </w:rPr>
            </w:pPr>
            <w:r>
              <w:rPr>
                <w:rFonts w:hint="eastAsia" w:ascii="宋体" w:hAnsi="宋体" w:cs="宋体"/>
                <w:color w:val="auto"/>
                <w:szCs w:val="21"/>
                <w:highlight w:val="none"/>
              </w:rPr>
              <w:t>相关要求：</w:t>
            </w:r>
          </w:p>
          <w:p w14:paraId="5E46891F">
            <w:pPr>
              <w:snapToGrid w:val="0"/>
              <w:spacing w:line="340" w:lineRule="exact"/>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53074E24">
            <w:pPr>
              <w:snapToGrid w:val="0"/>
              <w:spacing w:line="340" w:lineRule="exact"/>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竞标保证金采用支票、汇票、本票或者</w:t>
            </w:r>
            <w:r>
              <w:rPr>
                <w:rFonts w:hint="eastAsia" w:ascii="宋体" w:hAnsi="宋体" w:cs="宋体"/>
                <w:color w:val="auto"/>
                <w:kern w:val="0"/>
                <w:szCs w:val="21"/>
                <w:highlight w:val="none"/>
              </w:rPr>
              <w:t>金融</w:t>
            </w:r>
            <w:r>
              <w:rPr>
                <w:rFonts w:hint="eastAsia" w:ascii="宋体" w:hAnsi="宋体"/>
                <w:color w:val="auto"/>
                <w:szCs w:val="21"/>
                <w:highlight w:val="none"/>
              </w:rPr>
              <w:t>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交纳方式的，供应商应将支票、汇票、本票或者</w:t>
            </w:r>
            <w:r>
              <w:rPr>
                <w:rFonts w:hint="eastAsia" w:ascii="宋体" w:hAnsi="宋体" w:cs="宋体"/>
                <w:color w:val="auto"/>
                <w:kern w:val="0"/>
                <w:szCs w:val="21"/>
                <w:highlight w:val="none"/>
              </w:rPr>
              <w:t>金融</w:t>
            </w:r>
            <w:r>
              <w:rPr>
                <w:rFonts w:hint="eastAsia" w:ascii="宋体" w:hAnsi="宋体"/>
                <w:color w:val="auto"/>
                <w:szCs w:val="21"/>
                <w:highlight w:val="none"/>
              </w:rPr>
              <w:t>机构出具的保函的复印件作为竞标保证金提交凭证，放置于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否则相响应文件按无效处理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在响应文件提交截止时间前采用现场或邮寄方式【现场提交地址：云之龙咨询集团有限公司开标大厅（广西桂林市临桂区西城北路</w:t>
            </w:r>
            <w:r>
              <w:rPr>
                <w:color w:val="auto"/>
                <w:highlight w:val="none"/>
              </w:rPr>
              <w:t>2</w:t>
            </w:r>
            <w:r>
              <w:rPr>
                <w:rFonts w:hint="eastAsia"/>
                <w:color w:val="auto"/>
                <w:highlight w:val="none"/>
              </w:rPr>
              <w:t>号耀辉•美好家园</w:t>
            </w:r>
            <w:r>
              <w:rPr>
                <w:color w:val="auto"/>
                <w:highlight w:val="none"/>
              </w:rPr>
              <w:t>2</w:t>
            </w:r>
            <w:r>
              <w:rPr>
                <w:rFonts w:hint="eastAsia"/>
                <w:color w:val="auto"/>
                <w:highlight w:val="none"/>
              </w:rPr>
              <w:t>幢</w:t>
            </w:r>
            <w:r>
              <w:rPr>
                <w:color w:val="auto"/>
                <w:highlight w:val="none"/>
              </w:rPr>
              <w:t>12</w:t>
            </w:r>
            <w:r>
              <w:rPr>
                <w:rFonts w:hint="eastAsia"/>
                <w:color w:val="auto"/>
                <w:highlight w:val="none"/>
              </w:rPr>
              <w:t>层1号房）；邮寄地址：云之龙咨询集团有限公司（广西桂林市临桂区西城北路</w:t>
            </w:r>
            <w:r>
              <w:rPr>
                <w:color w:val="auto"/>
                <w:highlight w:val="none"/>
              </w:rPr>
              <w:t>2</w:t>
            </w:r>
            <w:r>
              <w:rPr>
                <w:rFonts w:hint="eastAsia"/>
                <w:color w:val="auto"/>
                <w:highlight w:val="none"/>
              </w:rPr>
              <w:t>号耀辉•美好家园</w:t>
            </w:r>
            <w:r>
              <w:rPr>
                <w:color w:val="auto"/>
                <w:highlight w:val="none"/>
              </w:rPr>
              <w:t>2</w:t>
            </w:r>
            <w:r>
              <w:rPr>
                <w:rFonts w:hint="eastAsia"/>
                <w:color w:val="auto"/>
                <w:highlight w:val="none"/>
              </w:rPr>
              <w:t>幢</w:t>
            </w:r>
            <w:r>
              <w:rPr>
                <w:color w:val="auto"/>
                <w:highlight w:val="none"/>
              </w:rPr>
              <w:t>12</w:t>
            </w:r>
            <w:r>
              <w:rPr>
                <w:rFonts w:hint="eastAsia"/>
                <w:color w:val="auto"/>
                <w:highlight w:val="none"/>
              </w:rPr>
              <w:t>层1号房），收件人：李贞，联系方式：</w:t>
            </w:r>
            <w:r>
              <w:rPr>
                <w:color w:val="auto"/>
                <w:highlight w:val="none"/>
              </w:rPr>
              <w:t>0773-2887388</w:t>
            </w:r>
            <w:r>
              <w:rPr>
                <w:rFonts w:hint="eastAsia"/>
                <w:color w:val="auto"/>
                <w:highlight w:val="none"/>
              </w:rPr>
              <w:t>、</w:t>
            </w:r>
            <w:r>
              <w:rPr>
                <w:color w:val="auto"/>
                <w:highlight w:val="none"/>
              </w:rPr>
              <w:t>2887399</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w:t>
            </w:r>
            <w:r>
              <w:rPr>
                <w:rFonts w:hint="eastAsia" w:ascii="宋体" w:hAnsi="宋体" w:cs="宋体"/>
                <w:color w:val="auto"/>
                <w:kern w:val="0"/>
                <w:szCs w:val="21"/>
                <w:highlight w:val="none"/>
              </w:rPr>
              <w:t>金融、担保</w:t>
            </w:r>
            <w:r>
              <w:rPr>
                <w:rFonts w:hint="eastAsia" w:ascii="宋体" w:hAnsi="宋体"/>
                <w:color w:val="auto"/>
                <w:szCs w:val="21"/>
                <w:highlight w:val="none"/>
              </w:rPr>
              <w:t>机构出具的保函原件提交给采购人或者采购代理机构，由采购人或者采购代理机构向供应商出具回执（邮寄方式的除外），并妥善保管。</w:t>
            </w:r>
          </w:p>
          <w:p w14:paraId="5A4D99C9">
            <w:pPr>
              <w:snapToGrid w:val="0"/>
              <w:spacing w:line="340" w:lineRule="exact"/>
              <w:rPr>
                <w:rFonts w:ascii="宋体" w:cs="宋体"/>
                <w:b/>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供应商为联合体的，可以由联合体中的一方或者多方共同交纳谈判保证金，其交纳的保证金对联合体各方均具有约束力（非联合体竞标的请忽略）。</w:t>
            </w:r>
          </w:p>
          <w:p w14:paraId="6E11A4A2">
            <w:pPr>
              <w:snapToGrid w:val="0"/>
              <w:spacing w:line="340" w:lineRule="exact"/>
              <w:rPr>
                <w:rFonts w:ascii="宋体" w:cs="宋体"/>
                <w:b/>
                <w:color w:val="auto"/>
                <w:szCs w:val="21"/>
                <w:highlight w:val="none"/>
              </w:rPr>
            </w:pPr>
            <w:r>
              <w:rPr>
                <w:rFonts w:hint="eastAsia" w:ascii="宋体" w:hAnsi="宋体" w:cs="宋体"/>
                <w:b/>
                <w:color w:val="auto"/>
                <w:szCs w:val="21"/>
                <w:highlight w:val="none"/>
              </w:rPr>
              <w:t>备注：</w:t>
            </w:r>
          </w:p>
          <w:p w14:paraId="35E5DB48">
            <w:pPr>
              <w:snapToGrid w:val="0"/>
              <w:spacing w:line="340" w:lineRule="exact"/>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竞标保证金在响应文件提交截止时间后提交的，或者不按规定交纳方式交纳的，或者未足额交纳的（包含保函、电子保函额度不足的），视为无效竞标保证金。</w:t>
            </w:r>
          </w:p>
          <w:p w14:paraId="4E1A1985">
            <w:pPr>
              <w:snapToGrid w:val="0"/>
              <w:spacing w:line="340" w:lineRule="exact"/>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供应商采用现钞方式或者从个人账户（自然人竞标除外）转出的竞标保证金，视为无效竞标保证金。</w:t>
            </w:r>
          </w:p>
          <w:p w14:paraId="5A51DE47">
            <w:pPr>
              <w:snapToGrid w:val="0"/>
              <w:spacing w:line="340" w:lineRule="exact"/>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支票、汇票或者本票出现无效或者背书情形的，视为无效竞标保证金。</w:t>
            </w:r>
          </w:p>
          <w:p w14:paraId="11C93744">
            <w:pPr>
              <w:snapToGrid w:val="0"/>
              <w:spacing w:line="340" w:lineRule="exact"/>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保函、电子保函有效期低于竞标有效期的，视为无效竞标保证金。</w:t>
            </w:r>
          </w:p>
        </w:tc>
      </w:tr>
      <w:tr w14:paraId="50BFD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92" w:type="dxa"/>
            <w:vAlign w:val="center"/>
          </w:tcPr>
          <w:p w14:paraId="67FE806C">
            <w:pPr>
              <w:spacing w:line="340" w:lineRule="exact"/>
              <w:jc w:val="center"/>
              <w:rPr>
                <w:rFonts w:ascii="宋体" w:cs="宋体"/>
                <w:color w:val="auto"/>
                <w:szCs w:val="21"/>
                <w:highlight w:val="none"/>
              </w:rPr>
            </w:pPr>
            <w:r>
              <w:rPr>
                <w:rFonts w:ascii="宋体" w:hAnsi="宋体" w:cs="宋体"/>
                <w:color w:val="auto"/>
                <w:szCs w:val="21"/>
                <w:highlight w:val="none"/>
              </w:rPr>
              <w:t>19</w:t>
            </w:r>
          </w:p>
        </w:tc>
        <w:tc>
          <w:tcPr>
            <w:tcW w:w="7912" w:type="dxa"/>
            <w:vAlign w:val="center"/>
          </w:tcPr>
          <w:p w14:paraId="299192F7">
            <w:pPr>
              <w:spacing w:line="340" w:lineRule="exact"/>
              <w:jc w:val="left"/>
              <w:rPr>
                <w:rFonts w:ascii="宋体" w:cs="宋体"/>
                <w:color w:val="auto"/>
                <w:szCs w:val="21"/>
                <w:highlight w:val="none"/>
              </w:rPr>
            </w:pPr>
            <w:r>
              <w:rPr>
                <w:rFonts w:hint="eastAsia" w:ascii="宋体" w:hAnsi="宋体" w:cs="宋体"/>
                <w:color w:val="auto"/>
                <w:szCs w:val="21"/>
                <w:highlight w:val="none"/>
              </w:rPr>
              <w:t>本项目不接受电子备份响应文件</w:t>
            </w:r>
          </w:p>
        </w:tc>
      </w:tr>
      <w:tr w14:paraId="0C664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C7CD5B">
            <w:pPr>
              <w:spacing w:line="340" w:lineRule="exact"/>
              <w:jc w:val="center"/>
              <w:rPr>
                <w:rFonts w:ascii="宋体" w:cs="宋体"/>
                <w:color w:val="auto"/>
                <w:szCs w:val="21"/>
                <w:highlight w:val="none"/>
              </w:rPr>
            </w:pPr>
            <w:r>
              <w:rPr>
                <w:rFonts w:ascii="宋体" w:hAnsi="宋体" w:cs="宋体"/>
                <w:color w:val="auto"/>
                <w:szCs w:val="21"/>
                <w:highlight w:val="none"/>
              </w:rPr>
              <w:t>20.1</w:t>
            </w:r>
          </w:p>
        </w:tc>
        <w:tc>
          <w:tcPr>
            <w:tcW w:w="7912" w:type="dxa"/>
            <w:vAlign w:val="center"/>
          </w:tcPr>
          <w:p w14:paraId="6B1E1BBC">
            <w:pPr>
              <w:spacing w:line="340" w:lineRule="exact"/>
              <w:jc w:val="left"/>
              <w:rPr>
                <w:rFonts w:ascii="宋体" w:cs="宋体"/>
                <w:color w:val="auto"/>
                <w:szCs w:val="21"/>
                <w:highlight w:val="none"/>
              </w:rPr>
            </w:pPr>
            <w:r>
              <w:rPr>
                <w:rFonts w:hint="eastAsia" w:ascii="宋体" w:hAnsi="宋体" w:cs="宋体"/>
                <w:color w:val="auto"/>
                <w:szCs w:val="21"/>
                <w:highlight w:val="none"/>
              </w:rPr>
              <w:t>响应文件提交截止时间：详见竞争性谈判公告。</w:t>
            </w:r>
          </w:p>
          <w:p w14:paraId="7D1AE8EA">
            <w:pPr>
              <w:spacing w:line="340" w:lineRule="exact"/>
              <w:jc w:val="left"/>
              <w:rPr>
                <w:rFonts w:ascii="宋体" w:cs="宋体"/>
                <w:color w:val="auto"/>
                <w:szCs w:val="21"/>
                <w:highlight w:val="none"/>
              </w:rPr>
            </w:pPr>
            <w:r>
              <w:rPr>
                <w:rFonts w:hint="eastAsia" w:ascii="宋体" w:hAnsi="宋体" w:cs="宋体"/>
                <w:color w:val="auto"/>
                <w:szCs w:val="21"/>
                <w:highlight w:val="none"/>
              </w:rPr>
              <w:t>响应文件提交地点：详见竞争性谈判公告。</w:t>
            </w:r>
          </w:p>
        </w:tc>
      </w:tr>
      <w:tr w14:paraId="544E3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92" w:type="dxa"/>
            <w:vAlign w:val="center"/>
          </w:tcPr>
          <w:p w14:paraId="4BFDCF6F">
            <w:pPr>
              <w:spacing w:line="340" w:lineRule="exact"/>
              <w:jc w:val="center"/>
              <w:rPr>
                <w:rFonts w:ascii="宋体" w:cs="宋体"/>
                <w:color w:val="auto"/>
                <w:szCs w:val="21"/>
                <w:highlight w:val="none"/>
              </w:rPr>
            </w:pPr>
            <w:r>
              <w:rPr>
                <w:rFonts w:ascii="宋体" w:hAnsi="宋体" w:cs="宋体"/>
                <w:color w:val="auto"/>
                <w:szCs w:val="21"/>
                <w:highlight w:val="none"/>
              </w:rPr>
              <w:t>24.1</w:t>
            </w:r>
          </w:p>
        </w:tc>
        <w:tc>
          <w:tcPr>
            <w:tcW w:w="7912" w:type="dxa"/>
            <w:vAlign w:val="center"/>
          </w:tcPr>
          <w:p w14:paraId="630BBC93">
            <w:pPr>
              <w:spacing w:line="340" w:lineRule="exact"/>
              <w:jc w:val="left"/>
              <w:rPr>
                <w:rFonts w:ascii="宋体" w:cs="宋体"/>
                <w:color w:val="auto"/>
                <w:szCs w:val="21"/>
                <w:highlight w:val="none"/>
              </w:rPr>
            </w:pPr>
            <w:r>
              <w:rPr>
                <w:rFonts w:hint="eastAsia" w:ascii="宋体" w:hAnsi="宋体" w:cs="宋体"/>
                <w:color w:val="auto"/>
                <w:szCs w:val="21"/>
                <w:highlight w:val="none"/>
              </w:rPr>
              <w:t>谈判小组的人数：</w:t>
            </w:r>
            <w:r>
              <w:rPr>
                <w:rFonts w:ascii="宋体" w:hAnsi="宋体" w:cs="宋体"/>
                <w:color w:val="auto"/>
                <w:szCs w:val="21"/>
                <w:highlight w:val="none"/>
              </w:rPr>
              <w:t>3</w:t>
            </w:r>
            <w:r>
              <w:rPr>
                <w:rFonts w:hint="eastAsia" w:ascii="宋体" w:hAnsi="宋体" w:cs="宋体"/>
                <w:color w:val="auto"/>
                <w:szCs w:val="21"/>
                <w:highlight w:val="none"/>
              </w:rPr>
              <w:t>人。</w:t>
            </w:r>
          </w:p>
        </w:tc>
      </w:tr>
      <w:tr w14:paraId="7BDCB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E52147">
            <w:pPr>
              <w:spacing w:line="340" w:lineRule="exact"/>
              <w:jc w:val="center"/>
              <w:rPr>
                <w:rFonts w:ascii="宋体" w:cs="宋体"/>
                <w:color w:val="auto"/>
                <w:szCs w:val="21"/>
                <w:highlight w:val="none"/>
              </w:rPr>
            </w:pPr>
            <w:r>
              <w:rPr>
                <w:rFonts w:ascii="宋体" w:hAnsi="宋体" w:cs="宋体"/>
                <w:color w:val="auto"/>
                <w:szCs w:val="21"/>
                <w:highlight w:val="none"/>
              </w:rPr>
              <w:t>25</w:t>
            </w:r>
          </w:p>
        </w:tc>
        <w:tc>
          <w:tcPr>
            <w:tcW w:w="7912" w:type="dxa"/>
            <w:vAlign w:val="center"/>
          </w:tcPr>
          <w:p w14:paraId="0C3A8BB8">
            <w:pPr>
              <w:spacing w:line="340" w:lineRule="exact"/>
              <w:jc w:val="left"/>
              <w:rPr>
                <w:rFonts w:ascii="宋体" w:cs="宋体"/>
                <w:color w:val="auto"/>
                <w:szCs w:val="21"/>
                <w:highlight w:val="none"/>
              </w:rPr>
            </w:pPr>
            <w:r>
              <w:rPr>
                <w:rFonts w:hint="eastAsia" w:ascii="宋体" w:hAnsi="宋体" w:cs="宋体"/>
                <w:color w:val="auto"/>
                <w:szCs w:val="21"/>
                <w:highlight w:val="none"/>
              </w:rPr>
              <w:t>首次响应文件开启时间详见“竞争性谈判公告”</w:t>
            </w:r>
          </w:p>
          <w:p w14:paraId="3D0ECD0A">
            <w:pPr>
              <w:spacing w:line="340" w:lineRule="exact"/>
              <w:jc w:val="left"/>
              <w:rPr>
                <w:rFonts w:ascii="宋体" w:cs="宋体"/>
                <w:color w:val="auto"/>
                <w:szCs w:val="21"/>
                <w:highlight w:val="none"/>
              </w:rPr>
            </w:pPr>
            <w:r>
              <w:rPr>
                <w:rFonts w:hint="eastAsia" w:ascii="宋体" w:hAnsi="宋体" w:cs="宋体"/>
                <w:color w:val="auto"/>
                <w:szCs w:val="21"/>
                <w:highlight w:val="none"/>
              </w:rPr>
              <w:t>首次响应文件解密时间：</w:t>
            </w:r>
            <w:r>
              <w:rPr>
                <w:rFonts w:ascii="宋体" w:hAnsi="宋体" w:cs="宋体"/>
                <w:color w:val="auto"/>
                <w:szCs w:val="21"/>
                <w:highlight w:val="none"/>
              </w:rPr>
              <w:t>30</w:t>
            </w:r>
            <w:r>
              <w:rPr>
                <w:rFonts w:hint="eastAsia" w:ascii="宋体" w:hAnsi="宋体" w:cs="宋体"/>
                <w:color w:val="auto"/>
                <w:szCs w:val="21"/>
                <w:highlight w:val="none"/>
              </w:rPr>
              <w:t>分钟</w:t>
            </w:r>
          </w:p>
        </w:tc>
      </w:tr>
      <w:tr w14:paraId="038A3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tcBorders>
              <w:bottom w:val="single" w:color="auto" w:sz="4" w:space="0"/>
            </w:tcBorders>
            <w:vAlign w:val="center"/>
          </w:tcPr>
          <w:p w14:paraId="5E9D9EFE">
            <w:pPr>
              <w:spacing w:line="360" w:lineRule="auto"/>
              <w:jc w:val="center"/>
              <w:rPr>
                <w:rFonts w:ascii="宋体" w:cs="宋体"/>
                <w:color w:val="auto"/>
                <w:szCs w:val="21"/>
                <w:highlight w:val="none"/>
              </w:rPr>
            </w:pPr>
            <w:r>
              <w:rPr>
                <w:rFonts w:ascii="宋体" w:hAnsi="宋体" w:cs="宋体"/>
                <w:color w:val="auto"/>
                <w:szCs w:val="21"/>
                <w:highlight w:val="none"/>
              </w:rPr>
              <w:t>26.1</w:t>
            </w:r>
          </w:p>
        </w:tc>
        <w:tc>
          <w:tcPr>
            <w:tcW w:w="7912" w:type="dxa"/>
            <w:vAlign w:val="center"/>
          </w:tcPr>
          <w:p w14:paraId="5FE96B16">
            <w:pPr>
              <w:spacing w:line="340" w:lineRule="exact"/>
              <w:contextualSpacing/>
              <w:rPr>
                <w:rFonts w:asci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评审价相同时，按照最后报价由低到高顺序依次推荐；最后报价相同时，按节能、环保产品累计金额由高到低顺序依次推荐；节能、环保产品累计金额也相同时，按以下原则确定成交候选人的顺序：</w:t>
            </w:r>
          </w:p>
          <w:p w14:paraId="18BE0BA7">
            <w:pPr>
              <w:spacing w:line="340" w:lineRule="exact"/>
              <w:contextualSpacing/>
              <w:rPr>
                <w:rFonts w:ascii="宋体" w:cs="宋体"/>
                <w:color w:val="auto"/>
                <w:szCs w:val="21"/>
                <w:highlight w:val="none"/>
              </w:rPr>
            </w:pPr>
            <w:r>
              <w:rPr>
                <w:rFonts w:hint="eastAsia" w:ascii="MS Mincho" w:hAnsi="MS Mincho" w:eastAsia="MS Mincho" w:cs="MS Mincho"/>
                <w:color w:val="auto"/>
                <w:highlight w:val="none"/>
              </w:rPr>
              <w:t>☑</w:t>
            </w:r>
            <w:r>
              <w:rPr>
                <w:rFonts w:hint="eastAsia" w:ascii="宋体" w:hAnsi="宋体" w:cs="宋体"/>
                <w:color w:val="auto"/>
                <w:szCs w:val="21"/>
                <w:highlight w:val="none"/>
              </w:rPr>
              <w:t>实质性要求正偏离项数多的优先、</w:t>
            </w:r>
            <w:r>
              <w:rPr>
                <w:rFonts w:hint="eastAsia"/>
                <w:color w:val="auto"/>
                <w:highlight w:val="none"/>
              </w:rPr>
              <w:t>保修期</w:t>
            </w:r>
            <w:r>
              <w:rPr>
                <w:rFonts w:hint="eastAsia" w:ascii="宋体" w:hAnsi="宋体" w:cs="宋体"/>
                <w:color w:val="auto"/>
                <w:szCs w:val="21"/>
                <w:highlight w:val="none"/>
              </w:rPr>
              <w:t>长优先、交货期短优先、故障响应时间短优先的顺序推荐。</w:t>
            </w:r>
          </w:p>
          <w:p w14:paraId="4DD1C548">
            <w:pPr>
              <w:snapToGrid w:val="0"/>
              <w:spacing w:line="340" w:lineRule="exact"/>
              <w:rPr>
                <w:rFonts w:ascii="宋体" w:cs="宋体"/>
                <w:color w:val="auto"/>
                <w:szCs w:val="21"/>
                <w:highlight w:val="none"/>
              </w:rPr>
            </w:pPr>
            <w:r>
              <w:rPr>
                <w:rFonts w:hint="eastAsia" w:ascii="宋体" w:hAnsi="宋体" w:cs="宋体"/>
                <w:color w:val="auto"/>
                <w:szCs w:val="21"/>
                <w:highlight w:val="none"/>
              </w:rPr>
              <w:t>□由谈判小组推荐代表随机抽取。</w:t>
            </w:r>
          </w:p>
        </w:tc>
      </w:tr>
      <w:tr w14:paraId="7957D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top w:val="single" w:color="auto" w:sz="4" w:space="0"/>
            </w:tcBorders>
            <w:vAlign w:val="center"/>
          </w:tcPr>
          <w:p w14:paraId="69593E36">
            <w:pPr>
              <w:spacing w:line="360" w:lineRule="auto"/>
              <w:jc w:val="center"/>
              <w:rPr>
                <w:rFonts w:ascii="宋体" w:cs="宋体"/>
                <w:color w:val="auto"/>
                <w:szCs w:val="21"/>
                <w:highlight w:val="none"/>
              </w:rPr>
            </w:pPr>
            <w:r>
              <w:rPr>
                <w:rFonts w:ascii="宋体" w:hAnsi="宋体" w:cs="宋体"/>
                <w:color w:val="auto"/>
                <w:szCs w:val="21"/>
                <w:highlight w:val="none"/>
              </w:rPr>
              <w:t>26.2</w:t>
            </w:r>
          </w:p>
        </w:tc>
        <w:tc>
          <w:tcPr>
            <w:tcW w:w="7912" w:type="dxa"/>
            <w:vAlign w:val="center"/>
          </w:tcPr>
          <w:p w14:paraId="1FB4822C">
            <w:pPr>
              <w:snapToGrid w:val="0"/>
              <w:spacing w:line="340" w:lineRule="exact"/>
              <w:rPr>
                <w:rFonts w:ascii="宋体" w:cs="宋体"/>
                <w:color w:val="auto"/>
                <w:szCs w:val="21"/>
                <w:highlight w:val="none"/>
              </w:rPr>
            </w:pPr>
            <w:r>
              <w:rPr>
                <w:rFonts w:hint="eastAsia" w:ascii="宋体" w:hAnsi="宋体" w:cs="宋体"/>
                <w:color w:val="auto"/>
                <w:szCs w:val="21"/>
                <w:highlight w:val="none"/>
              </w:rPr>
              <w:t>商务要求评审中允许负偏离的条款数为</w:t>
            </w:r>
            <w:r>
              <w:rPr>
                <w:rFonts w:ascii="宋体" w:cs="宋体"/>
                <w:color w:val="auto"/>
                <w:szCs w:val="21"/>
                <w:highlight w:val="none"/>
                <w:u w:val="single"/>
              </w:rPr>
              <w:t>0</w:t>
            </w:r>
            <w:r>
              <w:rPr>
                <w:rFonts w:hint="eastAsia" w:ascii="宋体" w:hAnsi="宋体" w:cs="宋体"/>
                <w:color w:val="auto"/>
                <w:szCs w:val="21"/>
                <w:highlight w:val="none"/>
              </w:rPr>
              <w:t>项。</w:t>
            </w:r>
          </w:p>
          <w:p w14:paraId="6AF2A2AE">
            <w:pPr>
              <w:snapToGrid w:val="0"/>
              <w:spacing w:line="340" w:lineRule="exact"/>
              <w:rPr>
                <w:rFonts w:ascii="宋体" w:cs="宋体"/>
                <w:color w:val="auto"/>
                <w:szCs w:val="21"/>
                <w:highlight w:val="none"/>
              </w:rPr>
            </w:pPr>
            <w:r>
              <w:rPr>
                <w:rFonts w:hint="eastAsia" w:ascii="宋体" w:hAnsi="宋体" w:cs="宋体"/>
                <w:color w:val="auto"/>
                <w:szCs w:val="21"/>
                <w:highlight w:val="none"/>
              </w:rPr>
              <w:t>技术要求评审中允许负偏离的条款数为</w:t>
            </w:r>
            <w:r>
              <w:rPr>
                <w:rFonts w:ascii="宋体" w:cs="宋体"/>
                <w:color w:val="auto"/>
                <w:szCs w:val="21"/>
                <w:highlight w:val="none"/>
                <w:u w:val="single"/>
              </w:rPr>
              <w:t>0</w:t>
            </w:r>
            <w:r>
              <w:rPr>
                <w:rFonts w:hint="eastAsia" w:ascii="宋体" w:hAnsi="宋体" w:cs="宋体"/>
                <w:color w:val="auto"/>
                <w:szCs w:val="21"/>
                <w:highlight w:val="none"/>
              </w:rPr>
              <w:t>项。</w:t>
            </w:r>
          </w:p>
        </w:tc>
      </w:tr>
      <w:tr w14:paraId="3F927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16C5E2">
            <w:pPr>
              <w:spacing w:line="360" w:lineRule="auto"/>
              <w:jc w:val="center"/>
              <w:rPr>
                <w:rFonts w:ascii="宋体" w:cs="宋体"/>
                <w:color w:val="auto"/>
                <w:szCs w:val="21"/>
                <w:highlight w:val="none"/>
              </w:rPr>
            </w:pPr>
            <w:r>
              <w:rPr>
                <w:rFonts w:ascii="宋体" w:hAnsi="宋体" w:cs="宋体"/>
                <w:color w:val="auto"/>
                <w:szCs w:val="21"/>
                <w:highlight w:val="none"/>
              </w:rPr>
              <w:t>28.1</w:t>
            </w:r>
          </w:p>
        </w:tc>
        <w:tc>
          <w:tcPr>
            <w:tcW w:w="7912" w:type="dxa"/>
            <w:vAlign w:val="center"/>
          </w:tcPr>
          <w:p w14:paraId="73B2360E">
            <w:pPr>
              <w:autoSpaceDE w:val="0"/>
              <w:autoSpaceDN w:val="0"/>
              <w:snapToGrid w:val="0"/>
              <w:spacing w:line="380" w:lineRule="exact"/>
              <w:textAlignment w:val="bottom"/>
              <w:rPr>
                <w:rFonts w:ascii="宋体"/>
                <w:color w:val="auto"/>
                <w:szCs w:val="21"/>
                <w:highlight w:val="none"/>
              </w:rPr>
            </w:pPr>
            <w:r>
              <w:rPr>
                <w:rFonts w:hint="eastAsia" w:ascii="宋体" w:hAnsi="宋体"/>
                <w:color w:val="auto"/>
                <w:szCs w:val="21"/>
                <w:highlight w:val="none"/>
              </w:rPr>
              <w:t>□本项目不收取履约保证金。</w:t>
            </w:r>
          </w:p>
          <w:p w14:paraId="16D0B7D1">
            <w:pPr>
              <w:autoSpaceDE w:val="0"/>
              <w:autoSpaceDN w:val="0"/>
              <w:snapToGrid w:val="0"/>
              <w:spacing w:line="340" w:lineRule="exact"/>
              <w:textAlignment w:val="bottom"/>
              <w:rPr>
                <w:rFonts w:ascii="宋体"/>
                <w:color w:val="auto"/>
                <w:szCs w:val="21"/>
                <w:highlight w:val="none"/>
              </w:rPr>
            </w:pPr>
            <w:r>
              <w:rPr>
                <w:rFonts w:hint="eastAsia" w:ascii="MS Mincho" w:hAnsi="MS Mincho" w:eastAsia="MS Mincho" w:cs="MS Mincho"/>
                <w:color w:val="auto"/>
                <w:highlight w:val="none"/>
              </w:rPr>
              <w:t>☑</w:t>
            </w:r>
            <w:r>
              <w:rPr>
                <w:rFonts w:hint="eastAsia" w:ascii="宋体" w:hAnsi="宋体"/>
                <w:color w:val="auto"/>
                <w:szCs w:val="21"/>
                <w:highlight w:val="none"/>
              </w:rPr>
              <w:t>本项目收取履约保证金，具体规定如下：</w:t>
            </w:r>
          </w:p>
          <w:p w14:paraId="602882CC">
            <w:pPr>
              <w:spacing w:line="340" w:lineRule="exact"/>
              <w:contextualSpacing/>
              <w:rPr>
                <w:rFonts w:ascii="宋体" w:hAnsi="宋体"/>
                <w:color w:val="auto"/>
                <w:szCs w:val="21"/>
                <w:highlight w:val="none"/>
              </w:rPr>
            </w:pPr>
            <w:r>
              <w:rPr>
                <w:rFonts w:hint="eastAsia" w:ascii="宋体" w:hAnsi="宋体"/>
                <w:color w:val="auto"/>
                <w:szCs w:val="21"/>
                <w:highlight w:val="none"/>
              </w:rPr>
              <w:t>履约保证金金额：按成交金额的5%收取</w:t>
            </w:r>
            <w:r>
              <w:rPr>
                <w:rFonts w:hint="eastAsia" w:ascii="宋体" w:hAnsi="宋体" w:cs="Courier New"/>
                <w:color w:val="auto"/>
                <w:szCs w:val="21"/>
                <w:highlight w:val="none"/>
              </w:rPr>
              <w:t>（</w:t>
            </w:r>
            <w:r>
              <w:rPr>
                <w:rFonts w:hint="eastAsia" w:ascii="宋体" w:hAnsi="宋体"/>
                <w:color w:val="auto"/>
                <w:highlight w:val="none"/>
              </w:rPr>
              <w:t>如成交供应商为中小企业的，按成交金额的2</w:t>
            </w:r>
            <w:r>
              <w:rPr>
                <w:rFonts w:ascii="宋体" w:hAnsi="宋体"/>
                <w:color w:val="auto"/>
                <w:highlight w:val="none"/>
              </w:rPr>
              <w:t>%</w:t>
            </w:r>
            <w:r>
              <w:rPr>
                <w:rFonts w:hint="eastAsia" w:ascii="宋体" w:hAnsi="宋体"/>
                <w:color w:val="auto"/>
                <w:highlight w:val="none"/>
              </w:rPr>
              <w:t>收取</w:t>
            </w:r>
            <w:r>
              <w:rPr>
                <w:rFonts w:hint="eastAsia" w:ascii="宋体" w:hAnsi="宋体" w:cs="Courier New"/>
                <w:color w:val="auto"/>
                <w:szCs w:val="21"/>
                <w:highlight w:val="none"/>
              </w:rPr>
              <w:t>）</w:t>
            </w:r>
            <w:r>
              <w:rPr>
                <w:rFonts w:hint="eastAsia" w:ascii="宋体" w:hAnsi="宋体"/>
                <w:color w:val="auto"/>
                <w:szCs w:val="21"/>
                <w:highlight w:val="none"/>
              </w:rPr>
              <w:t>。</w:t>
            </w:r>
          </w:p>
          <w:p w14:paraId="0D2EBCF4">
            <w:pPr>
              <w:spacing w:line="34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履约保证金提交时限、方式：</w:t>
            </w:r>
            <w:r>
              <w:rPr>
                <w:rFonts w:hint="eastAsia" w:asciiTheme="minorEastAsia" w:hAnsiTheme="minorEastAsia" w:eastAsiaTheme="minorEastAsia"/>
                <w:color w:val="auto"/>
                <w:szCs w:val="21"/>
                <w:highlight w:val="none"/>
              </w:rPr>
              <w:t>供应商必须在成交通知书发出后25日内且在签订合同前以银行转账、支票、汇票、本票或者金融、担保机构出具的保函（包含电子保函）等非现金方式向采购人交纳履约保证金，否则，不予签订合同。</w:t>
            </w:r>
          </w:p>
          <w:p w14:paraId="5513A53F">
            <w:pPr>
              <w:spacing w:line="340" w:lineRule="exact"/>
              <w:contextualSpacing/>
              <w:rPr>
                <w:rFonts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color w:val="auto"/>
                <w:highlight w:val="none"/>
              </w:rPr>
              <w:t>在成交供应商履行完合同约定的权利义务（包括</w:t>
            </w:r>
            <w:r>
              <w:rPr>
                <w:rFonts w:hint="eastAsia"/>
                <w:color w:val="auto"/>
                <w:highlight w:val="none"/>
              </w:rPr>
              <w:t>保修</w:t>
            </w:r>
            <w:r>
              <w:rPr>
                <w:color w:val="auto"/>
                <w:highlight w:val="none"/>
              </w:rPr>
              <w:t>服务等）事项后</w:t>
            </w:r>
            <w:r>
              <w:rPr>
                <w:rFonts w:hint="eastAsia"/>
                <w:color w:val="auto"/>
                <w:highlight w:val="none"/>
              </w:rPr>
              <w:t>5</w:t>
            </w:r>
            <w:r>
              <w:rPr>
                <w:color w:val="auto"/>
                <w:highlight w:val="none"/>
              </w:rPr>
              <w:t>个工作日内</w:t>
            </w:r>
            <w:r>
              <w:rPr>
                <w:rFonts w:hint="eastAsia"/>
                <w:color w:val="auto"/>
                <w:highlight w:val="none"/>
              </w:rPr>
              <w:t>，</w:t>
            </w:r>
            <w:r>
              <w:rPr>
                <w:rFonts w:hint="eastAsia" w:ascii="宋体" w:hAnsi="宋体" w:cs="宋体"/>
                <w:color w:val="auto"/>
                <w:szCs w:val="21"/>
                <w:highlight w:val="none"/>
              </w:rPr>
              <w:t>由成交供应商向履约保证金收取单位提供《广西壮族自治区政府采购项目合同验收书》（详见桂财采〔2015〕22号）和履约保证金交纳凭证，履约保证金收取单位在收到合格材料后5个工作日内办理退还手续（不计利息）。</w:t>
            </w:r>
          </w:p>
          <w:p w14:paraId="6DB73C19">
            <w:pPr>
              <w:spacing w:line="34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履约保证金指定账户：开户名称：桂林水文中心；开户银行：中国农业银行股份有限公司桂林城西支行；银行账号：20-205501040000515</w:t>
            </w:r>
          </w:p>
          <w:p w14:paraId="29897F99">
            <w:pPr>
              <w:spacing w:line="340" w:lineRule="exact"/>
              <w:contextualSpacing/>
              <w:rPr>
                <w:rFonts w:ascii="宋体" w:hAnsi="宋体" w:cs="宋体"/>
                <w:color w:val="auto"/>
                <w:szCs w:val="21"/>
                <w:highlight w:val="none"/>
              </w:rPr>
            </w:pPr>
            <w:r>
              <w:rPr>
                <w:rFonts w:hint="eastAsia" w:ascii="宋体" w:hAnsi="宋体" w:cs="宋体"/>
                <w:color w:val="auto"/>
                <w:szCs w:val="21"/>
                <w:highlight w:val="none"/>
              </w:rPr>
              <w:t>备注：</w:t>
            </w:r>
          </w:p>
          <w:p w14:paraId="1AF0D572">
            <w:pPr>
              <w:spacing w:line="360" w:lineRule="auto"/>
              <w:contextualSpacing/>
              <w:rPr>
                <w:rFonts w:ascii="宋体" w:hAnsi="宋体" w:cs="宋体"/>
                <w:b/>
                <w:color w:val="auto"/>
                <w:szCs w:val="21"/>
                <w:highlight w:val="none"/>
              </w:rPr>
            </w:pPr>
            <w:r>
              <w:rPr>
                <w:rFonts w:hint="eastAsia" w:ascii="宋体" w:hAnsi="宋体" w:cs="宋体"/>
                <w:b/>
                <w:color w:val="auto"/>
                <w:szCs w:val="21"/>
                <w:highlight w:val="none"/>
              </w:rPr>
              <w:t>1</w:t>
            </w:r>
            <w:bookmarkStart w:id="64" w:name="_Hlk54170335"/>
            <w:r>
              <w:rPr>
                <w:rFonts w:hint="eastAsia" w:ascii="宋体" w:hAnsi="宋体" w:cs="宋体"/>
                <w:b/>
                <w:color w:val="auto"/>
                <w:szCs w:val="21"/>
                <w:highlight w:val="none"/>
              </w:rPr>
              <w:t>.</w:t>
            </w:r>
            <w:bookmarkEnd w:id="64"/>
            <w:r>
              <w:rPr>
                <w:rFonts w:hint="eastAsia" w:ascii="宋体" w:hAnsi="宋体" w:cs="宋体"/>
                <w:b/>
                <w:color w:val="auto"/>
                <w:szCs w:val="21"/>
                <w:highlight w:val="none"/>
              </w:rPr>
              <w:t>根据</w:t>
            </w:r>
            <w:r>
              <w:rPr>
                <w:rFonts w:hint="eastAsia" w:ascii="宋体" w:hAnsi="宋体"/>
                <w:b/>
                <w:color w:val="auto"/>
                <w:szCs w:val="21"/>
                <w:highlight w:val="none"/>
              </w:rPr>
              <w:t>《广西壮族自治区财政厅关于持续优化政府采购营商环境推动高质量发展的通知》（桂财采〔2024〕55号）规定，降低履约保证金。采购文件要求成交供应商提交履约保证金的，履约保证金数额不得超过政府采购合同金额的5%，对中小企业收取的履约保证金数额不得超过政府采购合同金额的2%。</w:t>
            </w:r>
          </w:p>
          <w:p w14:paraId="2439271F">
            <w:pPr>
              <w:spacing w:line="360" w:lineRule="auto"/>
              <w:contextualSpacing/>
              <w:rPr>
                <w:rFonts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w:t>
            </w:r>
            <w:r>
              <w:rPr>
                <w:rFonts w:hint="eastAsia" w:ascii="宋体" w:hAnsi="宋体" w:cs="宋体"/>
                <w:b/>
                <w:color w:val="auto"/>
                <w:szCs w:val="21"/>
                <w:highlight w:val="none"/>
              </w:rPr>
              <w:t>履约保证金不足额缴纳的，或者金融、担保机构出具的保函、电子保函额度不足的或者保函、电子保函有效期低于合同履行期限（即签订采购合同之日起至履行完合同约定的权利及义务之日止）的，不予签订合同。</w:t>
            </w:r>
          </w:p>
          <w:p w14:paraId="3F9E8649">
            <w:pPr>
              <w:spacing w:line="360" w:lineRule="auto"/>
              <w:contextualSpacing/>
              <w:rPr>
                <w:rFonts w:ascii="宋体" w:cs="宋体"/>
                <w:color w:val="auto"/>
                <w:szCs w:val="21"/>
                <w:highlight w:val="none"/>
              </w:rPr>
            </w:pPr>
            <w:r>
              <w:rPr>
                <w:rFonts w:hint="eastAsia" w:ascii="宋体" w:hAnsi="宋体" w:cs="宋体"/>
                <w:b/>
                <w:color w:val="auto"/>
                <w:szCs w:val="21"/>
                <w:highlight w:val="none"/>
              </w:rPr>
              <w:t>3</w:t>
            </w:r>
            <w:r>
              <w:rPr>
                <w:rFonts w:ascii="宋体" w:hAnsi="宋体" w:cs="宋体"/>
                <w:b/>
                <w:color w:val="auto"/>
                <w:szCs w:val="21"/>
                <w:highlight w:val="none"/>
              </w:rPr>
              <w:t>.</w:t>
            </w:r>
            <w:r>
              <w:rPr>
                <w:rFonts w:hint="eastAsia" w:ascii="宋体" w:hAnsi="宋体" w:cs="宋体"/>
                <w:b/>
                <w:color w:val="auto"/>
                <w:szCs w:val="21"/>
                <w:highlight w:val="none"/>
              </w:rPr>
              <w:t>供应商为联合体的，由联合体任意一方按规定提交的履约保证金，视为有效履约保证金（非联合体竞标的请忽略）。</w:t>
            </w:r>
          </w:p>
        </w:tc>
      </w:tr>
      <w:tr w14:paraId="6FD6C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0E9958C">
            <w:pPr>
              <w:spacing w:line="360" w:lineRule="auto"/>
              <w:jc w:val="center"/>
              <w:rPr>
                <w:rFonts w:ascii="宋体" w:cs="宋体"/>
                <w:color w:val="auto"/>
                <w:szCs w:val="21"/>
                <w:highlight w:val="none"/>
              </w:rPr>
            </w:pPr>
            <w:r>
              <w:rPr>
                <w:rFonts w:ascii="宋体" w:hAnsi="宋体" w:cs="宋体"/>
                <w:color w:val="auto"/>
                <w:szCs w:val="21"/>
                <w:highlight w:val="none"/>
              </w:rPr>
              <w:t>29.1</w:t>
            </w:r>
          </w:p>
        </w:tc>
        <w:tc>
          <w:tcPr>
            <w:tcW w:w="7912" w:type="dxa"/>
            <w:vAlign w:val="center"/>
          </w:tcPr>
          <w:p w14:paraId="4C1B1D2F">
            <w:pPr>
              <w:autoSpaceDE w:val="0"/>
              <w:autoSpaceDN w:val="0"/>
              <w:snapToGrid w:val="0"/>
              <w:spacing w:line="340" w:lineRule="exact"/>
              <w:textAlignment w:val="bottom"/>
              <w:rPr>
                <w:rFonts w:ascii="宋体"/>
                <w:color w:val="auto"/>
                <w:szCs w:val="21"/>
                <w:highlight w:val="none"/>
              </w:rPr>
            </w:pPr>
            <w:r>
              <w:rPr>
                <w:rFonts w:hint="eastAsia" w:ascii="宋体" w:hAnsi="宋体"/>
                <w:color w:val="auto"/>
                <w:szCs w:val="21"/>
                <w:highlight w:val="none"/>
              </w:rPr>
              <w:t>签订合同携带的证明材料：</w:t>
            </w:r>
          </w:p>
          <w:p w14:paraId="473B81B2">
            <w:pPr>
              <w:autoSpaceDE w:val="0"/>
              <w:autoSpaceDN w:val="0"/>
              <w:snapToGrid w:val="0"/>
              <w:spacing w:line="340" w:lineRule="exact"/>
              <w:textAlignment w:val="bottom"/>
              <w:rPr>
                <w:rFonts w:asci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50EB5989">
            <w:pPr>
              <w:snapToGrid w:val="0"/>
              <w:spacing w:line="340" w:lineRule="exact"/>
              <w:rPr>
                <w:rFonts w:ascii="宋体" w:cs="宋体"/>
                <w:color w:val="auto"/>
                <w:szCs w:val="21"/>
                <w:highlight w:val="none"/>
              </w:rPr>
            </w:pPr>
            <w:r>
              <w:rPr>
                <w:rFonts w:hint="eastAsia" w:ascii="宋体" w:hAnsi="宋体"/>
                <w:color w:val="auto"/>
                <w:szCs w:val="21"/>
                <w:highlight w:val="none"/>
              </w:rPr>
              <w:t>法定代表人负责签订合同的，须携带法定代表人身份证明原件及身份证原件等其他证明材料。</w:t>
            </w:r>
          </w:p>
        </w:tc>
      </w:tr>
      <w:tr w14:paraId="0B4F4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C5E6B4">
            <w:pPr>
              <w:spacing w:line="360" w:lineRule="auto"/>
              <w:jc w:val="center"/>
              <w:rPr>
                <w:rFonts w:ascii="宋体" w:cs="宋体"/>
                <w:color w:val="auto"/>
                <w:szCs w:val="21"/>
                <w:highlight w:val="none"/>
              </w:rPr>
            </w:pPr>
            <w:r>
              <w:rPr>
                <w:rFonts w:ascii="宋体" w:hAnsi="宋体" w:cs="宋体"/>
                <w:color w:val="auto"/>
                <w:szCs w:val="21"/>
                <w:highlight w:val="none"/>
              </w:rPr>
              <w:t>31.2</w:t>
            </w:r>
          </w:p>
        </w:tc>
        <w:tc>
          <w:tcPr>
            <w:tcW w:w="7912" w:type="dxa"/>
            <w:vAlign w:val="center"/>
          </w:tcPr>
          <w:p w14:paraId="29304A27">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接收质疑函方式：以书面形式。</w:t>
            </w:r>
          </w:p>
          <w:p w14:paraId="3C998DF0">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质疑联系部门及联系方式：云之龙咨询集团有限公司桂林分公司，联系电话：0773-2887388、0773-2887399。</w:t>
            </w:r>
          </w:p>
          <w:p w14:paraId="69E70CDF">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通讯地址：广西桂林市临桂区西城北路2号耀辉•美好家园2幢12层1号房</w:t>
            </w:r>
          </w:p>
          <w:p w14:paraId="5FE5BB4C">
            <w:pPr>
              <w:autoSpaceDE w:val="0"/>
              <w:autoSpaceDN w:val="0"/>
              <w:snapToGrid w:val="0"/>
              <w:spacing w:line="340" w:lineRule="exact"/>
              <w:textAlignment w:val="bottom"/>
              <w:rPr>
                <w:rFonts w:hAnsi="宋体" w:cs="宋体"/>
                <w:color w:val="auto"/>
                <w:highlight w:val="none"/>
              </w:rPr>
            </w:pPr>
            <w:r>
              <w:rPr>
                <w:rFonts w:hint="eastAsia" w:ascii="宋体" w:hAnsi="宋体"/>
                <w:color w:val="auto"/>
                <w:szCs w:val="21"/>
                <w:highlight w:val="none"/>
              </w:rPr>
              <w:t>业务时间：工作日每日上午9时00分到12时00分，下午1时00分到5时00分。业务时间以外、双休日和法定节假日不办理业务。</w:t>
            </w:r>
          </w:p>
        </w:tc>
      </w:tr>
      <w:tr w14:paraId="13CE4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9ECD70">
            <w:pPr>
              <w:spacing w:line="360" w:lineRule="auto"/>
              <w:jc w:val="center"/>
              <w:rPr>
                <w:rFonts w:ascii="宋体" w:cs="宋体"/>
                <w:color w:val="auto"/>
                <w:szCs w:val="21"/>
                <w:highlight w:val="none"/>
              </w:rPr>
            </w:pPr>
            <w:r>
              <w:rPr>
                <w:rFonts w:ascii="宋体" w:hAnsi="宋体" w:cs="宋体"/>
                <w:color w:val="auto"/>
                <w:szCs w:val="21"/>
                <w:highlight w:val="none"/>
              </w:rPr>
              <w:t>32.1</w:t>
            </w:r>
          </w:p>
        </w:tc>
        <w:tc>
          <w:tcPr>
            <w:tcW w:w="7912" w:type="dxa"/>
            <w:vAlign w:val="center"/>
          </w:tcPr>
          <w:p w14:paraId="733C476F">
            <w:pPr>
              <w:pStyle w:val="14"/>
              <w:snapToGrid w:val="0"/>
              <w:spacing w:line="360" w:lineRule="auto"/>
              <w:rPr>
                <w:rFonts w:hAnsi="宋体" w:cs="宋体"/>
                <w:color w:val="auto"/>
                <w:sz w:val="21"/>
                <w:highlight w:val="none"/>
              </w:rPr>
            </w:pPr>
            <w:r>
              <w:rPr>
                <w:rFonts w:hint="eastAsia" w:hAnsi="宋体" w:cs="宋体"/>
                <w:color w:val="auto"/>
                <w:sz w:val="21"/>
                <w:highlight w:val="none"/>
              </w:rPr>
              <w:t>1.采购代理服务费支付方式：</w:t>
            </w:r>
          </w:p>
          <w:p w14:paraId="6A8D5001">
            <w:pPr>
              <w:pStyle w:val="14"/>
              <w:snapToGrid w:val="0"/>
              <w:spacing w:line="360" w:lineRule="auto"/>
              <w:rPr>
                <w:rFonts w:hAnsi="宋体" w:cs="宋体"/>
                <w:color w:val="auto"/>
                <w:sz w:val="21"/>
                <w:highlight w:val="none"/>
              </w:rPr>
            </w:pPr>
            <w:r>
              <w:rPr>
                <w:rFonts w:hint="eastAsia" w:ascii="MS Mincho" w:hAnsi="MS Mincho" w:eastAsia="MS Mincho" w:cs="MS Mincho"/>
                <w:color w:val="auto"/>
                <w:highlight w:val="none"/>
              </w:rPr>
              <w:t>☑</w:t>
            </w:r>
            <w:r>
              <w:rPr>
                <w:rFonts w:hint="eastAsia" w:hAnsi="宋体" w:cs="宋体"/>
                <w:color w:val="auto"/>
                <w:sz w:val="21"/>
                <w:highlight w:val="none"/>
              </w:rPr>
              <w:t>本项目采购代理服务费由</w:t>
            </w:r>
            <w:r>
              <w:rPr>
                <w:rFonts w:hint="eastAsia" w:hAnsi="宋体" w:cs="宋体"/>
                <w:color w:val="auto"/>
                <w:sz w:val="21"/>
                <w:highlight w:val="none"/>
                <w:u w:val="single"/>
              </w:rPr>
              <w:t>成交供应商</w:t>
            </w:r>
            <w:r>
              <w:rPr>
                <w:rFonts w:hint="eastAsia" w:hAnsi="宋体" w:cs="宋体"/>
                <w:color w:val="auto"/>
                <w:sz w:val="21"/>
                <w:highlight w:val="none"/>
              </w:rPr>
              <w:t>在获取成交通知书前</w:t>
            </w:r>
            <w:r>
              <w:rPr>
                <w:rFonts w:hint="eastAsia"/>
                <w:lang w:eastAsia="zh-CN"/>
              </w:rPr>
              <w:t>向采购代理机构一次性支付</w:t>
            </w:r>
            <w:r>
              <w:rPr>
                <w:rFonts w:hint="eastAsia" w:hAnsi="宋体" w:cs="宋体"/>
                <w:color w:val="auto"/>
                <w:sz w:val="21"/>
                <w:highlight w:val="none"/>
              </w:rPr>
              <w:t>。</w:t>
            </w:r>
          </w:p>
          <w:p w14:paraId="4A4318BE">
            <w:pPr>
              <w:pStyle w:val="14"/>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0B191DD3">
            <w:pPr>
              <w:pStyle w:val="14"/>
              <w:snapToGrid w:val="0"/>
              <w:spacing w:line="360" w:lineRule="auto"/>
              <w:rPr>
                <w:rFonts w:hAnsi="宋体" w:cs="宋体"/>
                <w:color w:val="auto"/>
                <w:sz w:val="21"/>
                <w:highlight w:val="none"/>
              </w:rPr>
            </w:pPr>
            <w:r>
              <w:rPr>
                <w:rFonts w:hint="eastAsia" w:hAnsi="宋体" w:cs="宋体"/>
                <w:color w:val="auto"/>
                <w:sz w:val="21"/>
                <w:highlight w:val="none"/>
              </w:rPr>
              <w:t>2.采购代理服务费收取标准：</w:t>
            </w:r>
          </w:p>
          <w:p w14:paraId="5D99D13C">
            <w:pPr>
              <w:pStyle w:val="14"/>
              <w:snapToGrid w:val="0"/>
              <w:spacing w:line="360" w:lineRule="auto"/>
              <w:rPr>
                <w:rFonts w:hAnsi="宋体" w:cs="宋体"/>
                <w:color w:val="auto"/>
                <w:sz w:val="21"/>
                <w:highlight w:val="none"/>
              </w:rPr>
            </w:pPr>
            <w:r>
              <w:rPr>
                <w:rFonts w:hint="eastAsia" w:hAnsi="宋体" w:cs="宋体"/>
                <w:color w:val="auto"/>
                <w:sz w:val="21"/>
                <w:highlight w:val="none"/>
              </w:rPr>
              <w:t>□按费率收费：</w:t>
            </w:r>
            <w:r>
              <w:rPr>
                <w:rFonts w:hint="eastAsia" w:ascii="MS Mincho" w:hAnsi="MS Mincho" w:eastAsia="MS Mincho" w:cs="MS Mincho"/>
                <w:color w:val="auto"/>
                <w:highlight w:val="none"/>
              </w:rPr>
              <w:t>☑</w:t>
            </w:r>
            <w:r>
              <w:rPr>
                <w:rFonts w:hint="eastAsia" w:hAnsi="宋体" w:cs="宋体"/>
                <w:color w:val="auto"/>
                <w:sz w:val="21"/>
                <w:highlight w:val="none"/>
              </w:rPr>
              <w:t>以分标（</w:t>
            </w:r>
            <w:r>
              <w:rPr>
                <w:rFonts w:hint="eastAsia" w:ascii="MS Mincho" w:hAnsi="MS Mincho" w:eastAsia="MS Mincho" w:cs="MS Mincho"/>
                <w:color w:val="auto"/>
                <w:highlight w:val="none"/>
              </w:rPr>
              <w:t>☑</w:t>
            </w:r>
            <w:r>
              <w:rPr>
                <w:rFonts w:hint="eastAsia" w:hAnsi="宋体" w:cs="宋体"/>
                <w:color w:val="auto"/>
                <w:sz w:val="21"/>
                <w:highlight w:val="none"/>
              </w:rPr>
              <w:t>成交金额/□采购预算/□暂定成交金额/□其他</w:t>
            </w:r>
            <w:r>
              <w:rPr>
                <w:rFonts w:hint="eastAsia" w:hAnsi="宋体" w:cs="宋体"/>
                <w:color w:val="auto"/>
                <w:sz w:val="21"/>
                <w:highlight w:val="none"/>
                <w:u w:val="single"/>
              </w:rPr>
              <w:t xml:space="preserve"> \</w:t>
            </w:r>
            <w:r>
              <w:rPr>
                <w:rFonts w:hint="eastAsia" w:hAnsi="宋体" w:cs="宋体"/>
                <w:color w:val="auto"/>
                <w:sz w:val="21"/>
                <w:highlight w:val="none"/>
              </w:rPr>
              <w:t>）为计费额，按本须知正文第</w:t>
            </w:r>
            <w:r>
              <w:rPr>
                <w:rFonts w:hAnsi="宋体" w:cs="宋体"/>
                <w:color w:val="auto"/>
                <w:sz w:val="21"/>
                <w:highlight w:val="none"/>
              </w:rPr>
              <w:t>32</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w:t>
            </w:r>
            <w:r>
              <w:rPr>
                <w:rFonts w:hint="eastAsia" w:ascii="MS Mincho" w:hAnsi="MS Mincho" w:eastAsia="MS Mincho" w:cs="MS Mincho"/>
                <w:color w:val="auto"/>
                <w:highlight w:val="none"/>
              </w:rPr>
              <w:t>☑</w:t>
            </w:r>
            <w:r>
              <w:rPr>
                <w:rFonts w:hint="eastAsia" w:hAnsi="宋体" w:cs="宋体"/>
                <w:color w:val="auto"/>
                <w:sz w:val="21"/>
                <w:highlight w:val="none"/>
              </w:rPr>
              <w:t>货物类/□服务类/□工程类）采用差额定率累进法计算出收费基准价格，采购代理收费以（</w:t>
            </w:r>
            <w:r>
              <w:rPr>
                <w:rFonts w:hint="eastAsia" w:ascii="MS Mincho" w:hAnsi="MS Mincho" w:eastAsia="MS Mincho" w:cs="MS Mincho"/>
                <w:color w:val="auto"/>
                <w:highlight w:val="none"/>
              </w:rPr>
              <w:t>☑</w:t>
            </w:r>
            <w:r>
              <w:rPr>
                <w:rFonts w:hint="eastAsia" w:hAnsi="宋体" w:cs="宋体"/>
                <w:color w:val="auto"/>
                <w:sz w:val="21"/>
                <w:highlight w:val="none"/>
              </w:rPr>
              <w:t>收费基准价格/□收费基准价格下浮</w:t>
            </w:r>
            <w:r>
              <w:rPr>
                <w:rFonts w:hint="eastAsia" w:hAnsi="宋体" w:cs="宋体"/>
                <w:color w:val="auto"/>
                <w:sz w:val="21"/>
                <w:highlight w:val="none"/>
                <w:u w:val="single"/>
              </w:rPr>
              <w:t xml:space="preserve"> \%</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w:t>
            </w:r>
            <w:r>
              <w:rPr>
                <w:rFonts w:hint="eastAsia" w:hAnsi="宋体" w:cs="宋体"/>
                <w:color w:val="auto"/>
                <w:sz w:val="21"/>
                <w:highlight w:val="none"/>
              </w:rPr>
              <w:t>）收取；分标不足人民币5000元的，按5000元计。</w:t>
            </w:r>
          </w:p>
          <w:p w14:paraId="70FCE3BA">
            <w:pPr>
              <w:pStyle w:val="14"/>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w:t>
            </w:r>
          </w:p>
          <w:p w14:paraId="30B95D38">
            <w:pPr>
              <w:pStyle w:val="14"/>
              <w:snapToGrid w:val="0"/>
              <w:spacing w:line="360" w:lineRule="exact"/>
              <w:rPr>
                <w:rFonts w:hAnsi="宋体" w:cs="宋体"/>
                <w:color w:val="auto"/>
                <w:sz w:val="21"/>
                <w:highlight w:val="none"/>
              </w:rPr>
            </w:pPr>
            <w:r>
              <w:rPr>
                <w:rFonts w:hint="eastAsia" w:hAnsi="宋体" w:cs="宋体"/>
                <w:color w:val="auto"/>
                <w:sz w:val="21"/>
                <w:highlight w:val="none"/>
              </w:rPr>
              <w:t>3. 采购代理服务费收取银行账户</w:t>
            </w:r>
          </w:p>
          <w:p w14:paraId="5239F08E">
            <w:pPr>
              <w:pStyle w:val="14"/>
              <w:snapToGrid w:val="0"/>
              <w:spacing w:line="340" w:lineRule="exact"/>
              <w:rPr>
                <w:rFonts w:hAnsi="宋体"/>
                <w:color w:val="auto"/>
                <w:sz w:val="21"/>
                <w:highlight w:val="none"/>
                <w:u w:val="single"/>
              </w:rPr>
            </w:pPr>
            <w:r>
              <w:rPr>
                <w:rFonts w:hint="eastAsia" w:hAnsi="宋体"/>
                <w:b/>
                <w:bCs/>
                <w:color w:val="auto"/>
                <w:sz w:val="21"/>
                <w:highlight w:val="none"/>
              </w:rPr>
              <w:t>开户名称：云之龙咨询集团有限公司桂林分公司</w:t>
            </w:r>
            <w:r>
              <w:rPr>
                <w:rFonts w:hint="eastAsia" w:hAnsi="宋体"/>
                <w:b/>
                <w:bCs/>
                <w:color w:val="auto"/>
                <w:sz w:val="21"/>
                <w:highlight w:val="none"/>
              </w:rPr>
              <w:br w:type="textWrapping"/>
            </w:r>
            <w:r>
              <w:rPr>
                <w:rFonts w:hint="eastAsia" w:hAnsi="宋体"/>
                <w:b/>
                <w:bCs/>
                <w:color w:val="auto"/>
                <w:sz w:val="21"/>
                <w:highlight w:val="none"/>
              </w:rPr>
              <w:t>银行账号：8113001014300158041</w:t>
            </w:r>
            <w:r>
              <w:rPr>
                <w:rFonts w:hint="eastAsia" w:hAnsi="宋体"/>
                <w:b/>
                <w:bCs/>
                <w:color w:val="auto"/>
                <w:sz w:val="21"/>
                <w:highlight w:val="none"/>
              </w:rPr>
              <w:br w:type="textWrapping"/>
            </w:r>
            <w:r>
              <w:rPr>
                <w:rFonts w:hint="eastAsia" w:hAnsi="宋体"/>
                <w:b/>
                <w:bCs/>
                <w:color w:val="auto"/>
                <w:sz w:val="21"/>
                <w:highlight w:val="none"/>
              </w:rPr>
              <w:t>开户银行：中信银行股份有限公司南宁东葛支行</w:t>
            </w:r>
          </w:p>
        </w:tc>
      </w:tr>
      <w:tr w14:paraId="2E3A0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CB1F8CB">
            <w:pPr>
              <w:spacing w:line="360" w:lineRule="auto"/>
              <w:jc w:val="center"/>
              <w:rPr>
                <w:rFonts w:ascii="宋体" w:cs="宋体"/>
                <w:color w:val="auto"/>
                <w:szCs w:val="21"/>
                <w:highlight w:val="none"/>
              </w:rPr>
            </w:pPr>
            <w:r>
              <w:rPr>
                <w:rFonts w:ascii="宋体" w:hAnsi="宋体" w:cs="宋体"/>
                <w:color w:val="auto"/>
                <w:szCs w:val="21"/>
                <w:highlight w:val="none"/>
              </w:rPr>
              <w:t>33.1</w:t>
            </w:r>
          </w:p>
        </w:tc>
        <w:tc>
          <w:tcPr>
            <w:tcW w:w="7912" w:type="dxa"/>
            <w:vAlign w:val="center"/>
          </w:tcPr>
          <w:p w14:paraId="02A27A49">
            <w:pPr>
              <w:pStyle w:val="14"/>
              <w:snapToGrid w:val="0"/>
              <w:spacing w:line="340" w:lineRule="exact"/>
              <w:rPr>
                <w:rFonts w:hAnsi="宋体"/>
                <w:color w:val="auto"/>
                <w:sz w:val="21"/>
                <w:highlight w:val="none"/>
              </w:rPr>
            </w:pPr>
            <w:r>
              <w:rPr>
                <w:rFonts w:hint="eastAsia" w:hAnsi="宋体"/>
                <w:color w:val="auto"/>
                <w:sz w:val="21"/>
                <w:highlight w:val="none"/>
              </w:rPr>
              <w:t>解释：构成本谈判文件的各个组成文件应互为解释，互为说明；除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14:paraId="5E3E8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2AFF185">
            <w:pPr>
              <w:spacing w:line="360" w:lineRule="auto"/>
              <w:jc w:val="center"/>
              <w:rPr>
                <w:rFonts w:ascii="宋体" w:cs="宋体"/>
                <w:color w:val="auto"/>
                <w:szCs w:val="21"/>
                <w:highlight w:val="none"/>
              </w:rPr>
            </w:pPr>
            <w:r>
              <w:rPr>
                <w:rFonts w:ascii="宋体" w:hAnsi="宋体" w:cs="宋体"/>
                <w:color w:val="auto"/>
                <w:szCs w:val="21"/>
                <w:highlight w:val="none"/>
              </w:rPr>
              <w:t>33.2</w:t>
            </w:r>
          </w:p>
        </w:tc>
        <w:tc>
          <w:tcPr>
            <w:tcW w:w="7912" w:type="dxa"/>
            <w:vAlign w:val="center"/>
          </w:tcPr>
          <w:p w14:paraId="32D127FA">
            <w:pPr>
              <w:pStyle w:val="14"/>
              <w:snapToGrid w:val="0"/>
              <w:spacing w:line="340" w:lineRule="exact"/>
              <w:rPr>
                <w:rFonts w:hAnsi="宋体"/>
                <w:color w:val="auto"/>
                <w:sz w:val="21"/>
                <w:highlight w:val="none"/>
              </w:rPr>
            </w:pPr>
            <w:r>
              <w:rPr>
                <w:rFonts w:hAnsi="宋体"/>
                <w:color w:val="auto"/>
                <w:sz w:val="21"/>
                <w:highlight w:val="none"/>
              </w:rPr>
              <w:t>1.</w:t>
            </w:r>
            <w:r>
              <w:rPr>
                <w:rFonts w:hint="eastAsia" w:hAnsi="宋体"/>
                <w:color w:val="auto"/>
                <w:sz w:val="21"/>
                <w:highlight w:val="none"/>
              </w:rPr>
              <w:t>本谈判文件中描述供应商的“公章”是指根据我国对公章的管理规定，用供应商法定主体行为名称制作的印章，除本谈判文件有特殊规定外，供应商的其他形式印章均不能代替公章。</w:t>
            </w:r>
          </w:p>
          <w:p w14:paraId="1CF75F31">
            <w:pPr>
              <w:pStyle w:val="14"/>
              <w:snapToGrid w:val="0"/>
              <w:spacing w:line="340" w:lineRule="exact"/>
              <w:rPr>
                <w:rFonts w:hAnsi="宋体"/>
                <w:color w:val="auto"/>
                <w:sz w:val="21"/>
                <w:highlight w:val="none"/>
              </w:rPr>
            </w:pPr>
            <w:r>
              <w:rPr>
                <w:rFonts w:hAnsi="宋体"/>
                <w:color w:val="auto"/>
                <w:sz w:val="21"/>
                <w:highlight w:val="none"/>
              </w:rPr>
              <w:t>2.</w:t>
            </w:r>
            <w:r>
              <w:rPr>
                <w:rFonts w:hint="eastAsia" w:hAnsi="宋体"/>
                <w:color w:val="auto"/>
                <w:sz w:val="21"/>
                <w:highlight w:val="none"/>
              </w:rPr>
              <w:t>本谈判文件所称的“电子签章”、“电子签名”，是指经广西政府采购云平台认可的</w:t>
            </w:r>
            <w:r>
              <w:rPr>
                <w:rFonts w:hAnsi="宋体"/>
                <w:color w:val="auto"/>
                <w:sz w:val="21"/>
                <w:highlight w:val="none"/>
              </w:rPr>
              <w:t>CA</w:t>
            </w:r>
            <w:r>
              <w:rPr>
                <w:rFonts w:hint="eastAsia" w:hAnsi="宋体"/>
                <w:color w:val="auto"/>
                <w:sz w:val="21"/>
                <w:highlight w:val="none"/>
              </w:rPr>
              <w:t>认证的电子签名数据为表现形式的印章，可用于签署电子响应文件，电子印章与实物印章、手写签名具有同等法律效力，不因其采用电子化表现形式而否定其法律效力。</w:t>
            </w:r>
          </w:p>
          <w:p w14:paraId="590B9C36">
            <w:pPr>
              <w:pStyle w:val="14"/>
              <w:snapToGrid w:val="0"/>
              <w:spacing w:line="340" w:lineRule="exact"/>
              <w:rPr>
                <w:rFonts w:hAnsi="宋体"/>
                <w:color w:val="auto"/>
                <w:sz w:val="21"/>
                <w:highlight w:val="none"/>
              </w:rPr>
            </w:pPr>
            <w:r>
              <w:rPr>
                <w:rFonts w:hAnsi="宋体"/>
                <w:color w:val="auto"/>
                <w:sz w:val="21"/>
                <w:highlight w:val="none"/>
              </w:rPr>
              <w:t>3.</w:t>
            </w:r>
            <w:r>
              <w:rPr>
                <w:rFonts w:hint="eastAsia" w:hAnsi="宋体"/>
                <w:color w:val="auto"/>
                <w:sz w:val="21"/>
                <w:highlight w:val="none"/>
              </w:rPr>
              <w:t>供应商为其他组织或者自然人时，本谈判文件规定的法定代表人指负责人或者自然人。本谈判文件所称负责人是指参加竞标的其他组织营业执照或者执业许可证等证照上的负责人，本谈判文件所称自然人指参与竞标的自然人本人，且应具备独立承担民事责任能力，自然人应当为年满</w:t>
            </w:r>
            <w:r>
              <w:rPr>
                <w:rFonts w:hAnsi="宋体"/>
                <w:color w:val="auto"/>
                <w:sz w:val="21"/>
                <w:highlight w:val="none"/>
              </w:rPr>
              <w:t>18</w:t>
            </w:r>
            <w:r>
              <w:rPr>
                <w:rFonts w:hint="eastAsia" w:hAnsi="宋体"/>
                <w:color w:val="auto"/>
                <w:sz w:val="21"/>
                <w:highlight w:val="none"/>
              </w:rPr>
              <w:t>岁以上成年人（十六周岁以上的未成年人，以自己的劳动收入为主要生活来源的，视为完全民事行为能力人）。</w:t>
            </w:r>
          </w:p>
          <w:p w14:paraId="2D74B369">
            <w:pPr>
              <w:pStyle w:val="14"/>
              <w:snapToGrid w:val="0"/>
              <w:spacing w:line="340" w:lineRule="exact"/>
              <w:rPr>
                <w:rFonts w:hAnsi="宋体"/>
                <w:color w:val="auto"/>
                <w:sz w:val="21"/>
                <w:highlight w:val="none"/>
              </w:rPr>
            </w:pPr>
            <w:r>
              <w:rPr>
                <w:rFonts w:hAnsi="宋体"/>
                <w:color w:val="auto"/>
                <w:sz w:val="21"/>
                <w:highlight w:val="none"/>
              </w:rPr>
              <w:t>4.</w:t>
            </w:r>
            <w:r>
              <w:rPr>
                <w:rFonts w:hint="eastAsia" w:hAnsi="宋体"/>
                <w:color w:val="auto"/>
                <w:sz w:val="21"/>
                <w:highlight w:val="none"/>
              </w:rPr>
              <w:t>本谈判文件中描述供应商的“签字”是指供应商的法定代表人或者委托代理人亲自在文件规定签署处亲笔写上个人的名字的行为。</w:t>
            </w:r>
          </w:p>
          <w:p w14:paraId="71139D48">
            <w:pPr>
              <w:pStyle w:val="14"/>
              <w:snapToGrid w:val="0"/>
              <w:spacing w:line="340" w:lineRule="exact"/>
              <w:rPr>
                <w:rFonts w:hAnsi="宋体"/>
                <w:color w:val="auto"/>
                <w:sz w:val="21"/>
                <w:highlight w:val="none"/>
              </w:rPr>
            </w:pPr>
            <w:r>
              <w:rPr>
                <w:rFonts w:hAnsi="宋体"/>
                <w:color w:val="auto"/>
                <w:sz w:val="21"/>
                <w:highlight w:val="none"/>
              </w:rPr>
              <w:t>5.</w:t>
            </w:r>
            <w:r>
              <w:rPr>
                <w:rFonts w:hint="eastAsia" w:hAnsi="宋体"/>
                <w:color w:val="auto"/>
                <w:sz w:val="21"/>
                <w:highlight w:val="none"/>
              </w:rPr>
              <w:t>本谈判文件所称的“以上”“以下”“以内”“届满”，包括本数；所称的“不满”“超过”“以外”，不包括本数。</w:t>
            </w:r>
          </w:p>
          <w:p w14:paraId="1885C0B4">
            <w:pPr>
              <w:pStyle w:val="14"/>
              <w:snapToGrid w:val="0"/>
              <w:spacing w:line="340" w:lineRule="exact"/>
              <w:rPr>
                <w:rFonts w:hAnsi="宋体"/>
                <w:color w:val="auto"/>
                <w:sz w:val="21"/>
                <w:highlight w:val="none"/>
              </w:rPr>
            </w:pPr>
            <w:r>
              <w:rPr>
                <w:rFonts w:hint="eastAsia" w:hAnsi="宋体"/>
                <w:color w:val="auto"/>
                <w:sz w:val="21"/>
                <w:highlight w:val="none"/>
              </w:rPr>
              <w:t>6.本项目未划分分标的，本谈判文件所称“分标”是指本项目。</w:t>
            </w:r>
          </w:p>
        </w:tc>
      </w:tr>
    </w:tbl>
    <w:p w14:paraId="1F1F2D14">
      <w:pPr>
        <w:spacing w:line="400" w:lineRule="exact"/>
        <w:jc w:val="center"/>
        <w:rPr>
          <w:rFonts w:ascii="宋体"/>
          <w:b/>
          <w:color w:val="auto"/>
          <w:sz w:val="32"/>
          <w:szCs w:val="32"/>
          <w:highlight w:val="none"/>
        </w:rPr>
      </w:pPr>
      <w:r>
        <w:rPr>
          <w:rFonts w:ascii="宋体"/>
          <w:b/>
          <w:color w:val="auto"/>
          <w:sz w:val="32"/>
          <w:szCs w:val="32"/>
          <w:highlight w:val="none"/>
        </w:rPr>
        <w:br w:type="page"/>
      </w:r>
      <w:r>
        <w:rPr>
          <w:rFonts w:hint="eastAsia" w:ascii="宋体" w:hAnsi="宋体"/>
          <w:b/>
          <w:color w:val="auto"/>
          <w:sz w:val="32"/>
          <w:szCs w:val="32"/>
          <w:highlight w:val="none"/>
        </w:rPr>
        <w:t>供应商须知正文</w:t>
      </w:r>
    </w:p>
    <w:p w14:paraId="0A110DB1">
      <w:pPr>
        <w:spacing w:line="400" w:lineRule="exact"/>
        <w:jc w:val="center"/>
        <w:rPr>
          <w:rFonts w:ascii="宋体"/>
          <w:b/>
          <w:color w:val="auto"/>
          <w:sz w:val="32"/>
          <w:szCs w:val="32"/>
          <w:highlight w:val="none"/>
        </w:rPr>
      </w:pPr>
    </w:p>
    <w:p w14:paraId="4B470655">
      <w:pPr>
        <w:spacing w:line="400" w:lineRule="exact"/>
        <w:jc w:val="center"/>
        <w:rPr>
          <w:rFonts w:ascii="宋体"/>
          <w:b/>
          <w:color w:val="auto"/>
          <w:sz w:val="32"/>
          <w:szCs w:val="32"/>
          <w:highlight w:val="none"/>
        </w:rPr>
      </w:pPr>
      <w:r>
        <w:rPr>
          <w:rFonts w:hint="eastAsia" w:ascii="宋体" w:hAnsi="宋体"/>
          <w:b/>
          <w:color w:val="auto"/>
          <w:sz w:val="32"/>
          <w:szCs w:val="32"/>
          <w:highlight w:val="none"/>
        </w:rPr>
        <w:t>一、总则</w:t>
      </w:r>
    </w:p>
    <w:p w14:paraId="7ECACC35">
      <w:pPr>
        <w:spacing w:line="400" w:lineRule="exact"/>
        <w:rPr>
          <w:rFonts w:ascii="宋体"/>
          <w:color w:val="auto"/>
          <w:szCs w:val="21"/>
          <w:highlight w:val="none"/>
        </w:rPr>
      </w:pPr>
    </w:p>
    <w:p w14:paraId="45090B9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 xml:space="preserve">1. </w:t>
      </w:r>
      <w:r>
        <w:rPr>
          <w:rFonts w:hint="eastAsia" w:ascii="黑体" w:hAnsi="黑体" w:eastAsia="黑体" w:cs="宋体"/>
          <w:b/>
          <w:bCs/>
          <w:color w:val="auto"/>
          <w:sz w:val="24"/>
          <w:highlight w:val="none"/>
        </w:rPr>
        <w:t>适用范围</w:t>
      </w:r>
    </w:p>
    <w:p w14:paraId="070E369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474FE73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5F65E59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 xml:space="preserve">2. </w:t>
      </w:r>
      <w:r>
        <w:rPr>
          <w:rFonts w:hint="eastAsia" w:ascii="黑体" w:hAnsi="黑体" w:eastAsia="黑体" w:cs="宋体"/>
          <w:b/>
          <w:bCs/>
          <w:color w:val="auto"/>
          <w:sz w:val="24"/>
          <w:highlight w:val="none"/>
        </w:rPr>
        <w:t>定义</w:t>
      </w:r>
    </w:p>
    <w:p w14:paraId="6325F66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“采购人”是指依法进行采购的国家机关、事业单位、团体组织。</w:t>
      </w:r>
    </w:p>
    <w:p w14:paraId="426A7C66">
      <w:pPr>
        <w:spacing w:line="360" w:lineRule="auto"/>
        <w:ind w:firstLine="420" w:firstLineChars="200"/>
        <w:rPr>
          <w:rFonts w:ascii="宋体"/>
          <w:b/>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“采购代理机构”</w:t>
      </w:r>
      <w:r>
        <w:rPr>
          <w:rFonts w:hint="eastAsia" w:ascii="宋体" w:hAnsi="宋体"/>
          <w:color w:val="auto"/>
          <w:szCs w:val="21"/>
          <w:highlight w:val="none"/>
        </w:rPr>
        <w:t>是指政府采购集中采购机构和集中采购机构以外的采购代理机构。</w:t>
      </w:r>
    </w:p>
    <w:p w14:paraId="0A332AA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“供应商”是指向采购人提供货物、工程或者服务的法人、其他组织或者自然人。</w:t>
      </w:r>
    </w:p>
    <w:p w14:paraId="67F7003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“货物”是指各种形态和种类的物品，包括原材料、燃料、设备、产品等。</w:t>
      </w:r>
    </w:p>
    <w:p w14:paraId="09D0DBE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“竞标”是指按照本项目竞争性谈判公告或者邀请函规定的方式供应商获取谈判文件、提交响应文件并希望获得标的的行为。</w:t>
      </w:r>
    </w:p>
    <w:p w14:paraId="2C91328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“售后服务”是指包含但不限于供应商须承担的备品备件、包装、运输、装卸、保险、货到就位以及安装、调试、培训、保修和其他类似的义务。</w:t>
      </w:r>
    </w:p>
    <w:p w14:paraId="594BC69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14:paraId="4B0FA55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是指：供应商根据本谈判文件要求，编制包含资格证明、报价、商务技术等所有内容的文件。</w:t>
      </w:r>
    </w:p>
    <w:p w14:paraId="3246E3CE">
      <w:pPr>
        <w:spacing w:line="360" w:lineRule="auto"/>
        <w:ind w:firstLine="420" w:firstLineChars="200"/>
        <w:rPr>
          <w:rFonts w:ascii="宋体" w:cs="宋体"/>
          <w:b/>
          <w:bCs/>
          <w:color w:val="auto"/>
          <w:szCs w:val="21"/>
          <w:highlight w:val="none"/>
        </w:rPr>
      </w:pPr>
      <w:r>
        <w:rPr>
          <w:rFonts w:ascii="宋体" w:hAnsi="宋体" w:cs="宋体"/>
          <w:color w:val="auto"/>
          <w:szCs w:val="21"/>
          <w:highlight w:val="none"/>
        </w:rPr>
        <w:t>2.9</w:t>
      </w:r>
      <w:r>
        <w:rPr>
          <w:rFonts w:hint="eastAsia" w:ascii="宋体" w:hAnsi="宋体" w:cs="宋体"/>
          <w:b/>
          <w:bCs/>
          <w:color w:val="auto"/>
          <w:szCs w:val="21"/>
          <w:highlight w:val="none"/>
        </w:rPr>
        <w:t>“实质性要求”是指采购需求一览表所有条款或者谈判文件中载明不能负偏离的条款或者已经指明不满足响应文件按无效处理的条款。</w:t>
      </w:r>
    </w:p>
    <w:p w14:paraId="649E309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“正偏离”，是指响应文件对谈判文件“采购需求”中有关条款作出优于条款要求并有利于采购人的响应情形；</w:t>
      </w:r>
    </w:p>
    <w:p w14:paraId="23BA4FF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2.11</w:t>
      </w:r>
      <w:r>
        <w:rPr>
          <w:rFonts w:hint="eastAsia" w:ascii="宋体" w:hAnsi="宋体" w:cs="宋体"/>
          <w:color w:val="auto"/>
          <w:szCs w:val="21"/>
          <w:highlight w:val="none"/>
        </w:rPr>
        <w:t>“负偏离”，是指响应文件对谈判文件“采购需求”中有关条款作出的响应不满足条款要求，导致采购人要求不能得到满足的情形。</w:t>
      </w:r>
    </w:p>
    <w:p w14:paraId="3D9AAB6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2.12</w:t>
      </w:r>
      <w:r>
        <w:rPr>
          <w:rFonts w:hint="eastAsia" w:ascii="宋体" w:hAnsi="宋体" w:cs="宋体"/>
          <w:color w:val="auto"/>
          <w:szCs w:val="21"/>
          <w:highlight w:val="none"/>
        </w:rPr>
        <w:t>“允许负偏离的条款”是指采购需求中的不属于“实质性要求”的条款。</w:t>
      </w:r>
    </w:p>
    <w:p w14:paraId="71AE146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2.13</w:t>
      </w:r>
      <w:r>
        <w:rPr>
          <w:rFonts w:hint="eastAsia" w:ascii="宋体" w:hAnsi="宋体" w:cs="宋体"/>
          <w:color w:val="auto"/>
          <w:szCs w:val="21"/>
          <w:highlight w:val="none"/>
        </w:rPr>
        <w:t>“首次报价”是指供应商提交的首次响应文件中的竞标报价。</w:t>
      </w:r>
    </w:p>
    <w:p w14:paraId="3E51EE5D">
      <w:pPr>
        <w:spacing w:line="360" w:lineRule="auto"/>
        <w:ind w:firstLine="482" w:firstLineChars="200"/>
        <w:contextualSpacing/>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供应商的资格条件</w:t>
      </w:r>
    </w:p>
    <w:p w14:paraId="6832471D">
      <w:p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供应商的资格条件详见“供应商须知前附表”。</w:t>
      </w:r>
    </w:p>
    <w:p w14:paraId="6BDF21D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竞标费用</w:t>
      </w:r>
    </w:p>
    <w:p w14:paraId="6A22FE9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5B8CCE1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5.</w:t>
      </w:r>
      <w:r>
        <w:rPr>
          <w:rFonts w:hint="eastAsia" w:ascii="黑体" w:hAnsi="黑体" w:eastAsia="黑体" w:cs="宋体"/>
          <w:b/>
          <w:bCs/>
          <w:color w:val="auto"/>
          <w:sz w:val="24"/>
          <w:highlight w:val="none"/>
        </w:rPr>
        <w:t>联合体竞标</w:t>
      </w:r>
    </w:p>
    <w:p w14:paraId="43CAA11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本项目是否接受联合体竞标，详见“供应商须知前附表”。</w:t>
      </w:r>
    </w:p>
    <w:p w14:paraId="4F92E8A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14:paraId="51F49E8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5.3</w:t>
      </w:r>
      <w:bookmarkStart w:id="65" w:name="_Hlk65857072"/>
      <w:r>
        <w:rPr>
          <w:rFonts w:hint="eastAsia" w:ascii="宋体" w:hAnsi="宋体"/>
          <w:bCs/>
          <w:color w:val="auto"/>
          <w:szCs w:val="21"/>
          <w:highlight w:val="none"/>
        </w:rPr>
        <w:t>根据《政府采购促进中小企业发展管理办法》（财库〔</w:t>
      </w:r>
      <w:r>
        <w:rPr>
          <w:rFonts w:ascii="宋体" w:hAnsi="宋体"/>
          <w:bCs/>
          <w:color w:val="auto"/>
          <w:szCs w:val="21"/>
          <w:highlight w:val="none"/>
        </w:rPr>
        <w:t>2020</w:t>
      </w:r>
      <w:r>
        <w:rPr>
          <w:rFonts w:hint="eastAsia" w:ascii="宋体" w:hAnsi="宋体"/>
          <w:bCs/>
          <w:color w:val="auto"/>
          <w:szCs w:val="21"/>
          <w:highlight w:val="none"/>
        </w:rPr>
        <w:t>〕</w:t>
      </w:r>
      <w:r>
        <w:rPr>
          <w:rFonts w:ascii="宋体" w:hAnsi="宋体"/>
          <w:bCs/>
          <w:color w:val="auto"/>
          <w:szCs w:val="21"/>
          <w:highlight w:val="none"/>
        </w:rPr>
        <w:t>46</w:t>
      </w:r>
      <w:r>
        <w:rPr>
          <w:rFonts w:hint="eastAsia" w:ascii="宋体" w:hAnsi="宋体"/>
          <w:bCs/>
          <w:color w:val="auto"/>
          <w:szCs w:val="21"/>
          <w:highlight w:val="none"/>
        </w:rPr>
        <w:t>号）第九条第二款及</w:t>
      </w:r>
      <w:r>
        <w:rPr>
          <w:rFonts w:hint="eastAsia" w:ascii="宋体" w:hAnsi="宋体" w:cs="宋体"/>
          <w:color w:val="auto"/>
          <w:szCs w:val="21"/>
          <w:highlight w:val="none"/>
        </w:rPr>
        <w:t>《广西壮族自治区财政厅关于持续优化政府采购营商环境推动高质量发展的通知》（桂财采〔2024〕55号）</w:t>
      </w:r>
      <w:r>
        <w:rPr>
          <w:rFonts w:hint="eastAsia" w:ascii="宋体" w:hAnsi="宋体"/>
          <w:color w:val="auto"/>
          <w:szCs w:val="21"/>
          <w:highlight w:val="none"/>
        </w:rPr>
        <w:t>规定</w:t>
      </w:r>
      <w:r>
        <w:rPr>
          <w:rFonts w:hint="eastAsia" w:ascii="宋体" w:hAnsi="宋体"/>
          <w:bCs/>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bCs/>
          <w:color w:val="auto"/>
          <w:szCs w:val="21"/>
          <w:highlight w:val="none"/>
        </w:rPr>
        <w:t>30%</w:t>
      </w:r>
      <w:r>
        <w:rPr>
          <w:rFonts w:hint="eastAsia" w:ascii="宋体" w:hAnsi="宋体"/>
          <w:bCs/>
          <w:color w:val="auto"/>
          <w:szCs w:val="21"/>
          <w:highlight w:val="none"/>
        </w:rPr>
        <w:t>以上的，采购人、采购代理机构应当对联合体或者大中型企业的报价给予</w:t>
      </w:r>
      <w:r>
        <w:rPr>
          <w:rFonts w:ascii="宋体" w:hAnsi="宋体"/>
          <w:bCs/>
          <w:color w:val="auto"/>
          <w:szCs w:val="21"/>
          <w:highlight w:val="none"/>
        </w:rPr>
        <w:t>4%-6%</w:t>
      </w:r>
      <w:r>
        <w:rPr>
          <w:rFonts w:hint="eastAsia" w:ascii="宋体" w:hAnsi="宋体"/>
          <w:bCs/>
          <w:color w:val="auto"/>
          <w:szCs w:val="21"/>
          <w:highlight w:val="none"/>
        </w:rPr>
        <w:t>的扣除，用扣除后的价格参加评审。</w:t>
      </w:r>
      <w:bookmarkEnd w:id="65"/>
    </w:p>
    <w:p w14:paraId="3072293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转包与分包</w:t>
      </w:r>
    </w:p>
    <w:p w14:paraId="26A3CEBE">
      <w:pPr>
        <w:pStyle w:val="5"/>
        <w:keepNext w:val="0"/>
        <w:keepLines w:val="0"/>
        <w:spacing w:before="0" w:after="0" w:line="360" w:lineRule="auto"/>
        <w:ind w:left="420" w:leftChars="200"/>
        <w:rPr>
          <w:rFonts w:ascii="宋体"/>
          <w:b w:val="0"/>
          <w:color w:val="auto"/>
          <w:sz w:val="21"/>
          <w:szCs w:val="21"/>
          <w:highlight w:val="none"/>
        </w:rPr>
      </w:pPr>
      <w:bookmarkStart w:id="66" w:name="_Toc254970673"/>
      <w:bookmarkStart w:id="67" w:name="_Toc254970532"/>
      <w:r>
        <w:rPr>
          <w:rFonts w:ascii="宋体" w:hAnsi="宋体"/>
          <w:b w:val="0"/>
          <w:color w:val="auto"/>
          <w:sz w:val="21"/>
          <w:szCs w:val="21"/>
          <w:highlight w:val="none"/>
        </w:rPr>
        <w:t>6.1</w:t>
      </w:r>
      <w:r>
        <w:rPr>
          <w:rFonts w:hint="eastAsia" w:ascii="宋体" w:hAnsi="宋体"/>
          <w:b w:val="0"/>
          <w:color w:val="auto"/>
          <w:sz w:val="21"/>
          <w:szCs w:val="21"/>
          <w:highlight w:val="none"/>
        </w:rPr>
        <w:t>本项目不允许转包。</w:t>
      </w:r>
    </w:p>
    <w:p w14:paraId="753F057E">
      <w:pPr>
        <w:pStyle w:val="5"/>
        <w:keepNext w:val="0"/>
        <w:keepLines w:val="0"/>
        <w:spacing w:before="0" w:after="0" w:line="360" w:lineRule="auto"/>
        <w:ind w:firstLine="315" w:firstLineChars="150"/>
        <w:rPr>
          <w:rFonts w:ascii="宋体"/>
          <w:b w:val="0"/>
          <w:color w:val="auto"/>
          <w:sz w:val="21"/>
          <w:szCs w:val="21"/>
          <w:highlight w:val="none"/>
        </w:rPr>
      </w:pPr>
      <w:r>
        <w:rPr>
          <w:rFonts w:ascii="宋体" w:hAnsi="宋体"/>
          <w:b w:val="0"/>
          <w:color w:val="auto"/>
          <w:sz w:val="21"/>
          <w:szCs w:val="21"/>
          <w:highlight w:val="none"/>
        </w:rPr>
        <w:t xml:space="preserve"> 6.2</w:t>
      </w:r>
      <w:r>
        <w:rPr>
          <w:rFonts w:hint="eastAsia" w:ascii="宋体" w:hAnsi="宋体"/>
          <w:b w:val="0"/>
          <w:color w:val="auto"/>
          <w:sz w:val="21"/>
          <w:szCs w:val="21"/>
          <w:highlight w:val="none"/>
        </w:rPr>
        <w:t>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0DC2B501">
      <w:pPr>
        <w:pStyle w:val="5"/>
        <w:keepNext w:val="0"/>
        <w:keepLines w:val="0"/>
        <w:spacing w:before="0" w:after="0" w:line="360" w:lineRule="auto"/>
        <w:ind w:firstLine="315" w:firstLineChars="150"/>
        <w:rPr>
          <w:rFonts w:ascii="宋体"/>
          <w:b w:val="0"/>
          <w:color w:val="auto"/>
          <w:sz w:val="21"/>
          <w:szCs w:val="21"/>
          <w:highlight w:val="none"/>
        </w:rPr>
      </w:pPr>
      <w:r>
        <w:rPr>
          <w:rFonts w:ascii="宋体" w:hAnsi="宋体"/>
          <w:b w:val="0"/>
          <w:color w:val="auto"/>
          <w:sz w:val="21"/>
          <w:szCs w:val="21"/>
          <w:highlight w:val="none"/>
        </w:rPr>
        <w:t xml:space="preserve"> 6.3</w:t>
      </w:r>
      <w:r>
        <w:rPr>
          <w:rFonts w:hint="eastAsia" w:ascii="宋体" w:hAnsi="宋体"/>
          <w:b w:val="0"/>
          <w:color w:val="auto"/>
          <w:sz w:val="21"/>
          <w:szCs w:val="21"/>
          <w:highlight w:val="none"/>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1A68F2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7.</w:t>
      </w:r>
      <w:r>
        <w:rPr>
          <w:rFonts w:hint="eastAsia" w:ascii="黑体" w:hAnsi="黑体" w:eastAsia="黑体" w:cs="宋体"/>
          <w:b/>
          <w:bCs/>
          <w:color w:val="auto"/>
          <w:sz w:val="24"/>
          <w:highlight w:val="none"/>
        </w:rPr>
        <w:t>特别说明</w:t>
      </w:r>
      <w:bookmarkEnd w:id="66"/>
      <w:bookmarkEnd w:id="67"/>
    </w:p>
    <w:p w14:paraId="6DCE8FF3">
      <w:pPr>
        <w:spacing w:line="360" w:lineRule="auto"/>
        <w:ind w:firstLine="420" w:firstLineChars="200"/>
        <w:rPr>
          <w:rFonts w:ascii="宋体" w:cs="宋体"/>
          <w:color w:val="auto"/>
          <w:szCs w:val="21"/>
          <w:highlight w:val="none"/>
        </w:rPr>
      </w:pPr>
      <w:bookmarkStart w:id="68" w:name="_8.1提供相同品牌产品且通过资格审查、符合性审查的不同投标人参加同一合"/>
      <w:bookmarkEnd w:id="68"/>
      <w:r>
        <w:rPr>
          <w:rFonts w:ascii="宋体" w:hAnsi="宋体" w:cs="宋体"/>
          <w:color w:val="auto"/>
          <w:szCs w:val="21"/>
          <w:highlight w:val="none"/>
        </w:rPr>
        <w:t>7.1</w:t>
      </w:r>
      <w:r>
        <w:rPr>
          <w:rFonts w:hint="eastAsia" w:ascii="宋体" w:hAnsi="宋体" w:cs="宋体"/>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供应商推荐资格，其他响应文件按无效处理。</w:t>
      </w:r>
    </w:p>
    <w:p w14:paraId="287553B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14:paraId="381A65C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7.2</w:t>
      </w:r>
      <w:r>
        <w:rPr>
          <w:rFonts w:hint="eastAsia" w:ascii="宋体" w:hAnsi="宋体"/>
          <w:color w:val="auto"/>
          <w:szCs w:val="21"/>
          <w:highlight w:val="none"/>
        </w:rPr>
        <w:t>如果本谈判文件要求提供供应商或制造商的资格、信誉、荣誉、业绩与企业认证等材料的，资格、信誉、荣誉、业绩与企业认证等必须为供应商或者制造商所拥有或自身获得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p w14:paraId="67BF879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7.3</w:t>
      </w:r>
      <w:r>
        <w:rPr>
          <w:rFonts w:hint="eastAsia" w:ascii="宋体" w:hAnsi="宋体" w:cs="宋体"/>
          <w:color w:val="auto"/>
          <w:szCs w:val="21"/>
          <w:highlight w:val="none"/>
        </w:rPr>
        <w:t>供应商应仔细阅读谈判文件的所有内容，按照谈判文件的要求提交响应文件，并对所提供的全部资料的真实性承担法律责任。</w:t>
      </w:r>
    </w:p>
    <w:p w14:paraId="39C289B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7.4</w:t>
      </w:r>
      <w:r>
        <w:rPr>
          <w:rFonts w:hint="eastAsia" w:ascii="宋体" w:hAnsi="宋体" w:cs="宋体"/>
          <w:color w:val="auto"/>
          <w:szCs w:val="21"/>
          <w:highlight w:val="none"/>
        </w:rPr>
        <w:t>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77294E9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7.5</w:t>
      </w:r>
      <w:r>
        <w:rPr>
          <w:rFonts w:hint="eastAsia" w:ascii="宋体" w:hAnsi="宋体" w:cs="宋体"/>
          <w:color w:val="auto"/>
          <w:szCs w:val="21"/>
          <w:highlight w:val="none"/>
        </w:rPr>
        <w:t>在政府采购活动中，采购人员及相关人员与供应商有下列利害关系之一的，应当回避：</w:t>
      </w:r>
    </w:p>
    <w:p w14:paraId="06B8403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年内与供应商存在劳动关系；</w:t>
      </w:r>
    </w:p>
    <w:p w14:paraId="658507C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年内担任供应商的董事、监事；</w:t>
      </w:r>
    </w:p>
    <w:p w14:paraId="3B87354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年内是供应商的控股股东或者实际控制人；</w:t>
      </w:r>
    </w:p>
    <w:p w14:paraId="4D14C20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）与供应商的法定代表人或者负责人有夫妻、直系血亲、三代以内旁系血亲或者近姻亲关系；</w:t>
      </w:r>
    </w:p>
    <w:p w14:paraId="30649EC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）与供应商有其他可能影响政府采购活动公平、公正进行的关系。</w:t>
      </w:r>
    </w:p>
    <w:p w14:paraId="1F2CD58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60922B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7.6</w:t>
      </w:r>
      <w:r>
        <w:rPr>
          <w:rFonts w:hint="eastAsia" w:ascii="宋体" w:hAnsi="宋体" w:cs="宋体"/>
          <w:color w:val="auto"/>
          <w:szCs w:val="21"/>
          <w:highlight w:val="none"/>
        </w:rPr>
        <w:t>有下列情形之一的视为供应商相互串通竞标，响应文件将被视为无效：</w:t>
      </w:r>
    </w:p>
    <w:p w14:paraId="7786A66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）不同供应商的响应文件由同一单位或者个人编制；</w:t>
      </w:r>
    </w:p>
    <w:p w14:paraId="03AB371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）不同供应商委托同一单位或者个人办理竞标事宜；</w:t>
      </w:r>
    </w:p>
    <w:p w14:paraId="5A6CDCC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）不同的供应商的响应文件载明的项目管理员为同一个人；</w:t>
      </w:r>
    </w:p>
    <w:p w14:paraId="1D5F527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）不同供应商的响应文件异常一致或者报价呈规律性差异；</w:t>
      </w:r>
    </w:p>
    <w:p w14:paraId="6CEC006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）不同供应商的响应文件相互混装；</w:t>
      </w:r>
    </w:p>
    <w:p w14:paraId="34D7CFA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）不同供应商的竞标保证金从同一单位或者个人账户转出。</w:t>
      </w:r>
    </w:p>
    <w:p w14:paraId="5645EC8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7.7</w:t>
      </w:r>
      <w:r>
        <w:rPr>
          <w:rFonts w:hint="eastAsia" w:ascii="宋体" w:hAnsi="宋体" w:cs="宋体"/>
          <w:color w:val="auto"/>
          <w:szCs w:val="21"/>
          <w:highlight w:val="none"/>
        </w:rPr>
        <w:t>供应商有下列情形之一的，属于恶意串通行为</w:t>
      </w:r>
      <w:bookmarkStart w:id="69" w:name="_Hlk54682620"/>
      <w:r>
        <w:rPr>
          <w:rFonts w:hint="eastAsia" w:ascii="宋体" w:hAnsi="宋体" w:cs="宋体"/>
          <w:color w:val="auto"/>
          <w:szCs w:val="21"/>
          <w:highlight w:val="none"/>
        </w:rPr>
        <w:t>，将报同级监督管理部门</w:t>
      </w:r>
      <w:bookmarkEnd w:id="69"/>
      <w:r>
        <w:rPr>
          <w:rFonts w:hint="eastAsia" w:ascii="宋体" w:hAnsi="宋体" w:cs="宋体"/>
          <w:color w:val="auto"/>
          <w:szCs w:val="21"/>
          <w:highlight w:val="none"/>
        </w:rPr>
        <w:t>：</w:t>
      </w:r>
    </w:p>
    <w:p w14:paraId="5390772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）供应商直接或者间接从采购人或者采购代理机构处获得其他供应商的相关信息并修改其响应文件；</w:t>
      </w:r>
    </w:p>
    <w:p w14:paraId="6837C0C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）供应商按照采购人或者采购代理机构的授意撤换、修改响应文件；</w:t>
      </w:r>
    </w:p>
    <w:p w14:paraId="3DEC43B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）供应商之间协商报价、技术方案等响应文件或者响应文件的实质性内容；</w:t>
      </w:r>
    </w:p>
    <w:p w14:paraId="2BEE11F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）属于同一集团、协会、商会等组织成员的供应商按照该组织要求协同参加政府采购活动；</w:t>
      </w:r>
    </w:p>
    <w:p w14:paraId="6733950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）供应商之间事先约定一致抬高或者压低报价，或者在政府采购活动中事先约定轮流以高价位或者低价位成交，或者事先约定由某一特定供应商成交，然后再参加竞标；</w:t>
      </w:r>
    </w:p>
    <w:p w14:paraId="40E83FA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）供应商之间商定部分供应商放弃参加政府采购活动或者放弃成交；</w:t>
      </w:r>
    </w:p>
    <w:p w14:paraId="28DDA50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）供应商与采购人或者采购代理机构之间、供应商相互之间，为谋求特定供应商成交或者排斥其他供应商的其他串通行为。</w:t>
      </w:r>
    </w:p>
    <w:p w14:paraId="5A11F24F">
      <w:pPr>
        <w:spacing w:line="360" w:lineRule="auto"/>
        <w:ind w:left="1" w:firstLine="417" w:firstLineChars="199"/>
        <w:jc w:val="center"/>
        <w:rPr>
          <w:rFonts w:ascii="宋体"/>
          <w:color w:val="auto"/>
          <w:highlight w:val="none"/>
        </w:rPr>
      </w:pPr>
      <w:bookmarkStart w:id="70" w:name="_Toc254970534"/>
      <w:bookmarkStart w:id="71" w:name="_Toc254970675"/>
    </w:p>
    <w:p w14:paraId="7D89B3EF">
      <w:pPr>
        <w:spacing w:line="360" w:lineRule="auto"/>
        <w:jc w:val="center"/>
        <w:rPr>
          <w:rFonts w:ascii="宋体"/>
          <w:b/>
          <w:color w:val="auto"/>
          <w:sz w:val="32"/>
          <w:szCs w:val="32"/>
          <w:highlight w:val="none"/>
        </w:rPr>
      </w:pPr>
      <w:r>
        <w:rPr>
          <w:rFonts w:hint="eastAsia" w:ascii="宋体" w:hAnsi="宋体"/>
          <w:b/>
          <w:color w:val="auto"/>
          <w:sz w:val="32"/>
          <w:szCs w:val="32"/>
          <w:highlight w:val="none"/>
        </w:rPr>
        <w:t>二、谈判文件</w:t>
      </w:r>
      <w:bookmarkEnd w:id="70"/>
      <w:bookmarkEnd w:id="71"/>
    </w:p>
    <w:p w14:paraId="26C8E5F7">
      <w:pPr>
        <w:spacing w:line="360" w:lineRule="auto"/>
        <w:jc w:val="center"/>
        <w:rPr>
          <w:rFonts w:ascii="宋体"/>
          <w:color w:val="auto"/>
          <w:szCs w:val="21"/>
          <w:highlight w:val="none"/>
        </w:rPr>
      </w:pPr>
    </w:p>
    <w:p w14:paraId="042AFE3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8.</w:t>
      </w:r>
      <w:r>
        <w:rPr>
          <w:rFonts w:hint="eastAsia" w:ascii="黑体" w:hAnsi="黑体" w:eastAsia="黑体" w:cs="宋体"/>
          <w:b/>
          <w:bCs/>
          <w:color w:val="auto"/>
          <w:sz w:val="24"/>
          <w:highlight w:val="none"/>
        </w:rPr>
        <w:t>谈判文件的构成</w:t>
      </w:r>
    </w:p>
    <w:p w14:paraId="006824E8">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）竞争性谈判公告；</w:t>
      </w:r>
    </w:p>
    <w:p w14:paraId="365C9B58">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）供应商须知；</w:t>
      </w:r>
    </w:p>
    <w:p w14:paraId="19C04841">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）采购需求；</w:t>
      </w:r>
    </w:p>
    <w:p w14:paraId="00A099D8">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）评审程序和评定成交的标准；</w:t>
      </w:r>
    </w:p>
    <w:p w14:paraId="2C3A97BC">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）响应文件格式；</w:t>
      </w:r>
    </w:p>
    <w:p w14:paraId="5EDBDDD7">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）合同文本。</w:t>
      </w:r>
    </w:p>
    <w:p w14:paraId="33DA5E9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9.</w:t>
      </w:r>
      <w:r>
        <w:rPr>
          <w:rFonts w:hint="eastAsia" w:ascii="黑体" w:hAnsi="黑体" w:eastAsia="黑体" w:cs="宋体"/>
          <w:b/>
          <w:bCs/>
          <w:color w:val="auto"/>
          <w:sz w:val="24"/>
          <w:highlight w:val="none"/>
        </w:rPr>
        <w:t>供应商的询问</w:t>
      </w:r>
    </w:p>
    <w:p w14:paraId="5B6B3146">
      <w:pPr>
        <w:spacing w:line="360" w:lineRule="auto"/>
        <w:ind w:firstLine="420" w:firstLineChars="200"/>
        <w:rPr>
          <w:rFonts w:ascii="宋体"/>
          <w:color w:val="auto"/>
          <w:szCs w:val="21"/>
          <w:highlight w:val="none"/>
        </w:rPr>
      </w:pPr>
      <w:r>
        <w:rPr>
          <w:rFonts w:hint="eastAsia" w:ascii="宋体" w:hAnsi="宋体"/>
          <w:color w:val="auto"/>
          <w:szCs w:val="21"/>
          <w:highlight w:val="none"/>
        </w:rPr>
        <w:t>供应商应认真阅读谈判文件的采购需求，如供应商对谈判文件有疑问的，如要求采购人作出澄清或者修改的，供应商尽可能在提交首次响应文件截止之日前，以书面形式向采购人、采购代理机构提出。</w:t>
      </w:r>
    </w:p>
    <w:p w14:paraId="3A4E3EA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10.</w:t>
      </w:r>
      <w:r>
        <w:rPr>
          <w:rFonts w:hint="eastAsia" w:ascii="黑体" w:hAnsi="黑体" w:eastAsia="黑体" w:cs="宋体"/>
          <w:b/>
          <w:bCs/>
          <w:color w:val="auto"/>
          <w:sz w:val="24"/>
          <w:highlight w:val="none"/>
        </w:rPr>
        <w:t>谈判文件的澄清和修改</w:t>
      </w:r>
    </w:p>
    <w:p w14:paraId="66C60F37">
      <w:pPr>
        <w:spacing w:line="360" w:lineRule="auto"/>
        <w:ind w:firstLine="420" w:firstLineChars="200"/>
        <w:rPr>
          <w:rFonts w:ascii="宋体"/>
          <w:color w:val="auto"/>
          <w:szCs w:val="21"/>
          <w:highlight w:val="none"/>
        </w:rPr>
      </w:pPr>
      <w:r>
        <w:rPr>
          <w:rFonts w:hint="eastAsia" w:ascii="宋体" w:hAnsi="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w:t>
      </w:r>
      <w:r>
        <w:rPr>
          <w:rFonts w:ascii="宋体" w:hAnsi="宋体"/>
          <w:color w:val="auto"/>
          <w:szCs w:val="21"/>
          <w:highlight w:val="none"/>
        </w:rPr>
        <w:t>3</w:t>
      </w:r>
      <w:r>
        <w:rPr>
          <w:rFonts w:hint="eastAsia" w:ascii="宋体" w:hAnsi="宋体"/>
          <w:color w:val="auto"/>
          <w:szCs w:val="21"/>
          <w:highlight w:val="none"/>
        </w:rPr>
        <w:t>个工作日前，以书面形式通知所有接收谈判文件的供应商，不足</w:t>
      </w:r>
      <w:r>
        <w:rPr>
          <w:rFonts w:ascii="宋体" w:hAnsi="宋体"/>
          <w:color w:val="auto"/>
          <w:szCs w:val="21"/>
          <w:highlight w:val="none"/>
        </w:rPr>
        <w:t>3</w:t>
      </w:r>
      <w:r>
        <w:rPr>
          <w:rFonts w:hint="eastAsia" w:ascii="宋体" w:hAnsi="宋体"/>
          <w:color w:val="auto"/>
          <w:szCs w:val="21"/>
          <w:highlight w:val="none"/>
        </w:rPr>
        <w:t>个工作日的，应当顺延提交首次响应文件截止之日。</w:t>
      </w:r>
    </w:p>
    <w:p w14:paraId="57429190">
      <w:pPr>
        <w:spacing w:line="360" w:lineRule="auto"/>
        <w:rPr>
          <w:rFonts w:ascii="宋体"/>
          <w:color w:val="auto"/>
          <w:szCs w:val="21"/>
          <w:highlight w:val="none"/>
        </w:rPr>
      </w:pPr>
    </w:p>
    <w:p w14:paraId="2FD72053">
      <w:pPr>
        <w:spacing w:line="360" w:lineRule="auto"/>
        <w:jc w:val="center"/>
        <w:rPr>
          <w:rFonts w:ascii="宋体"/>
          <w:b/>
          <w:color w:val="auto"/>
          <w:szCs w:val="21"/>
          <w:highlight w:val="none"/>
        </w:rPr>
      </w:pPr>
      <w:r>
        <w:rPr>
          <w:rFonts w:hint="eastAsia" w:ascii="宋体" w:hAnsi="宋体"/>
          <w:b/>
          <w:color w:val="auto"/>
          <w:sz w:val="32"/>
          <w:szCs w:val="32"/>
          <w:highlight w:val="none"/>
        </w:rPr>
        <w:t>三、响应文件的编制</w:t>
      </w:r>
    </w:p>
    <w:p w14:paraId="6AFFCFEA">
      <w:pPr>
        <w:spacing w:line="360" w:lineRule="auto"/>
        <w:rPr>
          <w:rFonts w:ascii="宋体"/>
          <w:color w:val="auto"/>
          <w:szCs w:val="21"/>
          <w:highlight w:val="none"/>
        </w:rPr>
      </w:pPr>
    </w:p>
    <w:p w14:paraId="72D833F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11.</w:t>
      </w:r>
      <w:r>
        <w:rPr>
          <w:rFonts w:hint="eastAsia" w:ascii="黑体" w:hAnsi="黑体" w:eastAsia="黑体" w:cs="宋体"/>
          <w:b/>
          <w:bCs/>
          <w:color w:val="auto"/>
          <w:sz w:val="24"/>
          <w:highlight w:val="none"/>
        </w:rPr>
        <w:t>响应文件的编制原则</w:t>
      </w:r>
    </w:p>
    <w:p w14:paraId="6B4DD98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249DF6D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12.</w:t>
      </w:r>
      <w:r>
        <w:rPr>
          <w:rFonts w:hint="eastAsia" w:ascii="黑体" w:hAnsi="黑体" w:eastAsia="黑体" w:cs="宋体"/>
          <w:b/>
          <w:bCs/>
          <w:color w:val="auto"/>
          <w:sz w:val="24"/>
          <w:highlight w:val="none"/>
        </w:rPr>
        <w:t>响应文件的组成</w:t>
      </w:r>
    </w:p>
    <w:p w14:paraId="5B12786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12.1</w:t>
      </w:r>
      <w:r>
        <w:rPr>
          <w:rFonts w:hint="eastAsia" w:ascii="宋体" w:hAnsi="宋体" w:cs="宋体"/>
          <w:color w:val="auto"/>
          <w:szCs w:val="21"/>
          <w:highlight w:val="none"/>
        </w:rPr>
        <w:t>响应文件由资格证明文件、报价文件、商务技术文件三部分组成。</w:t>
      </w:r>
    </w:p>
    <w:p w14:paraId="6EA113E0">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12.1.1</w:t>
      </w:r>
      <w:r>
        <w:rPr>
          <w:rFonts w:hint="eastAsia" w:ascii="宋体" w:hAnsi="宋体" w:cs="宋体"/>
          <w:color w:val="auto"/>
          <w:szCs w:val="21"/>
          <w:highlight w:val="none"/>
        </w:rPr>
        <w:t>资格证明文件：详见“供应商须知前附表”</w:t>
      </w:r>
    </w:p>
    <w:p w14:paraId="34847522">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12.1.2</w:t>
      </w:r>
      <w:r>
        <w:rPr>
          <w:rFonts w:hint="eastAsia" w:ascii="宋体" w:hAnsi="宋体" w:cs="宋体"/>
          <w:color w:val="auto"/>
          <w:szCs w:val="21"/>
          <w:highlight w:val="none"/>
        </w:rPr>
        <w:t>报价文件：详见“供应商须知前附表”</w:t>
      </w:r>
    </w:p>
    <w:p w14:paraId="588E5D76">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12.1.3</w:t>
      </w:r>
      <w:r>
        <w:rPr>
          <w:rFonts w:hint="eastAsia" w:ascii="宋体" w:hAnsi="宋体" w:cs="宋体"/>
          <w:color w:val="auto"/>
          <w:szCs w:val="21"/>
          <w:highlight w:val="none"/>
        </w:rPr>
        <w:t>商务技术文件：详见“供应商须知前附表”</w:t>
      </w:r>
    </w:p>
    <w:p w14:paraId="68A455F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13.</w:t>
      </w:r>
      <w:r>
        <w:rPr>
          <w:rFonts w:hint="eastAsia" w:ascii="黑体" w:hAnsi="黑体" w:eastAsia="黑体" w:cs="宋体"/>
          <w:b/>
          <w:bCs/>
          <w:color w:val="auto"/>
          <w:sz w:val="24"/>
          <w:highlight w:val="none"/>
        </w:rPr>
        <w:t>计量单位</w:t>
      </w:r>
    </w:p>
    <w:p w14:paraId="0383370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5BE3E8C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14.</w:t>
      </w:r>
      <w:r>
        <w:rPr>
          <w:rFonts w:hint="eastAsia" w:ascii="黑体" w:hAnsi="黑体" w:eastAsia="黑体" w:cs="宋体"/>
          <w:b/>
          <w:bCs/>
          <w:color w:val="auto"/>
          <w:sz w:val="24"/>
          <w:highlight w:val="none"/>
        </w:rPr>
        <w:t>竞标的风险</w:t>
      </w:r>
    </w:p>
    <w:p w14:paraId="516517B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14:paraId="2E4ACA8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15.</w:t>
      </w:r>
      <w:r>
        <w:rPr>
          <w:rFonts w:hint="eastAsia" w:ascii="黑体" w:hAnsi="黑体" w:eastAsia="黑体" w:cs="宋体"/>
          <w:b/>
          <w:bCs/>
          <w:color w:val="auto"/>
          <w:sz w:val="24"/>
          <w:highlight w:val="none"/>
        </w:rPr>
        <w:t>竞标报价</w:t>
      </w:r>
    </w:p>
    <w:p w14:paraId="06476B3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15.1</w:t>
      </w:r>
      <w:r>
        <w:rPr>
          <w:rFonts w:hint="eastAsia" w:ascii="宋体" w:hAnsi="宋体" w:cs="宋体"/>
          <w:color w:val="auto"/>
          <w:szCs w:val="21"/>
          <w:highlight w:val="none"/>
        </w:rPr>
        <w:t>竞标报价应按谈判文件中“竞标报价表”格式填写。</w:t>
      </w:r>
    </w:p>
    <w:p w14:paraId="7CE9DBB9">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15.2</w:t>
      </w:r>
      <w:r>
        <w:rPr>
          <w:rFonts w:hint="eastAsia" w:ascii="宋体" w:hAnsi="宋体" w:cs="宋体"/>
          <w:color w:val="auto"/>
          <w:szCs w:val="21"/>
          <w:highlight w:val="none"/>
        </w:rPr>
        <w:t>竞标报价的内容详见“供应商须知前附表”。</w:t>
      </w:r>
    </w:p>
    <w:p w14:paraId="329F3CDF">
      <w:pPr>
        <w:spacing w:line="360" w:lineRule="auto"/>
        <w:ind w:left="426" w:leftChars="203"/>
        <w:rPr>
          <w:rFonts w:ascii="宋体" w:cs="宋体"/>
          <w:color w:val="auto"/>
          <w:szCs w:val="21"/>
          <w:highlight w:val="none"/>
        </w:rPr>
      </w:pPr>
      <w:r>
        <w:rPr>
          <w:rFonts w:ascii="宋体" w:hAnsi="宋体" w:cs="宋体"/>
          <w:color w:val="auto"/>
          <w:szCs w:val="21"/>
          <w:highlight w:val="none"/>
        </w:rPr>
        <w:t>15.3</w:t>
      </w:r>
      <w:r>
        <w:rPr>
          <w:rFonts w:hint="eastAsia" w:ascii="宋体" w:hAnsi="宋体" w:cs="宋体"/>
          <w:color w:val="auto"/>
          <w:szCs w:val="21"/>
          <w:highlight w:val="none"/>
        </w:rPr>
        <w:t>竞标报价要求</w:t>
      </w:r>
    </w:p>
    <w:p w14:paraId="21EF09C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15.3.1</w:t>
      </w:r>
      <w:r>
        <w:rPr>
          <w:rFonts w:hint="eastAsia" w:ascii="宋体" w:hAnsi="宋体" w:cs="宋体"/>
          <w:color w:val="auto"/>
          <w:szCs w:val="21"/>
          <w:highlight w:val="none"/>
        </w:rPr>
        <w:t>供应商的竞标报价应符合以下要求，否则响应文件按无效响应处理：</w:t>
      </w:r>
    </w:p>
    <w:p w14:paraId="6A581906">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）供应商必须就“采购需求”中全部内容作完整唯一总价报价，不得存在漏项报价；</w:t>
      </w:r>
    </w:p>
    <w:p w14:paraId="50C4D85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）供应商必须就本项目单项内容作唯一报价。</w:t>
      </w:r>
    </w:p>
    <w:p w14:paraId="2AAB6CC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15.3.2</w:t>
      </w:r>
      <w:r>
        <w:rPr>
          <w:rFonts w:hint="eastAsia" w:ascii="宋体" w:hAnsi="宋体" w:cs="宋体"/>
          <w:color w:val="auto"/>
          <w:szCs w:val="21"/>
          <w:highlight w:val="none"/>
        </w:rPr>
        <w:t>竞标报价（包含首次报价、最后报价）超过本项目规定的采购预算金额或者最高限价的，其响应文件将按无效处理。</w:t>
      </w:r>
    </w:p>
    <w:p w14:paraId="0D79B1F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15.3.3</w:t>
      </w:r>
      <w:r>
        <w:rPr>
          <w:rFonts w:hint="eastAsia" w:ascii="宋体" w:hAnsi="宋体" w:cs="宋体"/>
          <w:color w:val="auto"/>
          <w:szCs w:val="21"/>
          <w:highlight w:val="none"/>
        </w:rPr>
        <w:t>竞标报价（包含首次报价、最后报价）超过分项采购预算金额或者最高限价的，其响应文件将按无效处理。</w:t>
      </w:r>
    </w:p>
    <w:p w14:paraId="10AE159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16.</w:t>
      </w:r>
      <w:r>
        <w:rPr>
          <w:rFonts w:hint="eastAsia" w:ascii="黑体" w:hAnsi="黑体" w:eastAsia="黑体" w:cs="宋体"/>
          <w:b/>
          <w:bCs/>
          <w:color w:val="auto"/>
          <w:sz w:val="24"/>
          <w:highlight w:val="none"/>
        </w:rPr>
        <w:t>竞标有效期</w:t>
      </w:r>
    </w:p>
    <w:p w14:paraId="01803F0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16.1</w:t>
      </w:r>
      <w:r>
        <w:rPr>
          <w:rFonts w:hint="eastAsia" w:ascii="宋体" w:hAnsi="宋体" w:cs="宋体"/>
          <w:color w:val="auto"/>
          <w:szCs w:val="21"/>
          <w:highlight w:val="none"/>
        </w:rPr>
        <w:t>竞标有效期是指为保证采购人有足够的时间在提交响应文件后完成评审、确定成交供应商、合同签订等工作而要求供应商提交的响应文件在一定时间内保持有效的期限。</w:t>
      </w:r>
    </w:p>
    <w:p w14:paraId="2FFE568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16.2 </w:t>
      </w:r>
      <w:r>
        <w:rPr>
          <w:rFonts w:hint="eastAsia" w:ascii="宋体" w:hAnsi="宋体" w:cs="宋体"/>
          <w:color w:val="auto"/>
          <w:szCs w:val="21"/>
          <w:highlight w:val="none"/>
        </w:rPr>
        <w:t>竞标有效期应由供应商按“供应商须知前附表”规定的期限作出响应。</w:t>
      </w:r>
    </w:p>
    <w:p w14:paraId="4B49EC8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16.3</w:t>
      </w:r>
      <w:r>
        <w:rPr>
          <w:rFonts w:hint="eastAsia" w:ascii="宋体" w:hAnsi="宋体" w:cs="宋体"/>
          <w:color w:val="auto"/>
          <w:szCs w:val="21"/>
          <w:highlight w:val="none"/>
        </w:rPr>
        <w:t>供应商的响应文件在竞标有效期内均保持有效。</w:t>
      </w:r>
    </w:p>
    <w:p w14:paraId="6E03F5E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17.</w:t>
      </w:r>
      <w:r>
        <w:rPr>
          <w:rFonts w:hint="eastAsia" w:ascii="黑体" w:hAnsi="黑体" w:eastAsia="黑体" w:cs="宋体"/>
          <w:b/>
          <w:bCs/>
          <w:color w:val="auto"/>
          <w:sz w:val="24"/>
          <w:highlight w:val="none"/>
        </w:rPr>
        <w:t>竞标保证金</w:t>
      </w:r>
    </w:p>
    <w:p w14:paraId="28FEAFC9">
      <w:pPr>
        <w:spacing w:line="360" w:lineRule="auto"/>
        <w:ind w:left="420" w:leftChars="200"/>
        <w:rPr>
          <w:rFonts w:ascii="宋体" w:cs="宋体"/>
          <w:color w:val="auto"/>
          <w:szCs w:val="21"/>
          <w:highlight w:val="none"/>
        </w:rPr>
      </w:pPr>
      <w:r>
        <w:rPr>
          <w:rFonts w:ascii="宋体" w:hAnsi="宋体" w:cs="宋体"/>
          <w:color w:val="auto"/>
          <w:szCs w:val="21"/>
          <w:highlight w:val="none"/>
        </w:rPr>
        <w:t>17.1</w:t>
      </w:r>
      <w:r>
        <w:rPr>
          <w:rFonts w:hint="eastAsia" w:ascii="宋体" w:hAnsi="宋体" w:cs="宋体"/>
          <w:color w:val="auto"/>
          <w:szCs w:val="21"/>
          <w:highlight w:val="none"/>
        </w:rPr>
        <w:t>供应商须按“供应商须知前附表”的规定提交竞标保证金。</w:t>
      </w:r>
    </w:p>
    <w:p w14:paraId="4DAA8377">
      <w:pPr>
        <w:spacing w:line="360" w:lineRule="auto"/>
        <w:ind w:left="420" w:leftChars="200"/>
        <w:rPr>
          <w:rFonts w:ascii="宋体" w:cs="宋体"/>
          <w:color w:val="auto"/>
          <w:szCs w:val="21"/>
          <w:highlight w:val="none"/>
        </w:rPr>
      </w:pPr>
      <w:r>
        <w:rPr>
          <w:rFonts w:ascii="宋体" w:hAnsi="宋体" w:cs="宋体"/>
          <w:color w:val="auto"/>
          <w:szCs w:val="21"/>
          <w:highlight w:val="none"/>
        </w:rPr>
        <w:t>17.2</w:t>
      </w:r>
      <w:r>
        <w:rPr>
          <w:rFonts w:hint="eastAsia" w:ascii="宋体" w:hAnsi="宋体" w:cs="宋体"/>
          <w:color w:val="auto"/>
          <w:szCs w:val="21"/>
          <w:highlight w:val="none"/>
        </w:rPr>
        <w:t>竞标保证金的退还</w:t>
      </w:r>
    </w:p>
    <w:p w14:paraId="2182571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olor w:val="auto"/>
          <w:szCs w:val="21"/>
          <w:highlight w:val="none"/>
        </w:rPr>
        <w:t>；</w:t>
      </w:r>
      <w:r>
        <w:rPr>
          <w:rFonts w:hint="eastAsia" w:ascii="宋体" w:hAnsi="宋体" w:cs="宋体"/>
          <w:color w:val="auto"/>
          <w:szCs w:val="21"/>
          <w:highlight w:val="none"/>
        </w:rPr>
        <w:t>成交供应商的竞标保证金自签订合同之日起5个工作日内退还。</w:t>
      </w:r>
    </w:p>
    <w:p w14:paraId="205374DB">
      <w:pPr>
        <w:spacing w:line="360" w:lineRule="auto"/>
        <w:ind w:left="420" w:leftChars="200"/>
        <w:rPr>
          <w:rFonts w:ascii="宋体" w:cs="宋体"/>
          <w:color w:val="auto"/>
          <w:szCs w:val="21"/>
          <w:highlight w:val="none"/>
        </w:rPr>
      </w:pPr>
      <w:r>
        <w:rPr>
          <w:rFonts w:ascii="宋体" w:hAnsi="宋体" w:cs="宋体"/>
          <w:color w:val="auto"/>
          <w:szCs w:val="21"/>
          <w:highlight w:val="none"/>
        </w:rPr>
        <w:t>17.3</w:t>
      </w:r>
      <w:r>
        <w:rPr>
          <w:rFonts w:hint="eastAsia" w:ascii="宋体" w:hAnsi="宋体" w:cs="宋体"/>
          <w:color w:val="auto"/>
          <w:szCs w:val="21"/>
          <w:highlight w:val="none"/>
        </w:rPr>
        <w:t>竞标保证金不计息。</w:t>
      </w:r>
    </w:p>
    <w:p w14:paraId="3CB6C030">
      <w:pPr>
        <w:spacing w:line="360" w:lineRule="auto"/>
        <w:ind w:left="420" w:leftChars="200"/>
        <w:rPr>
          <w:rFonts w:ascii="宋体" w:cs="宋体"/>
          <w:color w:val="auto"/>
          <w:szCs w:val="21"/>
          <w:highlight w:val="none"/>
        </w:rPr>
      </w:pPr>
      <w:r>
        <w:rPr>
          <w:rFonts w:ascii="宋体" w:hAnsi="宋体" w:cs="宋体"/>
          <w:color w:val="auto"/>
          <w:szCs w:val="21"/>
          <w:highlight w:val="none"/>
        </w:rPr>
        <w:t>17.4</w:t>
      </w:r>
      <w:r>
        <w:rPr>
          <w:rFonts w:hint="eastAsia" w:ascii="宋体" w:hAnsi="宋体" w:cs="宋体"/>
          <w:color w:val="auto"/>
          <w:szCs w:val="21"/>
          <w:highlight w:val="none"/>
        </w:rPr>
        <w:t>供应商有下列情形之一的，竞标保证金将不予退还：</w:t>
      </w:r>
    </w:p>
    <w:p w14:paraId="49F7C7FB">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）供应商在提交响应文件截止时间后撤回响应文件的；</w:t>
      </w:r>
    </w:p>
    <w:p w14:paraId="41BFBA28">
      <w:pPr>
        <w:spacing w:line="360" w:lineRule="auto"/>
        <w:ind w:left="420" w:leftChars="200"/>
        <w:rPr>
          <w:rFonts w:asci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）未按规定提交履约保证金的；</w:t>
      </w:r>
    </w:p>
    <w:p w14:paraId="73555F6E">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）供应商在响应文件中提供虚假材料的；</w:t>
      </w:r>
    </w:p>
    <w:p w14:paraId="2D3AE31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）除因不可抗力或者谈判文件认可的情形以外，成交供应商不与采购人签订合同的；</w:t>
      </w:r>
    </w:p>
    <w:p w14:paraId="4725D06D">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）供应商与采购人、其他供应商或者采购代理机构恶意串通的；</w:t>
      </w:r>
    </w:p>
    <w:p w14:paraId="10B9C9DB">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）法律法规规定的其他情形。</w:t>
      </w:r>
    </w:p>
    <w:p w14:paraId="42818B6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18.</w:t>
      </w:r>
      <w:r>
        <w:rPr>
          <w:rFonts w:hint="eastAsia" w:ascii="黑体" w:hAnsi="黑体" w:eastAsia="黑体" w:cs="宋体"/>
          <w:b/>
          <w:bCs/>
          <w:color w:val="auto"/>
          <w:sz w:val="24"/>
          <w:highlight w:val="none"/>
        </w:rPr>
        <w:t>响应文件编制的要求</w:t>
      </w:r>
    </w:p>
    <w:p w14:paraId="7ECD0A9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18.1</w:t>
      </w:r>
      <w:r>
        <w:rPr>
          <w:rFonts w:hint="eastAsia" w:ascii="宋体" w:hAnsi="宋体" w:cs="宋体"/>
          <w:color w:val="auto"/>
          <w:szCs w:val="21"/>
          <w:highlight w:val="none"/>
        </w:rPr>
        <w:t>供应商应先安装广西政府采购云平台新版客户端（请自行前往广西政府采购云平台进行下载），并按照本项目谈判文件规定的格式和顺序和广西政府采购云平台的要求编制并加密。响应文件内容不完整、编排混乱导致响应文件被误读、漏读或者查找不到相关内容的，由此引发的后果由供应商承担。</w:t>
      </w:r>
    </w:p>
    <w:p w14:paraId="1B1D04F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18.2</w:t>
      </w:r>
      <w:r>
        <w:rPr>
          <w:rFonts w:hint="eastAsia" w:ascii="宋体" w:hAnsi="宋体" w:cs="宋体"/>
          <w:color w:val="auto"/>
          <w:szCs w:val="21"/>
          <w:highlight w:val="none"/>
        </w:rPr>
        <w:t>为确保网上操作合法、有效和安全，供应商应当在提交响应文件截止时间前完成在广西政府采购云平台的身份认证，确保在电子竞标过程中能够对相关数据电文进行加密和使用电子签章。</w:t>
      </w:r>
    </w:p>
    <w:p w14:paraId="4354998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rPr>
        <w:t>响应文件须由供应商在规定位置签字、盖章（具体以供应商须知前附表或响应文件格式规定为准），否则按响应文件无效处理。</w:t>
      </w:r>
    </w:p>
    <w:p w14:paraId="1F91A38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18.4</w:t>
      </w:r>
      <w:r>
        <w:rPr>
          <w:rFonts w:hint="eastAsia" w:ascii="宋体" w:hAnsi="宋体" w:cs="宋体"/>
          <w:color w:val="auto"/>
          <w:szCs w:val="21"/>
          <w:highlight w:val="none"/>
        </w:rPr>
        <w:t>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处理。</w:t>
      </w:r>
    </w:p>
    <w:p w14:paraId="313C798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18.5</w:t>
      </w:r>
      <w:r>
        <w:rPr>
          <w:rFonts w:hint="eastAsia" w:ascii="宋体" w:hAnsi="宋体" w:cs="宋体"/>
          <w:color w:val="auto"/>
          <w:szCs w:val="21"/>
          <w:highlight w:val="none"/>
        </w:rPr>
        <w:t>响应文件应尽量避免涂改、行间插字或者删除。如果出现上述情况，改动之处应由供应商的法定代表人或者其委托代理人签字（或者电子签名）或者加盖电子签章。响应文件因涂改、行间插字或者删除导致字迹潦草或者表达不清所引起的后果由供应商承担。</w:t>
      </w:r>
    </w:p>
    <w:p w14:paraId="780FA61B">
      <w:pPr>
        <w:spacing w:line="360" w:lineRule="auto"/>
        <w:ind w:firstLine="482" w:firstLineChars="200"/>
        <w:rPr>
          <w:rFonts w:ascii="黑体" w:hAnsi="黑体" w:eastAsia="黑体"/>
          <w:color w:val="auto"/>
          <w:sz w:val="24"/>
          <w:highlight w:val="none"/>
        </w:rPr>
      </w:pPr>
      <w:r>
        <w:rPr>
          <w:rFonts w:ascii="黑体" w:hAnsi="黑体" w:eastAsia="黑体" w:cs="宋体"/>
          <w:b/>
          <w:bCs/>
          <w:color w:val="auto"/>
          <w:sz w:val="24"/>
          <w:highlight w:val="none"/>
        </w:rPr>
        <w:t>19.</w:t>
      </w:r>
      <w:r>
        <w:rPr>
          <w:rFonts w:hint="eastAsia" w:ascii="黑体" w:hAnsi="黑体" w:eastAsia="黑体" w:cs="宋体"/>
          <w:b/>
          <w:bCs/>
          <w:color w:val="auto"/>
          <w:sz w:val="24"/>
          <w:highlight w:val="none"/>
        </w:rPr>
        <w:t>电子</w:t>
      </w:r>
      <w:r>
        <w:rPr>
          <w:rFonts w:hint="eastAsia" w:ascii="黑体" w:hAnsi="黑体" w:eastAsia="黑体"/>
          <w:b/>
          <w:color w:val="auto"/>
          <w:sz w:val="24"/>
          <w:highlight w:val="none"/>
        </w:rPr>
        <w:t>备份响应文件</w:t>
      </w:r>
    </w:p>
    <w:p w14:paraId="0B644722">
      <w:pPr>
        <w:spacing w:line="360" w:lineRule="auto"/>
        <w:ind w:firstLine="420" w:firstLineChars="200"/>
        <w:rPr>
          <w:rFonts w:ascii="黑体" w:hAnsi="黑体" w:eastAsia="黑体"/>
          <w:color w:val="auto"/>
          <w:sz w:val="24"/>
          <w:highlight w:val="none"/>
        </w:rPr>
      </w:pPr>
      <w:r>
        <w:rPr>
          <w:rFonts w:hint="eastAsia"/>
          <w:color w:val="auto"/>
          <w:highlight w:val="none"/>
        </w:rPr>
        <w:t>电子备份响应文件是指通过“广西政府采购云平台电子投标客户端”在线编制生成且后缀名为“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2109976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20.</w:t>
      </w:r>
      <w:r>
        <w:rPr>
          <w:rFonts w:hint="eastAsia" w:ascii="黑体" w:hAnsi="黑体" w:eastAsia="黑体" w:cs="宋体"/>
          <w:b/>
          <w:bCs/>
          <w:color w:val="auto"/>
          <w:sz w:val="24"/>
          <w:highlight w:val="none"/>
        </w:rPr>
        <w:t>响应文件的提交</w:t>
      </w:r>
    </w:p>
    <w:p w14:paraId="080313A8">
      <w:pPr>
        <w:spacing w:line="360" w:lineRule="auto"/>
        <w:ind w:firstLine="420" w:firstLineChars="200"/>
        <w:rPr>
          <w:rFonts w:hAnsi="宋体"/>
          <w:b/>
          <w:color w:val="auto"/>
          <w:highlight w:val="none"/>
        </w:rPr>
      </w:pPr>
      <w:r>
        <w:rPr>
          <w:rFonts w:hAnsi="宋体"/>
          <w:bCs/>
          <w:color w:val="auto"/>
          <w:szCs w:val="21"/>
          <w:highlight w:val="none"/>
        </w:rPr>
        <w:t>20.1</w:t>
      </w:r>
      <w:r>
        <w:rPr>
          <w:rFonts w:hint="eastAsia" w:hAnsi="宋体"/>
          <w:bCs/>
          <w:color w:val="auto"/>
          <w:szCs w:val="21"/>
          <w:highlight w:val="none"/>
        </w:rPr>
        <w:t>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地点提交响应文件。电子响应文件应在制作完成后，在提交响应文件截止时间前通过有效数字证书（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w:t>
      </w:r>
    </w:p>
    <w:p w14:paraId="7915CC73">
      <w:pPr>
        <w:spacing w:line="360" w:lineRule="auto"/>
        <w:ind w:firstLine="422" w:firstLineChars="200"/>
        <w:rPr>
          <w:rFonts w:ascii="宋体"/>
          <w:b/>
          <w:color w:val="auto"/>
          <w:szCs w:val="20"/>
          <w:highlight w:val="none"/>
        </w:rPr>
      </w:pPr>
      <w:r>
        <w:rPr>
          <w:rFonts w:ascii="宋体" w:hAnsi="宋体"/>
          <w:b/>
          <w:color w:val="auto"/>
          <w:szCs w:val="21"/>
          <w:highlight w:val="none"/>
        </w:rPr>
        <w:t>20.2</w:t>
      </w:r>
      <w:r>
        <w:rPr>
          <w:rFonts w:hint="eastAsia" w:ascii="宋体" w:hAnsi="宋体"/>
          <w:b/>
          <w:color w:val="auto"/>
          <w:szCs w:val="21"/>
          <w:highlight w:val="none"/>
        </w:rPr>
        <w:t>未在规定时间内提交或者未按照谈判文件要求加密的电子响应文件，广西政府采购云平台将拒收。</w:t>
      </w:r>
    </w:p>
    <w:p w14:paraId="54514F5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21.</w:t>
      </w:r>
      <w:r>
        <w:rPr>
          <w:rFonts w:hint="eastAsia" w:ascii="黑体" w:hAnsi="黑体" w:eastAsia="黑体" w:cs="宋体"/>
          <w:b/>
          <w:bCs/>
          <w:color w:val="auto"/>
          <w:sz w:val="24"/>
          <w:highlight w:val="none"/>
        </w:rPr>
        <w:t>首次响应文件的补充、修改与撤回</w:t>
      </w:r>
    </w:p>
    <w:p w14:paraId="4E5E78BA">
      <w:pPr>
        <w:snapToGrid w:val="0"/>
        <w:spacing w:line="360" w:lineRule="auto"/>
        <w:ind w:firstLine="420"/>
        <w:jc w:val="left"/>
        <w:rPr>
          <w:rFonts w:ascii="宋体"/>
          <w:color w:val="auto"/>
          <w:szCs w:val="21"/>
          <w:highlight w:val="none"/>
        </w:rPr>
      </w:pPr>
      <w:bookmarkStart w:id="72" w:name="_Toc254970543"/>
      <w:bookmarkStart w:id="73" w:name="_Toc254970684"/>
      <w:r>
        <w:rPr>
          <w:rFonts w:ascii="宋体" w:hAnsi="宋体" w:cs="宋体"/>
          <w:color w:val="auto"/>
          <w:szCs w:val="21"/>
          <w:highlight w:val="none"/>
        </w:rPr>
        <w:t>21.1</w:t>
      </w:r>
      <w:r>
        <w:rPr>
          <w:rFonts w:hint="eastAsia" w:ascii="宋体" w:hAnsi="宋体"/>
          <w:bCs/>
          <w:color w:val="auto"/>
          <w:szCs w:val="21"/>
          <w:highlight w:val="none"/>
        </w:rPr>
        <w:t>供应商应当在</w:t>
      </w:r>
      <w:r>
        <w:rPr>
          <w:rFonts w:hint="eastAsia" w:hAnsi="宋体"/>
          <w:bCs/>
          <w:color w:val="auto"/>
          <w:szCs w:val="21"/>
          <w:highlight w:val="none"/>
        </w:rPr>
        <w:t>提交响应文件截止时间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提交响应文件截止时间前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提交响应文件截止时间止</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“电子响应文件制作与投送教程”）</w:t>
      </w:r>
    </w:p>
    <w:bookmarkEnd w:id="72"/>
    <w:bookmarkEnd w:id="73"/>
    <w:p w14:paraId="194A5E86">
      <w:pPr>
        <w:pStyle w:val="50"/>
        <w:spacing w:before="0"/>
        <w:ind w:firstLine="420"/>
        <w:rPr>
          <w:rFonts w:ascii="宋体" w:cs="宋体"/>
          <w:color w:val="auto"/>
          <w:sz w:val="21"/>
          <w:szCs w:val="21"/>
          <w:highlight w:val="none"/>
        </w:rPr>
      </w:pPr>
      <w:r>
        <w:rPr>
          <w:rFonts w:ascii="宋体" w:hAnsi="宋体" w:cs="宋体"/>
          <w:color w:val="auto"/>
          <w:sz w:val="21"/>
          <w:szCs w:val="21"/>
          <w:highlight w:val="none"/>
        </w:rPr>
        <w:t>21</w:t>
      </w:r>
      <w:r>
        <w:rPr>
          <w:rFonts w:asci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在提交响应文件截止时间前，除供应商补充、修改或者撤回响应文件外，任何单位和个人不得解密或提取响应文件。</w:t>
      </w:r>
    </w:p>
    <w:p w14:paraId="5519042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22.</w:t>
      </w:r>
      <w:r>
        <w:rPr>
          <w:rFonts w:hint="eastAsia" w:ascii="黑体" w:hAnsi="黑体" w:eastAsia="黑体" w:cs="宋体"/>
          <w:b/>
          <w:bCs/>
          <w:color w:val="auto"/>
          <w:sz w:val="24"/>
          <w:highlight w:val="none"/>
        </w:rPr>
        <w:t>响应文件的退回</w:t>
      </w:r>
    </w:p>
    <w:p w14:paraId="3BC2602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2AF0AE2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23.</w:t>
      </w:r>
      <w:r>
        <w:rPr>
          <w:rFonts w:hint="eastAsia" w:ascii="黑体" w:hAnsi="黑体" w:eastAsia="黑体" w:cs="宋体"/>
          <w:b/>
          <w:bCs/>
          <w:color w:val="auto"/>
          <w:sz w:val="24"/>
          <w:highlight w:val="none"/>
        </w:rPr>
        <w:t>截止时间后的撤回</w:t>
      </w:r>
    </w:p>
    <w:p w14:paraId="6E553DFE">
      <w:pPr>
        <w:spacing w:line="360" w:lineRule="auto"/>
        <w:ind w:firstLine="420" w:firstLineChars="200"/>
        <w:rPr>
          <w:rFonts w:ascii="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w:t>
      </w:r>
      <w:r>
        <w:rPr>
          <w:rFonts w:ascii="宋体" w:hAnsi="宋体" w:cs="宋体"/>
          <w:color w:val="auto"/>
          <w:szCs w:val="21"/>
          <w:highlight w:val="none"/>
        </w:rPr>
        <w:t>17.4</w:t>
      </w:r>
      <w:r>
        <w:rPr>
          <w:rFonts w:hint="eastAsia" w:ascii="宋体" w:hAnsi="宋体" w:cs="宋体"/>
          <w:color w:val="auto"/>
          <w:szCs w:val="21"/>
          <w:highlight w:val="none"/>
        </w:rPr>
        <w:t>条的规定不予退还其竞标保证金。</w:t>
      </w:r>
    </w:p>
    <w:p w14:paraId="57382BD6">
      <w:pPr>
        <w:spacing w:line="360" w:lineRule="auto"/>
        <w:jc w:val="center"/>
        <w:rPr>
          <w:rFonts w:ascii="宋体"/>
          <w:b/>
          <w:color w:val="auto"/>
          <w:sz w:val="32"/>
          <w:szCs w:val="32"/>
          <w:highlight w:val="none"/>
        </w:rPr>
      </w:pPr>
      <w:r>
        <w:rPr>
          <w:rFonts w:hint="eastAsia" w:ascii="宋体" w:hAnsi="宋体"/>
          <w:b/>
          <w:color w:val="auto"/>
          <w:sz w:val="32"/>
          <w:szCs w:val="32"/>
          <w:highlight w:val="none"/>
        </w:rPr>
        <w:t>四、评审及谈判</w:t>
      </w:r>
    </w:p>
    <w:p w14:paraId="20F6A69B">
      <w:pPr>
        <w:spacing w:line="360" w:lineRule="auto"/>
        <w:ind w:left="420" w:firstLine="420"/>
        <w:rPr>
          <w:rFonts w:ascii="宋体"/>
          <w:color w:val="auto"/>
          <w:szCs w:val="21"/>
          <w:highlight w:val="none"/>
        </w:rPr>
      </w:pPr>
    </w:p>
    <w:p w14:paraId="3162576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24.</w:t>
      </w:r>
      <w:r>
        <w:rPr>
          <w:rFonts w:hint="eastAsia" w:ascii="黑体" w:hAnsi="黑体" w:eastAsia="黑体" w:cs="宋体"/>
          <w:b/>
          <w:bCs/>
          <w:color w:val="auto"/>
          <w:sz w:val="24"/>
          <w:highlight w:val="none"/>
        </w:rPr>
        <w:t>谈判小组成立</w:t>
      </w:r>
    </w:p>
    <w:p w14:paraId="24C10FF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24.1</w:t>
      </w:r>
      <w:r>
        <w:rPr>
          <w:rFonts w:hint="eastAsia" w:ascii="宋体" w:hAnsi="宋体" w:cs="宋体"/>
          <w:color w:val="auto"/>
          <w:szCs w:val="21"/>
          <w:highlight w:val="none"/>
        </w:rPr>
        <w:t>谈判小组由采购人代表和评审专家共</w:t>
      </w:r>
      <w:r>
        <w:rPr>
          <w:rFonts w:ascii="宋体" w:hAnsi="宋体" w:cs="宋体"/>
          <w:color w:val="auto"/>
          <w:szCs w:val="21"/>
          <w:highlight w:val="none"/>
        </w:rPr>
        <w:t>3</w:t>
      </w:r>
      <w:r>
        <w:rPr>
          <w:rFonts w:hint="eastAsia" w:ascii="宋体" w:hAnsi="宋体" w:cs="宋体"/>
          <w:color w:val="auto"/>
          <w:szCs w:val="21"/>
          <w:highlight w:val="none"/>
        </w:rPr>
        <w:t>人以上单数组成，具体人数详见“供应商须知前附表”，其中评审专家人数不得少于竞争性谈判小组成员总数的</w:t>
      </w:r>
      <w:r>
        <w:rPr>
          <w:rFonts w:ascii="宋体" w:hAnsi="宋体" w:cs="宋体"/>
          <w:color w:val="auto"/>
          <w:szCs w:val="21"/>
          <w:highlight w:val="none"/>
        </w:rPr>
        <w:t>2/3</w:t>
      </w:r>
      <w:r>
        <w:rPr>
          <w:rFonts w:hint="eastAsia" w:ascii="宋体" w:hAnsi="宋体" w:cs="宋体"/>
          <w:color w:val="auto"/>
          <w:szCs w:val="21"/>
          <w:highlight w:val="none"/>
        </w:rPr>
        <w:t>。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w:t>
      </w:r>
      <w:r>
        <w:rPr>
          <w:rFonts w:ascii="宋体" w:hAnsi="宋体" w:cs="宋体"/>
          <w:color w:val="auto"/>
          <w:szCs w:val="21"/>
          <w:highlight w:val="none"/>
        </w:rPr>
        <w:t>5</w:t>
      </w:r>
      <w:r>
        <w:rPr>
          <w:rFonts w:hint="eastAsia" w:ascii="宋体" w:hAnsi="宋体" w:cs="宋体"/>
          <w:color w:val="auto"/>
          <w:szCs w:val="21"/>
          <w:highlight w:val="none"/>
        </w:rPr>
        <w:t>人以上单数组成。</w:t>
      </w:r>
    </w:p>
    <w:p w14:paraId="1D8E845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24.2</w:t>
      </w:r>
      <w:r>
        <w:rPr>
          <w:rFonts w:hint="eastAsia" w:ascii="宋体" w:hAnsi="宋体" w:cs="宋体"/>
          <w:color w:val="auto"/>
          <w:szCs w:val="21"/>
          <w:highlight w:val="none"/>
        </w:rPr>
        <w:t>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w:t>
      </w:r>
      <w:r>
        <w:rPr>
          <w:rFonts w:ascii="宋体" w:hAnsi="宋体" w:cs="宋体"/>
          <w:color w:val="auto"/>
          <w:szCs w:val="21"/>
          <w:highlight w:val="none"/>
        </w:rPr>
        <w:t>1</w:t>
      </w:r>
      <w:r>
        <w:rPr>
          <w:rFonts w:hint="eastAsia" w:ascii="宋体" w:hAnsi="宋体" w:cs="宋体"/>
          <w:color w:val="auto"/>
          <w:szCs w:val="21"/>
          <w:highlight w:val="none"/>
        </w:rPr>
        <w:t>名法律专家。</w:t>
      </w:r>
    </w:p>
    <w:p w14:paraId="7F78095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3B0B6BF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40395A90">
      <w:pPr>
        <w:spacing w:line="360" w:lineRule="auto"/>
        <w:ind w:firstLine="420"/>
        <w:rPr>
          <w:rFonts w:ascii="黑体" w:hAnsi="黑体" w:eastAsia="黑体" w:cs="宋体"/>
          <w:b/>
          <w:bCs/>
          <w:color w:val="auto"/>
          <w:sz w:val="24"/>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w:t>
      </w:r>
      <w:r>
        <w:rPr>
          <w:rFonts w:hAnsi="宋体"/>
          <w:color w:val="auto"/>
          <w:highlight w:val="none"/>
        </w:rPr>
        <w:t>CA</w:t>
      </w:r>
      <w:r>
        <w:rPr>
          <w:rFonts w:hint="eastAsia" w:hAnsi="宋体"/>
          <w:color w:val="auto"/>
          <w:highlight w:val="none"/>
        </w:rPr>
        <w:t>锁，按平台提示和谈判文件的规定登录到广西政府采购云平台电子开标大厅签到，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供应商未在规定的时间内解密响应文件或者解密失败的，供应商</w:t>
      </w:r>
      <w:r>
        <w:rPr>
          <w:rFonts w:hint="eastAsia" w:ascii="宋体" w:hAnsi="宋体"/>
          <w:b/>
          <w:color w:val="auto"/>
          <w:szCs w:val="21"/>
          <w:highlight w:val="none"/>
        </w:rPr>
        <w:t>的响应文件作无效处理</w:t>
      </w:r>
      <w:r>
        <w:rPr>
          <w:rFonts w:hint="eastAsia"/>
          <w:b/>
          <w:color w:val="auto"/>
          <w:highlight w:val="none"/>
        </w:rPr>
        <w:t>。</w:t>
      </w:r>
    </w:p>
    <w:p w14:paraId="735427D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评审程序和评定成交的标准</w:t>
      </w:r>
    </w:p>
    <w:p w14:paraId="7E8A5C84">
      <w:pPr>
        <w:spacing w:line="360" w:lineRule="auto"/>
        <w:ind w:firstLine="420" w:firstLineChars="200"/>
        <w:rPr>
          <w:color w:val="auto"/>
          <w:highlight w:val="none"/>
        </w:rPr>
      </w:pPr>
      <w:r>
        <w:rPr>
          <w:rFonts w:ascii="宋体" w:hAnsi="宋体"/>
          <w:color w:val="auto"/>
          <w:szCs w:val="21"/>
          <w:highlight w:val="none"/>
        </w:rPr>
        <w:t>26.1</w:t>
      </w:r>
      <w:r>
        <w:rPr>
          <w:rFonts w:hint="eastAsia" w:hAnsi="宋体"/>
          <w:bCs/>
          <w:color w:val="auto"/>
          <w:highlight w:val="none"/>
        </w:rPr>
        <w:t>谈判</w:t>
      </w:r>
      <w:r>
        <w:rPr>
          <w:rFonts w:hint="eastAsia"/>
          <w:color w:val="auto"/>
          <w:highlight w:val="none"/>
        </w:rPr>
        <w:t>小组按照“第四章评审程序和评定成交的标准”规定的评审程序对响应文件进行评审，并按照评定成交的标准推荐成交候选供应商。评审价相同时，成交候选供应商推荐顺序见</w:t>
      </w:r>
      <w:r>
        <w:rPr>
          <w:rFonts w:hint="eastAsia" w:ascii="宋体" w:hAnsi="宋体"/>
          <w:color w:val="auto"/>
          <w:szCs w:val="21"/>
          <w:highlight w:val="none"/>
        </w:rPr>
        <w:t>“供应商须知前附表”。</w:t>
      </w:r>
    </w:p>
    <w:p w14:paraId="1D0C3150">
      <w:pPr>
        <w:spacing w:line="360" w:lineRule="auto"/>
        <w:ind w:firstLine="420" w:firstLineChars="200"/>
        <w:rPr>
          <w:rFonts w:ascii="宋体"/>
          <w:color w:val="auto"/>
          <w:szCs w:val="21"/>
          <w:highlight w:val="none"/>
        </w:rPr>
      </w:pPr>
      <w:r>
        <w:rPr>
          <w:rFonts w:ascii="宋体" w:hAnsi="宋体"/>
          <w:color w:val="auto"/>
          <w:szCs w:val="21"/>
          <w:highlight w:val="none"/>
        </w:rPr>
        <w:t xml:space="preserve">26.2 </w:t>
      </w:r>
      <w:r>
        <w:rPr>
          <w:rFonts w:hint="eastAsia" w:ascii="宋体" w:hAnsi="宋体"/>
          <w:color w:val="auto"/>
          <w:szCs w:val="21"/>
          <w:highlight w:val="none"/>
        </w:rPr>
        <w:t>商务</w:t>
      </w:r>
      <w:r>
        <w:rPr>
          <w:rFonts w:ascii="宋体" w:hAnsi="宋体"/>
          <w:color w:val="auto"/>
          <w:szCs w:val="21"/>
          <w:highlight w:val="none"/>
        </w:rPr>
        <w:t>/</w:t>
      </w:r>
      <w:r>
        <w:rPr>
          <w:rFonts w:hint="eastAsia" w:ascii="宋体" w:hAnsi="宋体"/>
          <w:color w:val="auto"/>
          <w:szCs w:val="21"/>
          <w:highlight w:val="none"/>
        </w:rPr>
        <w:t>技术要求允许负偏离的条款数详见“供应商须知前附表”。</w:t>
      </w:r>
    </w:p>
    <w:p w14:paraId="77CC7930">
      <w:pPr>
        <w:spacing w:line="360" w:lineRule="auto"/>
        <w:ind w:firstLine="420" w:firstLineChars="200"/>
        <w:rPr>
          <w:rFonts w:ascii="宋体"/>
          <w:color w:val="auto"/>
          <w:szCs w:val="21"/>
          <w:highlight w:val="none"/>
        </w:rPr>
      </w:pPr>
      <w:r>
        <w:rPr>
          <w:rFonts w:ascii="宋体" w:hAnsi="宋体" w:cs="宋体"/>
          <w:color w:val="auto"/>
          <w:highlight w:val="none"/>
        </w:rPr>
        <w:t>26.3</w:t>
      </w:r>
      <w:r>
        <w:rPr>
          <w:rFonts w:hint="eastAsia" w:ascii="宋体" w:hAnsi="宋体" w:cs="宋体"/>
          <w:color w:val="auto"/>
          <w:highlight w:val="none"/>
        </w:rPr>
        <w:t>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7A52304D">
      <w:pPr>
        <w:spacing w:line="360" w:lineRule="auto"/>
        <w:ind w:firstLine="420" w:firstLineChars="200"/>
        <w:rPr>
          <w:rFonts w:hAnsi="宋体"/>
          <w:color w:val="auto"/>
          <w:highlight w:val="none"/>
        </w:rPr>
      </w:pPr>
      <w:r>
        <w:rPr>
          <w:rFonts w:ascii="宋体" w:hAnsi="宋体"/>
          <w:color w:val="auto"/>
          <w:highlight w:val="none"/>
        </w:rPr>
        <w:t>26.4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3E140291">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）电子交易平台发生故障而无法登录访问的；</w:t>
      </w:r>
    </w:p>
    <w:p w14:paraId="20B3539D">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）电子交易平台应用或数据库出现错误，不能进行正常操作的；</w:t>
      </w:r>
    </w:p>
    <w:p w14:paraId="1A9B66D5">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）电子交易平台发现严重安全漏洞，有潜在泄密危险的；</w:t>
      </w:r>
    </w:p>
    <w:p w14:paraId="56C4C714">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）病毒发作导致不能进行正常操作的；</w:t>
      </w:r>
    </w:p>
    <w:p w14:paraId="561631F7">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）其他无法保证电子交易的公平、公正和安全的情况。</w:t>
      </w:r>
    </w:p>
    <w:p w14:paraId="2C87B98F">
      <w:pPr>
        <w:spacing w:line="360" w:lineRule="auto"/>
        <w:ind w:firstLine="420" w:firstLineChars="200"/>
        <w:rPr>
          <w:rFonts w:hAnsi="宋体"/>
          <w:color w:val="auto"/>
          <w:highlight w:val="none"/>
        </w:rPr>
      </w:pPr>
      <w:r>
        <w:rPr>
          <w:rFonts w:ascii="宋体" w:hAnsi="宋体"/>
          <w:color w:val="auto"/>
          <w:highlight w:val="none"/>
        </w:rPr>
        <w:t>26.5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DE65AD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3937FDA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27.1</w:t>
      </w:r>
      <w:r>
        <w:rPr>
          <w:rFonts w:hint="eastAsia" w:ascii="宋体" w:hAnsi="宋体" w:cs="宋体"/>
          <w:color w:val="auto"/>
          <w:kern w:val="0"/>
          <w:szCs w:val="21"/>
          <w:highlight w:val="none"/>
        </w:rPr>
        <w:t>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w:t>
      </w:r>
      <w:r>
        <w:rPr>
          <w:rFonts w:ascii="宋体" w:hAnsi="宋体" w:cs="宋体"/>
          <w:color w:val="auto"/>
          <w:kern w:val="0"/>
          <w:szCs w:val="21"/>
          <w:highlight w:val="none"/>
        </w:rPr>
        <w:t>2</w:t>
      </w:r>
      <w:r>
        <w:rPr>
          <w:rFonts w:hint="eastAsia" w:ascii="宋体" w:hAnsi="宋体" w:cs="宋体"/>
          <w:color w:val="auto"/>
          <w:kern w:val="0"/>
          <w:szCs w:val="21"/>
          <w:highlight w:val="none"/>
        </w:rPr>
        <w:t>个工作日内将评审报告送采购人确认。采购人应当在收到评审报告后</w:t>
      </w:r>
      <w:r>
        <w:rPr>
          <w:rFonts w:ascii="宋体" w:hAnsi="宋体" w:cs="宋体"/>
          <w:color w:val="auto"/>
          <w:kern w:val="0"/>
          <w:szCs w:val="21"/>
          <w:highlight w:val="none"/>
        </w:rPr>
        <w:t>5</w:t>
      </w:r>
      <w:r>
        <w:rPr>
          <w:rFonts w:hint="eastAsia" w:ascii="宋体" w:hAnsi="宋体" w:cs="宋体"/>
          <w:color w:val="auto"/>
          <w:kern w:val="0"/>
          <w:szCs w:val="21"/>
          <w:highlight w:val="none"/>
        </w:rPr>
        <w:t>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340A4915">
      <w:pPr>
        <w:pStyle w:val="8"/>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27.2</w:t>
      </w:r>
      <w:r>
        <w:rPr>
          <w:rFonts w:hint="eastAsia" w:ascii="宋体" w:hAnsi="宋体" w:cs="宋体"/>
          <w:color w:val="auto"/>
          <w:kern w:val="0"/>
          <w:szCs w:val="21"/>
          <w:highlight w:val="none"/>
        </w:rPr>
        <w:t>采购代理机构应当在成交供应商确定后</w:t>
      </w:r>
      <w:r>
        <w:rPr>
          <w:rFonts w:ascii="宋体" w:hAnsi="宋体" w:cs="宋体"/>
          <w:color w:val="auto"/>
          <w:kern w:val="0"/>
          <w:szCs w:val="21"/>
          <w:highlight w:val="none"/>
        </w:rPr>
        <w:t>2</w:t>
      </w:r>
      <w:r>
        <w:rPr>
          <w:rFonts w:hint="eastAsia" w:ascii="宋体" w:hAnsi="宋体" w:cs="宋体"/>
          <w:color w:val="auto"/>
          <w:kern w:val="0"/>
          <w:szCs w:val="21"/>
          <w:highlight w:val="none"/>
        </w:rPr>
        <w:t>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auto"/>
          <w:szCs w:val="21"/>
          <w:highlight w:val="none"/>
        </w:rPr>
        <w:t>成交供应商享受《政府采购促进中小企业发展管理办法》（财库〔</w:t>
      </w:r>
      <w:r>
        <w:rPr>
          <w:rFonts w:ascii="宋体" w:hAnsi="宋体" w:cs="Courier New"/>
          <w:color w:val="auto"/>
          <w:szCs w:val="21"/>
          <w:highlight w:val="none"/>
        </w:rPr>
        <w:t>2020</w:t>
      </w:r>
      <w:r>
        <w:rPr>
          <w:rFonts w:hint="eastAsia" w:ascii="宋体" w:hAnsi="宋体" w:cs="Courier New"/>
          <w:color w:val="auto"/>
          <w:szCs w:val="21"/>
          <w:highlight w:val="none"/>
        </w:rPr>
        <w:t>〕</w:t>
      </w:r>
      <w:r>
        <w:rPr>
          <w:rFonts w:ascii="宋体" w:hAnsi="宋体" w:cs="Courier New"/>
          <w:color w:val="auto"/>
          <w:szCs w:val="21"/>
          <w:highlight w:val="none"/>
        </w:rPr>
        <w:t>46</w:t>
      </w:r>
      <w:r>
        <w:rPr>
          <w:rFonts w:hint="eastAsia" w:ascii="宋体" w:hAnsi="宋体" w:cs="Courier New"/>
          <w:color w:val="auto"/>
          <w:szCs w:val="21"/>
          <w:highlight w:val="none"/>
        </w:rPr>
        <w:t>号）规定的中小企业扶持政策的，采购人、采购代理机构应当随成交结果公开成交供应商的《中小企业声明函》或《残疾人福利性单位声明函》或属于监狱企业的证明文件。</w:t>
      </w:r>
    </w:p>
    <w:p w14:paraId="09A26F91">
      <w:pPr>
        <w:pStyle w:val="8"/>
        <w:spacing w:line="360" w:lineRule="auto"/>
        <w:ind w:firstLine="420" w:firstLineChars="200"/>
        <w:rPr>
          <w:rFonts w:ascii="宋体"/>
          <w:bCs/>
          <w:color w:val="auto"/>
          <w:szCs w:val="21"/>
          <w:highlight w:val="none"/>
        </w:rPr>
      </w:pPr>
      <w:r>
        <w:rPr>
          <w:rFonts w:ascii="宋体" w:hAnsi="宋体"/>
          <w:bCs/>
          <w:color w:val="auto"/>
          <w:szCs w:val="21"/>
          <w:highlight w:val="none"/>
        </w:rPr>
        <w:t>27.3</w:t>
      </w:r>
      <w:r>
        <w:rPr>
          <w:rFonts w:hint="eastAsia" w:ascii="宋体" w:hAnsi="宋体"/>
          <w:bCs/>
          <w:color w:val="auto"/>
          <w:szCs w:val="21"/>
          <w:highlight w:val="none"/>
        </w:rPr>
        <w:t>出现下列情形之一的，采购人或者采购代理机构应当终止竞争性谈判采购活动，发布项目终止公告并说明原因，重新开展采购活动：</w:t>
      </w:r>
    </w:p>
    <w:p w14:paraId="379EC559">
      <w:pPr>
        <w:pStyle w:val="8"/>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）因情况变化，不再符合规定的竞争性谈判采购方式适用情形的；</w:t>
      </w:r>
    </w:p>
    <w:p w14:paraId="6105BF99">
      <w:pPr>
        <w:pStyle w:val="8"/>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）出现影响采购公正的违法、违规行为的；</w:t>
      </w:r>
    </w:p>
    <w:p w14:paraId="34942960">
      <w:pPr>
        <w:pStyle w:val="8"/>
        <w:spacing w:line="360" w:lineRule="auto"/>
        <w:ind w:firstLine="420" w:firstLineChars="20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3</w:t>
      </w:r>
      <w:r>
        <w:rPr>
          <w:rFonts w:hint="eastAsia" w:ascii="宋体" w:hAnsi="宋体"/>
          <w:bCs/>
          <w:color w:val="auto"/>
          <w:szCs w:val="21"/>
          <w:highlight w:val="none"/>
        </w:rPr>
        <w:t>）在采购过程中符合竞争要求的供应商或者报价未超过采购预算的供应商不足</w:t>
      </w:r>
      <w:r>
        <w:rPr>
          <w:rFonts w:ascii="宋体" w:hAnsi="宋体"/>
          <w:bCs/>
          <w:color w:val="auto"/>
          <w:szCs w:val="21"/>
          <w:highlight w:val="none"/>
        </w:rPr>
        <w:t>3</w:t>
      </w:r>
      <w:r>
        <w:rPr>
          <w:rFonts w:hint="eastAsia" w:ascii="宋体" w:hAnsi="宋体"/>
          <w:bCs/>
          <w:color w:val="auto"/>
          <w:szCs w:val="21"/>
          <w:highlight w:val="none"/>
        </w:rPr>
        <w:t>家的，但“第四章评审程序和评定成交的标准”第</w:t>
      </w:r>
      <w:r>
        <w:rPr>
          <w:rFonts w:ascii="宋体" w:hAnsi="宋体"/>
          <w:bCs/>
          <w:color w:val="auto"/>
          <w:szCs w:val="21"/>
          <w:highlight w:val="none"/>
        </w:rPr>
        <w:t>3.7</w:t>
      </w:r>
      <w:r>
        <w:rPr>
          <w:rFonts w:hint="eastAsia" w:ascii="宋体" w:hAnsi="宋体"/>
          <w:bCs/>
          <w:color w:val="auto"/>
          <w:szCs w:val="21"/>
          <w:highlight w:val="none"/>
        </w:rPr>
        <w:t>条规定的情形除外。</w:t>
      </w:r>
    </w:p>
    <w:p w14:paraId="330404B8">
      <w:pPr>
        <w:pStyle w:val="8"/>
        <w:spacing w:line="360" w:lineRule="auto"/>
        <w:ind w:firstLine="420" w:firstLineChars="200"/>
        <w:rPr>
          <w:rFonts w:ascii="宋体"/>
          <w:bCs/>
          <w:color w:val="auto"/>
          <w:szCs w:val="21"/>
          <w:highlight w:val="none"/>
        </w:rPr>
      </w:pPr>
      <w:r>
        <w:rPr>
          <w:rFonts w:ascii="宋体" w:hAnsi="宋体"/>
          <w:bCs/>
          <w:color w:val="auto"/>
          <w:szCs w:val="21"/>
          <w:highlight w:val="none"/>
        </w:rPr>
        <w:t>27.4</w:t>
      </w:r>
      <w:r>
        <w:rPr>
          <w:rFonts w:hint="eastAsia" w:ascii="宋体" w:hAnsi="宋体"/>
          <w:bCs/>
          <w:color w:val="auto"/>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3C35CD3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770E0CDE">
      <w:pPr>
        <w:pStyle w:val="8"/>
        <w:spacing w:line="360" w:lineRule="auto"/>
        <w:ind w:firstLine="420" w:firstLineChars="200"/>
        <w:rPr>
          <w:color w:val="auto"/>
          <w:highlight w:val="none"/>
        </w:rPr>
      </w:pPr>
      <w:r>
        <w:rPr>
          <w:rFonts w:ascii="宋体" w:hAnsi="宋体" w:cs="宋体"/>
          <w:color w:val="auto"/>
          <w:szCs w:val="21"/>
          <w:highlight w:val="none"/>
        </w:rPr>
        <w:t>28.1</w:t>
      </w:r>
      <w:r>
        <w:rPr>
          <w:rFonts w:hint="eastAsia" w:ascii="宋体" w:hAnsi="宋体" w:cs="宋体"/>
          <w:color w:val="auto"/>
          <w:szCs w:val="21"/>
          <w:highlight w:val="none"/>
        </w:rPr>
        <w:t>履约保证金的金额、提交方式、退付的时间和条件详见“供应商须知前附表”。成交供应商未按规定提交履约保证金的，视为拒绝</w:t>
      </w:r>
      <w:r>
        <w:rPr>
          <w:rFonts w:hint="eastAsia"/>
          <w:color w:val="auto"/>
          <w:highlight w:val="none"/>
        </w:rPr>
        <w:t>与采购人</w:t>
      </w:r>
      <w:r>
        <w:rPr>
          <w:rFonts w:hint="eastAsia" w:ascii="宋体" w:hAnsi="宋体" w:cs="宋体"/>
          <w:color w:val="auto"/>
          <w:szCs w:val="21"/>
          <w:highlight w:val="none"/>
        </w:rPr>
        <w:t>签订合同。</w:t>
      </w:r>
    </w:p>
    <w:p w14:paraId="71109DB3">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28.2</w:t>
      </w:r>
      <w:r>
        <w:rPr>
          <w:rFonts w:hint="eastAsia" w:ascii="宋体" w:hAnsi="宋体" w:cs="宋体"/>
          <w:color w:val="auto"/>
          <w:szCs w:val="21"/>
          <w:highlight w:val="none"/>
        </w:rPr>
        <w:t>在履约保证金退还日期前，若成交供应商的开户名称、开户银行、账号有变动的，请以书面形式通知履约保证金收取单位，否则由此产生的后果由成交供应商自负。</w:t>
      </w:r>
    </w:p>
    <w:p w14:paraId="257EE26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0FBF4A94">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389CD11B">
      <w:pPr>
        <w:spacing w:line="360" w:lineRule="auto"/>
        <w:ind w:firstLine="424" w:firstLineChars="202"/>
        <w:rPr>
          <w:rFonts w:asci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730EBB44">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29.2</w:t>
      </w:r>
      <w:r>
        <w:rPr>
          <w:rFonts w:hint="eastAsia" w:ascii="宋体" w:hAnsi="宋体" w:cs="宋体"/>
          <w:color w:val="auto"/>
          <w:szCs w:val="21"/>
          <w:highlight w:val="none"/>
        </w:rPr>
        <w:t>签订合同时间：按成交通知书规定的时间与采购人签订合同。</w:t>
      </w:r>
    </w:p>
    <w:p w14:paraId="17332454">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2005717A">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29.4</w:t>
      </w:r>
      <w:r>
        <w:rPr>
          <w:rFonts w:hint="eastAsia" w:ascii="宋体" w:hAnsi="宋体" w:cs="宋体"/>
          <w:color w:val="auto"/>
          <w:szCs w:val="21"/>
          <w:highlight w:val="none"/>
        </w:rPr>
        <w:t>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BDF0953">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29.5</w:t>
      </w:r>
      <w:r>
        <w:rPr>
          <w:rFonts w:hint="eastAsia" w:ascii="宋体" w:hAnsi="宋体" w:cs="宋体"/>
          <w:color w:val="auto"/>
          <w:szCs w:val="21"/>
          <w:highlight w:val="none"/>
        </w:rPr>
        <w:t>采购人或成交供应商不得单方面向合同另一方提出任何谈判文件没有约定的条件或不合理的要求，作为签订合同的条件；也不得协商另行订立背离谈判文件和合同实质性内容的协议。</w:t>
      </w:r>
    </w:p>
    <w:p w14:paraId="06756AE1">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29.6</w:t>
      </w:r>
      <w:r>
        <w:rPr>
          <w:rFonts w:hint="eastAsia" w:ascii="宋体" w:hAnsi="宋体" w:cs="宋体"/>
          <w:color w:val="auto"/>
          <w:szCs w:val="21"/>
          <w:highlight w:val="none"/>
        </w:rPr>
        <w:t>如签订合同并生效后，供应商无故拒绝或延期，除按照合同条款处理外，将承担相应的法律责任。</w:t>
      </w:r>
    </w:p>
    <w:p w14:paraId="6191F64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37A1F90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w:t>
      </w:r>
      <w:r>
        <w:rPr>
          <w:rFonts w:ascii="宋体" w:hAnsi="宋体" w:cs="宋体"/>
          <w:color w:val="auto"/>
          <w:szCs w:val="21"/>
          <w:highlight w:val="none"/>
        </w:rPr>
        <w:t>2</w:t>
      </w:r>
      <w:r>
        <w:rPr>
          <w:rFonts w:hint="eastAsia" w:ascii="宋体" w:hAnsi="宋体" w:cs="宋体"/>
          <w:color w:val="auto"/>
          <w:szCs w:val="21"/>
          <w:highlight w:val="none"/>
        </w:rPr>
        <w:t>个工作日内，将政府采购合同在省级以上人民政府财政部门指定的媒体上公告，但政府采购合同中涉及国家秘密、商业秘密的内容除外。</w:t>
      </w:r>
    </w:p>
    <w:p w14:paraId="5BDA74D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询问、质疑和投诉</w:t>
      </w:r>
    </w:p>
    <w:p w14:paraId="66C0BE35">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31.1</w:t>
      </w:r>
      <w:r>
        <w:rPr>
          <w:rFonts w:hint="eastAsia" w:ascii="宋体" w:hAnsi="宋体" w:cs="宋体"/>
          <w:color w:val="auto"/>
          <w:highlight w:val="none"/>
        </w:rPr>
        <w:t>供应商对政府采购活动事项有疑问的，可以向采购人、采购代理机构提出询问，采购人或者采购代理机构应当在</w:t>
      </w:r>
      <w:r>
        <w:rPr>
          <w:rFonts w:ascii="宋体" w:hAnsi="宋体" w:cs="宋体"/>
          <w:color w:val="auto"/>
          <w:highlight w:val="none"/>
        </w:rPr>
        <w:t>3</w:t>
      </w:r>
      <w:r>
        <w:rPr>
          <w:rFonts w:hint="eastAsia" w:ascii="宋体" w:hAnsi="宋体" w:cs="宋体"/>
          <w:color w:val="auto"/>
          <w:highlight w:val="none"/>
        </w:rPr>
        <w:t>个工作日内对供应商依法提出的询问作出答复，</w:t>
      </w:r>
      <w:r>
        <w:rPr>
          <w:rFonts w:hint="eastAsia" w:ascii="宋体" w:hAnsi="宋体"/>
          <w:color w:val="auto"/>
          <w:szCs w:val="21"/>
          <w:highlight w:val="none"/>
        </w:rPr>
        <w:t>但答复的内容不得涉</w:t>
      </w:r>
      <w:r>
        <w:rPr>
          <w:rFonts w:hint="eastAsia" w:ascii="宋体" w:hAnsi="宋体" w:cs="宋体"/>
          <w:color w:val="auto"/>
          <w:szCs w:val="21"/>
          <w:highlight w:val="none"/>
        </w:rPr>
        <w:t>及商业秘密。</w:t>
      </w:r>
    </w:p>
    <w:p w14:paraId="0B4DE54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31.2</w:t>
      </w:r>
      <w:r>
        <w:rPr>
          <w:rFonts w:hint="eastAsia" w:ascii="宋体" w:hAnsi="宋体" w:cs="宋体"/>
          <w:color w:val="auto"/>
          <w:szCs w:val="21"/>
          <w:highlight w:val="none"/>
        </w:rPr>
        <w:t>供应商认为谈判文件、采购过程或者成交结果使自己的合法权益受到损害的，应当在知道或者应知其权益受到损害之日起</w:t>
      </w:r>
      <w:r>
        <w:rPr>
          <w:rFonts w:ascii="宋体" w:hAnsi="宋体" w:cs="宋体"/>
          <w:color w:val="auto"/>
          <w:szCs w:val="21"/>
          <w:highlight w:val="none"/>
        </w:rPr>
        <w:t>7</w:t>
      </w:r>
      <w:r>
        <w:rPr>
          <w:rFonts w:hint="eastAsia" w:ascii="宋体" w:hAnsi="宋体" w:cs="宋体"/>
          <w:color w:val="auto"/>
          <w:szCs w:val="21"/>
          <w:highlight w:val="none"/>
        </w:rPr>
        <w:t>个工作日内，以书面形式向采购人、采购代理机构提出质疑，接收质疑函的方式、联系部门、联系电话和通讯地址等信息详见“供应商须知前附表”。具体质疑起算时间如下：</w:t>
      </w:r>
    </w:p>
    <w:p w14:paraId="4660949A">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）对可以质疑的谈判文件提出质疑的，为在广西政府采购云平台获取谈判文件之日；</w:t>
      </w:r>
    </w:p>
    <w:p w14:paraId="0231B54F">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）对采购过程提出质疑的，为各采购程序环节结束之日；</w:t>
      </w:r>
    </w:p>
    <w:p w14:paraId="4805579D">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）对成交结果提出质疑的，为成交结果公告期限届满之日。</w:t>
      </w:r>
    </w:p>
    <w:p w14:paraId="0FFEF98F">
      <w:pPr>
        <w:spacing w:line="360" w:lineRule="auto"/>
        <w:ind w:firstLine="420" w:firstLineChars="200"/>
        <w:rPr>
          <w:rFonts w:ascii="宋体" w:cs="宋体"/>
          <w:color w:val="auto"/>
          <w:highlight w:val="none"/>
        </w:rPr>
      </w:pPr>
      <w:r>
        <w:rPr>
          <w:rFonts w:ascii="宋体" w:hAnsi="宋体" w:cs="宋体"/>
          <w:color w:val="auto"/>
          <w:highlight w:val="none"/>
        </w:rPr>
        <w:t>31.3</w:t>
      </w:r>
      <w:r>
        <w:rPr>
          <w:rFonts w:hint="eastAsia" w:ascii="宋体" w:hAnsi="宋体" w:cs="宋体"/>
          <w:color w:val="auto"/>
          <w:highlight w:val="none"/>
        </w:rPr>
        <w:t>供应商提出的询问或者质疑超出采购人对采购代理机构委托授权范围的，采购代理机构应当告知供应商向采购人提出。政府采购评审专家应当配合采购人或者采购代理机构答复供应商的询问和质疑。</w:t>
      </w:r>
    </w:p>
    <w:p w14:paraId="43B88D0F">
      <w:pPr>
        <w:spacing w:line="360" w:lineRule="auto"/>
        <w:ind w:firstLine="420" w:firstLineChars="200"/>
        <w:rPr>
          <w:rFonts w:ascii="宋体" w:cs="宋体"/>
          <w:color w:val="auto"/>
          <w:highlight w:val="none"/>
        </w:rPr>
      </w:pPr>
      <w:r>
        <w:rPr>
          <w:rFonts w:ascii="宋体" w:hAnsi="宋体" w:cs="宋体"/>
          <w:color w:val="auto"/>
          <w:highlight w:val="none"/>
        </w:rPr>
        <w:t>31.4</w:t>
      </w:r>
      <w:r>
        <w:rPr>
          <w:rFonts w:hint="eastAsia" w:ascii="宋体" w:hAnsi="宋体" w:cs="宋体"/>
          <w:color w:val="auto"/>
          <w:highlight w:val="none"/>
        </w:rPr>
        <w:t>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1A085570">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）供应商的姓名或者名称、地址、邮编、联系人及联系电话；</w:t>
      </w:r>
    </w:p>
    <w:p w14:paraId="4CC26D1F">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）质疑项目的名称、编号；</w:t>
      </w:r>
    </w:p>
    <w:p w14:paraId="59E12A62">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）具体、明确的质疑事项和与质疑事项相关的请求；</w:t>
      </w:r>
    </w:p>
    <w:p w14:paraId="2E23CF90">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）事实依据；</w:t>
      </w:r>
    </w:p>
    <w:p w14:paraId="2EDE989C">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）必要的法律依据；</w:t>
      </w:r>
    </w:p>
    <w:p w14:paraId="2C917596">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）提出质疑的日期。</w:t>
      </w:r>
    </w:p>
    <w:p w14:paraId="6358B7F5">
      <w:pPr>
        <w:spacing w:line="360" w:lineRule="auto"/>
        <w:ind w:firstLine="420" w:firstLineChars="200"/>
        <w:rPr>
          <w:rFonts w:asci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5D96223F">
      <w:pPr>
        <w:spacing w:line="360" w:lineRule="auto"/>
        <w:ind w:firstLine="420" w:firstLineChars="200"/>
        <w:rPr>
          <w:rFonts w:ascii="宋体" w:cs="宋体"/>
          <w:color w:val="auto"/>
          <w:highlight w:val="none"/>
        </w:rPr>
      </w:pPr>
      <w:r>
        <w:rPr>
          <w:rFonts w:ascii="宋体" w:hAnsi="宋体" w:cs="宋体"/>
          <w:color w:val="auto"/>
          <w:highlight w:val="none"/>
        </w:rPr>
        <w:t>31.5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63ACA878">
      <w:pPr>
        <w:spacing w:line="360" w:lineRule="auto"/>
        <w:ind w:firstLine="420" w:firstLineChars="200"/>
        <w:rPr>
          <w:rFonts w:asci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71C7FEC6">
      <w:pPr>
        <w:spacing w:line="360" w:lineRule="auto"/>
        <w:ind w:firstLine="420" w:firstLineChars="200"/>
        <w:rPr>
          <w:rFonts w:asci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085E373">
      <w:pPr>
        <w:spacing w:line="360" w:lineRule="auto"/>
        <w:ind w:firstLine="420" w:firstLineChars="200"/>
        <w:rPr>
          <w:rFonts w:asci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4B736D72">
      <w:pPr>
        <w:spacing w:line="360" w:lineRule="auto"/>
        <w:ind w:firstLine="420" w:firstLineChars="200"/>
        <w:rPr>
          <w:rFonts w:ascii="宋体" w:cs="宋体"/>
          <w:b/>
          <w:bCs/>
          <w:color w:val="auto"/>
          <w:szCs w:val="21"/>
          <w:highlight w:val="none"/>
        </w:rPr>
      </w:pPr>
      <w:r>
        <w:rPr>
          <w:rFonts w:ascii="宋体" w:hAnsi="宋体" w:cs="宋体"/>
          <w:color w:val="auto"/>
          <w:highlight w:val="none"/>
        </w:rPr>
        <w:t>31</w:t>
      </w:r>
      <w:r>
        <w:rPr>
          <w:rFonts w:asci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w:t>
      </w:r>
      <w:r>
        <w:rPr>
          <w:rFonts w:ascii="宋体" w:hAnsi="宋体" w:cs="宋体"/>
          <w:color w:val="auto"/>
          <w:highlight w:val="none"/>
        </w:rPr>
        <w:t>15</w:t>
      </w:r>
      <w:r>
        <w:rPr>
          <w:rFonts w:hint="eastAsia" w:ascii="宋体" w:hAnsi="宋体" w:cs="宋体"/>
          <w:color w:val="auto"/>
          <w:highlight w:val="none"/>
        </w:rPr>
        <w:t>个工作日内向《政府采购质疑和投诉办法》（财政部令第</w:t>
      </w:r>
      <w:r>
        <w:rPr>
          <w:rFonts w:ascii="宋体" w:hAnsi="宋体" w:cs="宋体"/>
          <w:color w:val="auto"/>
          <w:highlight w:val="none"/>
        </w:rPr>
        <w:t>94</w:t>
      </w:r>
      <w:r>
        <w:rPr>
          <w:rFonts w:hint="eastAsia" w:ascii="宋体" w:hAnsi="宋体" w:cs="宋体"/>
          <w:color w:val="auto"/>
          <w:highlight w:val="none"/>
        </w:rPr>
        <w:t>号）第六条规定的财政部门提起投诉（投诉书格式后附）。</w:t>
      </w:r>
    </w:p>
    <w:p w14:paraId="263A90D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2FD4886A">
      <w:pPr>
        <w:tabs>
          <w:tab w:val="left" w:pos="2835"/>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32.1代理服务收取标准及缴费账户详见“供应商须知前附表”。</w:t>
      </w:r>
    </w:p>
    <w:p w14:paraId="07821657">
      <w:pPr>
        <w:tabs>
          <w:tab w:val="left" w:pos="2835"/>
        </w:tabs>
        <w:spacing w:line="360" w:lineRule="exact"/>
        <w:ind w:firstLine="420" w:firstLineChars="200"/>
        <w:rPr>
          <w:rFonts w:hAnsi="宋体" w:cs="宋体"/>
          <w:color w:val="auto"/>
          <w:highlight w:val="none"/>
        </w:rPr>
      </w:pPr>
      <w:r>
        <w:rPr>
          <w:rFonts w:hint="eastAsia" w:ascii="宋体" w:hAnsi="宋体" w:cs="宋体"/>
          <w:color w:val="auto"/>
          <w:szCs w:val="21"/>
          <w:highlight w:val="none"/>
        </w:rPr>
        <w:t>32.2</w:t>
      </w:r>
      <w:r>
        <w:rPr>
          <w:rFonts w:hint="eastAsia" w:hAnsi="宋体" w:cs="宋体"/>
          <w:color w:val="auto"/>
          <w:highlight w:val="none"/>
        </w:rPr>
        <w:t>采购代理服务费费率标准如下：</w:t>
      </w:r>
    </w:p>
    <w:tbl>
      <w:tblPr>
        <w:tblStyle w:val="25"/>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B25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l2br w:val="single" w:color="auto" w:sz="4" w:space="0"/>
            </w:tcBorders>
          </w:tcPr>
          <w:p w14:paraId="249FB431">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费率</w:t>
            </w:r>
          </w:p>
          <w:p w14:paraId="1DD07233">
            <w:pPr>
              <w:spacing w:line="360" w:lineRule="exact"/>
              <w:rPr>
                <w:rFonts w:ascii="宋体" w:hAnsi="宋体" w:cs="宋体"/>
                <w:color w:val="auto"/>
                <w:szCs w:val="21"/>
                <w:highlight w:val="none"/>
              </w:rPr>
            </w:pPr>
            <w:r>
              <w:rPr>
                <w:rFonts w:hint="eastAsia" w:ascii="宋体" w:hAnsi="宋体" w:cs="宋体"/>
                <w:color w:val="auto"/>
                <w:szCs w:val="21"/>
                <w:highlight w:val="none"/>
              </w:rPr>
              <w:t>成交金额</w:t>
            </w:r>
          </w:p>
        </w:tc>
        <w:tc>
          <w:tcPr>
            <w:tcW w:w="1659" w:type="dxa"/>
            <w:tcBorders>
              <w:top w:val="single" w:color="auto" w:sz="4" w:space="0"/>
              <w:left w:val="single" w:color="auto" w:sz="4" w:space="0"/>
              <w:bottom w:val="single" w:color="auto" w:sz="4" w:space="0"/>
              <w:right w:val="single" w:color="auto" w:sz="4" w:space="0"/>
            </w:tcBorders>
            <w:vAlign w:val="center"/>
          </w:tcPr>
          <w:p w14:paraId="60B9E36B">
            <w:pPr>
              <w:spacing w:line="360" w:lineRule="exact"/>
              <w:jc w:val="center"/>
              <w:rPr>
                <w:rFonts w:ascii="宋体" w:hAnsi="宋体"/>
                <w:color w:val="auto"/>
                <w:highlight w:val="none"/>
              </w:rPr>
            </w:pPr>
            <w:r>
              <w:rPr>
                <w:rFonts w:hint="eastAsia" w:ascii="宋体" w:hAnsi="宋体"/>
                <w:color w:val="auto"/>
                <w:highlight w:val="none"/>
              </w:rPr>
              <w:t>货物类</w:t>
            </w:r>
          </w:p>
        </w:tc>
        <w:tc>
          <w:tcPr>
            <w:tcW w:w="1532" w:type="dxa"/>
            <w:tcBorders>
              <w:top w:val="single" w:color="auto" w:sz="4" w:space="0"/>
              <w:left w:val="single" w:color="auto" w:sz="4" w:space="0"/>
              <w:bottom w:val="single" w:color="auto" w:sz="4" w:space="0"/>
              <w:right w:val="single" w:color="auto" w:sz="4" w:space="0"/>
            </w:tcBorders>
            <w:vAlign w:val="center"/>
          </w:tcPr>
          <w:p w14:paraId="5656785B">
            <w:pPr>
              <w:spacing w:line="360" w:lineRule="exact"/>
              <w:jc w:val="center"/>
              <w:rPr>
                <w:rFonts w:ascii="宋体" w:hAnsi="宋体"/>
                <w:color w:val="auto"/>
                <w:highlight w:val="none"/>
              </w:rPr>
            </w:pPr>
            <w:r>
              <w:rPr>
                <w:rFonts w:hint="eastAsia" w:ascii="宋体" w:hAnsi="宋体"/>
                <w:color w:val="auto"/>
                <w:highlight w:val="none"/>
              </w:rPr>
              <w:t>服务类</w:t>
            </w:r>
          </w:p>
        </w:tc>
        <w:tc>
          <w:tcPr>
            <w:tcW w:w="1546" w:type="dxa"/>
            <w:tcBorders>
              <w:top w:val="single" w:color="auto" w:sz="4" w:space="0"/>
              <w:left w:val="single" w:color="auto" w:sz="4" w:space="0"/>
              <w:bottom w:val="single" w:color="auto" w:sz="4" w:space="0"/>
              <w:right w:val="single" w:color="auto" w:sz="4" w:space="0"/>
            </w:tcBorders>
            <w:vAlign w:val="center"/>
          </w:tcPr>
          <w:p w14:paraId="4E5417E5">
            <w:pPr>
              <w:spacing w:line="360" w:lineRule="exact"/>
              <w:jc w:val="center"/>
              <w:rPr>
                <w:rFonts w:ascii="宋体" w:hAnsi="宋体"/>
                <w:color w:val="auto"/>
                <w:highlight w:val="none"/>
              </w:rPr>
            </w:pPr>
            <w:r>
              <w:rPr>
                <w:rFonts w:hint="eastAsia" w:ascii="宋体" w:hAnsi="宋体"/>
                <w:color w:val="auto"/>
                <w:highlight w:val="none"/>
              </w:rPr>
              <w:t>工程类</w:t>
            </w:r>
          </w:p>
        </w:tc>
      </w:tr>
      <w:tr w14:paraId="01BF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vAlign w:val="center"/>
          </w:tcPr>
          <w:p w14:paraId="39E14F16">
            <w:pPr>
              <w:spacing w:line="360" w:lineRule="exact"/>
              <w:jc w:val="center"/>
              <w:rPr>
                <w:color w:val="auto"/>
                <w:highlight w:val="none"/>
              </w:rPr>
            </w:pPr>
            <w:r>
              <w:rPr>
                <w:rFonts w:hint="eastAsia"/>
                <w:color w:val="auto"/>
                <w:highlight w:val="none"/>
              </w:rPr>
              <w:t>100万元以下</w:t>
            </w:r>
          </w:p>
        </w:tc>
        <w:tc>
          <w:tcPr>
            <w:tcW w:w="1659" w:type="dxa"/>
            <w:tcBorders>
              <w:top w:val="single" w:color="auto" w:sz="4" w:space="0"/>
              <w:left w:val="single" w:color="auto" w:sz="4" w:space="0"/>
              <w:bottom w:val="single" w:color="auto" w:sz="4" w:space="0"/>
              <w:right w:val="single" w:color="auto" w:sz="4" w:space="0"/>
            </w:tcBorders>
            <w:vAlign w:val="center"/>
          </w:tcPr>
          <w:p w14:paraId="13A3DC35">
            <w:pPr>
              <w:spacing w:line="360" w:lineRule="exact"/>
              <w:jc w:val="center"/>
              <w:rPr>
                <w:rFonts w:ascii="宋体" w:hAnsi="宋体"/>
                <w:color w:val="auto"/>
                <w:highlight w:val="none"/>
              </w:rPr>
            </w:pPr>
            <w:r>
              <w:rPr>
                <w:rFonts w:hint="eastAsia" w:ascii="宋体" w:hAnsi="宋体"/>
                <w:color w:val="auto"/>
                <w:highlight w:val="none"/>
              </w:rPr>
              <w:t>1.5%</w:t>
            </w:r>
          </w:p>
        </w:tc>
        <w:tc>
          <w:tcPr>
            <w:tcW w:w="1532" w:type="dxa"/>
            <w:tcBorders>
              <w:top w:val="single" w:color="auto" w:sz="4" w:space="0"/>
              <w:left w:val="single" w:color="auto" w:sz="4" w:space="0"/>
              <w:bottom w:val="single" w:color="auto" w:sz="4" w:space="0"/>
              <w:right w:val="single" w:color="auto" w:sz="4" w:space="0"/>
            </w:tcBorders>
            <w:vAlign w:val="center"/>
          </w:tcPr>
          <w:p w14:paraId="10438F3C">
            <w:pPr>
              <w:spacing w:line="360" w:lineRule="exact"/>
              <w:jc w:val="center"/>
              <w:rPr>
                <w:rFonts w:ascii="宋体" w:hAnsi="宋体"/>
                <w:color w:val="auto"/>
                <w:highlight w:val="none"/>
              </w:rPr>
            </w:pPr>
            <w:r>
              <w:rPr>
                <w:rFonts w:hint="eastAsia" w:ascii="宋体" w:hAnsi="宋体"/>
                <w:color w:val="auto"/>
                <w:highlight w:val="none"/>
              </w:rPr>
              <w:t>1.5%</w:t>
            </w:r>
          </w:p>
        </w:tc>
        <w:tc>
          <w:tcPr>
            <w:tcW w:w="1546" w:type="dxa"/>
            <w:tcBorders>
              <w:top w:val="single" w:color="auto" w:sz="4" w:space="0"/>
              <w:left w:val="single" w:color="auto" w:sz="4" w:space="0"/>
              <w:bottom w:val="single" w:color="auto" w:sz="4" w:space="0"/>
              <w:right w:val="single" w:color="auto" w:sz="4" w:space="0"/>
            </w:tcBorders>
            <w:vAlign w:val="center"/>
          </w:tcPr>
          <w:p w14:paraId="0ADAAA32">
            <w:pPr>
              <w:spacing w:line="360" w:lineRule="exact"/>
              <w:jc w:val="center"/>
              <w:rPr>
                <w:rFonts w:ascii="宋体" w:hAnsi="宋体"/>
                <w:color w:val="auto"/>
                <w:highlight w:val="none"/>
              </w:rPr>
            </w:pPr>
            <w:r>
              <w:rPr>
                <w:rFonts w:hint="eastAsia" w:ascii="宋体" w:hAnsi="宋体"/>
                <w:color w:val="auto"/>
                <w:highlight w:val="none"/>
              </w:rPr>
              <w:t>1.0%</w:t>
            </w:r>
          </w:p>
        </w:tc>
      </w:tr>
      <w:tr w14:paraId="3ADC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vAlign w:val="center"/>
          </w:tcPr>
          <w:p w14:paraId="3CBBE333">
            <w:pPr>
              <w:spacing w:line="360" w:lineRule="exact"/>
              <w:jc w:val="center"/>
              <w:rPr>
                <w:color w:val="auto"/>
                <w:highlight w:val="none"/>
              </w:rPr>
            </w:pPr>
            <w:r>
              <w:rPr>
                <w:rFonts w:hint="eastAsia"/>
                <w:color w:val="auto"/>
                <w:highlight w:val="none"/>
              </w:rPr>
              <w:t>100～500万元</w:t>
            </w:r>
          </w:p>
        </w:tc>
        <w:tc>
          <w:tcPr>
            <w:tcW w:w="1659" w:type="dxa"/>
            <w:tcBorders>
              <w:top w:val="single" w:color="auto" w:sz="4" w:space="0"/>
              <w:left w:val="single" w:color="auto" w:sz="4" w:space="0"/>
              <w:bottom w:val="single" w:color="auto" w:sz="4" w:space="0"/>
              <w:right w:val="single" w:color="auto" w:sz="4" w:space="0"/>
            </w:tcBorders>
            <w:vAlign w:val="center"/>
          </w:tcPr>
          <w:p w14:paraId="0F07E0FE">
            <w:pPr>
              <w:spacing w:line="360" w:lineRule="exact"/>
              <w:jc w:val="center"/>
              <w:rPr>
                <w:rFonts w:ascii="宋体" w:hAnsi="宋体"/>
                <w:color w:val="auto"/>
                <w:highlight w:val="none"/>
              </w:rPr>
            </w:pPr>
            <w:r>
              <w:rPr>
                <w:rFonts w:hint="eastAsia" w:ascii="宋体" w:hAnsi="宋体"/>
                <w:color w:val="auto"/>
                <w:highlight w:val="none"/>
              </w:rPr>
              <w:t>1.1%</w:t>
            </w:r>
          </w:p>
        </w:tc>
        <w:tc>
          <w:tcPr>
            <w:tcW w:w="1532" w:type="dxa"/>
            <w:tcBorders>
              <w:top w:val="single" w:color="auto" w:sz="4" w:space="0"/>
              <w:left w:val="single" w:color="auto" w:sz="4" w:space="0"/>
              <w:bottom w:val="single" w:color="auto" w:sz="4" w:space="0"/>
              <w:right w:val="single" w:color="auto" w:sz="4" w:space="0"/>
            </w:tcBorders>
            <w:vAlign w:val="center"/>
          </w:tcPr>
          <w:p w14:paraId="3C4F2300">
            <w:pPr>
              <w:spacing w:line="360" w:lineRule="exact"/>
              <w:jc w:val="center"/>
              <w:rPr>
                <w:rFonts w:ascii="宋体" w:hAnsi="宋体"/>
                <w:color w:val="auto"/>
                <w:highlight w:val="none"/>
              </w:rPr>
            </w:pPr>
            <w:r>
              <w:rPr>
                <w:rFonts w:hint="eastAsia" w:ascii="宋体" w:hAnsi="宋体"/>
                <w:color w:val="auto"/>
                <w:highlight w:val="none"/>
              </w:rPr>
              <w:t>0.8%</w:t>
            </w:r>
          </w:p>
        </w:tc>
        <w:tc>
          <w:tcPr>
            <w:tcW w:w="1546" w:type="dxa"/>
            <w:tcBorders>
              <w:top w:val="single" w:color="auto" w:sz="4" w:space="0"/>
              <w:left w:val="single" w:color="auto" w:sz="4" w:space="0"/>
              <w:bottom w:val="single" w:color="auto" w:sz="4" w:space="0"/>
              <w:right w:val="single" w:color="auto" w:sz="4" w:space="0"/>
            </w:tcBorders>
            <w:vAlign w:val="center"/>
          </w:tcPr>
          <w:p w14:paraId="42FE8FB7">
            <w:pPr>
              <w:spacing w:line="360" w:lineRule="exact"/>
              <w:jc w:val="center"/>
              <w:rPr>
                <w:rFonts w:ascii="宋体" w:hAnsi="宋体"/>
                <w:color w:val="auto"/>
                <w:highlight w:val="none"/>
              </w:rPr>
            </w:pPr>
            <w:r>
              <w:rPr>
                <w:rFonts w:hint="eastAsia" w:ascii="宋体" w:hAnsi="宋体"/>
                <w:color w:val="auto"/>
                <w:highlight w:val="none"/>
              </w:rPr>
              <w:t>0.7%</w:t>
            </w:r>
          </w:p>
        </w:tc>
      </w:tr>
      <w:tr w14:paraId="69D9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vAlign w:val="center"/>
          </w:tcPr>
          <w:p w14:paraId="2DEBCC53">
            <w:pPr>
              <w:spacing w:line="360" w:lineRule="exact"/>
              <w:jc w:val="center"/>
              <w:rPr>
                <w:color w:val="auto"/>
                <w:highlight w:val="none"/>
              </w:rPr>
            </w:pPr>
            <w:r>
              <w:rPr>
                <w:rFonts w:hint="eastAsia"/>
                <w:color w:val="auto"/>
                <w:highlight w:val="none"/>
              </w:rPr>
              <w:t>500～1000万元</w:t>
            </w:r>
          </w:p>
        </w:tc>
        <w:tc>
          <w:tcPr>
            <w:tcW w:w="1659" w:type="dxa"/>
            <w:tcBorders>
              <w:top w:val="single" w:color="auto" w:sz="4" w:space="0"/>
              <w:left w:val="single" w:color="auto" w:sz="4" w:space="0"/>
              <w:bottom w:val="single" w:color="auto" w:sz="4" w:space="0"/>
              <w:right w:val="single" w:color="auto" w:sz="4" w:space="0"/>
            </w:tcBorders>
            <w:vAlign w:val="center"/>
          </w:tcPr>
          <w:p w14:paraId="4A0A54C2">
            <w:pPr>
              <w:spacing w:line="360" w:lineRule="exact"/>
              <w:jc w:val="center"/>
              <w:rPr>
                <w:rFonts w:ascii="宋体" w:hAnsi="宋体"/>
                <w:color w:val="auto"/>
                <w:highlight w:val="none"/>
              </w:rPr>
            </w:pPr>
            <w:r>
              <w:rPr>
                <w:rFonts w:hint="eastAsia" w:ascii="宋体" w:hAnsi="宋体"/>
                <w:color w:val="auto"/>
                <w:highlight w:val="none"/>
              </w:rPr>
              <w:t>0.8%</w:t>
            </w:r>
          </w:p>
        </w:tc>
        <w:tc>
          <w:tcPr>
            <w:tcW w:w="1532" w:type="dxa"/>
            <w:tcBorders>
              <w:top w:val="single" w:color="auto" w:sz="4" w:space="0"/>
              <w:left w:val="single" w:color="auto" w:sz="4" w:space="0"/>
              <w:bottom w:val="single" w:color="auto" w:sz="4" w:space="0"/>
              <w:right w:val="single" w:color="auto" w:sz="4" w:space="0"/>
            </w:tcBorders>
            <w:vAlign w:val="center"/>
          </w:tcPr>
          <w:p w14:paraId="096270B2">
            <w:pPr>
              <w:spacing w:line="360" w:lineRule="exact"/>
              <w:jc w:val="center"/>
              <w:rPr>
                <w:rFonts w:ascii="宋体" w:hAnsi="宋体"/>
                <w:color w:val="auto"/>
                <w:highlight w:val="none"/>
              </w:rPr>
            </w:pPr>
            <w:r>
              <w:rPr>
                <w:rFonts w:hint="eastAsia" w:ascii="宋体" w:hAnsi="宋体"/>
                <w:color w:val="auto"/>
                <w:highlight w:val="none"/>
              </w:rPr>
              <w:t>0.45%</w:t>
            </w:r>
          </w:p>
        </w:tc>
        <w:tc>
          <w:tcPr>
            <w:tcW w:w="1546" w:type="dxa"/>
            <w:tcBorders>
              <w:top w:val="single" w:color="auto" w:sz="4" w:space="0"/>
              <w:left w:val="single" w:color="auto" w:sz="4" w:space="0"/>
              <w:bottom w:val="single" w:color="auto" w:sz="4" w:space="0"/>
              <w:right w:val="single" w:color="auto" w:sz="4" w:space="0"/>
            </w:tcBorders>
            <w:vAlign w:val="center"/>
          </w:tcPr>
          <w:p w14:paraId="208A0474">
            <w:pPr>
              <w:spacing w:line="360" w:lineRule="exact"/>
              <w:jc w:val="center"/>
              <w:rPr>
                <w:rFonts w:ascii="宋体" w:hAnsi="宋体"/>
                <w:color w:val="auto"/>
                <w:highlight w:val="none"/>
              </w:rPr>
            </w:pPr>
            <w:r>
              <w:rPr>
                <w:rFonts w:hint="eastAsia" w:ascii="宋体" w:hAnsi="宋体"/>
                <w:color w:val="auto"/>
                <w:highlight w:val="none"/>
              </w:rPr>
              <w:t>0.55%</w:t>
            </w:r>
          </w:p>
        </w:tc>
      </w:tr>
      <w:tr w14:paraId="187A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vAlign w:val="center"/>
          </w:tcPr>
          <w:p w14:paraId="5C194632">
            <w:pPr>
              <w:spacing w:line="360" w:lineRule="exact"/>
              <w:jc w:val="center"/>
              <w:rPr>
                <w:color w:val="auto"/>
                <w:highlight w:val="none"/>
              </w:rPr>
            </w:pPr>
            <w:r>
              <w:rPr>
                <w:rFonts w:hint="eastAsia"/>
                <w:color w:val="auto"/>
                <w:highlight w:val="none"/>
              </w:rPr>
              <w:t>1000～5000万元</w:t>
            </w:r>
          </w:p>
        </w:tc>
        <w:tc>
          <w:tcPr>
            <w:tcW w:w="1659" w:type="dxa"/>
            <w:tcBorders>
              <w:top w:val="single" w:color="auto" w:sz="4" w:space="0"/>
              <w:left w:val="single" w:color="auto" w:sz="4" w:space="0"/>
              <w:bottom w:val="single" w:color="auto" w:sz="4" w:space="0"/>
              <w:right w:val="single" w:color="auto" w:sz="4" w:space="0"/>
            </w:tcBorders>
            <w:vAlign w:val="center"/>
          </w:tcPr>
          <w:p w14:paraId="50A6CCAC">
            <w:pPr>
              <w:spacing w:line="360" w:lineRule="exact"/>
              <w:jc w:val="center"/>
              <w:rPr>
                <w:rFonts w:ascii="宋体" w:hAnsi="宋体"/>
                <w:color w:val="auto"/>
                <w:highlight w:val="none"/>
              </w:rPr>
            </w:pPr>
            <w:r>
              <w:rPr>
                <w:rFonts w:hint="eastAsia" w:ascii="宋体" w:hAnsi="宋体"/>
                <w:color w:val="auto"/>
                <w:highlight w:val="none"/>
              </w:rPr>
              <w:t>0.5%</w:t>
            </w:r>
          </w:p>
        </w:tc>
        <w:tc>
          <w:tcPr>
            <w:tcW w:w="1532" w:type="dxa"/>
            <w:tcBorders>
              <w:top w:val="single" w:color="auto" w:sz="4" w:space="0"/>
              <w:left w:val="single" w:color="auto" w:sz="4" w:space="0"/>
              <w:bottom w:val="single" w:color="auto" w:sz="4" w:space="0"/>
              <w:right w:val="single" w:color="auto" w:sz="4" w:space="0"/>
            </w:tcBorders>
            <w:vAlign w:val="center"/>
          </w:tcPr>
          <w:p w14:paraId="2A06BA87">
            <w:pPr>
              <w:spacing w:line="360" w:lineRule="exact"/>
              <w:jc w:val="center"/>
              <w:rPr>
                <w:rFonts w:ascii="宋体" w:hAnsi="宋体"/>
                <w:color w:val="auto"/>
                <w:highlight w:val="none"/>
              </w:rPr>
            </w:pPr>
            <w:r>
              <w:rPr>
                <w:rFonts w:hint="eastAsia" w:ascii="宋体" w:hAnsi="宋体"/>
                <w:color w:val="auto"/>
                <w:highlight w:val="none"/>
              </w:rPr>
              <w:t>0.25%</w:t>
            </w:r>
          </w:p>
        </w:tc>
        <w:tc>
          <w:tcPr>
            <w:tcW w:w="1546" w:type="dxa"/>
            <w:tcBorders>
              <w:top w:val="single" w:color="auto" w:sz="4" w:space="0"/>
              <w:left w:val="single" w:color="auto" w:sz="4" w:space="0"/>
              <w:bottom w:val="single" w:color="auto" w:sz="4" w:space="0"/>
              <w:right w:val="single" w:color="auto" w:sz="4" w:space="0"/>
            </w:tcBorders>
            <w:vAlign w:val="center"/>
          </w:tcPr>
          <w:p w14:paraId="5F2E90ED">
            <w:pPr>
              <w:spacing w:line="360" w:lineRule="exact"/>
              <w:jc w:val="center"/>
              <w:rPr>
                <w:rFonts w:ascii="宋体" w:hAnsi="宋体"/>
                <w:color w:val="auto"/>
                <w:highlight w:val="none"/>
              </w:rPr>
            </w:pPr>
            <w:r>
              <w:rPr>
                <w:rFonts w:hint="eastAsia" w:ascii="宋体" w:hAnsi="宋体"/>
                <w:color w:val="auto"/>
                <w:highlight w:val="none"/>
              </w:rPr>
              <w:t>0.35%</w:t>
            </w:r>
          </w:p>
        </w:tc>
      </w:tr>
      <w:tr w14:paraId="4BA3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op w:val="single" w:color="auto" w:sz="4" w:space="0"/>
              <w:left w:val="single" w:color="auto" w:sz="4" w:space="0"/>
              <w:bottom w:val="single" w:color="auto" w:sz="4" w:space="0"/>
              <w:right w:val="single" w:color="auto" w:sz="4" w:space="0"/>
            </w:tcBorders>
            <w:vAlign w:val="center"/>
          </w:tcPr>
          <w:p w14:paraId="38B13C5B">
            <w:pPr>
              <w:spacing w:line="360" w:lineRule="exact"/>
              <w:jc w:val="center"/>
              <w:rPr>
                <w:color w:val="auto"/>
                <w:highlight w:val="none"/>
              </w:rPr>
            </w:pPr>
            <w:r>
              <w:rPr>
                <w:rFonts w:hint="eastAsia"/>
                <w:color w:val="auto"/>
                <w:highlight w:val="none"/>
              </w:rPr>
              <w:t>5000万元～1亿元</w:t>
            </w:r>
          </w:p>
        </w:tc>
        <w:tc>
          <w:tcPr>
            <w:tcW w:w="1659" w:type="dxa"/>
            <w:tcBorders>
              <w:top w:val="single" w:color="auto" w:sz="4" w:space="0"/>
              <w:left w:val="single" w:color="auto" w:sz="4" w:space="0"/>
              <w:bottom w:val="single" w:color="auto" w:sz="4" w:space="0"/>
              <w:right w:val="single" w:color="auto" w:sz="4" w:space="0"/>
            </w:tcBorders>
            <w:vAlign w:val="center"/>
          </w:tcPr>
          <w:p w14:paraId="0265429C">
            <w:pPr>
              <w:spacing w:line="360" w:lineRule="exact"/>
              <w:jc w:val="center"/>
              <w:rPr>
                <w:rFonts w:ascii="宋体" w:hAnsi="宋体"/>
                <w:color w:val="auto"/>
                <w:highlight w:val="none"/>
              </w:rPr>
            </w:pPr>
            <w:r>
              <w:rPr>
                <w:rFonts w:hint="eastAsia" w:ascii="宋体" w:hAnsi="宋体"/>
                <w:color w:val="auto"/>
                <w:highlight w:val="none"/>
              </w:rPr>
              <w:t>0.25%</w:t>
            </w:r>
          </w:p>
        </w:tc>
        <w:tc>
          <w:tcPr>
            <w:tcW w:w="1532" w:type="dxa"/>
            <w:tcBorders>
              <w:top w:val="single" w:color="auto" w:sz="4" w:space="0"/>
              <w:left w:val="single" w:color="auto" w:sz="4" w:space="0"/>
              <w:bottom w:val="single" w:color="auto" w:sz="4" w:space="0"/>
              <w:right w:val="single" w:color="auto" w:sz="4" w:space="0"/>
            </w:tcBorders>
            <w:vAlign w:val="center"/>
          </w:tcPr>
          <w:p w14:paraId="01B8FC18">
            <w:pPr>
              <w:spacing w:line="360" w:lineRule="exact"/>
              <w:jc w:val="center"/>
              <w:rPr>
                <w:rFonts w:ascii="宋体" w:hAnsi="宋体"/>
                <w:color w:val="auto"/>
                <w:highlight w:val="none"/>
              </w:rPr>
            </w:pPr>
            <w:r>
              <w:rPr>
                <w:rFonts w:hint="eastAsia" w:ascii="宋体" w:hAnsi="宋体"/>
                <w:color w:val="auto"/>
                <w:highlight w:val="none"/>
              </w:rPr>
              <w:t>0.1%</w:t>
            </w:r>
          </w:p>
        </w:tc>
        <w:tc>
          <w:tcPr>
            <w:tcW w:w="1546" w:type="dxa"/>
            <w:tcBorders>
              <w:top w:val="single" w:color="auto" w:sz="4" w:space="0"/>
              <w:left w:val="single" w:color="auto" w:sz="4" w:space="0"/>
              <w:bottom w:val="single" w:color="auto" w:sz="4" w:space="0"/>
              <w:right w:val="single" w:color="auto" w:sz="4" w:space="0"/>
            </w:tcBorders>
            <w:vAlign w:val="center"/>
          </w:tcPr>
          <w:p w14:paraId="30ABD8A6">
            <w:pPr>
              <w:spacing w:line="360" w:lineRule="exact"/>
              <w:jc w:val="center"/>
              <w:rPr>
                <w:rFonts w:ascii="宋体" w:hAnsi="宋体"/>
                <w:color w:val="auto"/>
                <w:highlight w:val="none"/>
              </w:rPr>
            </w:pPr>
            <w:r>
              <w:rPr>
                <w:rFonts w:hint="eastAsia" w:ascii="宋体" w:hAnsi="宋体"/>
                <w:color w:val="auto"/>
                <w:highlight w:val="none"/>
              </w:rPr>
              <w:t>0.2%</w:t>
            </w:r>
          </w:p>
        </w:tc>
      </w:tr>
    </w:tbl>
    <w:p w14:paraId="4BC4FBC4">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 xml:space="preserve">注： </w:t>
      </w:r>
    </w:p>
    <w:p w14:paraId="5EFB71A2">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6F432F1D">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（2）采购代理收费按差额定率累进法计算。</w:t>
      </w:r>
    </w:p>
    <w:p w14:paraId="7F734E8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33.</w:t>
      </w:r>
      <w:r>
        <w:rPr>
          <w:rFonts w:hint="eastAsia" w:ascii="黑体" w:hAnsi="黑体" w:eastAsia="黑体" w:cs="宋体"/>
          <w:b/>
          <w:bCs/>
          <w:color w:val="auto"/>
          <w:sz w:val="24"/>
          <w:highlight w:val="none"/>
        </w:rPr>
        <w:t>需要补充的其他内容</w:t>
      </w:r>
    </w:p>
    <w:p w14:paraId="0597F5D9">
      <w:pPr>
        <w:spacing w:line="360" w:lineRule="auto"/>
        <w:ind w:firstLine="420" w:firstLineChars="200"/>
        <w:rPr>
          <w:rFonts w:ascii="宋体" w:hAnsi="宋体" w:cs="宋体"/>
          <w:color w:val="auto"/>
          <w:highlight w:val="none"/>
        </w:rPr>
      </w:pPr>
      <w:r>
        <w:rPr>
          <w:rFonts w:ascii="宋体" w:hAnsi="宋体" w:cs="宋体"/>
          <w:color w:val="auto"/>
          <w:highlight w:val="none"/>
        </w:rPr>
        <w:t>33.1</w:t>
      </w:r>
      <w:r>
        <w:rPr>
          <w:rFonts w:hint="eastAsia" w:ascii="宋体" w:hAnsi="宋体" w:cs="宋体"/>
          <w:color w:val="auto"/>
          <w:highlight w:val="none"/>
        </w:rPr>
        <w:t>本谈判文件解释规则详见“供应商须知前附表”。</w:t>
      </w:r>
    </w:p>
    <w:p w14:paraId="31BF3BDB">
      <w:pPr>
        <w:spacing w:line="360" w:lineRule="auto"/>
        <w:ind w:firstLine="420" w:firstLineChars="200"/>
        <w:rPr>
          <w:rFonts w:ascii="宋体" w:hAnsi="宋体" w:cs="宋体"/>
          <w:color w:val="auto"/>
          <w:highlight w:val="none"/>
        </w:rPr>
      </w:pPr>
      <w:r>
        <w:rPr>
          <w:rFonts w:ascii="宋体" w:hAnsi="宋体" w:cs="宋体"/>
          <w:color w:val="auto"/>
          <w:highlight w:val="none"/>
        </w:rPr>
        <w:t xml:space="preserve">33.2 </w:t>
      </w:r>
      <w:r>
        <w:rPr>
          <w:rFonts w:hint="eastAsia" w:ascii="宋体" w:hAnsi="宋体" w:cs="宋体"/>
          <w:color w:val="auto"/>
          <w:highlight w:val="none"/>
        </w:rPr>
        <w:t>其他事项详见“供应商须知前附表”。</w:t>
      </w:r>
    </w:p>
    <w:p w14:paraId="106818FA">
      <w:pPr>
        <w:spacing w:line="360" w:lineRule="auto"/>
        <w:ind w:firstLine="420" w:firstLineChars="200"/>
        <w:rPr>
          <w:rFonts w:ascii="宋体" w:hAnsi="宋体" w:cs="宋体"/>
          <w:color w:val="auto"/>
          <w:highlight w:val="none"/>
        </w:rPr>
      </w:pPr>
      <w:r>
        <w:rPr>
          <w:rFonts w:ascii="宋体" w:hAnsi="宋体" w:cs="宋体"/>
          <w:color w:val="auto"/>
          <w:highlight w:val="none"/>
        </w:rPr>
        <w:t>33.3</w:t>
      </w:r>
      <w:bookmarkStart w:id="74" w:name="_Hlk65857140"/>
      <w:r>
        <w:rPr>
          <w:rFonts w:hint="eastAsia" w:ascii="宋体" w:hAnsi="宋体" w:cs="宋体"/>
          <w:color w:val="auto"/>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0492EF3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）在货物采购项目中，货物由中小企业制造，即货物由中小企业生产且使用该中小企业商号或者注册商标，不对其中涉及的工程承建商和服务的承接商作出要求；</w:t>
      </w:r>
    </w:p>
    <w:p w14:paraId="13EEB90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）在工程采购项目中，工程由中小企业承建，即工程施工单位为中小企业，不对其中涉及的货物的制造商和服务的承接商作出要求；</w:t>
      </w:r>
    </w:p>
    <w:p w14:paraId="483D7BB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）在服务采购项目中，服务由中小企业承接，即提供服务的人员为中小企业依照《中华人民共和国劳动合同法》订立劳动合同的从业人员，不对其中涉及的货物的制造商和工程承建商作出要求。</w:t>
      </w:r>
    </w:p>
    <w:p w14:paraId="79C0E9F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78DC563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依据本谈判文件规定享受扶持政策获得政府采购合同的，小微企业不得将合同分包给大中型企业，中型企业不得将合同分包给大型企业。</w:t>
      </w:r>
      <w:bookmarkEnd w:id="74"/>
    </w:p>
    <w:p w14:paraId="37E43959">
      <w:pPr>
        <w:spacing w:line="360" w:lineRule="auto"/>
        <w:ind w:firstLine="422" w:firstLineChars="200"/>
        <w:rPr>
          <w:rFonts w:ascii="宋体" w:hAnsi="宋体" w:cs="宋体"/>
          <w:b/>
          <w:color w:val="auto"/>
          <w:highlight w:val="none"/>
        </w:rPr>
      </w:pPr>
    </w:p>
    <w:p w14:paraId="4978DC2E">
      <w:pPr>
        <w:spacing w:line="360" w:lineRule="auto"/>
        <w:ind w:firstLine="422" w:firstLineChars="200"/>
        <w:rPr>
          <w:rFonts w:ascii="宋体" w:hAnsi="宋体" w:cs="宋体"/>
          <w:b/>
          <w:color w:val="auto"/>
          <w:highlight w:val="none"/>
        </w:rPr>
      </w:pPr>
    </w:p>
    <w:p w14:paraId="3CA3AA2D">
      <w:pPr>
        <w:spacing w:line="360" w:lineRule="auto"/>
        <w:ind w:firstLine="422" w:firstLineChars="200"/>
        <w:rPr>
          <w:rFonts w:ascii="宋体" w:hAnsi="宋体" w:cs="宋体"/>
          <w:b/>
          <w:color w:val="auto"/>
          <w:highlight w:val="none"/>
        </w:rPr>
      </w:pPr>
    </w:p>
    <w:p w14:paraId="6DC4558A">
      <w:pPr>
        <w:spacing w:line="360" w:lineRule="auto"/>
        <w:ind w:firstLine="422" w:firstLineChars="200"/>
        <w:rPr>
          <w:rFonts w:ascii="宋体" w:hAnsi="宋体" w:cs="宋体"/>
          <w:b/>
          <w:color w:val="auto"/>
          <w:highlight w:val="none"/>
        </w:rPr>
      </w:pPr>
    </w:p>
    <w:p w14:paraId="20127D21">
      <w:pPr>
        <w:spacing w:line="360" w:lineRule="auto"/>
        <w:ind w:firstLine="422" w:firstLineChars="200"/>
        <w:rPr>
          <w:rFonts w:ascii="宋体" w:hAnsi="宋体" w:cs="宋体"/>
          <w:b/>
          <w:color w:val="auto"/>
          <w:highlight w:val="none"/>
        </w:rPr>
      </w:pPr>
    </w:p>
    <w:p w14:paraId="00572758">
      <w:pPr>
        <w:spacing w:line="360" w:lineRule="auto"/>
        <w:ind w:firstLine="422" w:firstLineChars="200"/>
        <w:rPr>
          <w:rFonts w:ascii="宋体" w:hAnsi="宋体" w:cs="宋体"/>
          <w:b/>
          <w:color w:val="auto"/>
          <w:highlight w:val="none"/>
        </w:rPr>
      </w:pPr>
    </w:p>
    <w:p w14:paraId="2A8D11F8">
      <w:pPr>
        <w:spacing w:line="360" w:lineRule="auto"/>
        <w:ind w:firstLine="422" w:firstLineChars="200"/>
        <w:rPr>
          <w:rFonts w:ascii="宋体" w:hAnsi="宋体" w:cs="宋体"/>
          <w:b/>
          <w:color w:val="auto"/>
          <w:highlight w:val="none"/>
        </w:rPr>
      </w:pPr>
    </w:p>
    <w:p w14:paraId="00F71703">
      <w:pPr>
        <w:spacing w:line="360" w:lineRule="auto"/>
        <w:ind w:firstLine="422" w:firstLineChars="200"/>
        <w:rPr>
          <w:rFonts w:ascii="宋体" w:hAnsi="宋体" w:cs="宋体"/>
          <w:b/>
          <w:color w:val="auto"/>
          <w:highlight w:val="none"/>
        </w:rPr>
      </w:pPr>
    </w:p>
    <w:p w14:paraId="223A8DA2">
      <w:pPr>
        <w:spacing w:line="360" w:lineRule="auto"/>
        <w:ind w:firstLine="422" w:firstLineChars="200"/>
        <w:rPr>
          <w:rFonts w:ascii="宋体" w:hAnsi="宋体" w:cs="宋体"/>
          <w:b/>
          <w:color w:val="auto"/>
          <w:highlight w:val="none"/>
        </w:rPr>
      </w:pPr>
    </w:p>
    <w:p w14:paraId="3B583487">
      <w:pPr>
        <w:spacing w:line="360" w:lineRule="auto"/>
        <w:ind w:firstLine="422" w:firstLineChars="200"/>
        <w:rPr>
          <w:rFonts w:ascii="宋体" w:hAnsi="宋体" w:cs="宋体"/>
          <w:b/>
          <w:color w:val="auto"/>
          <w:highlight w:val="none"/>
        </w:rPr>
      </w:pPr>
    </w:p>
    <w:p w14:paraId="41E3F89F">
      <w:pPr>
        <w:spacing w:line="360" w:lineRule="auto"/>
        <w:ind w:firstLine="422" w:firstLineChars="200"/>
        <w:rPr>
          <w:rFonts w:ascii="宋体" w:hAnsi="宋体" w:cs="宋体"/>
          <w:b/>
          <w:color w:val="auto"/>
          <w:highlight w:val="none"/>
        </w:rPr>
      </w:pPr>
    </w:p>
    <w:p w14:paraId="61C5B830">
      <w:pPr>
        <w:spacing w:line="360" w:lineRule="auto"/>
        <w:ind w:firstLine="422" w:firstLineChars="200"/>
        <w:rPr>
          <w:rFonts w:ascii="宋体" w:hAnsi="宋体" w:cs="宋体"/>
          <w:b/>
          <w:color w:val="auto"/>
          <w:highlight w:val="none"/>
        </w:rPr>
      </w:pPr>
    </w:p>
    <w:p w14:paraId="7937EDC3">
      <w:pPr>
        <w:spacing w:line="360" w:lineRule="auto"/>
        <w:ind w:firstLine="422" w:firstLineChars="200"/>
        <w:rPr>
          <w:rFonts w:ascii="宋体" w:hAnsi="宋体" w:cs="宋体"/>
          <w:b/>
          <w:color w:val="auto"/>
          <w:highlight w:val="none"/>
        </w:rPr>
      </w:pPr>
    </w:p>
    <w:p w14:paraId="71A95A5B">
      <w:pPr>
        <w:spacing w:line="360" w:lineRule="auto"/>
        <w:ind w:firstLine="422" w:firstLineChars="200"/>
        <w:rPr>
          <w:rFonts w:ascii="宋体" w:hAnsi="宋体" w:cs="宋体"/>
          <w:b/>
          <w:color w:val="auto"/>
          <w:highlight w:val="none"/>
        </w:rPr>
      </w:pPr>
    </w:p>
    <w:p w14:paraId="08FC5377">
      <w:pPr>
        <w:spacing w:line="360" w:lineRule="auto"/>
        <w:ind w:firstLine="422" w:firstLineChars="200"/>
        <w:rPr>
          <w:rFonts w:ascii="宋体" w:hAnsi="宋体" w:cs="宋体"/>
          <w:b/>
          <w:color w:val="auto"/>
          <w:highlight w:val="none"/>
        </w:rPr>
      </w:pPr>
    </w:p>
    <w:p w14:paraId="531AC031">
      <w:pPr>
        <w:spacing w:line="360" w:lineRule="auto"/>
        <w:ind w:firstLine="422" w:firstLineChars="200"/>
        <w:rPr>
          <w:rFonts w:ascii="宋体" w:hAnsi="宋体" w:cs="宋体"/>
          <w:b/>
          <w:color w:val="auto"/>
          <w:highlight w:val="none"/>
        </w:rPr>
      </w:pPr>
    </w:p>
    <w:p w14:paraId="444BE7F9">
      <w:pPr>
        <w:spacing w:line="360" w:lineRule="auto"/>
        <w:ind w:firstLine="422" w:firstLineChars="200"/>
        <w:rPr>
          <w:rFonts w:ascii="宋体" w:hAnsi="宋体" w:cs="宋体"/>
          <w:b/>
          <w:color w:val="auto"/>
          <w:highlight w:val="none"/>
        </w:rPr>
      </w:pPr>
    </w:p>
    <w:p w14:paraId="2F0F22EF">
      <w:pPr>
        <w:spacing w:line="360" w:lineRule="auto"/>
        <w:ind w:firstLine="422" w:firstLineChars="200"/>
        <w:rPr>
          <w:rFonts w:ascii="宋体" w:hAnsi="宋体" w:cs="宋体"/>
          <w:b/>
          <w:color w:val="auto"/>
          <w:highlight w:val="none"/>
        </w:rPr>
      </w:pPr>
    </w:p>
    <w:p w14:paraId="72BBFEBE">
      <w:pPr>
        <w:spacing w:line="360" w:lineRule="auto"/>
        <w:ind w:firstLine="422" w:firstLineChars="200"/>
        <w:rPr>
          <w:rFonts w:ascii="宋体" w:hAnsi="宋体" w:cs="宋体"/>
          <w:b/>
          <w:color w:val="auto"/>
          <w:highlight w:val="none"/>
        </w:rPr>
      </w:pPr>
    </w:p>
    <w:p w14:paraId="3128A9A6">
      <w:pPr>
        <w:widowControl/>
        <w:jc w:val="left"/>
        <w:rPr>
          <w:rFonts w:ascii="宋体" w:hAnsi="Courier New"/>
          <w:b/>
          <w:color w:val="auto"/>
          <w:sz w:val="24"/>
          <w:highlight w:val="none"/>
        </w:rPr>
      </w:pPr>
      <w:r>
        <w:rPr>
          <w:b/>
          <w:color w:val="auto"/>
          <w:sz w:val="24"/>
          <w:highlight w:val="none"/>
        </w:rPr>
        <w:br w:type="page"/>
      </w:r>
    </w:p>
    <w:p w14:paraId="00010B11">
      <w:pPr>
        <w:pStyle w:val="2"/>
        <w:jc w:val="center"/>
        <w:rPr>
          <w:color w:val="auto"/>
          <w:highlight w:val="none"/>
        </w:rPr>
      </w:pPr>
      <w:bookmarkStart w:id="75" w:name="_Toc74322010"/>
      <w:bookmarkStart w:id="76" w:name="_Toc137109007"/>
      <w:bookmarkStart w:id="77" w:name="_Hlk48036094"/>
      <w:r>
        <w:rPr>
          <w:rFonts w:hint="eastAsia"/>
          <w:color w:val="auto"/>
          <w:highlight w:val="none"/>
        </w:rPr>
        <w:t>第三章采购需求</w:t>
      </w:r>
      <w:bookmarkEnd w:id="75"/>
      <w:bookmarkEnd w:id="76"/>
    </w:p>
    <w:p w14:paraId="431242C6">
      <w:pPr>
        <w:spacing w:line="440" w:lineRule="exact"/>
        <w:jc w:val="center"/>
        <w:rPr>
          <w:rFonts w:ascii="宋体"/>
          <w:b/>
          <w:color w:val="auto"/>
          <w:sz w:val="32"/>
          <w:szCs w:val="32"/>
          <w:highlight w:val="none"/>
        </w:rPr>
      </w:pPr>
      <w:r>
        <w:rPr>
          <w:rFonts w:hint="eastAsia" w:ascii="宋体" w:hAnsi="宋体"/>
          <w:b/>
          <w:color w:val="auto"/>
          <w:sz w:val="32"/>
          <w:szCs w:val="32"/>
          <w:highlight w:val="none"/>
        </w:rPr>
        <w:t>采购项目技术规格、参数及要求</w:t>
      </w:r>
    </w:p>
    <w:p w14:paraId="2E98773B">
      <w:pPr>
        <w:spacing w:line="480" w:lineRule="exact"/>
        <w:jc w:val="left"/>
        <w:rPr>
          <w:b/>
          <w:bCs/>
          <w:color w:val="auto"/>
          <w:highlight w:val="none"/>
        </w:rPr>
      </w:pPr>
      <w:r>
        <w:rPr>
          <w:rFonts w:hint="eastAsia" w:ascii="宋体" w:hAnsi="宋体"/>
          <w:b/>
          <w:bCs/>
          <w:color w:val="auto"/>
          <w:highlight w:val="none"/>
        </w:rPr>
        <w:t>Ⅰ、</w:t>
      </w:r>
      <w:r>
        <w:rPr>
          <w:rFonts w:hint="eastAsia" w:ascii="宋体" w:hAnsi="宋体" w:cs="宋体"/>
          <w:b/>
          <w:bCs/>
          <w:color w:val="auto"/>
          <w:szCs w:val="21"/>
          <w:highlight w:val="none"/>
        </w:rPr>
        <w:t>说明：</w:t>
      </w:r>
    </w:p>
    <w:p w14:paraId="2A22D6D8">
      <w:pPr>
        <w:spacing w:line="360" w:lineRule="exact"/>
        <w:ind w:firstLine="424" w:firstLineChars="202"/>
        <w:jc w:val="left"/>
        <w:rPr>
          <w:rFonts w:ascii="宋体" w:cs="宋体"/>
          <w:color w:val="auto"/>
          <w:szCs w:val="21"/>
          <w:highlight w:val="none"/>
        </w:rPr>
      </w:pPr>
      <w:r>
        <w:rPr>
          <w:rFonts w:hint="eastAsia" w:ascii="宋体" w:hAnsi="宋体" w:cs="宋体"/>
          <w:color w:val="auto"/>
          <w:szCs w:val="21"/>
          <w:highlight w:val="none"/>
        </w:rPr>
        <w:t>一、为落实政府采购政策需满足的要求</w:t>
      </w:r>
    </w:p>
    <w:p w14:paraId="1598F017">
      <w:pPr>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本竞争性谈判采购文件所称中小企业必须符合《政府采购促进中小企业发展管理办法》（财库〔2020〕46号）及《广西壮族自治区财政厅关于持续优化政府采购营商环境推动高质量发展的通知》（桂财采〔2024〕55号）的规定。供应商提供的货物全部由符合政策要求的小型或者微型企业生产，响应文件中提供《中小企业声明函》的，其最后报价给予10%的扣除。本项目非专门面向中小微企业采购。</w:t>
      </w:r>
    </w:p>
    <w:p w14:paraId="273F711B">
      <w:pPr>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2.根据财政部、司法部关于政府采购支持监狱企业发展有关问题的通知（财库[2014]68号），监狱企业视同小型、微型企业，享受预留份额等政府采购政策。监狱企业属于小型、微型企业的，不重复享受政策。</w:t>
      </w:r>
    </w:p>
    <w:p w14:paraId="47E2EEFA">
      <w:pPr>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按照《关于促进残疾人就业政府采购政策的通知》（财库〔2017〕141号）的规定，残疾人福利性单位视同小型、微型企业，享受预留份额等促进中小企业发展的政府采购政策。残疾人福利性单位属于小型、微型企业的，不重复享受政策。</w:t>
      </w:r>
    </w:p>
    <w:p w14:paraId="67F6C250">
      <w:pPr>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供应商所提供货物必须使用政府强制采购的节能产品，供应商必须在响应文件中提供所竞产品的节能产品认证证书复印件（加盖供应商电子签章），否则响应文件按无效处理。如本项目包含的货物属于品目清单内非标注“★”的产品时，应优先采购。</w:t>
      </w:r>
    </w:p>
    <w:p w14:paraId="00895A92">
      <w:pPr>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5.根据《关于调整网络安全专用产品安全管理有关事项的公告》（2023年第1号）规定，本项目采购需求中的产品如果包括《网络关键设备和网络安全专用产品目录》的网络安全专用产品，供应商在响应文件中应主动列明供货范围中属于网络安全专用产品的竞标产品，并在响应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响应文件按无效处理。如属于《网络关键设备和网络安全专用产品目录》中“二、网络安全专用产品”内“产品类别”中的所描述的产品，但不属于所列“产品描述”情形的，应提供相应的说明及证明材料。</w:t>
      </w:r>
    </w:p>
    <w:p w14:paraId="30644EE8">
      <w:pPr>
        <w:spacing w:line="360" w:lineRule="exact"/>
        <w:ind w:firstLine="424" w:firstLineChars="202"/>
        <w:jc w:val="left"/>
        <w:rPr>
          <w:rFonts w:ascii="宋体" w:cs="宋体"/>
          <w:color w:val="auto"/>
          <w:szCs w:val="21"/>
          <w:highlight w:val="none"/>
        </w:rPr>
      </w:pPr>
      <w:r>
        <w:rPr>
          <w:rFonts w:hint="eastAsia" w:ascii="宋体" w:hAnsi="宋体" w:cs="宋体"/>
          <w:color w:val="auto"/>
          <w:szCs w:val="21"/>
          <w:highlight w:val="none"/>
        </w:rPr>
        <w:t>二、采购需求中出现的品牌、型号或者生产供应商仅起参考作用，不属于指定品牌、型号或者生产供应商的情形。供应商可参照或者选用其他相当的品牌、型号或者生产供应商替代。</w:t>
      </w:r>
    </w:p>
    <w:p w14:paraId="1333F925">
      <w:pPr>
        <w:spacing w:line="360" w:lineRule="exact"/>
        <w:ind w:firstLine="424" w:firstLineChars="202"/>
        <w:jc w:val="left"/>
        <w:rPr>
          <w:rFonts w:ascii="宋体" w:hAnsi="宋体"/>
          <w:color w:val="auto"/>
          <w:highlight w:val="none"/>
        </w:rPr>
      </w:pPr>
      <w:r>
        <w:rPr>
          <w:rFonts w:hint="eastAsia" w:ascii="宋体" w:hAnsi="宋体" w:cs="宋体"/>
          <w:color w:val="auto"/>
          <w:szCs w:val="21"/>
          <w:highlight w:val="none"/>
        </w:rPr>
        <w:t>三、</w:t>
      </w:r>
      <w:r>
        <w:rPr>
          <w:rFonts w:hint="eastAsia" w:ascii="宋体" w:hAnsi="宋体" w:cs="宋体"/>
          <w:color w:val="auto"/>
          <w:highlight w:val="none"/>
        </w:rPr>
        <w:t>供应商必须自行为其竞标产品侵犯他人的知识产权或者专利成果或其他合法权益的行为承担相应法律责任。</w:t>
      </w:r>
    </w:p>
    <w:p w14:paraId="4BE9BDC5">
      <w:pPr>
        <w:spacing w:line="360" w:lineRule="exact"/>
        <w:ind w:firstLine="426" w:firstLineChars="202"/>
        <w:jc w:val="left"/>
        <w:rPr>
          <w:rFonts w:ascii="宋体" w:hAnsi="宋体" w:cs="宋体"/>
          <w:b/>
          <w:color w:val="auto"/>
          <w:highlight w:val="none"/>
        </w:rPr>
      </w:pPr>
      <w:r>
        <w:rPr>
          <w:rFonts w:hint="eastAsia" w:ascii="宋体" w:hAnsi="宋体" w:cs="宋体"/>
          <w:b/>
          <w:color w:val="auto"/>
          <w:highlight w:val="none"/>
        </w:rPr>
        <w:t>四、“</w:t>
      </w:r>
      <w:r>
        <w:rPr>
          <w:rFonts w:hint="eastAsia" w:ascii="宋体" w:hAnsi="宋体" w:cs="宋体"/>
          <w:b/>
          <w:bCs/>
          <w:color w:val="auto"/>
          <w:szCs w:val="21"/>
          <w:highlight w:val="none"/>
        </w:rPr>
        <w:t>实质性要求”是指采购需求一览表所有条款或者谈判文件中载明不能负偏离的条款或者已经指明不满足响应文件按无效处理的条款。</w:t>
      </w:r>
    </w:p>
    <w:p w14:paraId="01BA574F">
      <w:pPr>
        <w:spacing w:line="360" w:lineRule="exact"/>
        <w:jc w:val="left"/>
        <w:rPr>
          <w:rFonts w:hint="eastAsia" w:ascii="宋体" w:hAnsi="宋体" w:cs="宋体"/>
          <w:b/>
          <w:bCs/>
          <w:color w:val="auto"/>
          <w:szCs w:val="21"/>
          <w:highlight w:val="none"/>
        </w:rPr>
      </w:pPr>
    </w:p>
    <w:p w14:paraId="61220F09">
      <w:pPr>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Ⅱ、采购需求一览表</w:t>
      </w:r>
      <w:bookmarkEnd w:id="77"/>
    </w:p>
    <w:p w14:paraId="7557E401">
      <w:pPr>
        <w:pStyle w:val="3"/>
        <w:keepNext w:val="0"/>
        <w:keepLines w:val="0"/>
        <w:spacing w:before="0" w:after="0" w:line="360" w:lineRule="auto"/>
        <w:rPr>
          <w:rFonts w:hint="eastAsia" w:ascii="宋体" w:hAnsi="宋体" w:cs="宋体"/>
          <w:color w:val="auto"/>
          <w:highlight w:val="none"/>
        </w:rPr>
      </w:pPr>
    </w:p>
    <w:p w14:paraId="26B019EC">
      <w:pPr>
        <w:pStyle w:val="3"/>
        <w:keepNext w:val="0"/>
        <w:keepLines w:val="0"/>
        <w:spacing w:before="0" w:after="0" w:line="360" w:lineRule="auto"/>
        <w:rPr>
          <w:rFonts w:ascii="宋体" w:hAnsi="宋体" w:cs="宋体"/>
          <w:color w:val="auto"/>
          <w:highlight w:val="none"/>
        </w:rPr>
      </w:pPr>
      <w:r>
        <w:rPr>
          <w:rFonts w:hint="eastAsia" w:ascii="宋体" w:hAnsi="宋体" w:cs="宋体"/>
          <w:color w:val="auto"/>
          <w:highlight w:val="none"/>
        </w:rPr>
        <w:t>分标1：</w:t>
      </w:r>
    </w:p>
    <w:tbl>
      <w:tblPr>
        <w:tblStyle w:val="25"/>
        <w:tblpPr w:leftFromText="180" w:rightFromText="180" w:vertAnchor="text" w:horzAnchor="page" w:tblpX="1476" w:tblpY="336"/>
        <w:tblOverlap w:val="never"/>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1430"/>
        <w:gridCol w:w="466"/>
        <w:gridCol w:w="229"/>
        <w:gridCol w:w="709"/>
        <w:gridCol w:w="722"/>
        <w:gridCol w:w="4961"/>
      </w:tblGrid>
      <w:tr w14:paraId="28762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0" w:type="dxa"/>
            <w:gridSpan w:val="7"/>
            <w:tcBorders>
              <w:top w:val="single" w:color="000000" w:sz="4" w:space="0"/>
              <w:left w:val="single" w:color="000000" w:sz="4" w:space="0"/>
              <w:bottom w:val="single" w:color="000000" w:sz="4" w:space="0"/>
              <w:right w:val="single" w:color="000000" w:sz="4" w:space="0"/>
            </w:tcBorders>
            <w:vAlign w:val="center"/>
          </w:tcPr>
          <w:p w14:paraId="4CDF2AB5">
            <w:pPr>
              <w:snapToGrid w:val="0"/>
              <w:spacing w:line="280" w:lineRule="exact"/>
              <w:jc w:val="left"/>
              <w:rPr>
                <w:rFonts w:ascii="宋体" w:hAnsi="宋体" w:cs="宋体"/>
                <w:color w:val="auto"/>
                <w:szCs w:val="21"/>
                <w:highlight w:val="none"/>
              </w:rPr>
            </w:pPr>
            <w:r>
              <w:rPr>
                <w:rFonts w:hint="eastAsia" w:ascii="宋体" w:hAnsi="宋体" w:cs="宋体"/>
                <w:b/>
                <w:bCs/>
                <w:color w:val="auto"/>
                <w:szCs w:val="21"/>
                <w:highlight w:val="none"/>
              </w:rPr>
              <w:t>一、采购内容及技术要求</w:t>
            </w:r>
          </w:p>
        </w:tc>
      </w:tr>
      <w:tr w14:paraId="77EE5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590A3CB6">
            <w:pPr>
              <w:snapToGrid w:val="0"/>
              <w:spacing w:line="34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项号</w:t>
            </w:r>
          </w:p>
        </w:tc>
        <w:tc>
          <w:tcPr>
            <w:tcW w:w="1430" w:type="dxa"/>
            <w:tcBorders>
              <w:top w:val="single" w:color="000000" w:sz="4" w:space="0"/>
              <w:left w:val="single" w:color="000000" w:sz="4" w:space="0"/>
              <w:bottom w:val="single" w:color="000000" w:sz="4" w:space="0"/>
              <w:right w:val="single" w:color="000000" w:sz="4" w:space="0"/>
            </w:tcBorders>
            <w:vAlign w:val="center"/>
          </w:tcPr>
          <w:p w14:paraId="78C7F6D1">
            <w:pPr>
              <w:snapToGrid w:val="0"/>
              <w:spacing w:line="3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标的的名称</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2A54B4ED">
            <w:pPr>
              <w:snapToGrid w:val="0"/>
              <w:spacing w:line="3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709" w:type="dxa"/>
            <w:tcBorders>
              <w:top w:val="single" w:color="000000" w:sz="4" w:space="0"/>
              <w:left w:val="single" w:color="000000" w:sz="4" w:space="0"/>
              <w:bottom w:val="single" w:color="000000" w:sz="4" w:space="0"/>
              <w:right w:val="single" w:color="000000" w:sz="4" w:space="0"/>
            </w:tcBorders>
            <w:vAlign w:val="center"/>
          </w:tcPr>
          <w:p w14:paraId="0EADAB76">
            <w:pPr>
              <w:snapToGrid w:val="0"/>
              <w:spacing w:line="340" w:lineRule="exact"/>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722" w:type="dxa"/>
            <w:tcBorders>
              <w:top w:val="single" w:color="000000" w:sz="4" w:space="0"/>
              <w:left w:val="single" w:color="000000" w:sz="4" w:space="0"/>
              <w:bottom w:val="single" w:color="000000" w:sz="4" w:space="0"/>
              <w:right w:val="single" w:color="000000" w:sz="4" w:space="0"/>
            </w:tcBorders>
            <w:vAlign w:val="center"/>
          </w:tcPr>
          <w:p w14:paraId="37978CA8">
            <w:pPr>
              <w:snapToGrid w:val="0"/>
              <w:spacing w:line="3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所属行业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4BFBEB1D">
            <w:pPr>
              <w:snapToGrid w:val="0"/>
              <w:spacing w:line="34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w:t>
            </w:r>
          </w:p>
        </w:tc>
      </w:tr>
      <w:tr w14:paraId="1EB14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0" w:type="dxa"/>
            <w:gridSpan w:val="7"/>
            <w:tcBorders>
              <w:top w:val="single" w:color="000000" w:sz="4" w:space="0"/>
              <w:left w:val="single" w:color="000000" w:sz="4" w:space="0"/>
              <w:bottom w:val="single" w:color="000000" w:sz="4" w:space="0"/>
              <w:right w:val="single" w:color="000000" w:sz="4" w:space="0"/>
            </w:tcBorders>
            <w:vAlign w:val="center"/>
          </w:tcPr>
          <w:p w14:paraId="0DBCCA80">
            <w:pPr>
              <w:snapToGrid w:val="0"/>
              <w:spacing w:line="340" w:lineRule="exact"/>
              <w:jc w:val="left"/>
              <w:rPr>
                <w:rFonts w:ascii="宋体" w:hAnsi="宋体" w:cs="宋体"/>
                <w:b/>
                <w:bCs/>
                <w:color w:val="auto"/>
                <w:szCs w:val="21"/>
                <w:highlight w:val="none"/>
              </w:rPr>
            </w:pPr>
            <w:r>
              <w:rPr>
                <w:rFonts w:hint="eastAsia" w:ascii="宋体" w:hAnsi="宋体" w:cs="宋体"/>
                <w:b/>
                <w:bCs/>
                <w:color w:val="auto"/>
                <w:szCs w:val="21"/>
                <w:highlight w:val="none"/>
              </w:rPr>
              <w:t>（一）雨量信息采集设备</w:t>
            </w:r>
          </w:p>
        </w:tc>
      </w:tr>
      <w:tr w14:paraId="10C85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auto" w:sz="4" w:space="0"/>
              <w:right w:val="single" w:color="000000" w:sz="4" w:space="0"/>
            </w:tcBorders>
            <w:vAlign w:val="center"/>
          </w:tcPr>
          <w:p w14:paraId="1116A4AB">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30" w:type="dxa"/>
            <w:tcBorders>
              <w:top w:val="single" w:color="000000" w:sz="4" w:space="0"/>
              <w:left w:val="single" w:color="000000" w:sz="4" w:space="0"/>
              <w:bottom w:val="single" w:color="auto" w:sz="4" w:space="0"/>
              <w:right w:val="single" w:color="000000" w:sz="4" w:space="0"/>
            </w:tcBorders>
            <w:vAlign w:val="center"/>
          </w:tcPr>
          <w:p w14:paraId="2CB7F28A">
            <w:pPr>
              <w:spacing w:line="320" w:lineRule="exact"/>
              <w:jc w:val="center"/>
              <w:rPr>
                <w:rFonts w:ascii="宋体" w:hAnsi="宋体" w:cs="宋体"/>
                <w:color w:val="auto"/>
                <w:szCs w:val="21"/>
                <w:highlight w:val="none"/>
              </w:rPr>
            </w:pPr>
            <w:bookmarkStart w:id="78" w:name="OLE_LINK1"/>
            <w:r>
              <w:rPr>
                <w:rFonts w:hint="eastAsia" w:ascii="宋体" w:hAnsi="宋体" w:cs="宋体"/>
                <w:color w:val="auto"/>
                <w:szCs w:val="21"/>
                <w:highlight w:val="none"/>
              </w:rPr>
              <w:t>翻斗式雨量计</w:t>
            </w:r>
            <w:bookmarkEnd w:id="78"/>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27E05760">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6484BD0A">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722" w:type="dxa"/>
            <w:tcBorders>
              <w:top w:val="single" w:color="000000" w:sz="4" w:space="0"/>
              <w:left w:val="single" w:color="000000" w:sz="4" w:space="0"/>
              <w:bottom w:val="single" w:color="000000" w:sz="4" w:space="0"/>
              <w:right w:val="single" w:color="000000" w:sz="4" w:space="0"/>
            </w:tcBorders>
            <w:vAlign w:val="center"/>
          </w:tcPr>
          <w:p w14:paraId="53550731">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0001C57C">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设备安装到苏桥、三街、永福（洛清江）、日新等4个站点中。</w:t>
            </w:r>
          </w:p>
          <w:p w14:paraId="5F01E1FD">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1.承雨口内径约：200+0.6mm，刃口角40～50度；</w:t>
            </w:r>
          </w:p>
          <w:p w14:paraId="66478CBD">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2.分辨率：0.5mm。</w:t>
            </w:r>
          </w:p>
          <w:p w14:paraId="61EF1097">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3.测量精度：自排水量≤25mm，误差为±1mm；自排水量＞25mm, 误差为±2%；</w:t>
            </w:r>
          </w:p>
          <w:p w14:paraId="2B5C5A35">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4.雨强范围：0.01～4mm/min（允许通过最大雨强8mm/min）；</w:t>
            </w:r>
          </w:p>
          <w:p w14:paraId="10FD6592">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5.平均无故障工作时间：MTBF≥28000h；</w:t>
            </w:r>
          </w:p>
          <w:p w14:paraId="642E3BFF">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6.供电和防雷：无功耗传感器，传感器及输出信号传输具有防雷措施；</w:t>
            </w:r>
          </w:p>
          <w:p w14:paraId="5CC09B0C">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7.防堵塞：传感器具有防堵、防虫、防尘措施；</w:t>
            </w:r>
          </w:p>
          <w:p w14:paraId="64090D66">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8.传输方式：支持有线传输；</w:t>
            </w:r>
          </w:p>
          <w:p w14:paraId="4A53ED6D">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szCs w:val="21"/>
                <w:highlight w:val="none"/>
              </w:rPr>
              <w:t>9.工作温度：-10～+55℃。</w:t>
            </w:r>
          </w:p>
        </w:tc>
      </w:tr>
      <w:tr w14:paraId="4B1BB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0" w:type="dxa"/>
            <w:gridSpan w:val="7"/>
            <w:tcBorders>
              <w:top w:val="single" w:color="auto" w:sz="4" w:space="0"/>
              <w:left w:val="single" w:color="000000" w:sz="4" w:space="0"/>
              <w:bottom w:val="single" w:color="000000" w:sz="4" w:space="0"/>
              <w:right w:val="single" w:color="000000" w:sz="4" w:space="0"/>
            </w:tcBorders>
            <w:vAlign w:val="center"/>
          </w:tcPr>
          <w:p w14:paraId="703C0F16">
            <w:pPr>
              <w:wordWrap w:val="0"/>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（二）水位信息采集设备</w:t>
            </w:r>
          </w:p>
        </w:tc>
      </w:tr>
      <w:tr w14:paraId="0F69D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0268D427">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430" w:type="dxa"/>
            <w:tcBorders>
              <w:top w:val="single" w:color="000000" w:sz="4" w:space="0"/>
              <w:left w:val="single" w:color="000000" w:sz="4" w:space="0"/>
              <w:bottom w:val="single" w:color="auto" w:sz="4" w:space="0"/>
              <w:right w:val="single" w:color="000000" w:sz="4" w:space="0"/>
            </w:tcBorders>
            <w:vAlign w:val="center"/>
          </w:tcPr>
          <w:p w14:paraId="0A9F9BDC">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浮子水位计</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282B098A">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1619A999">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2" w:type="dxa"/>
            <w:tcBorders>
              <w:top w:val="single" w:color="000000" w:sz="4" w:space="0"/>
              <w:left w:val="single" w:color="000000" w:sz="4" w:space="0"/>
              <w:bottom w:val="single" w:color="000000" w:sz="4" w:space="0"/>
              <w:right w:val="single" w:color="000000" w:sz="4" w:space="0"/>
            </w:tcBorders>
            <w:vAlign w:val="center"/>
          </w:tcPr>
          <w:p w14:paraId="718C1F32">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2795A3BC">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1.安装于宛田、苏桥站等2站。</w:t>
            </w:r>
          </w:p>
          <w:p w14:paraId="32B72802">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2.技术性能</w:t>
            </w:r>
          </w:p>
          <w:p w14:paraId="37869DDB">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（1）测量范围：0~40m；</w:t>
            </w:r>
          </w:p>
          <w:p w14:paraId="4262BF30">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（2）浮子直径：≤Φ15cm；</w:t>
            </w:r>
          </w:p>
          <w:p w14:paraId="614D6C1A">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（3）水位变率：≤100cm/min；</w:t>
            </w:r>
          </w:p>
          <w:p w14:paraId="72390F36">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（4）分辨率：不低于1.0cm；</w:t>
            </w:r>
          </w:p>
          <w:p w14:paraId="12098ECB">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（5）精度：≤±2cm（量程≤10cm时），≤±0.2%FS（量程＞10m时）；</w:t>
            </w:r>
          </w:p>
          <w:p w14:paraId="13B7C51C">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（6）通信接口：参考或相当于RS-485或格雷码；</w:t>
            </w:r>
          </w:p>
          <w:p w14:paraId="0C1181F7">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（7）显示方式：5位机械数字显示；</w:t>
            </w:r>
          </w:p>
          <w:p w14:paraId="16B39C73">
            <w:pPr>
              <w:tabs>
                <w:tab w:val="left" w:pos="180"/>
                <w:tab w:val="left" w:pos="1620"/>
              </w:tabs>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（8）配套辅助安装设施：将原台上式浮子水位计改为台下式，不锈钢安装平台，参考或相当于304不锈钢制作，面板不锈钢厚度≥1cm，平台尺寸约1.5m长×0.8m宽×1m高，按设备尺寸需求开孔；包含浮子水位计安装。</w:t>
            </w:r>
          </w:p>
          <w:p w14:paraId="0385B8B4">
            <w:pPr>
              <w:tabs>
                <w:tab w:val="left" w:pos="180"/>
                <w:tab w:val="left" w:pos="1620"/>
              </w:tabs>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3.主要配置</w:t>
            </w:r>
          </w:p>
          <w:p w14:paraId="3C0B8B76">
            <w:pPr>
              <w:tabs>
                <w:tab w:val="left" w:pos="180"/>
                <w:tab w:val="left" w:pos="1620"/>
              </w:tabs>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（1）编码器1台；</w:t>
            </w:r>
          </w:p>
          <w:p w14:paraId="21F1FEF1">
            <w:pPr>
              <w:tabs>
                <w:tab w:val="left" w:pos="180"/>
                <w:tab w:val="left" w:pos="1620"/>
              </w:tabs>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（2）4芯或14芯数据连接线；</w:t>
            </w:r>
          </w:p>
          <w:p w14:paraId="5BCE2B8E">
            <w:pPr>
              <w:tabs>
                <w:tab w:val="left" w:pos="180"/>
                <w:tab w:val="left" w:pos="1620"/>
              </w:tabs>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（3）配套辅助安装设施：包含浮子水位计安装。</w:t>
            </w:r>
          </w:p>
        </w:tc>
      </w:tr>
      <w:tr w14:paraId="18DA6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6A3B2269">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430" w:type="dxa"/>
            <w:tcBorders>
              <w:top w:val="single" w:color="auto" w:sz="4" w:space="0"/>
              <w:left w:val="single" w:color="000000" w:sz="4" w:space="0"/>
              <w:bottom w:val="single" w:color="auto" w:sz="4" w:space="0"/>
              <w:right w:val="single" w:color="000000" w:sz="4" w:space="0"/>
            </w:tcBorders>
            <w:vAlign w:val="center"/>
          </w:tcPr>
          <w:p w14:paraId="79A3FE4B">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不锈钢安装平台</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235F6F85">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1F4606ED">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2" w:type="dxa"/>
            <w:tcBorders>
              <w:top w:val="single" w:color="000000" w:sz="4" w:space="0"/>
              <w:left w:val="single" w:color="000000" w:sz="4" w:space="0"/>
              <w:bottom w:val="single" w:color="000000" w:sz="4" w:space="0"/>
              <w:right w:val="single" w:color="000000" w:sz="4" w:space="0"/>
            </w:tcBorders>
            <w:vAlign w:val="center"/>
          </w:tcPr>
          <w:p w14:paraId="5C84821F">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6280B8CD">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1.安装于宛田、苏桥、永福（洛清江）、三街站等4站。</w:t>
            </w:r>
          </w:p>
          <w:p w14:paraId="7F3E6CA2">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2.定制。为拓展室内空间，</w:t>
            </w:r>
            <w:bookmarkStart w:id="79" w:name="OLE_LINK3"/>
            <w:bookmarkStart w:id="80" w:name="OLE_LINK2"/>
            <w:r>
              <w:rPr>
                <w:rFonts w:hint="eastAsia" w:ascii="宋体" w:hAnsi="宋体" w:cs="宋体"/>
                <w:color w:val="auto"/>
                <w:szCs w:val="21"/>
                <w:highlight w:val="none"/>
              </w:rPr>
              <w:t>将原台上式浮子水位计改为台下式</w:t>
            </w:r>
            <w:bookmarkEnd w:id="79"/>
            <w:bookmarkEnd w:id="80"/>
            <w:r>
              <w:rPr>
                <w:rFonts w:hint="eastAsia" w:ascii="宋体" w:hAnsi="宋体" w:cs="宋体"/>
                <w:color w:val="auto"/>
                <w:szCs w:val="21"/>
                <w:highlight w:val="none"/>
              </w:rPr>
              <w:t>安装方式；根据水位台井筒内孔孔径尺寸定制不锈钢安装平台，材质为304不锈钢材质，面板不锈钢厚度≥2mm，背面加加强筋，水位计上方盖板为≥1cm厚亚克力材质并在其四周预留水汽进出的条孔，防潮防尘。包含浮子水位计安装。</w:t>
            </w:r>
          </w:p>
        </w:tc>
      </w:tr>
      <w:tr w14:paraId="1ED52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auto" w:sz="4" w:space="0"/>
              <w:right w:val="single" w:color="000000" w:sz="4" w:space="0"/>
            </w:tcBorders>
            <w:vAlign w:val="center"/>
          </w:tcPr>
          <w:p w14:paraId="0E89E860">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430" w:type="dxa"/>
            <w:tcBorders>
              <w:top w:val="single" w:color="auto" w:sz="4" w:space="0"/>
              <w:left w:val="single" w:color="000000" w:sz="4" w:space="0"/>
              <w:bottom w:val="single" w:color="auto" w:sz="4" w:space="0"/>
              <w:right w:val="single" w:color="000000" w:sz="4" w:space="0"/>
            </w:tcBorders>
            <w:vAlign w:val="center"/>
          </w:tcPr>
          <w:p w14:paraId="5BA46551">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不锈钢平台</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4CCFC857">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5A458B5E">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2" w:type="dxa"/>
            <w:tcBorders>
              <w:top w:val="single" w:color="000000" w:sz="4" w:space="0"/>
              <w:left w:val="single" w:color="000000" w:sz="4" w:space="0"/>
              <w:bottom w:val="single" w:color="000000" w:sz="4" w:space="0"/>
              <w:right w:val="single" w:color="000000" w:sz="4" w:space="0"/>
            </w:tcBorders>
            <w:vAlign w:val="center"/>
          </w:tcPr>
          <w:p w14:paraId="39008637">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6429C97D">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一、用于兴坪站。</w:t>
            </w:r>
          </w:p>
          <w:p w14:paraId="3223B4A0">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二、技术参数：304不锈钢制作，面板不锈钢厚度≥1cm，底部加厚支架管，平台脚管宽度≥60mm，厚度不低于2.5mm；尺寸约1.5m长×0.8m宽×1m高。</w:t>
            </w:r>
          </w:p>
        </w:tc>
      </w:tr>
      <w:tr w14:paraId="0FEFB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auto" w:sz="4" w:space="0"/>
              <w:left w:val="single" w:color="000000" w:sz="4" w:space="0"/>
              <w:bottom w:val="single" w:color="auto" w:sz="4" w:space="0"/>
              <w:right w:val="single" w:color="000000" w:sz="4" w:space="0"/>
            </w:tcBorders>
            <w:vAlign w:val="center"/>
          </w:tcPr>
          <w:p w14:paraId="733B82A2">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430" w:type="dxa"/>
            <w:tcBorders>
              <w:top w:val="single" w:color="auto" w:sz="4" w:space="0"/>
              <w:left w:val="single" w:color="000000" w:sz="4" w:space="0"/>
              <w:bottom w:val="single" w:color="auto" w:sz="4" w:space="0"/>
              <w:right w:val="single" w:color="000000" w:sz="4" w:space="0"/>
            </w:tcBorders>
            <w:vAlign w:val="center"/>
          </w:tcPr>
          <w:p w14:paraId="4D0F8639">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雷达水位计 </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679D1ED5">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11B4C153">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722" w:type="dxa"/>
            <w:tcBorders>
              <w:top w:val="single" w:color="000000" w:sz="4" w:space="0"/>
              <w:left w:val="single" w:color="000000" w:sz="4" w:space="0"/>
              <w:bottom w:val="single" w:color="000000" w:sz="4" w:space="0"/>
              <w:right w:val="single" w:color="000000" w:sz="4" w:space="0"/>
            </w:tcBorders>
            <w:vAlign w:val="center"/>
          </w:tcPr>
          <w:p w14:paraId="5E694EDD">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09035998">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一、安装于龙胜日新站。</w:t>
            </w:r>
          </w:p>
          <w:p w14:paraId="6090BF82">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二、技术要求</w:t>
            </w:r>
          </w:p>
          <w:p w14:paraId="2C0FCD46">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1.测量量程：0～30m；</w:t>
            </w:r>
          </w:p>
          <w:p w14:paraId="7542B13F">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2.测量精度：±2mm；</w:t>
            </w:r>
          </w:p>
          <w:p w14:paraId="1A96AE48">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3.分辨率：不低于1mm；</w:t>
            </w:r>
          </w:p>
          <w:p w14:paraId="21A8C551">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4.发射频率：≥26GHZ；</w:t>
            </w:r>
          </w:p>
          <w:p w14:paraId="62A68100">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5.供电电压：12VDC；</w:t>
            </w:r>
          </w:p>
          <w:p w14:paraId="28AFCF44">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6.防护等级：不低于IP67；</w:t>
            </w:r>
          </w:p>
          <w:p w14:paraId="7BAF3D9D">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7.功耗：工作电流＜20mA，待机＜10mA；</w:t>
            </w:r>
          </w:p>
          <w:p w14:paraId="0CDBAF0B">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8.通讯接口： RS485接口，参考或相当于MODBUS-RTU协议；</w:t>
            </w:r>
          </w:p>
          <w:p w14:paraId="62D6E7F9">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9.配套：包含安装本项标的所需的线缆、 PVC管、辅材(扎带、接头等)、防雷接地及安装调试。</w:t>
            </w:r>
          </w:p>
          <w:p w14:paraId="698E376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szCs w:val="21"/>
                <w:highlight w:val="none"/>
              </w:rPr>
              <w:t>10.通信传输要求：符合最新的水文监测数据通信规约（SL 651-2014）。</w:t>
            </w:r>
          </w:p>
        </w:tc>
      </w:tr>
      <w:tr w14:paraId="071CE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auto" w:sz="4" w:space="0"/>
              <w:left w:val="single" w:color="000000" w:sz="4" w:space="0"/>
              <w:bottom w:val="single" w:color="auto" w:sz="4" w:space="0"/>
              <w:right w:val="single" w:color="000000" w:sz="4" w:space="0"/>
            </w:tcBorders>
            <w:vAlign w:val="center"/>
          </w:tcPr>
          <w:p w14:paraId="7AF695CB">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430" w:type="dxa"/>
            <w:tcBorders>
              <w:top w:val="single" w:color="auto" w:sz="4" w:space="0"/>
              <w:left w:val="single" w:color="000000" w:sz="4" w:space="0"/>
              <w:bottom w:val="single" w:color="auto" w:sz="4" w:space="0"/>
              <w:right w:val="single" w:color="000000" w:sz="4" w:space="0"/>
            </w:tcBorders>
            <w:vAlign w:val="center"/>
          </w:tcPr>
          <w:p w14:paraId="60DD9257">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视频水位识别系统</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2F440EB7">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09" w:type="dxa"/>
            <w:tcBorders>
              <w:top w:val="single" w:color="000000" w:sz="4" w:space="0"/>
              <w:left w:val="single" w:color="000000" w:sz="4" w:space="0"/>
              <w:bottom w:val="single" w:color="000000" w:sz="4" w:space="0"/>
              <w:right w:val="single" w:color="000000" w:sz="4" w:space="0"/>
            </w:tcBorders>
            <w:vAlign w:val="center"/>
          </w:tcPr>
          <w:p w14:paraId="60F546AA">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2" w:type="dxa"/>
            <w:tcBorders>
              <w:top w:val="single" w:color="000000" w:sz="4" w:space="0"/>
              <w:left w:val="single" w:color="000000" w:sz="4" w:space="0"/>
              <w:bottom w:val="single" w:color="000000" w:sz="4" w:space="0"/>
              <w:right w:val="single" w:color="000000" w:sz="4" w:space="0"/>
            </w:tcBorders>
            <w:vAlign w:val="center"/>
          </w:tcPr>
          <w:p w14:paraId="3CA4CCD6">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195308D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安装于兴坪、苏桥、宛田、永福（洛清江）、日新</w:t>
            </w:r>
          </w:p>
          <w:p w14:paraId="21878E9B">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等5站。</w:t>
            </w:r>
          </w:p>
          <w:p w14:paraId="68768A00">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智能水位图像识别系统主要包括前端设备（主要包括网络高速摄像机、硬盘录像机、路由器、电源系统和水尺）、传输网络、平台软件和显示终端，采用具备智能识别的前端对水尺水位进行识别并将水位数据上传至中心平台；前端智能产品还需具备定时抓拍和自主抓拍图像的能力，可根据需要抓拍、上传水尺图片；要求接入广西水文中心现有的水尺识别平台：桂林智慧水安综合管理平台（http://10.45.224.30:8091）及水文遥测信息管理系统（http://10.45.224.24:8808/），与平台兼容对接。实现水文数据在市级平台的集中汇聚、统一展示。</w:t>
            </w:r>
          </w:p>
          <w:p w14:paraId="26991CF6">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2.功能要求</w:t>
            </w:r>
          </w:p>
          <w:p w14:paraId="5AF8BF9D">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（1）智能选取水尺，并识别水尺刻度。</w:t>
            </w:r>
          </w:p>
          <w:p w14:paraId="13DBD75C">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（2）支持短水尺、长水尺、分段水尺、水泥水尺等多类型水尺。</w:t>
            </w:r>
          </w:p>
          <w:p w14:paraId="73E1986B">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（3）智能水位滤波处理，消除波浪影响。</w:t>
            </w:r>
          </w:p>
          <w:p w14:paraId="30A14353">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（4）支持多场景水尺监测，暗光、逆光等极端光线下具有稳定性。</w:t>
            </w:r>
          </w:p>
          <w:p w14:paraId="35A083C5">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（5）具备多种图像识别算法，确保图像识别精度。</w:t>
            </w:r>
          </w:p>
          <w:p w14:paraId="69EBF461">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（6）支持智能水位校核。</w:t>
            </w:r>
          </w:p>
          <w:p w14:paraId="1C0B28F3">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（7）可实现中心远程全监管。</w:t>
            </w:r>
          </w:p>
          <w:p w14:paraId="732EA17B">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3.现场采集传输系统功能</w:t>
            </w:r>
          </w:p>
          <w:p w14:paraId="5EF5D628">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（1）接收中心站唤醒指令，实时加电采集测验河段视频信息，并压缩上至中心站。</w:t>
            </w:r>
          </w:p>
          <w:p w14:paraId="18259AB8">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（2）根据中心站指令自动对准相应水尺，每隔5分钟自动拍摄1张≥2560×1440分辨率的照片，并压缩上传至中心站，每次共拍≥5张，本地可循环存储30天内的照片数据。</w:t>
            </w:r>
          </w:p>
          <w:p w14:paraId="75AD44AE">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（3）自动或根据中心站指令关闭不必要的电源。</w:t>
            </w:r>
          </w:p>
          <w:p w14:paraId="1330BE20">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（4）支持国内所有参考或相当于4G/3G/2G无线网络（参考或相当于EVDO/WCDMA/TD-SCDMA等无线网络），支持Wifi等利用TCP/IP协议网络；优先采用4G网络。通信传输应采用参考或相当于ONVIF协议或</w:t>
            </w:r>
            <w:r>
              <w:rPr>
                <w:rFonts w:hint="eastAsia" w:ascii="宋体" w:hAnsi="宋体" w:cs="宋体"/>
                <w:color w:val="auto"/>
                <w:szCs w:val="21"/>
                <w:highlight w:val="none"/>
              </w:rPr>
              <w:t>《公共安全视频监控联网系统信息传输、交换、控制技术要求》</w:t>
            </w:r>
            <w:r>
              <w:rPr>
                <w:rFonts w:hint="eastAsia" w:ascii="宋体" w:hAnsi="宋体" w:cs="宋体"/>
                <w:color w:val="auto"/>
                <w:kern w:val="0"/>
                <w:szCs w:val="21"/>
                <w:highlight w:val="none"/>
              </w:rPr>
              <w:t>（GB/T 28181-2022）所规定协议。</w:t>
            </w:r>
          </w:p>
          <w:p w14:paraId="4FFA8F4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（5）网络带宽自适应技术，根据网络带宽自动调整视频帧率，单卡传输最高达到25帧/秒，平均延时小于3秒。</w:t>
            </w:r>
          </w:p>
          <w:p w14:paraId="5A57F68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（6）支持阶梯水尺自动巡航识别，最大支持≥30根水尺，须使用标准桩式水尺，支持识别水尺编号。</w:t>
            </w:r>
          </w:p>
          <w:p w14:paraId="7B99816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（7）支持对特制水尺、斜式水尺、方块水尺自动识别水位读数的功能。</w:t>
            </w:r>
          </w:p>
          <w:p w14:paraId="4B06C0A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（8）防尘等级不低于IP66，防雷、防突波和防浪涌保护不低于TVS4000V。</w:t>
            </w:r>
          </w:p>
          <w:p w14:paraId="5D1AD91B">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（9）电源支持市电配太阳能及太阳能单独供电，采用免维护胶体蓄电池，容量</w:t>
            </w:r>
            <w:r>
              <w:rPr>
                <w:rFonts w:hint="eastAsia" w:ascii="宋体" w:hAnsi="宋体" w:cs="宋体"/>
                <w:color w:val="auto"/>
                <w:szCs w:val="21"/>
                <w:highlight w:val="none"/>
              </w:rPr>
              <w:t>≥</w:t>
            </w:r>
            <w:r>
              <w:rPr>
                <w:rFonts w:hint="eastAsia" w:ascii="宋体" w:hAnsi="宋体" w:cs="宋体"/>
                <w:color w:val="auto"/>
                <w:kern w:val="0"/>
                <w:szCs w:val="21"/>
                <w:highlight w:val="none"/>
              </w:rPr>
              <w:t>200AH，电池容量满足</w:t>
            </w:r>
            <w:r>
              <w:rPr>
                <w:rFonts w:hint="eastAsia" w:ascii="宋体" w:hAnsi="宋体" w:cs="宋体"/>
                <w:color w:val="auto"/>
                <w:szCs w:val="21"/>
                <w:highlight w:val="none"/>
              </w:rPr>
              <w:t>≥</w:t>
            </w:r>
            <w:r>
              <w:rPr>
                <w:rFonts w:hint="eastAsia" w:ascii="宋体" w:hAnsi="宋体" w:cs="宋体"/>
                <w:color w:val="auto"/>
                <w:kern w:val="0"/>
                <w:szCs w:val="21"/>
                <w:highlight w:val="none"/>
              </w:rPr>
              <w:t>30个阴雨天系统仍可正常工作。配套太阳能板确保电池亏空后连续5个晴天内充满。</w:t>
            </w:r>
          </w:p>
          <w:p w14:paraId="6A07D15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（10）工作温度/湿度：-20℃～65℃，＜90%RH无冷凝。</w:t>
            </w:r>
          </w:p>
          <w:p w14:paraId="48F73CC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（11）保存温度：-40℃～65℃。</w:t>
            </w:r>
          </w:p>
          <w:p w14:paraId="4FE3FC1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（12）适用环境：全天候。</w:t>
            </w:r>
          </w:p>
          <w:p w14:paraId="784A7E4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4.技术指标</w:t>
            </w:r>
          </w:p>
          <w:p w14:paraId="5CDB630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4.1系统主要技术指标</w:t>
            </w:r>
          </w:p>
          <w:p w14:paraId="6772D97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（1）测量误差：水尺测量距离≤100m，测量落差0~40m，检测精度±2cm。</w:t>
            </w:r>
          </w:p>
          <w:p w14:paraId="3C0E5100">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（2）摄像机内置</w:t>
            </w:r>
            <w:r>
              <w:rPr>
                <w:rFonts w:hint="eastAsia" w:ascii="宋体" w:hAnsi="宋体" w:cs="宋体"/>
                <w:color w:val="auto"/>
                <w:szCs w:val="21"/>
                <w:highlight w:val="none"/>
              </w:rPr>
              <w:t>≥</w:t>
            </w:r>
            <w:r>
              <w:rPr>
                <w:rFonts w:hint="eastAsia" w:ascii="宋体" w:hAnsi="宋体" w:cs="宋体"/>
                <w:color w:val="auto"/>
                <w:kern w:val="0"/>
                <w:szCs w:val="21"/>
                <w:highlight w:val="none"/>
              </w:rPr>
              <w:t>2个CMOS图像传感器，靶面尺寸不小于1/1.8英寸，视频输出支持不低于2560×1440@25fps，分辨力不小于1400TVL，支持≥35倍光学变焦。</w:t>
            </w:r>
          </w:p>
          <w:p w14:paraId="0C46368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（3）最低照度不高于：彩色：0.0004 Lux @（F1.6，AGC ON），黑白：0.0001 Lux @（F1.6，AGC ON），0 Lux with IR。</w:t>
            </w:r>
          </w:p>
          <w:p w14:paraId="7CA5D3F8">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（4）摄像机具有双路视频融合功能，可分别输出黑白及彩色视频图像，并可进行融合输出</w:t>
            </w:r>
            <w:r>
              <w:rPr>
                <w:rFonts w:hint="eastAsia" w:ascii="宋体" w:hAnsi="宋体" w:cs="宋体"/>
                <w:b/>
                <w:color w:val="auto"/>
                <w:kern w:val="0"/>
                <w:szCs w:val="21"/>
                <w:highlight w:val="none"/>
              </w:rPr>
              <w:t>。</w:t>
            </w:r>
          </w:p>
          <w:p w14:paraId="00C1BA8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（5）可对距离设备</w:t>
            </w:r>
            <w:r>
              <w:rPr>
                <w:rFonts w:hint="eastAsia" w:ascii="宋体" w:hAnsi="宋体" w:cs="宋体"/>
                <w:color w:val="auto"/>
                <w:szCs w:val="21"/>
                <w:highlight w:val="none"/>
              </w:rPr>
              <w:t>≥</w:t>
            </w:r>
            <w:r>
              <w:rPr>
                <w:rFonts w:hint="eastAsia" w:ascii="宋体" w:hAnsi="宋体" w:cs="宋体"/>
                <w:color w:val="auto"/>
                <w:kern w:val="0"/>
                <w:szCs w:val="21"/>
                <w:highlight w:val="none"/>
              </w:rPr>
              <w:t>100米处水尺目标（长</w:t>
            </w:r>
            <w:r>
              <w:rPr>
                <w:rFonts w:hint="eastAsia" w:ascii="宋体" w:hAnsi="宋体" w:cs="宋体"/>
                <w:color w:val="auto"/>
                <w:szCs w:val="21"/>
                <w:highlight w:val="none"/>
              </w:rPr>
              <w:t>≥</w:t>
            </w:r>
            <w:r>
              <w:rPr>
                <w:rFonts w:hint="eastAsia" w:ascii="宋体" w:hAnsi="宋体" w:cs="宋体"/>
                <w:color w:val="auto"/>
                <w:kern w:val="0"/>
                <w:szCs w:val="21"/>
                <w:highlight w:val="none"/>
              </w:rPr>
              <w:t>1m，宽</w:t>
            </w:r>
            <w:r>
              <w:rPr>
                <w:rFonts w:hint="eastAsia" w:ascii="宋体" w:hAnsi="宋体" w:cs="宋体"/>
                <w:color w:val="auto"/>
                <w:szCs w:val="21"/>
                <w:highlight w:val="none"/>
              </w:rPr>
              <w:t>≥</w:t>
            </w:r>
            <w:r>
              <w:rPr>
                <w:rFonts w:hint="eastAsia" w:ascii="宋体" w:hAnsi="宋体" w:cs="宋体"/>
                <w:color w:val="auto"/>
                <w:kern w:val="0"/>
                <w:szCs w:val="21"/>
                <w:highlight w:val="none"/>
              </w:rPr>
              <w:t>8cm）进行识别，对识别并录像后的文件进行查看，水尺刻度数字目标应不小于25像素×25像素。</w:t>
            </w:r>
          </w:p>
          <w:p w14:paraId="231D49A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（6）摄像机内置除湿器，可对内部进行除湿，去除玻璃罩上的水状附着物。</w:t>
            </w:r>
          </w:p>
          <w:p w14:paraId="35A01EA8">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（7）可通过参考或相当于IE浏览器或客户端软件显示摄像机读取的水尺水位高度信息，水位高度显示精度可达到0.001m，可将水位信息上传至设定的服务器，上传时间间隔可设置。</w:t>
            </w:r>
          </w:p>
          <w:p w14:paraId="5AC4E9D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8）可通过参考或相当于浏览器或客户端软件设置水位偏低及偏高告警阈值，当摄像机读取到水位高于偏高告警阈值或低于偏低告警阈值时，可通过OSD叠加文字变红的形式给出报警提示，并将水位值上传至后端平台，支持统计及查询水位信息，查询类型可设置为历史数据或历史图片，统计信息可选择日报表、周报表、月报表、季报表、年报表及自定义，可通过Excel格式导出。</w:t>
            </w:r>
          </w:p>
          <w:p w14:paraId="4F4B8DF5">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（9）当摄像机在运动过程中，由于机械结构或外力因素导致设备发生失步，运动结束的实际位置和理想位置有偏移时，能够自动开启位置矫正。</w:t>
            </w:r>
          </w:p>
          <w:p w14:paraId="2091DA5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（10）在水面平稳，无波浪情况下，对距离摄像机</w:t>
            </w:r>
            <w:r>
              <w:rPr>
                <w:rFonts w:hint="eastAsia" w:ascii="宋体" w:hAnsi="宋体" w:cs="宋体"/>
                <w:color w:val="auto"/>
                <w:szCs w:val="21"/>
                <w:highlight w:val="none"/>
              </w:rPr>
              <w:t>≥</w:t>
            </w:r>
            <w:r>
              <w:rPr>
                <w:rFonts w:hint="eastAsia" w:ascii="宋体" w:hAnsi="宋体" w:cs="宋体"/>
                <w:color w:val="auto"/>
                <w:kern w:val="0"/>
                <w:szCs w:val="21"/>
                <w:highlight w:val="none"/>
              </w:rPr>
              <w:t>12m处水尺水位进行测试，水位值检测误差不大于1cm。</w:t>
            </w:r>
          </w:p>
          <w:p w14:paraId="167198B1">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（11）支持水平旋转范围0~360°连续旋转，垂直旋转范围为-15°~90°。</w:t>
            </w:r>
          </w:p>
          <w:p w14:paraId="1EFB7F6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（12）摄像机能在OSD上实时显示当前的水位信息。</w:t>
            </w:r>
          </w:p>
          <w:p w14:paraId="3153D96E">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（13）支持≥7路报警输入接口，≥2路报警输出接口，支持≥1路音频输入和1路输出接口。</w:t>
            </w:r>
          </w:p>
          <w:p w14:paraId="78C91538">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（14）存储功能：支持参考或相当于MicroSD卡前端存储，标配</w:t>
            </w:r>
            <w:r>
              <w:rPr>
                <w:rFonts w:hint="eastAsia" w:ascii="宋体" w:hAnsi="宋体" w:cs="宋体"/>
                <w:color w:val="auto"/>
                <w:szCs w:val="21"/>
                <w:highlight w:val="none"/>
              </w:rPr>
              <w:t>≥</w:t>
            </w:r>
            <w:r>
              <w:rPr>
                <w:rFonts w:hint="eastAsia" w:ascii="宋体" w:hAnsi="宋体" w:cs="宋体"/>
                <w:color w:val="auto"/>
                <w:kern w:val="0"/>
                <w:szCs w:val="21"/>
                <w:highlight w:val="none"/>
              </w:rPr>
              <w:t>512GMicroSD卡（参考或相当于），最高可扩展至</w:t>
            </w:r>
            <w:r>
              <w:rPr>
                <w:rFonts w:hint="eastAsia" w:ascii="宋体" w:hAnsi="宋体" w:cs="宋体"/>
                <w:color w:val="auto"/>
                <w:szCs w:val="21"/>
                <w:highlight w:val="none"/>
              </w:rPr>
              <w:t>≥</w:t>
            </w:r>
            <w:r>
              <w:rPr>
                <w:rFonts w:hint="eastAsia" w:ascii="宋体" w:hAnsi="宋体" w:cs="宋体"/>
                <w:color w:val="auto"/>
                <w:kern w:val="0"/>
                <w:szCs w:val="21"/>
                <w:highlight w:val="none"/>
              </w:rPr>
              <w:t>1T。</w:t>
            </w:r>
          </w:p>
          <w:p w14:paraId="553FF16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（15）供电方式：DC：12 V，平均功耗＜0.3 W，工作温湿度：-40℃～70℃；湿度小于95%，防护等级不低于：IP66。</w:t>
            </w:r>
          </w:p>
          <w:p w14:paraId="111C607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（16）采用《水文监测数据通信规约》（SL 651-2014）上传数据至水文遥测信息管理系统（http://10.45.224.24:8808/）。</w:t>
            </w:r>
          </w:p>
          <w:p w14:paraId="08ADBEF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（17）监控图像、水文数据必须能与桂林水文桂林智慧水安综合管理平台（http://10.45.224.30:8091）及水文遥测信息管理系统（http://10.45.224.24:8808/）互联互通，实现水文数据在市级平台的集中汇聚、统一展示</w:t>
            </w:r>
            <w:r>
              <w:rPr>
                <w:rFonts w:hint="eastAsia" w:ascii="宋体" w:hAnsi="宋体" w:cs="宋体"/>
                <w:b/>
                <w:bCs/>
                <w:color w:val="auto"/>
                <w:kern w:val="0"/>
                <w:szCs w:val="21"/>
                <w:highlight w:val="none"/>
              </w:rPr>
              <w:t>【供应商于响应文件中必须提供所竞产品相应的承诺函（格式详见第五章“响应文件格式”），并加盖供应商电子签章】</w:t>
            </w:r>
            <w:r>
              <w:rPr>
                <w:rFonts w:hint="eastAsia" w:ascii="宋体" w:hAnsi="宋体" w:cs="宋体"/>
                <w:color w:val="auto"/>
                <w:kern w:val="0"/>
                <w:szCs w:val="21"/>
                <w:highlight w:val="none"/>
              </w:rPr>
              <w:t>。</w:t>
            </w:r>
          </w:p>
          <w:p w14:paraId="0C83449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（18）标配</w:t>
            </w:r>
            <w:r>
              <w:rPr>
                <w:rFonts w:hint="eastAsia" w:ascii="宋体" w:hAnsi="宋体" w:cs="宋体"/>
                <w:bCs/>
                <w:color w:val="auto"/>
                <w:kern w:val="0"/>
                <w:szCs w:val="21"/>
                <w:highlight w:val="none"/>
              </w:rPr>
              <w:t>不低于</w:t>
            </w:r>
            <w:r>
              <w:rPr>
                <w:rFonts w:hint="eastAsia" w:ascii="宋体" w:hAnsi="宋体" w:cs="宋体"/>
                <w:color w:val="auto"/>
                <w:kern w:val="0"/>
                <w:szCs w:val="21"/>
                <w:highlight w:val="none"/>
              </w:rPr>
              <w:t>4G通信卡，每月不低于20G流量，包含不少于3年通信费</w:t>
            </w:r>
            <w:r>
              <w:rPr>
                <w:rFonts w:hint="eastAsia" w:ascii="宋体" w:hAnsi="宋体" w:cs="宋体"/>
                <w:b/>
                <w:bCs/>
                <w:color w:val="auto"/>
                <w:kern w:val="0"/>
                <w:szCs w:val="21"/>
                <w:highlight w:val="none"/>
              </w:rPr>
              <w:t>【供应商于响应文件中必须提供所竞产品相应的承诺函（格式详见第五章“响应文件格式”），并加盖供应商电子签章】</w:t>
            </w:r>
            <w:r>
              <w:rPr>
                <w:rFonts w:hint="eastAsia" w:ascii="宋体" w:hAnsi="宋体" w:cs="宋体"/>
                <w:color w:val="auto"/>
                <w:kern w:val="0"/>
                <w:szCs w:val="21"/>
                <w:highlight w:val="none"/>
              </w:rPr>
              <w:t>。</w:t>
            </w:r>
          </w:p>
          <w:p w14:paraId="22EA7C24">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4.2室外网络高清智能球型摄像机</w:t>
            </w:r>
          </w:p>
          <w:p w14:paraId="18A9488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（1）视频分辨率与帧率≥2688×1520、≥25帧/秒 。</w:t>
            </w:r>
          </w:p>
          <w:p w14:paraId="314FEF2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（2）摄像机靶面尺寸≥1/1.8英寸。</w:t>
            </w:r>
          </w:p>
          <w:p w14:paraId="6297A1E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（3）最低照度：彩色≤0.0002lx，黑白≤0.0001lx </w:t>
            </w:r>
          </w:p>
          <w:p w14:paraId="6E2A43B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（4）摄像机内置镜头，支持≥32倍光学变倍，镜头焦距≥192mm 。</w:t>
            </w:r>
          </w:p>
          <w:p w14:paraId="667419BE">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（5）具有≥300个预置位，可按照所设置的预置位完成≥8条巡航路径。支持预置位视频冻结功能，调用预置位时，在设备到达目标预置位前，视频图像将一直停留在调用预置位之前的状态。</w:t>
            </w:r>
          </w:p>
          <w:p w14:paraId="0F0C87A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（6）具有 H.265、H.264、MJPEG设置选项。</w:t>
            </w:r>
          </w:p>
          <w:p w14:paraId="6EBC241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（7）当越界入侵、进入区域及离开区域报警事件被触发后，可联动跟踪触发报警事件的人员或车辆。</w:t>
            </w:r>
          </w:p>
          <w:p w14:paraId="42C2A40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（8）事件上报的抓图支持叠加规则区域和目标框：可配置报警抓图叠加目标信息及规则信息，支持开启及关闭。支持设置预览画面是否叠加显示规则区域框及告警提示信息。</w:t>
            </w:r>
          </w:p>
          <w:p w14:paraId="401BC0F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（9）可从诊断信息中导出云台控制历史记录。</w:t>
            </w:r>
          </w:p>
          <w:p w14:paraId="03C6997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（10）支持≥7路报警输入、≥2路报警输出、≥1路音频输入、≥1路音频输出，≥2个SD卡卡槽。设备具备WIFI功能，可实现远程调试运维，在无遮挡情况下，WIFI直线距离传输距离≥50m【</w:t>
            </w:r>
            <w:r>
              <w:rPr>
                <w:rFonts w:hint="eastAsia" w:ascii="宋体" w:hAnsi="宋体" w:cs="宋体"/>
                <w:b/>
                <w:color w:val="auto"/>
                <w:kern w:val="0"/>
                <w:szCs w:val="21"/>
                <w:highlight w:val="none"/>
              </w:rPr>
              <w:t>供应商于响应文件中必须提供所竞产品能满足该项技术要求的由国家认可的第三方检测机构出具的合格有效的检测报告复印件佐证（检测内容包含该项技术要求），并加盖供应商电子签章】</w:t>
            </w:r>
            <w:r>
              <w:rPr>
                <w:rFonts w:hint="eastAsia" w:ascii="宋体" w:hAnsi="宋体" w:cs="宋体"/>
                <w:color w:val="auto"/>
                <w:kern w:val="0"/>
                <w:szCs w:val="21"/>
                <w:highlight w:val="none"/>
              </w:rPr>
              <w:t>。</w:t>
            </w:r>
          </w:p>
          <w:p w14:paraId="27E84E8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（11）设备具备全功耗模式、低功耗实时2种模式，在低功耗实时模式下设备4G保活，可通过平台唤醒进行实时预览，可通过智能周界区域入侵等智能触发唤醒，抓图和回传报警给平台【</w:t>
            </w:r>
            <w:r>
              <w:rPr>
                <w:rFonts w:hint="eastAsia" w:ascii="宋体" w:hAnsi="宋体" w:cs="宋体"/>
                <w:b/>
                <w:color w:val="auto"/>
                <w:kern w:val="0"/>
                <w:szCs w:val="21"/>
                <w:highlight w:val="none"/>
              </w:rPr>
              <w:t>供应商于响应文件中必须提供所竞产品能满足该项技术要求的由国家认可的第三方检测机构出具的合格有效的检测报告复印件佐证（检测内容包含该项技术要求），并加盖供应商电子签章】</w:t>
            </w:r>
            <w:r>
              <w:rPr>
                <w:rFonts w:hint="eastAsia" w:ascii="宋体" w:hAnsi="宋体" w:cs="宋体"/>
                <w:color w:val="auto"/>
                <w:kern w:val="0"/>
                <w:szCs w:val="21"/>
                <w:highlight w:val="none"/>
              </w:rPr>
              <w:t>。</w:t>
            </w:r>
          </w:p>
          <w:p w14:paraId="1619247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（12）设备进行4G画面实时预览时功耗≤5.5W，进入低电休眠模式时功耗≤0.8W【</w:t>
            </w:r>
            <w:r>
              <w:rPr>
                <w:rFonts w:hint="eastAsia" w:ascii="宋体" w:hAnsi="宋体" w:cs="宋体"/>
                <w:b/>
                <w:color w:val="auto"/>
                <w:kern w:val="0"/>
                <w:szCs w:val="21"/>
                <w:highlight w:val="none"/>
              </w:rPr>
              <w:t>供应商于响应文件中必须提供所竞产品能满足该项技术要求的由国家认可的第三方检测机构出具的合格有效的检测报告复印件佐证（检测内容包含该项技术要求），并加盖供应商电子签章】</w:t>
            </w:r>
            <w:r>
              <w:rPr>
                <w:rFonts w:hint="eastAsia" w:ascii="宋体" w:hAnsi="宋体" w:cs="宋体"/>
                <w:color w:val="auto"/>
                <w:kern w:val="0"/>
                <w:szCs w:val="21"/>
                <w:highlight w:val="none"/>
              </w:rPr>
              <w:t>。</w:t>
            </w:r>
          </w:p>
          <w:p w14:paraId="5D982B5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（13）设备具有极低电休眠功能，当备用电池电量低于阈值时，设备会进入休眠模式，当电池电量高于阈值时，设备会自动唤醒进入低功耗模式，通过这种方式可以对后备电池进行保护【</w:t>
            </w:r>
            <w:r>
              <w:rPr>
                <w:rFonts w:hint="eastAsia" w:ascii="宋体" w:hAnsi="宋体" w:cs="宋体"/>
                <w:b/>
                <w:color w:val="auto"/>
                <w:kern w:val="0"/>
                <w:szCs w:val="21"/>
                <w:highlight w:val="none"/>
              </w:rPr>
              <w:t>供应商于响应文件中必须提供所竞产品能满足该项技术要求的由国家认可的第三方检测机构出具的合格有效的检测报告复印件佐证（检测内容包含该项技术要求），并加盖供应商电子签章】</w:t>
            </w:r>
            <w:r>
              <w:rPr>
                <w:rFonts w:hint="eastAsia" w:ascii="宋体" w:hAnsi="宋体" w:cs="宋体"/>
                <w:color w:val="auto"/>
                <w:kern w:val="0"/>
                <w:szCs w:val="21"/>
                <w:highlight w:val="none"/>
              </w:rPr>
              <w:t>。</w:t>
            </w:r>
          </w:p>
          <w:p w14:paraId="31C3811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（14）可对镜头前盖玻璃加热，去除镜头玻璃上的冰状和水状附着物。</w:t>
            </w:r>
          </w:p>
          <w:p w14:paraId="343C636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（15）红外补光灯开启，可识别距设备200m处的人体轮廓，开启白光补光灯，可识别距离设备30m处的人体轮廓。</w:t>
            </w:r>
          </w:p>
          <w:p w14:paraId="0BBEB05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（16）外壳防护能力≥IP66，支持在-30℃~65 ℃范围内正常工作。</w:t>
            </w:r>
          </w:p>
          <w:p w14:paraId="2D80342E">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（17）内置参考或相当于北斗卫星定位模块和电子罗盘，支持将视场角、镜头指向、安装位置经纬度等信息上传中心管理平台。</w:t>
            </w:r>
          </w:p>
          <w:p w14:paraId="2A5E8721">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bCs/>
                <w:color w:val="auto"/>
                <w:kern w:val="0"/>
                <w:szCs w:val="21"/>
                <w:highlight w:val="none"/>
              </w:rPr>
              <w:t>4.3数据接收处理软件及对接服务（配套）</w:t>
            </w:r>
          </w:p>
          <w:p w14:paraId="0772BC3B">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数据接收处理服务用于物联设备、智能数据的接入与管理，通过统一设备接入模型以及驱动可扩展方式实现各类不同协议设备的接入，同时对外提供统一接口用于应用集成调用，满足屏蔽物联设备及数据的差异性。该服务应包含设备接入、智能接入、数据资源服务、能力开放服务等能力。</w:t>
            </w:r>
          </w:p>
          <w:p w14:paraId="57ABE29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（1）设备接入</w:t>
            </w:r>
          </w:p>
          <w:p w14:paraId="7820E62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通过运行内置的驱动实现不同类型设备的接入，同时对外提供驱动管理、设备管理、设备操作等各种接口。</w:t>
            </w:r>
          </w:p>
          <w:p w14:paraId="2129D5C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（2）智能接入</w:t>
            </w:r>
          </w:p>
          <w:p w14:paraId="5CFA55DB">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支持智能分析出的水位、流速等数据的接入，实现实时的数据处理及转分发。屏蔽设备接入的差异性，通过统一的参考或相当于API服务接口开放给业务应用层。</w:t>
            </w:r>
          </w:p>
          <w:p w14:paraId="0ABC9F5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（3）数据资源服务</w:t>
            </w:r>
          </w:p>
          <w:p w14:paraId="013A360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通过数据处理能力，实现对接入数据的处理，提升数据的可用性，同时提供安全体系保障，对外提供开放API、订阅等服务数据能力，保障系统资源和组件能力的开放。</w:t>
            </w:r>
          </w:p>
          <w:p w14:paraId="3136BD4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①实时水位雨量数据上报符合《水文监测数据通信规约》（SL 651-2014）的要求。</w:t>
            </w:r>
          </w:p>
          <w:p w14:paraId="1C08ECE5">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②支持通过参考或相当于IE浏览器或客户端统计及查询水位信息，查询类型可设置为历史数据或历史图片，统计信息可选择日报表、周报表、月报表、季报表、年报表及自定义，可通过Excel格式导出。</w:t>
            </w:r>
          </w:p>
          <w:p w14:paraId="1D74DBD5">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③可通过参考或相当于IE浏览器或客户端软件设置水位偏低及偏高告警阈值，当设备读取到水位高于偏高告警阈值或低于偏低告警阈值时，可通过OSD叠加文字变红的形式给出报警提示，并将水位值上传至后端平台，设备外接雨量计后，可通过参考或相当于IE浏览器或客户端软件在视频画面上叠加显示当前雨量值，当雨量值超过预设值时，可给出报警提示并上传平台。</w:t>
            </w:r>
          </w:p>
          <w:p w14:paraId="272232E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④数据监管管理平台：能够实时监管系统运行情况，支持视频播放。实时查看测站断面最新情况，并将水位识别成果与遥测水位进行校验展示，差值较大自动提醒。</w:t>
            </w:r>
          </w:p>
          <w:p w14:paraId="66080380">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（4）能力开放服务</w:t>
            </w:r>
          </w:p>
          <w:p w14:paraId="5C7B2871">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可提供参考或相当于API（HTTP/HTTPS协议）管理功能，能自动生成API文档，并提供在线调试功能。</w:t>
            </w:r>
          </w:p>
          <w:p w14:paraId="45A115F5">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安装条件：含辅助设备（含线缆、接地等），含安装布线。</w:t>
            </w:r>
          </w:p>
          <w:p w14:paraId="4FD42508">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①光缆</w:t>
            </w:r>
          </w:p>
          <w:p w14:paraId="189D734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a.包含完成本项目实施所需的所有光缆。</w:t>
            </w:r>
          </w:p>
          <w:p w14:paraId="6B5B6C2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b.铠装室外单模4芯中心束管式光纤线。</w:t>
            </w:r>
          </w:p>
          <w:p w14:paraId="2D51622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c.包含光纤架空、开挖、回填、熔纤和连接摄像头所需套件。</w:t>
            </w:r>
          </w:p>
          <w:p w14:paraId="262F0C05">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②电缆</w:t>
            </w:r>
          </w:p>
          <w:p w14:paraId="75ECE8D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a.包含完成本项目实施所需的所有电缆。</w:t>
            </w:r>
          </w:p>
          <w:p w14:paraId="1CAD75D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b.视频水位识别系统、视频监控系统电源线。</w:t>
            </w:r>
          </w:p>
          <w:p w14:paraId="458DBA8D">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c.国标RVV 0.5平方以上无氧纯铜电缆。</w:t>
            </w:r>
          </w:p>
          <w:p w14:paraId="693A951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d.包含电缆开挖、回填和供摄像机所需套件。</w:t>
            </w:r>
          </w:p>
          <w:p w14:paraId="077602A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③安装杆及安装基础</w:t>
            </w:r>
          </w:p>
          <w:p w14:paraId="555060B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a.带304不锈钢防水机箱。基础：约0.5×0.5×1.0米。</w:t>
            </w:r>
          </w:p>
          <w:p w14:paraId="079C029D">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b.接地，电阻小于10欧。</w:t>
            </w:r>
          </w:p>
        </w:tc>
      </w:tr>
      <w:tr w14:paraId="6ECD2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auto" w:sz="4" w:space="0"/>
              <w:left w:val="single" w:color="000000" w:sz="4" w:space="0"/>
              <w:bottom w:val="single" w:color="auto" w:sz="4" w:space="0"/>
              <w:right w:val="single" w:color="000000" w:sz="4" w:space="0"/>
            </w:tcBorders>
            <w:vAlign w:val="center"/>
          </w:tcPr>
          <w:p w14:paraId="7BC643CE">
            <w:pPr>
              <w:adjustRightInd w:val="0"/>
              <w:snapToGrid w:val="0"/>
              <w:spacing w:line="320" w:lineRule="exact"/>
              <w:jc w:val="center"/>
              <w:rPr>
                <w:rFonts w:ascii="宋体" w:hAnsi="宋体" w:cs="宋体"/>
                <w:color w:val="auto"/>
                <w:szCs w:val="21"/>
                <w:highlight w:val="none"/>
              </w:rPr>
            </w:pPr>
            <w:bookmarkStart w:id="81" w:name="_Hlk205144156"/>
            <w:r>
              <w:rPr>
                <w:rFonts w:hint="eastAsia" w:ascii="宋体" w:hAnsi="宋体" w:cs="宋体"/>
                <w:color w:val="auto"/>
                <w:szCs w:val="21"/>
                <w:highlight w:val="none"/>
              </w:rPr>
              <w:t>7</w:t>
            </w:r>
          </w:p>
        </w:tc>
        <w:tc>
          <w:tcPr>
            <w:tcW w:w="1430" w:type="dxa"/>
            <w:tcBorders>
              <w:top w:val="single" w:color="auto" w:sz="4" w:space="0"/>
              <w:left w:val="single" w:color="000000" w:sz="4" w:space="0"/>
              <w:bottom w:val="single" w:color="auto" w:sz="4" w:space="0"/>
              <w:right w:val="single" w:color="000000" w:sz="4" w:space="0"/>
            </w:tcBorders>
            <w:vAlign w:val="center"/>
          </w:tcPr>
          <w:p w14:paraId="00241F57">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供电系统（柜式）</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04D2F67F">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2C4707DC">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2" w:type="dxa"/>
            <w:tcBorders>
              <w:top w:val="single" w:color="000000" w:sz="4" w:space="0"/>
              <w:left w:val="single" w:color="000000" w:sz="4" w:space="0"/>
              <w:bottom w:val="single" w:color="000000" w:sz="4" w:space="0"/>
              <w:right w:val="single" w:color="000000" w:sz="4" w:space="0"/>
            </w:tcBorders>
            <w:vAlign w:val="center"/>
          </w:tcPr>
          <w:p w14:paraId="3C053ABB">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2FAAE73F">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一、安装于</w:t>
            </w:r>
            <w:bookmarkStart w:id="82" w:name="OLE_LINK9"/>
            <w:r>
              <w:rPr>
                <w:rFonts w:hint="eastAsia" w:ascii="宋体" w:hAnsi="宋体" w:cs="宋体"/>
                <w:color w:val="auto"/>
                <w:kern w:val="0"/>
                <w:szCs w:val="21"/>
                <w:highlight w:val="none"/>
              </w:rPr>
              <w:t>苏桥、宛田、兴坪、永福（洛清江）等4站</w:t>
            </w:r>
            <w:bookmarkEnd w:id="82"/>
            <w:r>
              <w:rPr>
                <w:rFonts w:hint="eastAsia" w:ascii="宋体" w:hAnsi="宋体" w:cs="宋体"/>
                <w:color w:val="auto"/>
                <w:kern w:val="0"/>
                <w:szCs w:val="21"/>
                <w:highlight w:val="none"/>
              </w:rPr>
              <w:t>。除特别说明外，数量均为4套。</w:t>
            </w:r>
          </w:p>
          <w:p w14:paraId="4A762CCF">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二、技术要求</w:t>
            </w:r>
          </w:p>
          <w:p w14:paraId="32A1E1A2">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1.电源系统：太阳能电源供电系统。</w:t>
            </w:r>
            <w:r>
              <w:rPr>
                <w:rFonts w:hint="eastAsia" w:ascii="宋体" w:hAnsi="宋体" w:cs="宋体"/>
                <w:color w:val="auto"/>
                <w:kern w:val="0"/>
                <w:szCs w:val="21"/>
                <w:highlight w:val="none"/>
              </w:rPr>
              <w:cr/>
            </w:r>
            <w:r>
              <w:rPr>
                <w:rFonts w:hint="eastAsia" w:ascii="宋体" w:hAnsi="宋体" w:cs="宋体"/>
                <w:color w:val="auto"/>
                <w:kern w:val="0"/>
                <w:szCs w:val="21"/>
                <w:highlight w:val="none"/>
              </w:rPr>
              <w:t>2.功能要求：主要由太阳能板、充电控制器、蓄电池组成，由太阳能浮充蓄电池供电。蓄电池容量要求蓄电池在浮充供电条件下，设备长期工作；无浮充条件下仅用蓄电池供电，保证设备连续正常稳定供电不低于30天。</w:t>
            </w:r>
            <w:r>
              <w:rPr>
                <w:rFonts w:hint="eastAsia" w:ascii="宋体" w:hAnsi="宋体" w:cs="宋体"/>
                <w:color w:val="auto"/>
                <w:kern w:val="0"/>
                <w:szCs w:val="21"/>
                <w:highlight w:val="none"/>
              </w:rPr>
              <w:cr/>
            </w:r>
            <w:r>
              <w:rPr>
                <w:rFonts w:hint="eastAsia" w:ascii="宋体" w:hAnsi="宋体" w:cs="宋体"/>
                <w:color w:val="auto"/>
                <w:kern w:val="0"/>
                <w:szCs w:val="21"/>
                <w:highlight w:val="none"/>
              </w:rPr>
              <w:t>3.技术指标：</w:t>
            </w:r>
            <w:r>
              <w:rPr>
                <w:rFonts w:hint="eastAsia" w:ascii="宋体" w:hAnsi="宋体" w:cs="宋体"/>
                <w:color w:val="auto"/>
                <w:kern w:val="0"/>
                <w:szCs w:val="21"/>
                <w:highlight w:val="none"/>
              </w:rPr>
              <w:cr/>
            </w:r>
            <w:r>
              <w:rPr>
                <w:rFonts w:hint="eastAsia" w:ascii="宋体" w:hAnsi="宋体" w:cs="宋体"/>
                <w:color w:val="auto"/>
                <w:kern w:val="0"/>
                <w:szCs w:val="21"/>
                <w:highlight w:val="none"/>
              </w:rPr>
              <w:t>3.1太阳能专用胶体蓄电池（参考或相当于维谛、理士、万洋、圣阳等）</w:t>
            </w:r>
            <w:r>
              <w:rPr>
                <w:rFonts w:hint="eastAsia" w:ascii="宋体" w:hAnsi="宋体" w:cs="宋体"/>
                <w:color w:val="auto"/>
                <w:kern w:val="0"/>
                <w:szCs w:val="21"/>
                <w:highlight w:val="none"/>
              </w:rPr>
              <w:cr/>
            </w:r>
            <w:r>
              <w:rPr>
                <w:rFonts w:hint="eastAsia" w:ascii="宋体" w:hAnsi="宋体" w:cs="宋体"/>
                <w:color w:val="auto"/>
                <w:kern w:val="0"/>
                <w:szCs w:val="21"/>
                <w:highlight w:val="none"/>
              </w:rPr>
              <w:t>（1）功能：采用太阳能电源供电系统供电，为视频水位识别系统设备等设备提供电源。</w:t>
            </w:r>
            <w:r>
              <w:rPr>
                <w:rFonts w:hint="eastAsia" w:ascii="宋体" w:hAnsi="宋体" w:cs="宋体"/>
                <w:color w:val="auto"/>
                <w:kern w:val="0"/>
                <w:szCs w:val="21"/>
                <w:highlight w:val="none"/>
              </w:rPr>
              <w:cr/>
            </w:r>
            <w:r>
              <w:rPr>
                <w:rFonts w:hint="eastAsia" w:ascii="宋体" w:hAnsi="宋体" w:cs="宋体"/>
                <w:color w:val="auto"/>
                <w:kern w:val="0"/>
                <w:szCs w:val="21"/>
                <w:highlight w:val="none"/>
              </w:rPr>
              <w:t>（2）固定型阀控式密封铅酸胶体蓄电池，其中苏桥、宛田、兴坪三站每站含至少8节不低于12V200AH胶体蓄电池，永福（洛清江）含至少3节不低于12V200AH胶体蓄电池；单节电池规格容量不低于12V200AH，蓄电池容量规定为单体终止电压不低于10.8V/(25℃)≥10小时率容量。</w:t>
            </w:r>
            <w:r>
              <w:rPr>
                <w:rFonts w:hint="eastAsia" w:ascii="宋体" w:hAnsi="宋体" w:cs="宋体"/>
                <w:color w:val="auto"/>
                <w:kern w:val="0"/>
                <w:szCs w:val="21"/>
                <w:highlight w:val="none"/>
              </w:rPr>
              <w:cr/>
            </w:r>
            <w:r>
              <w:rPr>
                <w:rFonts w:hint="eastAsia" w:ascii="宋体" w:hAnsi="宋体" w:cs="宋体"/>
                <w:color w:val="auto"/>
                <w:kern w:val="0"/>
                <w:szCs w:val="21"/>
                <w:highlight w:val="none"/>
              </w:rPr>
              <w:t>（3）采用胶体电解质技术，无酸液浓度层化问题，无因浓度层化引起的极板腐蚀和钝化现象。完全密封，无需加水维护；无酸气逸出，保证不污染环境。</w:t>
            </w:r>
            <w:r>
              <w:rPr>
                <w:rFonts w:hint="eastAsia" w:ascii="宋体" w:hAnsi="宋体" w:cs="宋体"/>
                <w:color w:val="auto"/>
                <w:kern w:val="0"/>
                <w:szCs w:val="21"/>
                <w:highlight w:val="none"/>
              </w:rPr>
              <w:cr/>
            </w:r>
            <w:r>
              <w:rPr>
                <w:rFonts w:hint="eastAsia" w:ascii="宋体" w:hAnsi="宋体" w:cs="宋体"/>
                <w:color w:val="auto"/>
                <w:kern w:val="0"/>
                <w:szCs w:val="21"/>
                <w:highlight w:val="none"/>
              </w:rPr>
              <w:t>（4）采用胶体配方和板栅合金/极板配方，电池具有循环性能和深放电恢复能力。</w:t>
            </w:r>
            <w:r>
              <w:rPr>
                <w:rFonts w:hint="eastAsia" w:ascii="宋体" w:hAnsi="宋体" w:cs="宋体"/>
                <w:color w:val="auto"/>
                <w:kern w:val="0"/>
                <w:szCs w:val="21"/>
                <w:highlight w:val="none"/>
              </w:rPr>
              <w:cr/>
            </w:r>
            <w:r>
              <w:rPr>
                <w:rFonts w:hint="eastAsia" w:ascii="宋体" w:hAnsi="宋体" w:cs="宋体"/>
                <w:color w:val="auto"/>
                <w:kern w:val="0"/>
                <w:szCs w:val="21"/>
                <w:highlight w:val="none"/>
              </w:rPr>
              <w:t>（5）采用胶体电池专用隔板。</w:t>
            </w:r>
            <w:r>
              <w:rPr>
                <w:rFonts w:hint="eastAsia" w:ascii="宋体" w:hAnsi="宋体" w:cs="宋体"/>
                <w:color w:val="auto"/>
                <w:kern w:val="0"/>
                <w:szCs w:val="21"/>
                <w:highlight w:val="none"/>
              </w:rPr>
              <w:cr/>
            </w:r>
            <w:r>
              <w:rPr>
                <w:rFonts w:hint="eastAsia" w:ascii="宋体" w:hAnsi="宋体" w:cs="宋体"/>
                <w:color w:val="auto"/>
                <w:kern w:val="0"/>
                <w:szCs w:val="21"/>
                <w:highlight w:val="none"/>
              </w:rPr>
              <w:t>（6）内部过量电解液设计，在高温和过充情况下工作稳定，适合恶劣环境下使用。</w:t>
            </w:r>
            <w:r>
              <w:rPr>
                <w:rFonts w:hint="eastAsia" w:ascii="宋体" w:hAnsi="宋体" w:cs="宋体"/>
                <w:color w:val="auto"/>
                <w:kern w:val="0"/>
                <w:szCs w:val="21"/>
                <w:highlight w:val="none"/>
              </w:rPr>
              <w:cr/>
            </w:r>
            <w:r>
              <w:rPr>
                <w:rFonts w:hint="eastAsia" w:ascii="宋体" w:hAnsi="宋体" w:cs="宋体"/>
                <w:color w:val="auto"/>
                <w:kern w:val="0"/>
                <w:szCs w:val="21"/>
                <w:highlight w:val="none"/>
              </w:rPr>
              <w:t>（7）胶体蓄电池在约25℃环境下，浮充运行的设计寿命≥10年；在约25℃环境下，循环运行的设计寿命≥6年；70%放电深度的循环寿命大于800次。</w:t>
            </w:r>
            <w:r>
              <w:rPr>
                <w:rFonts w:hint="eastAsia" w:ascii="宋体" w:hAnsi="宋体" w:cs="宋体"/>
                <w:color w:val="auto"/>
                <w:kern w:val="0"/>
                <w:szCs w:val="21"/>
                <w:highlight w:val="none"/>
              </w:rPr>
              <w:cr/>
            </w:r>
            <w:r>
              <w:rPr>
                <w:rFonts w:hint="eastAsia" w:ascii="宋体" w:hAnsi="宋体" w:cs="宋体"/>
                <w:color w:val="auto"/>
                <w:kern w:val="0"/>
                <w:szCs w:val="21"/>
                <w:highlight w:val="none"/>
              </w:rPr>
              <w:t>（8）所有蓄电池应为出厂期三个月内同一制造商同一批次的定型产品。</w:t>
            </w:r>
            <w:r>
              <w:rPr>
                <w:rFonts w:hint="eastAsia" w:ascii="宋体" w:hAnsi="宋体" w:cs="宋体"/>
                <w:color w:val="auto"/>
                <w:kern w:val="0"/>
                <w:szCs w:val="21"/>
                <w:highlight w:val="none"/>
              </w:rPr>
              <w:cr/>
            </w:r>
            <w:r>
              <w:rPr>
                <w:rFonts w:hint="eastAsia" w:ascii="宋体" w:hAnsi="宋体" w:cs="宋体"/>
                <w:color w:val="auto"/>
                <w:kern w:val="0"/>
                <w:szCs w:val="21"/>
                <w:highlight w:val="none"/>
              </w:rPr>
              <w:t>（9）正常使用下无电解，无液漏出，无电池膨胀及破裂。</w:t>
            </w:r>
            <w:r>
              <w:rPr>
                <w:rFonts w:hint="eastAsia" w:ascii="宋体" w:hAnsi="宋体" w:cs="宋体"/>
                <w:color w:val="auto"/>
                <w:kern w:val="0"/>
                <w:szCs w:val="21"/>
                <w:highlight w:val="none"/>
              </w:rPr>
              <w:cr/>
            </w:r>
            <w:r>
              <w:rPr>
                <w:rFonts w:hint="eastAsia" w:ascii="宋体" w:hAnsi="宋体" w:cs="宋体"/>
                <w:color w:val="auto"/>
                <w:kern w:val="0"/>
                <w:szCs w:val="21"/>
                <w:highlight w:val="none"/>
              </w:rPr>
              <w:t>（10）放电电压平稳，放电平台平缓。</w:t>
            </w:r>
            <w:r>
              <w:rPr>
                <w:rFonts w:hint="eastAsia" w:ascii="宋体" w:hAnsi="宋体" w:cs="宋体"/>
                <w:color w:val="auto"/>
                <w:kern w:val="0"/>
                <w:szCs w:val="21"/>
                <w:highlight w:val="none"/>
              </w:rPr>
              <w:cr/>
            </w:r>
            <w:r>
              <w:rPr>
                <w:rFonts w:hint="eastAsia" w:ascii="宋体" w:hAnsi="宋体" w:cs="宋体"/>
                <w:color w:val="auto"/>
                <w:kern w:val="0"/>
                <w:szCs w:val="21"/>
                <w:highlight w:val="none"/>
              </w:rPr>
              <w:t>（11）耐震动性：安全充电状态的电池完全固定，以不低于3mm的振幅，不低于16.7Hz的频率震动一小时，无漏液，无电池膨胀及破裂，开路电压正常。</w:t>
            </w:r>
            <w:r>
              <w:rPr>
                <w:rFonts w:hint="eastAsia" w:ascii="宋体" w:hAnsi="宋体" w:cs="宋体"/>
                <w:color w:val="auto"/>
                <w:kern w:val="0"/>
                <w:szCs w:val="21"/>
                <w:highlight w:val="none"/>
              </w:rPr>
              <w:cr/>
            </w:r>
            <w:r>
              <w:rPr>
                <w:rFonts w:hint="eastAsia" w:ascii="宋体" w:hAnsi="宋体" w:cs="宋体"/>
                <w:color w:val="auto"/>
                <w:kern w:val="0"/>
                <w:szCs w:val="21"/>
                <w:highlight w:val="none"/>
              </w:rPr>
              <w:t>（12）耐冲击性：完全充电状态的电池从不低于20cm高处自然落至约1cm厚的硬木板上至少3次无漏液，无电池膨胀及破裂，开路电压正常。</w:t>
            </w:r>
            <w:r>
              <w:rPr>
                <w:rFonts w:hint="eastAsia" w:ascii="宋体" w:hAnsi="宋体" w:cs="宋体"/>
                <w:color w:val="auto"/>
                <w:kern w:val="0"/>
                <w:szCs w:val="21"/>
                <w:highlight w:val="none"/>
              </w:rPr>
              <w:cr/>
            </w:r>
            <w:r>
              <w:rPr>
                <w:rFonts w:hint="eastAsia" w:ascii="宋体" w:hAnsi="宋体" w:cs="宋体"/>
                <w:color w:val="auto"/>
                <w:kern w:val="0"/>
                <w:szCs w:val="21"/>
                <w:highlight w:val="none"/>
              </w:rPr>
              <w:t>（13）耐过放电性：约25摄氏度，完全充电状态的电池进行定电阻放电至少3个星期，恢复容量在75%以上。</w:t>
            </w:r>
            <w:r>
              <w:rPr>
                <w:rFonts w:hint="eastAsia" w:ascii="宋体" w:hAnsi="宋体" w:cs="宋体"/>
                <w:color w:val="auto"/>
                <w:kern w:val="0"/>
                <w:szCs w:val="21"/>
                <w:highlight w:val="none"/>
              </w:rPr>
              <w:cr/>
            </w:r>
            <w:r>
              <w:rPr>
                <w:rFonts w:hint="eastAsia" w:ascii="宋体" w:hAnsi="宋体" w:cs="宋体"/>
                <w:color w:val="auto"/>
                <w:kern w:val="0"/>
                <w:szCs w:val="21"/>
                <w:highlight w:val="none"/>
              </w:rPr>
              <w:t>（14）耐充电性：约25摄氏度，完全充电状态的电池0.1CA充电约48小时，无漏液，无电池膨胀及破裂，开路电压正常，容量维持率在95%及以上。</w:t>
            </w:r>
            <w:r>
              <w:rPr>
                <w:rFonts w:hint="eastAsia" w:ascii="宋体" w:hAnsi="宋体" w:cs="宋体"/>
                <w:color w:val="auto"/>
                <w:kern w:val="0"/>
                <w:szCs w:val="21"/>
                <w:highlight w:val="none"/>
              </w:rPr>
              <w:cr/>
            </w:r>
            <w:r>
              <w:rPr>
                <w:rFonts w:hint="eastAsia" w:ascii="宋体" w:hAnsi="宋体" w:cs="宋体"/>
                <w:color w:val="auto"/>
                <w:kern w:val="0"/>
                <w:szCs w:val="21"/>
                <w:highlight w:val="none"/>
              </w:rPr>
              <w:t>（15）耐大电流性：完全充电状态的电池2CA充电5分钟或10CA放电5秒钟。无导电部分熔断，无外观变形。</w:t>
            </w:r>
            <w:r>
              <w:rPr>
                <w:rFonts w:hint="eastAsia" w:ascii="宋体" w:hAnsi="宋体" w:cs="宋体"/>
                <w:color w:val="auto"/>
                <w:kern w:val="0"/>
                <w:szCs w:val="21"/>
                <w:highlight w:val="none"/>
              </w:rPr>
              <w:cr/>
            </w:r>
            <w:r>
              <w:rPr>
                <w:rFonts w:hint="eastAsia" w:ascii="宋体" w:hAnsi="宋体" w:cs="宋体"/>
                <w:color w:val="auto"/>
                <w:kern w:val="0"/>
                <w:szCs w:val="21"/>
                <w:highlight w:val="none"/>
              </w:rPr>
              <w:t>（16）不同温度下的放电容量：40℃时102%，25℃时100%，0℃时85%，-15℃时65%。</w:t>
            </w:r>
            <w:r>
              <w:rPr>
                <w:rFonts w:hint="eastAsia" w:ascii="宋体" w:hAnsi="宋体" w:cs="宋体"/>
                <w:color w:val="auto"/>
                <w:kern w:val="0"/>
                <w:szCs w:val="21"/>
                <w:highlight w:val="none"/>
              </w:rPr>
              <w:cr/>
            </w:r>
            <w:r>
              <w:rPr>
                <w:rFonts w:hint="eastAsia" w:ascii="宋体" w:hAnsi="宋体" w:cs="宋体"/>
                <w:color w:val="auto"/>
                <w:kern w:val="0"/>
                <w:szCs w:val="21"/>
                <w:highlight w:val="none"/>
              </w:rPr>
              <w:t>（17）蓄电池端电压的均衡性：单体蓄电池和由若干个单体组成一体的组合蓄电池，其各电池间的开路电压最高与最低差值≤36mV；蓄电池进入浮充状态24h后，各蓄电池之间的端电压差≤61mV。</w:t>
            </w:r>
            <w:r>
              <w:rPr>
                <w:rFonts w:hint="eastAsia" w:ascii="宋体" w:hAnsi="宋体" w:cs="宋体"/>
                <w:color w:val="auto"/>
                <w:kern w:val="0"/>
                <w:szCs w:val="21"/>
                <w:highlight w:val="none"/>
              </w:rPr>
              <w:cr/>
            </w:r>
            <w:r>
              <w:rPr>
                <w:rFonts w:hint="eastAsia" w:ascii="宋体" w:hAnsi="宋体" w:cs="宋体"/>
                <w:color w:val="auto"/>
                <w:kern w:val="0"/>
                <w:szCs w:val="21"/>
                <w:highlight w:val="none"/>
              </w:rPr>
              <w:t>（18）电池间连接电压降：蓄电池之间的连接电压降不大于5.5mV。</w:t>
            </w:r>
            <w:r>
              <w:rPr>
                <w:rFonts w:hint="eastAsia" w:ascii="宋体" w:hAnsi="宋体" w:cs="宋体"/>
                <w:color w:val="auto"/>
                <w:kern w:val="0"/>
                <w:szCs w:val="21"/>
                <w:highlight w:val="none"/>
              </w:rPr>
              <w:cr/>
            </w:r>
            <w:r>
              <w:rPr>
                <w:rFonts w:hint="eastAsia" w:ascii="宋体" w:hAnsi="宋体" w:cs="宋体"/>
                <w:color w:val="auto"/>
                <w:kern w:val="0"/>
                <w:szCs w:val="21"/>
                <w:highlight w:val="none"/>
              </w:rPr>
              <w:t>（19）同组蓄电池的内阻偏差值不超过6.5％。</w:t>
            </w:r>
            <w:r>
              <w:rPr>
                <w:rFonts w:hint="eastAsia" w:ascii="宋体" w:hAnsi="宋体" w:cs="宋体"/>
                <w:color w:val="auto"/>
                <w:kern w:val="0"/>
                <w:szCs w:val="21"/>
                <w:highlight w:val="none"/>
              </w:rPr>
              <w:cr/>
            </w:r>
            <w:r>
              <w:rPr>
                <w:rFonts w:hint="eastAsia" w:ascii="宋体" w:hAnsi="宋体" w:cs="宋体"/>
                <w:color w:val="auto"/>
                <w:kern w:val="0"/>
                <w:szCs w:val="21"/>
                <w:highlight w:val="none"/>
              </w:rPr>
              <w:t>（20）电池性能：</w:t>
            </w:r>
            <w:r>
              <w:rPr>
                <w:rFonts w:hint="eastAsia" w:ascii="宋体" w:hAnsi="宋体" w:cs="宋体"/>
                <w:color w:val="auto"/>
                <w:kern w:val="0"/>
                <w:szCs w:val="21"/>
                <w:highlight w:val="none"/>
              </w:rPr>
              <w:cr/>
            </w:r>
            <w:r>
              <w:rPr>
                <w:rFonts w:hint="eastAsia" w:ascii="宋体" w:hAnsi="宋体" w:cs="宋体"/>
                <w:color w:val="auto"/>
                <w:kern w:val="0"/>
                <w:szCs w:val="21"/>
                <w:highlight w:val="none"/>
              </w:rPr>
              <w:t>①热失控敏感性能：蓄电池按《</w:t>
            </w:r>
            <w:bookmarkStart w:id="83" w:name="OLE_LINK6"/>
            <w:bookmarkStart w:id="84" w:name="OLE_LINK7"/>
            <w:r>
              <w:rPr>
                <w:rFonts w:hint="eastAsia" w:ascii="宋体" w:hAnsi="宋体" w:cs="宋体"/>
                <w:color w:val="auto"/>
                <w:kern w:val="0"/>
                <w:szCs w:val="21"/>
                <w:highlight w:val="none"/>
              </w:rPr>
              <w:t>YD/T 1360-2005 通信用阀控式密封胶体蓄电池</w:t>
            </w:r>
            <w:bookmarkEnd w:id="83"/>
            <w:bookmarkEnd w:id="84"/>
            <w:r>
              <w:rPr>
                <w:rFonts w:hint="eastAsia" w:ascii="宋体" w:hAnsi="宋体" w:cs="宋体"/>
                <w:color w:val="auto"/>
                <w:kern w:val="0"/>
                <w:szCs w:val="21"/>
                <w:highlight w:val="none"/>
              </w:rPr>
              <w:t>》规定的方法试验，蓄电池温度≤34.5℃，每24h的电流增长率≤32％。</w:t>
            </w:r>
            <w:r>
              <w:rPr>
                <w:rFonts w:hint="eastAsia" w:ascii="宋体" w:hAnsi="宋体" w:cs="宋体"/>
                <w:color w:val="auto"/>
                <w:kern w:val="0"/>
                <w:szCs w:val="21"/>
                <w:highlight w:val="none"/>
              </w:rPr>
              <w:cr/>
            </w:r>
            <w:r>
              <w:rPr>
                <w:rFonts w:hint="eastAsia" w:ascii="宋体" w:hAnsi="宋体" w:cs="宋体"/>
                <w:color w:val="auto"/>
                <w:kern w:val="0"/>
                <w:szCs w:val="21"/>
                <w:highlight w:val="none"/>
              </w:rPr>
              <w:t>②过度放电性能：蓄电池按《YD/T 1360-2005 通信用阀控式密封胶体蓄电池》规定的方法试验，其容量恢复值≥90％。</w:t>
            </w:r>
            <w:r>
              <w:rPr>
                <w:rFonts w:hint="eastAsia" w:ascii="宋体" w:hAnsi="宋体" w:cs="宋体"/>
                <w:color w:val="auto"/>
                <w:kern w:val="0"/>
                <w:szCs w:val="21"/>
                <w:highlight w:val="none"/>
              </w:rPr>
              <w:cr/>
            </w:r>
            <w:r>
              <w:rPr>
                <w:rFonts w:hint="eastAsia" w:ascii="宋体" w:hAnsi="宋体" w:cs="宋体"/>
                <w:color w:val="auto"/>
                <w:kern w:val="0"/>
                <w:szCs w:val="21"/>
                <w:highlight w:val="none"/>
              </w:rPr>
              <w:t>③再充电性能：蓄电池按《YD/T 1360-2005 通信用阀控式密封胶体蓄电池》规定的方法试验，恒压充电24h的再充电能力因素≥93.5％。</w:t>
            </w:r>
            <w:r>
              <w:rPr>
                <w:rFonts w:hint="eastAsia" w:ascii="宋体" w:hAnsi="宋体" w:cs="宋体"/>
                <w:color w:val="auto"/>
                <w:kern w:val="0"/>
                <w:szCs w:val="21"/>
                <w:highlight w:val="none"/>
              </w:rPr>
              <w:cr/>
            </w:r>
            <w:r>
              <w:rPr>
                <w:rFonts w:hint="eastAsia" w:ascii="宋体" w:hAnsi="宋体" w:cs="宋体"/>
                <w:color w:val="auto"/>
                <w:kern w:val="0"/>
                <w:szCs w:val="21"/>
                <w:highlight w:val="none"/>
              </w:rPr>
              <w:t>④容量保存率：在25℃±5℃环境中静置28天，静置28天后容量保存率应不低于97%，电池密封反应效率不低于97% 。</w:t>
            </w:r>
            <w:r>
              <w:rPr>
                <w:rFonts w:hint="eastAsia" w:ascii="宋体" w:hAnsi="宋体" w:cs="宋体"/>
                <w:color w:val="auto"/>
                <w:kern w:val="0"/>
                <w:szCs w:val="21"/>
                <w:highlight w:val="none"/>
              </w:rPr>
              <w:cr/>
            </w:r>
            <w:r>
              <w:rPr>
                <w:rFonts w:hint="eastAsia" w:ascii="宋体" w:hAnsi="宋体" w:cs="宋体"/>
                <w:color w:val="auto"/>
                <w:kern w:val="0"/>
                <w:szCs w:val="21"/>
                <w:highlight w:val="none"/>
              </w:rPr>
              <w:t>⑤容量一致性：同组蓄电池≥10h率容量试验时，最大与最小实际容量差值不大于1.9％。</w:t>
            </w:r>
          </w:p>
          <w:p w14:paraId="1C4A501B">
            <w:pPr>
              <w:pStyle w:val="8"/>
              <w:wordWrap w:val="0"/>
              <w:spacing w:line="360" w:lineRule="exact"/>
              <w:rPr>
                <w:rFonts w:ascii="宋体" w:hAnsi="宋体" w:cs="宋体"/>
                <w:b/>
                <w:color w:val="auto"/>
                <w:kern w:val="0"/>
                <w:szCs w:val="21"/>
                <w:highlight w:val="none"/>
              </w:rPr>
            </w:pPr>
            <w:r>
              <w:rPr>
                <w:rFonts w:hint="eastAsia" w:ascii="宋体" w:hAnsi="宋体" w:cs="宋体"/>
                <w:color w:val="auto"/>
                <w:kern w:val="0"/>
                <w:szCs w:val="21"/>
                <w:highlight w:val="none"/>
              </w:rPr>
              <w:t>⑥</w:t>
            </w:r>
            <w:r>
              <w:rPr>
                <w:rFonts w:hint="eastAsia" w:ascii="宋体" w:hAnsi="宋体" w:cs="宋体"/>
                <w:b/>
                <w:color w:val="auto"/>
                <w:kern w:val="0"/>
                <w:szCs w:val="21"/>
                <w:highlight w:val="none"/>
              </w:rPr>
              <w:t>供应商于响应文件中必须提供所竞产品由国家认可的第三方检测机构出具的满足以上第①-⑤项技术参数的检测报告复印件，并加盖供应商电子签章。</w:t>
            </w:r>
            <w:r>
              <w:rPr>
                <w:rFonts w:hint="eastAsia" w:ascii="宋体" w:hAnsi="宋体" w:cs="宋体"/>
                <w:color w:val="auto"/>
                <w:kern w:val="0"/>
                <w:szCs w:val="21"/>
                <w:highlight w:val="none"/>
              </w:rPr>
              <w:cr/>
            </w:r>
            <w:r>
              <w:rPr>
                <w:rFonts w:hint="eastAsia" w:ascii="宋体" w:hAnsi="宋体" w:cs="宋体"/>
                <w:color w:val="auto"/>
                <w:kern w:val="0"/>
                <w:szCs w:val="21"/>
                <w:highlight w:val="none"/>
              </w:rPr>
              <w:t>⑦12V蓄电池≥60℃高温加速浮充寿命≥8次。</w:t>
            </w:r>
            <w:r>
              <w:rPr>
                <w:rFonts w:hint="eastAsia" w:ascii="宋体" w:hAnsi="宋体" w:cs="宋体"/>
                <w:color w:val="auto"/>
                <w:kern w:val="0"/>
                <w:szCs w:val="21"/>
                <w:highlight w:val="none"/>
              </w:rPr>
              <w:cr/>
            </w:r>
            <w:r>
              <w:rPr>
                <w:rFonts w:hint="eastAsia" w:ascii="宋体" w:hAnsi="宋体" w:cs="宋体"/>
                <w:color w:val="auto"/>
                <w:kern w:val="0"/>
                <w:szCs w:val="21"/>
                <w:highlight w:val="none"/>
              </w:rPr>
              <w:t>⑧为保证蓄电池的质量稳定性及一致性，蓄电池采用自制隔板。</w:t>
            </w:r>
            <w:r>
              <w:rPr>
                <w:rFonts w:hint="eastAsia" w:ascii="宋体" w:hAnsi="宋体" w:cs="宋体"/>
                <w:color w:val="auto"/>
                <w:kern w:val="0"/>
                <w:szCs w:val="21"/>
                <w:highlight w:val="none"/>
              </w:rPr>
              <w:cr/>
            </w:r>
            <w:r>
              <w:rPr>
                <w:rFonts w:hint="eastAsia" w:ascii="宋体" w:hAnsi="宋体" w:cs="宋体"/>
                <w:color w:val="auto"/>
                <w:kern w:val="0"/>
                <w:szCs w:val="21"/>
                <w:highlight w:val="none"/>
              </w:rPr>
              <w:t>（21）蓄电池抗震加固符合《通信用电源设备抗地震性能检测规范》（YD/T 5096-2016）的要求。满足≥8烈度抗震性能检测要求（</w:t>
            </w:r>
            <w:r>
              <w:rPr>
                <w:rFonts w:hint="eastAsia" w:ascii="宋体" w:hAnsi="宋体" w:cs="宋体"/>
                <w:b/>
                <w:color w:val="auto"/>
                <w:kern w:val="0"/>
                <w:szCs w:val="21"/>
                <w:highlight w:val="none"/>
              </w:rPr>
              <w:t>供应商于响应文件中必须提供所竞产品抗震性能合格证及由国家认可的第三方检测机构出具的符合本项抗震性能检测要求的抗震检测报告复印件，并加盖供应商电子签章</w:t>
            </w:r>
            <w:r>
              <w:rPr>
                <w:rFonts w:hint="eastAsia" w:ascii="宋体" w:hAnsi="宋体" w:cs="宋体"/>
                <w:color w:val="auto"/>
                <w:kern w:val="0"/>
                <w:szCs w:val="21"/>
                <w:highlight w:val="none"/>
              </w:rPr>
              <w:t>）。</w:t>
            </w:r>
          </w:p>
          <w:p w14:paraId="69EFE4A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（22）包含本次项目所需的电源线、电源转换头、信号线、网线、PVC管、插座、辅材(扎带、接头)等。</w:t>
            </w:r>
            <w:r>
              <w:rPr>
                <w:rFonts w:hint="eastAsia" w:ascii="宋体" w:hAnsi="宋体" w:cs="宋体"/>
                <w:color w:val="auto"/>
                <w:kern w:val="0"/>
                <w:szCs w:val="21"/>
                <w:highlight w:val="none"/>
              </w:rPr>
              <w:cr/>
            </w:r>
            <w:r>
              <w:rPr>
                <w:rFonts w:hint="eastAsia" w:ascii="宋体" w:hAnsi="宋体" w:cs="宋体"/>
                <w:color w:val="auto"/>
                <w:kern w:val="0"/>
                <w:szCs w:val="21"/>
                <w:highlight w:val="none"/>
              </w:rPr>
              <w:t>（23）配备专用配套电池柜4套。</w:t>
            </w:r>
            <w:r>
              <w:rPr>
                <w:rFonts w:hint="eastAsia" w:ascii="宋体" w:hAnsi="宋体" w:cs="宋体"/>
                <w:color w:val="auto"/>
                <w:kern w:val="0"/>
                <w:szCs w:val="21"/>
                <w:highlight w:val="none"/>
              </w:rPr>
              <w:cr/>
            </w:r>
            <w:r>
              <w:rPr>
                <w:rFonts w:hint="eastAsia" w:ascii="宋体" w:hAnsi="宋体" w:cs="宋体"/>
                <w:color w:val="auto"/>
                <w:kern w:val="0"/>
                <w:szCs w:val="21"/>
                <w:highlight w:val="none"/>
              </w:rPr>
              <w:t>3.2太阳能发电板</w:t>
            </w:r>
          </w:p>
          <w:p w14:paraId="33233056">
            <w:pPr>
              <w:wordWrap w:val="0"/>
              <w:adjustRightInd w:val="0"/>
              <w:snapToGrid w:val="0"/>
              <w:spacing w:line="360" w:lineRule="exact"/>
              <w:rPr>
                <w:rFonts w:ascii="宋体" w:hAnsi="宋体" w:cs="宋体"/>
                <w:color w:val="auto"/>
                <w:kern w:val="0"/>
                <w:szCs w:val="21"/>
                <w:highlight w:val="none"/>
              </w:rPr>
            </w:pPr>
            <w:bookmarkStart w:id="85" w:name="OLE_LINK8"/>
            <w:r>
              <w:rPr>
                <w:rFonts w:hint="eastAsia" w:ascii="宋体" w:hAnsi="宋体" w:cs="宋体"/>
                <w:color w:val="auto"/>
                <w:kern w:val="0"/>
                <w:szCs w:val="21"/>
                <w:highlight w:val="none"/>
              </w:rPr>
              <w:t>苏桥、宛田、兴坪三站各1套共3套</w:t>
            </w:r>
            <w:bookmarkEnd w:id="85"/>
            <w:r>
              <w:rPr>
                <w:rFonts w:hint="eastAsia" w:ascii="宋体" w:hAnsi="宋体" w:cs="宋体"/>
                <w:color w:val="auto"/>
                <w:kern w:val="0"/>
                <w:szCs w:val="21"/>
                <w:highlight w:val="none"/>
              </w:rPr>
              <w:t>，每套</w:t>
            </w:r>
            <w:r>
              <w:rPr>
                <w:rFonts w:hint="eastAsia" w:ascii="宋体" w:hAnsi="宋体" w:cs="宋体"/>
                <w:color w:val="auto"/>
                <w:szCs w:val="21"/>
                <w:highlight w:val="none"/>
              </w:rPr>
              <w:t>电源系统</w:t>
            </w:r>
            <w:r>
              <w:rPr>
                <w:rFonts w:hint="eastAsia" w:ascii="宋体" w:hAnsi="宋体" w:cs="宋体"/>
                <w:color w:val="auto"/>
                <w:kern w:val="0"/>
                <w:szCs w:val="21"/>
                <w:highlight w:val="none"/>
              </w:rPr>
              <w:t>含单品太阳能发电板不少于4块，单块参数：</w:t>
            </w:r>
          </w:p>
          <w:p w14:paraId="32ED99D1">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（1）峰值功率(Pm)：≥200W，须与太阳能充电控制器、蓄电池相配套使用。</w:t>
            </w:r>
          </w:p>
          <w:p w14:paraId="6032AC75">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（2）峰值电压(Vmp)：≥18V。</w:t>
            </w:r>
          </w:p>
          <w:p w14:paraId="130EF3ED">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（3）峰值电流(Imp)：≥11.12A。</w:t>
            </w:r>
          </w:p>
          <w:p w14:paraId="3FB08265">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（4）开路电压(Voc)：≥22V。</w:t>
            </w:r>
          </w:p>
          <w:p w14:paraId="7187387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（5）短路电流(ISC)：≥11.98A。</w:t>
            </w:r>
          </w:p>
          <w:p w14:paraId="6B8E8DB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（6）产品尺寸≤1480×680×35mm。 </w:t>
            </w:r>
          </w:p>
          <w:p w14:paraId="56DF86D0">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（7）工作温度：-40℃to+85℃。</w:t>
            </w:r>
          </w:p>
          <w:p w14:paraId="5843B19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（8）最大系统电压：≥1000VDC。</w:t>
            </w:r>
          </w:p>
          <w:p w14:paraId="38014B3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（9）标准测试条件(STC)：辐照度≥100W/m</w:t>
            </w:r>
            <w:r>
              <w:rPr>
                <w:rFonts w:hint="eastAsia" w:ascii="宋体" w:hAnsi="宋体" w:cs="宋体"/>
                <w:color w:val="auto"/>
                <w:kern w:val="0"/>
                <w:szCs w:val="21"/>
                <w:highlight w:val="none"/>
                <w:vertAlign w:val="superscript"/>
              </w:rPr>
              <w:t>2</w:t>
            </w:r>
            <w:r>
              <w:rPr>
                <w:rFonts w:hint="eastAsia" w:ascii="宋体" w:hAnsi="宋体" w:cs="宋体"/>
                <w:color w:val="auto"/>
                <w:kern w:val="0"/>
                <w:szCs w:val="21"/>
                <w:highlight w:val="none"/>
              </w:rPr>
              <w:t>，电池片温度 25℃，AM=1.5。</w:t>
            </w:r>
          </w:p>
          <w:p w14:paraId="24AE865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（10）电池片类型：约156×156mm单晶硅电池片A类片。</w:t>
            </w:r>
          </w:p>
          <w:p w14:paraId="5665AFB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（11）电池片数量和排列：4×9PCS。</w:t>
            </w:r>
          </w:p>
          <w:p w14:paraId="161405E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（12）电池片转换效率：不低于17.2%。</w:t>
            </w:r>
          </w:p>
          <w:p w14:paraId="1934699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（13）接线盒类型：密封防水。</w:t>
            </w:r>
          </w:p>
          <w:p w14:paraId="0AC4399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（14）接线盒防护等级：不低于IP68。</w:t>
            </w:r>
          </w:p>
          <w:p w14:paraId="24E277B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（15）质量保证：十二年内组件功率保持在90%以上；二十五年保持在83%以上。</w:t>
            </w:r>
          </w:p>
          <w:p w14:paraId="1F16F50E">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（16）防损强度：约227克钢球从≥1米的高度垂直落下和≥60m/s风速倒下无损。</w:t>
            </w:r>
          </w:p>
          <w:p w14:paraId="4EC3EA8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（17）冰雹压力测试：≥23m/s，约7.53g。</w:t>
            </w:r>
          </w:p>
          <w:p w14:paraId="4D0A4CEF">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szCs w:val="21"/>
                <w:highlight w:val="none"/>
              </w:rPr>
              <w:t>（18）太阳能系统支架：</w:t>
            </w:r>
          </w:p>
          <w:p w14:paraId="1F3656A0">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①太阳能发电板专用镀锌C型钢支架。</w:t>
            </w:r>
          </w:p>
          <w:p w14:paraId="02A5FDE3">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②支架倾斜角可调。</w:t>
            </w:r>
          </w:p>
          <w:p w14:paraId="3509A510">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③不锈钢螺钉、螺帽、垫片。</w:t>
            </w:r>
          </w:p>
          <w:p w14:paraId="4E0E281D">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④根据水位台顶进行安装。</w:t>
            </w:r>
          </w:p>
          <w:p w14:paraId="1025AE17">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3.3</w:t>
            </w:r>
            <w:r>
              <w:rPr>
                <w:rFonts w:hint="eastAsia" w:ascii="宋体" w:hAnsi="宋体" w:cs="宋体"/>
                <w:bCs/>
                <w:color w:val="auto"/>
                <w:szCs w:val="21"/>
                <w:highlight w:val="none"/>
              </w:rPr>
              <w:t>太阳能充电控制器</w:t>
            </w:r>
          </w:p>
          <w:p w14:paraId="10945BC2">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color w:val="auto"/>
                <w:kern w:val="0"/>
                <w:szCs w:val="21"/>
                <w:highlight w:val="none"/>
              </w:rPr>
              <w:t>苏桥、宛田、兴坪三站各1套共3套。</w:t>
            </w:r>
          </w:p>
          <w:p w14:paraId="2690EC2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bCs/>
                <w:color w:val="auto"/>
                <w:kern w:val="0"/>
                <w:szCs w:val="21"/>
                <w:highlight w:val="none"/>
              </w:rPr>
              <w:t>（1）液晶(LCD)显示屏，</w:t>
            </w:r>
            <w:r>
              <w:rPr>
                <w:rFonts w:hint="eastAsia" w:ascii="宋体" w:hAnsi="宋体" w:cs="宋体"/>
                <w:color w:val="auto"/>
                <w:kern w:val="0"/>
                <w:szCs w:val="21"/>
                <w:highlight w:val="none"/>
              </w:rPr>
              <w:t>背光节电模式。主要显示实时电池电压、电池容量、输入输出电压、输出频率、负载率等。可根据不同的工作状态自动切换显示界面。具有太阳能充电指示灯、直流负载指示灯。</w:t>
            </w:r>
          </w:p>
          <w:p w14:paraId="20C17E3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支持市电/太阳能智能充电，具备过载、电池过充、电池过放、输出短路、过温等完善的保护功能。具备电源反接、负载短路、过流、浪涌、高温等保护功能；具备过充保护、电池欠压保护、电池过压保护、输出过载保护、输出短路保护、温度过高保护。</w:t>
            </w:r>
          </w:p>
          <w:p w14:paraId="3A141E8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（3）报警：输出短路、过载、温度过高、电池欠压及过压。</w:t>
            </w:r>
          </w:p>
          <w:p w14:paraId="30E5233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（4）全贴片模块化结构。</w:t>
            </w:r>
          </w:p>
          <w:p w14:paraId="6185224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（5）额定容量：≥600W。</w:t>
            </w:r>
          </w:p>
          <w:p w14:paraId="4B814FE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（6）太阳能最大输入功率：≥650W。</w:t>
            </w:r>
          </w:p>
          <w:p w14:paraId="3AE2C3F5">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（7）太阳能最大开路电压：≥50Vdc。</w:t>
            </w:r>
          </w:p>
          <w:p w14:paraId="2884579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（8）太阳能最大输入电流：≥50A。</w:t>
            </w:r>
          </w:p>
          <w:p w14:paraId="7820D73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（9）电池电压(蓄电池) ：12V-24Vdc 自动识别。</w:t>
            </w:r>
          </w:p>
          <w:p w14:paraId="1EECCB3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（10）电池电压范围：10.7-13.8Vdc/21.4-27.6Vdc。</w:t>
            </w:r>
          </w:p>
          <w:p w14:paraId="7D3C06D1">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（11）太阳能充电电压：主充约14.4V，浮充约13.8V。</w:t>
            </w:r>
          </w:p>
          <w:p w14:paraId="02DE6EF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（12）最大充电电流：太阳能：≥50A。</w:t>
            </w:r>
          </w:p>
          <w:p w14:paraId="2A54016D">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（13）电池过放电保护电压：不低于11.2V。</w:t>
            </w:r>
          </w:p>
          <w:p w14:paraId="73C78A90">
            <w:pPr>
              <w:wordWrap w:val="0"/>
              <w:adjustRightInd w:val="0"/>
              <w:snapToGrid w:val="0"/>
              <w:spacing w:line="360" w:lineRule="exact"/>
              <w:rPr>
                <w:rFonts w:ascii="宋体" w:hAnsi="宋体" w:cs="宋体"/>
                <w:bCs/>
                <w:color w:val="auto"/>
                <w:szCs w:val="21"/>
                <w:highlight w:val="none"/>
              </w:rPr>
            </w:pPr>
            <w:r>
              <w:rPr>
                <w:rFonts w:hint="eastAsia" w:ascii="宋体" w:hAnsi="宋体" w:cs="宋体"/>
                <w:bCs/>
                <w:color w:val="auto"/>
                <w:kern w:val="0"/>
                <w:szCs w:val="21"/>
                <w:highlight w:val="none"/>
              </w:rPr>
              <w:t>3.4 不低于4G</w:t>
            </w:r>
            <w:r>
              <w:rPr>
                <w:rFonts w:hint="eastAsia" w:ascii="宋体" w:hAnsi="宋体" w:cs="宋体"/>
                <w:bCs/>
                <w:color w:val="auto"/>
                <w:szCs w:val="21"/>
                <w:highlight w:val="none"/>
              </w:rPr>
              <w:t>路由器</w:t>
            </w:r>
          </w:p>
          <w:p w14:paraId="491BB098">
            <w:pPr>
              <w:wordWrap w:val="0"/>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苏桥、宛田、兴坪、永福（洛清江）等4站共4套。</w:t>
            </w:r>
          </w:p>
          <w:p w14:paraId="4652A1D7">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（1）最多可连接用户：10-20人。</w:t>
            </w:r>
          </w:p>
          <w:p w14:paraId="6B17A12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（2）有线传输率：千兆端口。</w:t>
            </w:r>
          </w:p>
          <w:p w14:paraId="048E2C2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（3）网络支持：不低于4G。</w:t>
            </w:r>
          </w:p>
          <w:p w14:paraId="5D40F66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（4）无线协议：参考或相当于Wi-Fi 5。</w:t>
            </w:r>
          </w:p>
          <w:p w14:paraId="2039177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（5）网络接口：不少于4个10M/100/1000Mbps以太网接口，支持WAN/LAN自适应（网口盲插）。</w:t>
            </w:r>
          </w:p>
          <w:p w14:paraId="494638D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（6）网络频率带：LTE: B1/ B3/ B7/ B8/ B20/ B28/B32/B38；UMTS: B1/B8。</w:t>
            </w:r>
          </w:p>
          <w:p w14:paraId="25FED58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（7）天线类型：参考或相当于LTE/UMTS主和分集天线。</w:t>
            </w:r>
          </w:p>
          <w:p w14:paraId="3C51DAC8">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（8）传输标准：802.11ac/a/n 2×2 &amp; 802.11b/g/n 2×2, MIMO。</w:t>
            </w:r>
          </w:p>
          <w:p w14:paraId="2B42FC7B">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（9）无线传输速率：不低于DBDC, ≥1167 Mbps。</w:t>
            </w:r>
          </w:p>
          <w:p w14:paraId="43DCBBA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（10）无线频率带：不低于2.4 GHz &amp; 5GHz，参考或相当于band steering。</w:t>
            </w:r>
          </w:p>
          <w:p w14:paraId="0617954B">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（11）运营：三网通。</w:t>
            </w:r>
          </w:p>
          <w:p w14:paraId="51C7046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（12）LTE传输速率：不低于300 Mbps/100 Mbps（理论值）。‌</w:t>
            </w:r>
          </w:p>
          <w:p w14:paraId="5B000EE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（13）支持APP控制，支持MESH组网，内置‌防火墙、‌WPS、‌VPN和QoS限速功能。</w:t>
            </w:r>
          </w:p>
          <w:p w14:paraId="2C486B9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3.5防雷模块</w:t>
            </w:r>
          </w:p>
          <w:p w14:paraId="7154581E">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bCs/>
                <w:color w:val="auto"/>
                <w:szCs w:val="21"/>
                <w:highlight w:val="none"/>
              </w:rPr>
              <w:t>苏桥、宛田、兴坪、永福（洛清江）等4站共4个。</w:t>
            </w:r>
          </w:p>
          <w:p w14:paraId="4BC5760D">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（1）标称放电电流：</w:t>
            </w:r>
            <w:r>
              <w:rPr>
                <w:rFonts w:hint="eastAsia" w:ascii="宋体" w:hAnsi="宋体" w:cs="宋体"/>
                <w:color w:val="auto"/>
                <w:kern w:val="0"/>
                <w:szCs w:val="21"/>
                <w:highlight w:val="none"/>
              </w:rPr>
              <w:t>≥</w:t>
            </w:r>
            <w:r>
              <w:rPr>
                <w:rFonts w:hint="eastAsia" w:ascii="宋体" w:hAnsi="宋体" w:cs="宋体"/>
                <w:color w:val="auto"/>
                <w:szCs w:val="21"/>
                <w:highlight w:val="none"/>
              </w:rPr>
              <w:t>20kA。</w:t>
            </w:r>
          </w:p>
          <w:p w14:paraId="714EB400">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（2）最大通流容量：</w:t>
            </w:r>
            <w:r>
              <w:rPr>
                <w:rFonts w:hint="eastAsia" w:ascii="宋体" w:hAnsi="宋体" w:cs="宋体"/>
                <w:color w:val="auto"/>
                <w:kern w:val="0"/>
                <w:szCs w:val="21"/>
                <w:highlight w:val="none"/>
              </w:rPr>
              <w:t>≥</w:t>
            </w:r>
            <w:r>
              <w:rPr>
                <w:rFonts w:hint="eastAsia" w:ascii="宋体" w:hAnsi="宋体" w:cs="宋体"/>
                <w:color w:val="auto"/>
                <w:szCs w:val="21"/>
                <w:highlight w:val="none"/>
              </w:rPr>
              <w:t>40kA。</w:t>
            </w:r>
          </w:p>
          <w:p w14:paraId="735C57B0">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（3）保护水平（20kA，8/20μs）：</w:t>
            </w:r>
            <w:r>
              <w:rPr>
                <w:rFonts w:hint="eastAsia" w:ascii="宋体" w:hAnsi="宋体" w:cs="宋体"/>
                <w:color w:val="auto"/>
                <w:kern w:val="0"/>
                <w:szCs w:val="21"/>
                <w:highlight w:val="none"/>
              </w:rPr>
              <w:t>≥</w:t>
            </w:r>
            <w:r>
              <w:rPr>
                <w:rFonts w:hint="eastAsia" w:ascii="宋体" w:hAnsi="宋体" w:cs="宋体"/>
                <w:color w:val="auto"/>
                <w:szCs w:val="21"/>
                <w:highlight w:val="none"/>
              </w:rPr>
              <w:t>300V。</w:t>
            </w:r>
          </w:p>
          <w:p w14:paraId="389CE629">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（4）响应时间：≤25ns。</w:t>
            </w:r>
          </w:p>
          <w:p w14:paraId="76368A08">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3.6直流DC12V24V36V转变交流AC24V球机太阳能监控逆变电源转换器。</w:t>
            </w:r>
          </w:p>
          <w:p w14:paraId="255A5EA0">
            <w:pPr>
              <w:wordWrap w:val="0"/>
              <w:adjustRightInd w:val="0"/>
              <w:snapToGrid w:val="0"/>
              <w:spacing w:line="360" w:lineRule="exact"/>
              <w:rPr>
                <w:rFonts w:ascii="宋体" w:hAnsi="宋体" w:cs="宋体"/>
                <w:color w:val="auto"/>
                <w:szCs w:val="21"/>
                <w:highlight w:val="none"/>
              </w:rPr>
            </w:pPr>
            <w:r>
              <w:rPr>
                <w:rFonts w:hint="eastAsia" w:ascii="宋体" w:hAnsi="宋体" w:cs="宋体"/>
                <w:bCs/>
                <w:color w:val="auto"/>
                <w:szCs w:val="21"/>
                <w:highlight w:val="none"/>
              </w:rPr>
              <w:t>苏桥、宛田、兴坪等3站共3套。</w:t>
            </w:r>
          </w:p>
          <w:p w14:paraId="16ECF49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szCs w:val="21"/>
                <w:highlight w:val="none"/>
              </w:rPr>
              <w:t>（1）3套，用于</w:t>
            </w:r>
            <w:r>
              <w:rPr>
                <w:rFonts w:hint="eastAsia" w:ascii="宋体" w:hAnsi="宋体" w:cs="宋体"/>
                <w:color w:val="auto"/>
                <w:kern w:val="0"/>
                <w:szCs w:val="21"/>
                <w:highlight w:val="none"/>
              </w:rPr>
              <w:t>苏桥、宛田、兴坪三站</w:t>
            </w:r>
          </w:p>
          <w:p w14:paraId="1B6F53B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（2）输入电压：直流DC12V24V36V48V60V72V。</w:t>
            </w:r>
          </w:p>
          <w:p w14:paraId="18EB62A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（3）输出电压：交流AC24V。</w:t>
            </w:r>
          </w:p>
          <w:p w14:paraId="193586D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（4）输出电流：≥5A。</w:t>
            </w:r>
          </w:p>
          <w:p w14:paraId="35822FC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（5）输出频率：≥50HZ。</w:t>
            </w:r>
          </w:p>
          <w:p w14:paraId="5E6FF168">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（6）转换效率：约为90%。</w:t>
            </w:r>
          </w:p>
          <w:p w14:paraId="078D1640">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（7）环境温度：－40℃～60℃。</w:t>
            </w:r>
          </w:p>
          <w:p w14:paraId="4A9B453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（8）接线方式：输入直流，红线+黑线-，输出交流，黄线，防水，防尘，防潮，抗震。</w:t>
            </w:r>
          </w:p>
          <w:p w14:paraId="41BABF5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（9）实际应用可以接入电池，电瓶，开关电源等直流电压，室外太阳能电源、汽车及室内安装使用，可以长期稳定的供电云台和监控球机，电源全防水设计。</w:t>
            </w:r>
          </w:p>
          <w:p w14:paraId="344A880E">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3.7在线式电源转换器</w:t>
            </w:r>
          </w:p>
          <w:p w14:paraId="2A523DB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（1）1套，用于永福（洛清江）站</w:t>
            </w:r>
            <w:r>
              <w:rPr>
                <w:rFonts w:hint="eastAsia" w:ascii="宋体" w:hAnsi="宋体" w:cs="宋体"/>
                <w:color w:val="auto"/>
                <w:szCs w:val="21"/>
                <w:highlight w:val="none"/>
              </w:rPr>
              <w:t>视频水位识别系统、视频监控系统的供电系统。</w:t>
            </w:r>
          </w:p>
          <w:p w14:paraId="3015FA35">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（2）不低于1KVA/900W在线式，塔式220V/230/240Vac。</w:t>
            </w:r>
          </w:p>
          <w:p w14:paraId="562C989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（3）50Hz/60Hz兼容，无电池。</w:t>
            </w:r>
          </w:p>
          <w:p w14:paraId="07E6FB2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（4）约156mm宽×150mm高×295mm深，约4Kg。</w:t>
            </w:r>
          </w:p>
          <w:p w14:paraId="433DCB4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（5）输入接口10A国标插头、输出为10A国标输出插座至少3个；内置8A充电器。</w:t>
            </w:r>
          </w:p>
          <w:p w14:paraId="34AC40E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（6）大屏幕LCD显示。</w:t>
            </w:r>
          </w:p>
          <w:p w14:paraId="4F42BD2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（7）通讯包括但不限于B型USB、DB-9 RS-232接口等。</w:t>
            </w:r>
          </w:p>
          <w:p w14:paraId="4E5F55D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（8）纯正弦输出在线式，每组电池不少于3节。</w:t>
            </w:r>
          </w:p>
          <w:p w14:paraId="3A6CD65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szCs w:val="21"/>
                <w:highlight w:val="none"/>
              </w:rPr>
              <w:t>3.8</w:t>
            </w:r>
            <w:r>
              <w:rPr>
                <w:rFonts w:hint="eastAsia" w:ascii="宋体" w:hAnsi="宋体" w:cs="宋体"/>
                <w:color w:val="auto"/>
                <w:kern w:val="0"/>
                <w:szCs w:val="21"/>
                <w:highlight w:val="none"/>
              </w:rPr>
              <w:t>防水配电箱</w:t>
            </w:r>
          </w:p>
          <w:p w14:paraId="7C66F0F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（1）材质：不锈钢。</w:t>
            </w:r>
          </w:p>
          <w:p w14:paraId="1437F4A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（2）防护等级：用于户外不低于IP54。</w:t>
            </w:r>
          </w:p>
          <w:p w14:paraId="41B15CF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（3）2mm及以上不锈钢材质制造。</w:t>
            </w:r>
          </w:p>
          <w:p w14:paraId="4C47852F">
            <w:pPr>
              <w:wordWrap w:val="0"/>
              <w:adjustRightInd w:val="0"/>
              <w:snapToGrid w:val="0"/>
              <w:spacing w:line="360" w:lineRule="exact"/>
              <w:rPr>
                <w:rFonts w:ascii="宋体" w:hAnsi="宋体" w:cs="宋体"/>
                <w:b/>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本项号太阳能电源供电系统为视频水位识别系统、视频监控系统共用。</w:t>
            </w:r>
          </w:p>
        </w:tc>
      </w:tr>
      <w:bookmarkEnd w:id="81"/>
      <w:tr w14:paraId="67B78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auto" w:sz="4" w:space="0"/>
              <w:left w:val="single" w:color="000000" w:sz="4" w:space="0"/>
              <w:bottom w:val="single" w:color="auto" w:sz="4" w:space="0"/>
              <w:right w:val="single" w:color="000000" w:sz="4" w:space="0"/>
            </w:tcBorders>
            <w:vAlign w:val="center"/>
          </w:tcPr>
          <w:p w14:paraId="4FEAF714">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430" w:type="dxa"/>
            <w:tcBorders>
              <w:top w:val="single" w:color="auto" w:sz="4" w:space="0"/>
              <w:left w:val="single" w:color="000000" w:sz="4" w:space="0"/>
              <w:bottom w:val="single" w:color="auto" w:sz="4" w:space="0"/>
              <w:right w:val="single" w:color="000000" w:sz="4" w:space="0"/>
            </w:tcBorders>
            <w:vAlign w:val="center"/>
          </w:tcPr>
          <w:p w14:paraId="04159801">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供电系统（杆式）</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4B751AC1">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66904763">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2" w:type="dxa"/>
            <w:tcBorders>
              <w:top w:val="single" w:color="000000" w:sz="4" w:space="0"/>
              <w:left w:val="single" w:color="000000" w:sz="4" w:space="0"/>
              <w:bottom w:val="single" w:color="000000" w:sz="4" w:space="0"/>
              <w:right w:val="single" w:color="000000" w:sz="4" w:space="0"/>
            </w:tcBorders>
            <w:vAlign w:val="center"/>
          </w:tcPr>
          <w:p w14:paraId="480F82AC">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1614D4EE">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一、安装于龙胜日新站。</w:t>
            </w:r>
          </w:p>
          <w:p w14:paraId="38397D23">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二、供电系统：配套单晶硅太阳能组件≥2×200W,效率不低于18%，野外防护等级不低于IP65，工作温度-40度到85度；免维护蓄电池不低于12V 200Ah及不锈钢电池箱，寿命不小于6年；太阳能控制器：支持市电/太阳能智能充电，具备电源反接、负载短路、过流、浪涌、高温等保护功能；防水配电箱：用于户外不低于IP54，2mm及以上不锈钢材质制造；防雷模块：标称放电电流：不低于20kA，最大通流容量：不低于40kA，保护水平（20kA，8/20μs）：不低于300V，响应时间：≤25ns。安装条件：太阳能供电及无线网络传输数据，含安装布线。</w:t>
            </w:r>
          </w:p>
          <w:p w14:paraId="108276EB">
            <w:pPr>
              <w:pStyle w:val="8"/>
              <w:wordWrap w:val="0"/>
              <w:spacing w:line="360" w:lineRule="exact"/>
              <w:rPr>
                <w:rFonts w:ascii="宋体" w:hAnsi="宋体" w:cs="宋体"/>
                <w:bCs/>
                <w:color w:val="auto"/>
                <w:kern w:val="0"/>
                <w:szCs w:val="21"/>
                <w:highlight w:val="none"/>
              </w:rPr>
            </w:pPr>
            <w:r>
              <w:rPr>
                <w:rFonts w:hint="eastAsia" w:ascii="宋体" w:hAnsi="宋体" w:cs="宋体"/>
                <w:bCs/>
                <w:color w:val="auto"/>
                <w:szCs w:val="21"/>
                <w:highlight w:val="none"/>
              </w:rPr>
              <w:t>三、功能：</w:t>
            </w:r>
            <w:r>
              <w:rPr>
                <w:rFonts w:hint="eastAsia" w:ascii="宋体" w:hAnsi="宋体" w:cs="宋体"/>
                <w:bCs/>
                <w:color w:val="auto"/>
                <w:kern w:val="0"/>
                <w:szCs w:val="21"/>
                <w:highlight w:val="none"/>
              </w:rPr>
              <w:t>太阳能+胶体蓄电池供电，电池容量满足无浮充条件下仅用蓄电池供电时保障设备连续正常供电不少于30天，且容量不少于2×200AH，配套太阳能板确保电池亏空后连续5个晴天内充满。</w:t>
            </w:r>
          </w:p>
          <w:p w14:paraId="7818C89E">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szCs w:val="21"/>
                <w:highlight w:val="none"/>
              </w:rPr>
              <w:t>1.太阳能专用胶体蓄电池（参考或相当于维谛、</w:t>
            </w:r>
            <w:r>
              <w:rPr>
                <w:rFonts w:hint="eastAsia" w:ascii="宋体" w:hAnsi="宋体" w:cs="宋体"/>
                <w:bCs/>
                <w:color w:val="auto"/>
                <w:kern w:val="0"/>
                <w:szCs w:val="21"/>
                <w:highlight w:val="none"/>
              </w:rPr>
              <w:t>理士、万洋、圣阳、奥冠等）</w:t>
            </w:r>
          </w:p>
          <w:p w14:paraId="69D55EE4">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（1）功能：采用太阳能电源供电系统供电，为视频水位识别系统设备等设备提供电源。</w:t>
            </w:r>
          </w:p>
          <w:p w14:paraId="39A636A8">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（2）固定型阀控式密封铅酸胶体蓄电池，每套含至少2节不低于12V200AH胶体蓄电池，单节电池规格容量为不低于12V200AH，蓄电池容量规定为单体终止电压不低于10.8V/(25℃)≥10小时率容量。</w:t>
            </w:r>
          </w:p>
          <w:p w14:paraId="388B9F1A">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（3）采用胶体电解质技术，无酸液浓度层化问题，消除因浓度层化引起的极板腐蚀和钝化现象。完全密封，无需加水维护；无酸气逸出，不污染环境。</w:t>
            </w:r>
          </w:p>
          <w:p w14:paraId="5F637AA4">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（4）采用胶体配方和板栅合金/极板配方，电池具有的循环性能和深放电恢复能力。</w:t>
            </w:r>
          </w:p>
          <w:p w14:paraId="0664C963">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（5）采用胶体电池专用隔板。</w:t>
            </w:r>
          </w:p>
          <w:p w14:paraId="638E8C57">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（6）内部过量电解液设计，在高温和过充情况下工作稳定，适合恶劣环境下使用。</w:t>
            </w:r>
          </w:p>
          <w:p w14:paraId="6EAADA57">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（7）胶体蓄电池在约25℃环境下，浮充运行的设计寿命≥10年；在约25℃环境下，循环运行的设计寿命≥6年；70%放电深度的循环寿命大于800次；静置28天后期容量保存率应不低于97%，电池密封反应效率不低于97%。</w:t>
            </w:r>
          </w:p>
          <w:p w14:paraId="2B873BA9">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（8）所有蓄电池应为出厂期三个月内同一制造商同一批次的定型产品。</w:t>
            </w:r>
          </w:p>
          <w:p w14:paraId="7E088634">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（9）正常使用下无电解，无液漏出，无电池膨胀及破裂。</w:t>
            </w:r>
          </w:p>
          <w:p w14:paraId="2811617E">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（10）放电电压平稳，放电平台平缓。</w:t>
            </w:r>
          </w:p>
          <w:p w14:paraId="3DD5E821">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（11）耐震动性：安全充电状态的电池完全固定，以不低于3mm的振幅，不低于16.7Hz的频率震动一小时，无漏液，无电池膨胀及破裂，开路电压正常。</w:t>
            </w:r>
          </w:p>
          <w:p w14:paraId="52370D28">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（12）耐冲击性：完全充电状态的电池从≥20cm 高处自然落至约1cm厚的硬木板上至少3次无漏液，无电池膨胀及破裂，开路电压正常。</w:t>
            </w:r>
          </w:p>
          <w:p w14:paraId="2500A933">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（13）耐过放电性：25摄氏度，完全充电状态的电池进行定电阻放电3星期，恢复容量在75%以上。</w:t>
            </w:r>
          </w:p>
          <w:p w14:paraId="2567D20F">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（14）耐充电性：约25摄氏度，完全充电状态的电池0.1CA充电约48小时，无漏液，无电池膨胀及破裂，开路电压正常，容量维持率在95%以上。</w:t>
            </w:r>
          </w:p>
          <w:p w14:paraId="1AF25CB2">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（15）耐大电流性：完全充电状态的电池2CA充电5分钟或10CA放电5秒钟。无导电部分熔断，无外观变形。</w:t>
            </w:r>
          </w:p>
          <w:p w14:paraId="5EDAEAEF">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（16）不同温度下的放电容量：40℃时102%，25℃时100%，0℃时85%，-15℃时65%。</w:t>
            </w:r>
          </w:p>
          <w:p w14:paraId="0F73BD9A">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（17）蓄电池端电压的均衡性：单体蓄电池和由若干个单体组成一体的组合蓄电池，其各电池间的开路电压最高与最低差值≤36mV；蓄电池进入浮充状态24h后，各蓄电池之间的端电压差≤61mV。</w:t>
            </w:r>
          </w:p>
          <w:p w14:paraId="663D6A33">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（18）电池间连接电压降：蓄电池之间的连接电压降不大于5.5mV。</w:t>
            </w:r>
          </w:p>
          <w:p w14:paraId="5D201BA4">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（19）同组蓄电池的内阻偏差值不超过6.5％。</w:t>
            </w:r>
          </w:p>
          <w:p w14:paraId="33D138BF">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（20）电池性能：</w:t>
            </w:r>
          </w:p>
          <w:p w14:paraId="7C7ACCE0">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①热失控敏感性能：蓄电池按《YD/T 1360-2005 通信用阀控式密封胶体蓄电池》规定的方法试验，蓄电池温度≤34.5℃，每24h的电流增长率≤32％。</w:t>
            </w:r>
          </w:p>
          <w:p w14:paraId="0E12B73F">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②过度放电性能：蓄电池按《</w:t>
            </w:r>
            <w:r>
              <w:rPr>
                <w:rFonts w:hint="eastAsia"/>
                <w:color w:val="auto"/>
                <w:highlight w:val="none"/>
              </w:rPr>
              <w:t xml:space="preserve"> </w:t>
            </w:r>
            <w:r>
              <w:rPr>
                <w:rFonts w:hint="eastAsia" w:ascii="宋体" w:hAnsi="宋体" w:cs="宋体"/>
                <w:color w:val="auto"/>
                <w:kern w:val="0"/>
                <w:szCs w:val="21"/>
                <w:highlight w:val="none"/>
              </w:rPr>
              <w:t>YD/T 1360-2005 通信用阀控式密封胶体蓄电池》规定的方法试验，其容量恢复值≥90％。</w:t>
            </w:r>
          </w:p>
          <w:p w14:paraId="7F0CA7C0">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③再充电性能：蓄电池按《</w:t>
            </w:r>
            <w:r>
              <w:rPr>
                <w:rFonts w:hint="eastAsia"/>
                <w:color w:val="auto"/>
                <w:highlight w:val="none"/>
              </w:rPr>
              <w:t xml:space="preserve"> </w:t>
            </w:r>
            <w:r>
              <w:rPr>
                <w:rFonts w:hint="eastAsia" w:ascii="宋体" w:hAnsi="宋体" w:cs="宋体"/>
                <w:color w:val="auto"/>
                <w:kern w:val="0"/>
                <w:szCs w:val="21"/>
                <w:highlight w:val="none"/>
              </w:rPr>
              <w:t>YD/T 1360-2005 通信用阀控式密封胶体蓄电池》规定的方法试验，恒压充电24h的再充电能力因素≥93.5％。</w:t>
            </w:r>
          </w:p>
          <w:p w14:paraId="238C75F9">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④容量保存率：在25℃±5℃环境中静置28天，其容量保存率≥97%。</w:t>
            </w:r>
          </w:p>
          <w:p w14:paraId="5E96A9CC">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⑤容量一致性：同组蓄电池≥10h率容量试验时，最大与最小实际容量差值不大于1.9％。</w:t>
            </w:r>
          </w:p>
          <w:p w14:paraId="54FCD6DE">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⑥</w:t>
            </w:r>
            <w:r>
              <w:rPr>
                <w:rFonts w:hint="eastAsia" w:ascii="宋体" w:hAnsi="宋体" w:cs="宋体"/>
                <w:b/>
                <w:color w:val="auto"/>
                <w:kern w:val="0"/>
                <w:szCs w:val="21"/>
                <w:highlight w:val="none"/>
              </w:rPr>
              <w:t>供应商于响应文件中必须提供所竞产品由国家认可的第三方检测机构出具的满足以上第①-⑤项技术参数的检测报告复印件，并加盖供应商电子签章。</w:t>
            </w:r>
            <w:r>
              <w:rPr>
                <w:rFonts w:hint="eastAsia" w:ascii="宋体" w:hAnsi="宋体" w:cs="宋体"/>
                <w:color w:val="auto"/>
                <w:kern w:val="0"/>
                <w:szCs w:val="21"/>
                <w:highlight w:val="none"/>
              </w:rPr>
              <w:cr/>
            </w:r>
            <w:r>
              <w:rPr>
                <w:rFonts w:hint="eastAsia" w:ascii="宋体" w:hAnsi="宋体" w:cs="宋体"/>
                <w:color w:val="auto"/>
                <w:kern w:val="0"/>
                <w:szCs w:val="21"/>
                <w:highlight w:val="none"/>
              </w:rPr>
              <w:t>⑦12V蓄电池≥60℃高温加速浮充寿命≥8次。</w:t>
            </w:r>
            <w:r>
              <w:rPr>
                <w:rFonts w:hint="eastAsia" w:ascii="宋体" w:hAnsi="宋体" w:cs="宋体"/>
                <w:color w:val="auto"/>
                <w:kern w:val="0"/>
                <w:szCs w:val="21"/>
                <w:highlight w:val="none"/>
              </w:rPr>
              <w:cr/>
            </w:r>
            <w:r>
              <w:rPr>
                <w:rFonts w:hint="eastAsia" w:ascii="宋体" w:hAnsi="宋体" w:cs="宋体"/>
                <w:color w:val="auto"/>
                <w:kern w:val="0"/>
                <w:szCs w:val="21"/>
                <w:highlight w:val="none"/>
              </w:rPr>
              <w:t>⑧为保证蓄电池的质量稳定性及一致性，蓄电池采用自制隔板。</w:t>
            </w:r>
            <w:r>
              <w:rPr>
                <w:rFonts w:hint="eastAsia" w:ascii="宋体" w:hAnsi="宋体" w:cs="宋体"/>
                <w:color w:val="auto"/>
                <w:kern w:val="0"/>
                <w:szCs w:val="21"/>
                <w:highlight w:val="none"/>
              </w:rPr>
              <w:cr/>
            </w:r>
            <w:r>
              <w:rPr>
                <w:rFonts w:hint="eastAsia" w:ascii="宋体" w:hAnsi="宋体" w:cs="宋体"/>
                <w:color w:val="auto"/>
                <w:kern w:val="0"/>
                <w:szCs w:val="21"/>
                <w:highlight w:val="none"/>
              </w:rPr>
              <w:t>（21）容量一致性：同组蓄电池10h率容量试验时，最大与最小实际容量差值不大于1.9％。</w:t>
            </w:r>
          </w:p>
          <w:p w14:paraId="02CBE1BD">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（22）12V蓄电池在至少60℃高温加速浮充寿命≥8次。</w:t>
            </w:r>
          </w:p>
          <w:p w14:paraId="629FB007">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（23）为保证蓄电池的质量稳定性及一致性，蓄电池采用自制隔板。</w:t>
            </w:r>
          </w:p>
          <w:p w14:paraId="2330E85F">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（24）蓄电池抗震加固符合《通信用电源设备抗地震性能检测规范》（YD/T 5096-2016）的要求。满足≥8烈度抗震性能检测要求（</w:t>
            </w:r>
            <w:r>
              <w:rPr>
                <w:rFonts w:hint="eastAsia" w:ascii="宋体" w:hAnsi="宋体" w:cs="宋体"/>
                <w:b/>
                <w:color w:val="auto"/>
                <w:kern w:val="0"/>
                <w:szCs w:val="21"/>
                <w:highlight w:val="none"/>
              </w:rPr>
              <w:t>供应商于响应文件中必须提供所竞产品抗震性能合格证及由国家认可的第三方检测机构出具的符合本项抗震性能检测要求的抗震检测报告复印件，并加盖供应商电子签章</w:t>
            </w:r>
            <w:r>
              <w:rPr>
                <w:rFonts w:hint="eastAsia" w:ascii="宋体" w:hAnsi="宋体" w:cs="宋体"/>
                <w:color w:val="auto"/>
                <w:kern w:val="0"/>
                <w:szCs w:val="21"/>
                <w:highlight w:val="none"/>
              </w:rPr>
              <w:t>）。</w:t>
            </w:r>
          </w:p>
          <w:p w14:paraId="264F373D">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（25）包含本次项目所需的电源线、电源转换头、信号线、网线、PVC管、插座、辅材(扎带、接头)。</w:t>
            </w:r>
          </w:p>
          <w:p w14:paraId="4806F7E0">
            <w:pPr>
              <w:wordWrap w:val="0"/>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2.太阳能发电板</w:t>
            </w:r>
          </w:p>
          <w:p w14:paraId="4E60289C">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数量1块，单块参数：</w:t>
            </w:r>
          </w:p>
          <w:p w14:paraId="5A02D983">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（1）峰值功率(Pm)：≥200W，须与太阳能充电控制器、蓄电池相配套使用。</w:t>
            </w:r>
          </w:p>
          <w:p w14:paraId="3A5F658F">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（2）峰值电压(Vmp)：≥18V。</w:t>
            </w:r>
          </w:p>
          <w:p w14:paraId="78C7F929">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（3）峰值电流(Imp)：≥11.12A。</w:t>
            </w:r>
          </w:p>
          <w:p w14:paraId="2AAE8E69">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（4）开路电压(Voc)：≥22V。</w:t>
            </w:r>
          </w:p>
          <w:p w14:paraId="059A1702">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（5）短路电流(ISC)：≥11.98A。</w:t>
            </w:r>
          </w:p>
          <w:p w14:paraId="0371586F">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（6）产品尺寸≤1480×680×35mm。 </w:t>
            </w:r>
          </w:p>
          <w:p w14:paraId="2E5A5059">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（7）工作温度：-40℃to+85℃。</w:t>
            </w:r>
          </w:p>
          <w:p w14:paraId="59C93EBF">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（8）最大系统电压：≥1000VDC。</w:t>
            </w:r>
          </w:p>
          <w:p w14:paraId="18790C1E">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（9）标准测试条件(STC)：辐照度≥100W/m</w:t>
            </w:r>
            <w:r>
              <w:rPr>
                <w:rFonts w:hint="eastAsia" w:ascii="宋体" w:hAnsi="宋体" w:cs="宋体"/>
                <w:bCs/>
                <w:color w:val="auto"/>
                <w:kern w:val="0"/>
                <w:szCs w:val="21"/>
                <w:highlight w:val="none"/>
                <w:vertAlign w:val="superscript"/>
              </w:rPr>
              <w:t>2</w:t>
            </w:r>
            <w:r>
              <w:rPr>
                <w:rFonts w:hint="eastAsia" w:ascii="宋体" w:hAnsi="宋体" w:cs="宋体"/>
                <w:bCs/>
                <w:color w:val="auto"/>
                <w:kern w:val="0"/>
                <w:szCs w:val="21"/>
                <w:highlight w:val="none"/>
              </w:rPr>
              <w:t>，电池片温度 25℃，AM=1.5。</w:t>
            </w:r>
          </w:p>
          <w:p w14:paraId="76D28F7F">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（10）电池片类型：约156×156 mm单晶硅电池片A类片。</w:t>
            </w:r>
          </w:p>
          <w:p w14:paraId="06D7E89C">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（11）电池片数量和排列：≥4×9PCS。</w:t>
            </w:r>
          </w:p>
          <w:p w14:paraId="24036AB0">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（12）电池片转换效率：≥17.2% 。</w:t>
            </w:r>
          </w:p>
          <w:p w14:paraId="3220966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bCs/>
                <w:color w:val="auto"/>
                <w:kern w:val="0"/>
                <w:szCs w:val="21"/>
                <w:highlight w:val="none"/>
              </w:rPr>
              <w:t>（13）接线盒类</w:t>
            </w:r>
            <w:r>
              <w:rPr>
                <w:rFonts w:hint="eastAsia" w:ascii="宋体" w:hAnsi="宋体" w:cs="宋体"/>
                <w:color w:val="auto"/>
                <w:kern w:val="0"/>
                <w:szCs w:val="21"/>
                <w:highlight w:val="none"/>
              </w:rPr>
              <w:t>型：密封防水。</w:t>
            </w:r>
          </w:p>
          <w:p w14:paraId="27363380">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（14）接线盒防护等级：≥IP68。</w:t>
            </w:r>
          </w:p>
          <w:p w14:paraId="65627FAD">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（15）质量保证：十二年内组件功率保持在90%以上；二十五年保持在83%以上。</w:t>
            </w:r>
          </w:p>
          <w:p w14:paraId="0EC9094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（16）防损强度：约227克钢球从≥1米的高度垂直落下和≥60m/S风速倒下无损。</w:t>
            </w:r>
          </w:p>
          <w:p w14:paraId="5176E008">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（17）冰雹压力测试：≥23m/s，约7.53g。</w:t>
            </w:r>
          </w:p>
          <w:p w14:paraId="587D85E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szCs w:val="21"/>
                <w:highlight w:val="none"/>
              </w:rPr>
              <w:t>3.太阳能系统支架</w:t>
            </w:r>
          </w:p>
          <w:p w14:paraId="6287819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（1）太阳能发电板专用镀锌C型钢支架。</w:t>
            </w:r>
          </w:p>
          <w:p w14:paraId="0383ED1B">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（2）支架倾斜角可调。</w:t>
            </w:r>
          </w:p>
          <w:p w14:paraId="772BD775">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（3）不锈钢螺钉、螺帽、垫片。</w:t>
            </w:r>
          </w:p>
          <w:p w14:paraId="67F59B9D">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（4）根据水位台顶进行安装。</w:t>
            </w:r>
          </w:p>
          <w:p w14:paraId="545FB678">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太阳能充电控制器</w:t>
            </w:r>
          </w:p>
          <w:p w14:paraId="76E7EAA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（1）液晶(LCD)显示屏，背光节电模式。主要显示实时电池电压、电池容量、输入输出电压、输出频率、负载率等。可根据不同的工作状态自动切换显示界面。具有太阳能充电指示灯、直流负载指示灯。</w:t>
            </w:r>
          </w:p>
          <w:p w14:paraId="3A226A21">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支持市电/太阳能智能充电，具备过载、电池过充、电池过放、输出短路、过温等完善的保护功能。具备电源反接、负载短路、过流、浪涌、高温等保护功能；具备过充保护、电池欠压保护、电池过压保护、输出过载保护、输出短路保护、温度过高保护。</w:t>
            </w:r>
          </w:p>
          <w:p w14:paraId="554E3CE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（3）报警：输出短路、过载、温度过高、电池欠压及过压。</w:t>
            </w:r>
          </w:p>
          <w:p w14:paraId="3582ECEB">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（4）全贴片模块化结构。</w:t>
            </w:r>
          </w:p>
          <w:p w14:paraId="7AC7B10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（5）额定容量：≥600W。</w:t>
            </w:r>
          </w:p>
          <w:p w14:paraId="59DF92E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（6）太阳能最大输入功率：≥650W。</w:t>
            </w:r>
          </w:p>
          <w:p w14:paraId="71140388">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（7）太阳能最大开路电压：≥50Vdc。</w:t>
            </w:r>
          </w:p>
          <w:p w14:paraId="27D86128">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（8）太阳能最大输入电流：≥50A。</w:t>
            </w:r>
          </w:p>
          <w:p w14:paraId="331412F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（9）电池电压(蓄电池) ：12V-24Vdc 自动识别。</w:t>
            </w:r>
          </w:p>
          <w:p w14:paraId="2428B35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（10）电池电压范围：10.7-13.8Vdc/21.4-27.6Vdc。</w:t>
            </w:r>
          </w:p>
          <w:p w14:paraId="48743AF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（11）太阳能充电电压：主充约14.4V，浮充约13.8V。</w:t>
            </w:r>
          </w:p>
          <w:p w14:paraId="2E06D7F8">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（12）最大充电电流：太阳能：≥50A。</w:t>
            </w:r>
          </w:p>
          <w:p w14:paraId="57980E73">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（13）电池过放电保护电压：不低于11.2V。</w:t>
            </w:r>
          </w:p>
          <w:p w14:paraId="7F6F24F2">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Cs/>
                <w:color w:val="auto"/>
                <w:kern w:val="0"/>
                <w:szCs w:val="21"/>
                <w:highlight w:val="none"/>
              </w:rPr>
              <w:t>.</w:t>
            </w:r>
            <w:r>
              <w:rPr>
                <w:rFonts w:hint="eastAsia" w:ascii="宋体" w:hAnsi="宋体" w:cs="宋体"/>
                <w:color w:val="auto"/>
                <w:szCs w:val="21"/>
                <w:highlight w:val="none"/>
              </w:rPr>
              <w:t>直流DC12V24V36V转变交流AC24V球机太阳能监控逆变电源转换器。</w:t>
            </w:r>
          </w:p>
          <w:p w14:paraId="65E9499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（1）输入电压：直流DC12V24V36V48V60V72V。</w:t>
            </w:r>
          </w:p>
          <w:p w14:paraId="41B8A1B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（2）输出电压：交流AC24V。</w:t>
            </w:r>
          </w:p>
          <w:p w14:paraId="6321838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（3）输出电流：≥5A。</w:t>
            </w:r>
          </w:p>
          <w:p w14:paraId="17BF06BE">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（4）输出频率：≥50HZ。</w:t>
            </w:r>
          </w:p>
          <w:p w14:paraId="16726BC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（5）转换效率：约为90%。</w:t>
            </w:r>
          </w:p>
          <w:p w14:paraId="3E9EB44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（6）环境温度：－40℃～60℃。</w:t>
            </w:r>
          </w:p>
          <w:p w14:paraId="6977A81D">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（7）接线方式：输入直流，红线+黑线-，输出交流，黄线，防水，防尘，防潮，抗震。</w:t>
            </w:r>
          </w:p>
          <w:p w14:paraId="2E795EF1">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（8）实际应用可以接入电池，电瓶，开关电源等直流电压，室外太阳能电源、汽车及室内安装使用，可以长期稳定的供电云台和监控球机，电源全防水设计。</w:t>
            </w:r>
          </w:p>
          <w:p w14:paraId="013C0771">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6.不低于4G</w:t>
            </w:r>
            <w:r>
              <w:rPr>
                <w:rFonts w:hint="eastAsia" w:ascii="宋体" w:hAnsi="宋体" w:cs="宋体"/>
                <w:bCs/>
                <w:color w:val="auto"/>
                <w:szCs w:val="21"/>
                <w:highlight w:val="none"/>
              </w:rPr>
              <w:t>路由器</w:t>
            </w:r>
          </w:p>
          <w:p w14:paraId="76F61CE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（1）最多可连接用户：10-20人。</w:t>
            </w:r>
          </w:p>
          <w:p w14:paraId="5ABF426D">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（2）有线传输率：千兆端口。</w:t>
            </w:r>
          </w:p>
          <w:p w14:paraId="76642EAE">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（3）网络支持：不低于4G‌ 。</w:t>
            </w:r>
          </w:p>
          <w:p w14:paraId="7C5FB64E">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（4）无线协议：不低于Wi-Fi 5。</w:t>
            </w:r>
          </w:p>
          <w:p w14:paraId="7EE1BA2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（5）网络接口：4个10M/100/1000Mbps以太网接口，支持WAN/LAN自适应（网口盲插）。</w:t>
            </w:r>
          </w:p>
          <w:p w14:paraId="34AF790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（6）网络频率带：LTE: B1/ B3/ B7/B8/ B20/B28/B32 /B38；UMTS: B1/B8。</w:t>
            </w:r>
          </w:p>
          <w:p w14:paraId="4AC3F6E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（7）天线类型：LTE / UMTS主和分集天线。</w:t>
            </w:r>
          </w:p>
          <w:p w14:paraId="5AE426E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（8）传输标准：不低于802.11ac/a/n 2×2 &amp; 802.11b/g/n 2×2, MIMO。</w:t>
            </w:r>
          </w:p>
          <w:p w14:paraId="7DB5591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（9）无线传输速率：参考或相当于DBDC, ≥1167 Mbps。</w:t>
            </w:r>
          </w:p>
          <w:p w14:paraId="312793C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（10）无线频率带：不低于2.4 GHz&amp;5GHz，参考或相当于band steering。</w:t>
            </w:r>
          </w:p>
          <w:p w14:paraId="565D43F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（11）运营：三网通。</w:t>
            </w:r>
          </w:p>
          <w:p w14:paraId="5305FCB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（12）LTE传输速率：不低于300 Mbps /100 Mbps（理论值）。‌</w:t>
            </w:r>
          </w:p>
          <w:p w14:paraId="27BC5D49">
            <w:pPr>
              <w:wordWrap w:val="0"/>
              <w:adjustRightInd w:val="0"/>
              <w:snapToGrid w:val="0"/>
              <w:spacing w:line="360" w:lineRule="exact"/>
              <w:rPr>
                <w:rFonts w:ascii="宋体" w:hAnsi="宋体" w:cs="宋体"/>
                <w:b/>
                <w:color w:val="auto"/>
                <w:kern w:val="0"/>
                <w:szCs w:val="21"/>
                <w:highlight w:val="none"/>
              </w:rPr>
            </w:pPr>
            <w:r>
              <w:rPr>
                <w:rFonts w:hint="eastAsia" w:ascii="宋体" w:hAnsi="宋体" w:cs="宋体"/>
                <w:color w:val="auto"/>
                <w:kern w:val="0"/>
                <w:szCs w:val="21"/>
                <w:highlight w:val="none"/>
              </w:rPr>
              <w:t>（13）支持APP控制，支持MESH组网，内置‌防火墙、‌WPS、‌VPN和QoS限速功能。</w:t>
            </w:r>
          </w:p>
          <w:p w14:paraId="00536F79">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7.防雷模块</w:t>
            </w:r>
          </w:p>
          <w:p w14:paraId="1BE8200B">
            <w:pPr>
              <w:wordWrap w:val="0"/>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（1）标称放电电流：</w:t>
            </w:r>
            <w:r>
              <w:rPr>
                <w:rFonts w:hint="eastAsia" w:ascii="宋体" w:hAnsi="宋体" w:cs="宋体"/>
                <w:bCs/>
                <w:color w:val="auto"/>
                <w:kern w:val="0"/>
                <w:szCs w:val="21"/>
                <w:highlight w:val="none"/>
              </w:rPr>
              <w:t>≥</w:t>
            </w:r>
            <w:r>
              <w:rPr>
                <w:rFonts w:hint="eastAsia" w:ascii="宋体" w:hAnsi="宋体" w:cs="宋体"/>
                <w:bCs/>
                <w:color w:val="auto"/>
                <w:szCs w:val="21"/>
                <w:highlight w:val="none"/>
              </w:rPr>
              <w:t>20kA。</w:t>
            </w:r>
          </w:p>
          <w:p w14:paraId="33220A7C">
            <w:pPr>
              <w:wordWrap w:val="0"/>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（2）最大通流容量：</w:t>
            </w:r>
            <w:r>
              <w:rPr>
                <w:rFonts w:hint="eastAsia" w:ascii="宋体" w:hAnsi="宋体" w:cs="宋体"/>
                <w:bCs/>
                <w:color w:val="auto"/>
                <w:kern w:val="0"/>
                <w:szCs w:val="21"/>
                <w:highlight w:val="none"/>
              </w:rPr>
              <w:t>≥</w:t>
            </w:r>
            <w:r>
              <w:rPr>
                <w:rFonts w:hint="eastAsia" w:ascii="宋体" w:hAnsi="宋体" w:cs="宋体"/>
                <w:bCs/>
                <w:color w:val="auto"/>
                <w:szCs w:val="21"/>
                <w:highlight w:val="none"/>
              </w:rPr>
              <w:t>40kA。</w:t>
            </w:r>
          </w:p>
          <w:p w14:paraId="3BF8F9A9">
            <w:pPr>
              <w:wordWrap w:val="0"/>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（3）保护水平（</w:t>
            </w:r>
            <w:r>
              <w:rPr>
                <w:rFonts w:hint="eastAsia" w:ascii="宋体" w:hAnsi="宋体" w:cs="宋体"/>
                <w:bCs/>
                <w:color w:val="auto"/>
                <w:kern w:val="0"/>
                <w:szCs w:val="21"/>
                <w:highlight w:val="none"/>
              </w:rPr>
              <w:t>≥</w:t>
            </w:r>
            <w:r>
              <w:rPr>
                <w:rFonts w:hint="eastAsia" w:ascii="宋体" w:hAnsi="宋体" w:cs="宋体"/>
                <w:bCs/>
                <w:color w:val="auto"/>
                <w:szCs w:val="21"/>
                <w:highlight w:val="none"/>
              </w:rPr>
              <w:t>20kA，</w:t>
            </w:r>
            <w:r>
              <w:rPr>
                <w:rFonts w:hint="eastAsia" w:ascii="宋体" w:hAnsi="宋体" w:cs="宋体"/>
                <w:bCs/>
                <w:color w:val="auto"/>
                <w:kern w:val="0"/>
                <w:szCs w:val="21"/>
                <w:highlight w:val="none"/>
              </w:rPr>
              <w:t>≥</w:t>
            </w:r>
            <w:r>
              <w:rPr>
                <w:rFonts w:hint="eastAsia" w:ascii="宋体" w:hAnsi="宋体" w:cs="宋体"/>
                <w:bCs/>
                <w:color w:val="auto"/>
                <w:szCs w:val="21"/>
                <w:highlight w:val="none"/>
              </w:rPr>
              <w:t>8/20μs）：</w:t>
            </w:r>
            <w:r>
              <w:rPr>
                <w:rFonts w:hint="eastAsia" w:ascii="宋体" w:hAnsi="宋体" w:cs="宋体"/>
                <w:bCs/>
                <w:color w:val="auto"/>
                <w:kern w:val="0"/>
                <w:szCs w:val="21"/>
                <w:highlight w:val="none"/>
              </w:rPr>
              <w:t>≥</w:t>
            </w:r>
            <w:r>
              <w:rPr>
                <w:rFonts w:hint="eastAsia" w:ascii="宋体" w:hAnsi="宋体" w:cs="宋体"/>
                <w:bCs/>
                <w:color w:val="auto"/>
                <w:szCs w:val="21"/>
                <w:highlight w:val="none"/>
              </w:rPr>
              <w:t>300V。</w:t>
            </w:r>
          </w:p>
          <w:p w14:paraId="598E8E3A">
            <w:pPr>
              <w:pStyle w:val="8"/>
              <w:wordWrap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（4）响应时间：≤25ns。</w:t>
            </w:r>
          </w:p>
          <w:p w14:paraId="4CF32C00">
            <w:pPr>
              <w:pStyle w:val="8"/>
              <w:wordWrap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8.防水配电箱</w:t>
            </w:r>
          </w:p>
          <w:p w14:paraId="27EBC92E">
            <w:pPr>
              <w:pStyle w:val="8"/>
              <w:wordWrap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（1）材质：不锈钢。</w:t>
            </w:r>
          </w:p>
          <w:p w14:paraId="1B91A0A3">
            <w:pPr>
              <w:pStyle w:val="8"/>
              <w:wordWrap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（2）防护等级：用于户外不低于IP54。</w:t>
            </w:r>
          </w:p>
          <w:p w14:paraId="3CCC4629">
            <w:pPr>
              <w:pStyle w:val="8"/>
              <w:wordWrap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（3）2mm及以上不锈钢材质制造。</w:t>
            </w:r>
          </w:p>
          <w:p w14:paraId="03AC6E89">
            <w:pPr>
              <w:wordWrap w:val="0"/>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9.室外防水机箱</w:t>
            </w:r>
          </w:p>
          <w:p w14:paraId="091936DE">
            <w:pPr>
              <w:widowControl/>
              <w:wordWrap w:val="0"/>
              <w:adjustRightInd w:val="0"/>
              <w:snapToGrid w:val="0"/>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（1）材质：304不锈钢烤漆金属箱。 </w:t>
            </w:r>
          </w:p>
          <w:p w14:paraId="275AA5DC">
            <w:pPr>
              <w:widowControl/>
              <w:wordWrap w:val="0"/>
              <w:adjustRightInd w:val="0"/>
              <w:snapToGrid w:val="0"/>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（2）外形尺寸：定制。具有防水、防潮、防尘、通风、防盗、防锈蚀、抗电磁干扰等功能。</w:t>
            </w:r>
          </w:p>
          <w:p w14:paraId="5B99C023">
            <w:pPr>
              <w:widowControl/>
              <w:wordWrap w:val="0"/>
              <w:adjustRightInd w:val="0"/>
              <w:snapToGrid w:val="0"/>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（3）可根据实际需要喷字（喷中国水文标志，防汛设施严禁破坏，以及站名、建设单位等信息）。</w:t>
            </w:r>
          </w:p>
          <w:p w14:paraId="346CE90A">
            <w:pPr>
              <w:pStyle w:val="8"/>
              <w:wordWrap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（4）大小需能放置视频水位识别系统蓄电池等设备。</w:t>
            </w:r>
          </w:p>
          <w:p w14:paraId="5134F4CE">
            <w:pPr>
              <w:wordWrap w:val="0"/>
              <w:adjustRightInd w:val="0"/>
              <w:snapToGrid w:val="0"/>
              <w:spacing w:line="360" w:lineRule="exact"/>
              <w:rPr>
                <w:rFonts w:ascii="宋体" w:hAnsi="宋体" w:cs="宋体"/>
                <w:bCs/>
                <w:color w:val="auto"/>
                <w:szCs w:val="21"/>
                <w:highlight w:val="none"/>
              </w:rPr>
            </w:pPr>
            <w:r>
              <w:rPr>
                <w:rFonts w:hint="eastAsia" w:ascii="宋体" w:hAnsi="宋体" w:cs="宋体"/>
                <w:bCs/>
                <w:color w:val="auto"/>
                <w:szCs w:val="21"/>
                <w:highlight w:val="none"/>
              </w:rPr>
              <w:t>10.太阳能供电系统线缆、防雷接地等</w:t>
            </w:r>
            <w:r>
              <w:rPr>
                <w:rFonts w:hint="eastAsia" w:ascii="宋体" w:hAnsi="宋体" w:cs="宋体"/>
                <w:color w:val="auto"/>
                <w:spacing w:val="-4"/>
                <w:szCs w:val="21"/>
                <w:highlight w:val="none"/>
              </w:rPr>
              <w:t>辅助设备</w:t>
            </w:r>
            <w:r>
              <w:rPr>
                <w:rFonts w:hint="eastAsia" w:ascii="宋体" w:hAnsi="宋体" w:cs="宋体"/>
                <w:bCs/>
                <w:color w:val="auto"/>
                <w:szCs w:val="21"/>
                <w:highlight w:val="none"/>
              </w:rPr>
              <w:t>及安装调试。</w:t>
            </w:r>
          </w:p>
          <w:p w14:paraId="77A06A4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（1）光缆</w:t>
            </w:r>
          </w:p>
          <w:p w14:paraId="601B52FB">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a.包含完成本项目实施所需的所有光缆。</w:t>
            </w:r>
          </w:p>
          <w:p w14:paraId="134B51C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b.铠装室外单模4芯中心束管式光纤线。</w:t>
            </w:r>
          </w:p>
          <w:p w14:paraId="4B8E37E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c.包含光纤架空、开挖、回填、熔纤和连接摄像头所需套件。</w:t>
            </w:r>
          </w:p>
          <w:p w14:paraId="2A02B018">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（2）电缆</w:t>
            </w:r>
          </w:p>
          <w:p w14:paraId="442A5E2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a.包含完成本项目实施所需的所有电缆。</w:t>
            </w:r>
          </w:p>
          <w:p w14:paraId="286A4141">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b.</w:t>
            </w:r>
            <w:r>
              <w:rPr>
                <w:rFonts w:hint="eastAsia" w:ascii="宋体" w:hAnsi="宋体" w:cs="宋体"/>
                <w:color w:val="auto"/>
                <w:szCs w:val="21"/>
                <w:highlight w:val="none"/>
              </w:rPr>
              <w:t>视频水位识别系统、</w:t>
            </w:r>
            <w:r>
              <w:rPr>
                <w:rFonts w:hint="eastAsia" w:ascii="宋体" w:hAnsi="宋体" w:cs="宋体"/>
                <w:color w:val="auto"/>
                <w:kern w:val="0"/>
                <w:szCs w:val="21"/>
                <w:highlight w:val="none"/>
              </w:rPr>
              <w:t>视频监控系统电源线。</w:t>
            </w:r>
          </w:p>
          <w:p w14:paraId="0F561A9B">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c.国标RVV 0.5平方以上无氧纯铜电缆。</w:t>
            </w:r>
          </w:p>
          <w:p w14:paraId="7547646D">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d.包含电缆开挖、回填和供摄像机所需套件。</w:t>
            </w:r>
          </w:p>
          <w:p w14:paraId="4EE4ABA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（3）安装杆及安装基础</w:t>
            </w:r>
          </w:p>
          <w:p w14:paraId="359ACBE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a.带304不锈钢防水机箱。基础：约0.5×0.5×1.0米。</w:t>
            </w:r>
          </w:p>
          <w:p w14:paraId="0E8D8F1A">
            <w:pPr>
              <w:wordWrap w:val="0"/>
              <w:adjustRightInd w:val="0"/>
              <w:snapToGrid w:val="0"/>
              <w:spacing w:line="360" w:lineRule="exact"/>
              <w:rPr>
                <w:rFonts w:ascii="宋体" w:hAnsi="宋体" w:cs="宋体"/>
                <w:bCs/>
                <w:color w:val="auto"/>
                <w:szCs w:val="21"/>
                <w:highlight w:val="none"/>
              </w:rPr>
            </w:pPr>
            <w:r>
              <w:rPr>
                <w:rFonts w:hint="eastAsia" w:ascii="宋体" w:hAnsi="宋体" w:cs="宋体"/>
                <w:color w:val="auto"/>
                <w:kern w:val="0"/>
                <w:szCs w:val="21"/>
                <w:highlight w:val="none"/>
              </w:rPr>
              <w:t>b.接地，电阻小于10欧。</w:t>
            </w:r>
          </w:p>
        </w:tc>
      </w:tr>
      <w:tr w14:paraId="50DB2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663" w:type="dxa"/>
            <w:tcBorders>
              <w:top w:val="single" w:color="auto" w:sz="4" w:space="0"/>
              <w:left w:val="single" w:color="000000" w:sz="4" w:space="0"/>
              <w:bottom w:val="single" w:color="000000" w:sz="4" w:space="0"/>
              <w:right w:val="single" w:color="000000" w:sz="4" w:space="0"/>
            </w:tcBorders>
            <w:vAlign w:val="center"/>
          </w:tcPr>
          <w:p w14:paraId="0729724A">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430" w:type="dxa"/>
            <w:tcBorders>
              <w:top w:val="single" w:color="auto" w:sz="4" w:space="0"/>
              <w:left w:val="single" w:color="000000" w:sz="4" w:space="0"/>
              <w:bottom w:val="single" w:color="000000" w:sz="4" w:space="0"/>
              <w:right w:val="single" w:color="000000" w:sz="4" w:space="0"/>
            </w:tcBorders>
            <w:vAlign w:val="center"/>
          </w:tcPr>
          <w:p w14:paraId="5C123C73">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水尺视频安装支架</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42A5F120">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09" w:type="dxa"/>
            <w:tcBorders>
              <w:top w:val="single" w:color="000000" w:sz="4" w:space="0"/>
              <w:left w:val="single" w:color="000000" w:sz="4" w:space="0"/>
              <w:bottom w:val="single" w:color="000000" w:sz="4" w:space="0"/>
              <w:right w:val="single" w:color="000000" w:sz="4" w:space="0"/>
            </w:tcBorders>
            <w:vAlign w:val="center"/>
          </w:tcPr>
          <w:p w14:paraId="7320414C">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站</w:t>
            </w:r>
          </w:p>
        </w:tc>
        <w:tc>
          <w:tcPr>
            <w:tcW w:w="722" w:type="dxa"/>
            <w:tcBorders>
              <w:top w:val="single" w:color="000000" w:sz="4" w:space="0"/>
              <w:left w:val="single" w:color="000000" w:sz="4" w:space="0"/>
              <w:bottom w:val="single" w:color="000000" w:sz="4" w:space="0"/>
              <w:right w:val="single" w:color="000000" w:sz="4" w:space="0"/>
            </w:tcBorders>
            <w:vAlign w:val="center"/>
          </w:tcPr>
          <w:p w14:paraId="3775F74C">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439CEDA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一、安装于宛田、苏桥、永福（洛清江）、兴坪、日新站。</w:t>
            </w:r>
          </w:p>
          <w:p w14:paraId="7656381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二、技术参数要求：</w:t>
            </w:r>
          </w:p>
          <w:p w14:paraId="64B1F5E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1.支架及基础：参考或相当于Q235喷塑防腐立杆。</w:t>
            </w:r>
          </w:p>
          <w:p w14:paraId="1A33D0B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2.由基础、立柱及悬臂组成，基础采用 C25 混凝土基础，为“倒 T”型，下部尺寸约为1500mm×1500mm×500mm，上部尺寸约为600mm×600mm×1200mm；立柱采用直径≥140mm、壁厚≥4.5mm的热镀锌钢管，高度≥4.0m；悬臂采用直径≥60mm、壁厚≥3.5mm 的热镀锌钢管，长度符合</w:t>
            </w:r>
            <w:r>
              <w:rPr>
                <w:rFonts w:hint="eastAsia" w:ascii="宋体" w:hAnsi="宋体" w:cs="宋体"/>
                <w:color w:val="auto"/>
                <w:szCs w:val="21"/>
                <w:highlight w:val="none"/>
              </w:rPr>
              <w:t>水尺视频安装要求</w:t>
            </w:r>
            <w:r>
              <w:rPr>
                <w:rFonts w:hint="eastAsia" w:ascii="宋体" w:hAnsi="宋体" w:cs="宋体"/>
                <w:color w:val="auto"/>
                <w:kern w:val="0"/>
                <w:szCs w:val="21"/>
                <w:highlight w:val="none"/>
              </w:rPr>
              <w:t>。</w:t>
            </w:r>
          </w:p>
        </w:tc>
      </w:tr>
      <w:tr w14:paraId="4F63F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0" w:type="dxa"/>
            <w:gridSpan w:val="7"/>
            <w:tcBorders>
              <w:top w:val="single" w:color="auto" w:sz="4" w:space="0"/>
              <w:left w:val="single" w:color="000000" w:sz="4" w:space="0"/>
              <w:bottom w:val="single" w:color="000000" w:sz="4" w:space="0"/>
              <w:right w:val="single" w:color="000000" w:sz="4" w:space="0"/>
            </w:tcBorders>
            <w:vAlign w:val="center"/>
          </w:tcPr>
          <w:p w14:paraId="020D32D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b/>
                <w:bCs/>
                <w:color w:val="auto"/>
                <w:szCs w:val="21"/>
                <w:highlight w:val="none"/>
              </w:rPr>
              <w:t>（三）视频监控系统</w:t>
            </w:r>
          </w:p>
        </w:tc>
      </w:tr>
      <w:tr w14:paraId="58A70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auto" w:sz="4" w:space="0"/>
              <w:right w:val="single" w:color="000000" w:sz="4" w:space="0"/>
            </w:tcBorders>
            <w:vAlign w:val="center"/>
          </w:tcPr>
          <w:p w14:paraId="48CB9E49">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430" w:type="dxa"/>
            <w:tcBorders>
              <w:left w:val="single" w:color="000000" w:sz="4" w:space="0"/>
              <w:bottom w:val="single" w:color="auto" w:sz="4" w:space="0"/>
              <w:right w:val="single" w:color="000000" w:sz="4" w:space="0"/>
            </w:tcBorders>
            <w:vAlign w:val="center"/>
          </w:tcPr>
          <w:p w14:paraId="468423C5">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视频监控系统球型摄像机</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565D20D2">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709" w:type="dxa"/>
            <w:tcBorders>
              <w:top w:val="single" w:color="000000" w:sz="4" w:space="0"/>
              <w:left w:val="single" w:color="000000" w:sz="4" w:space="0"/>
              <w:bottom w:val="single" w:color="000000" w:sz="4" w:space="0"/>
              <w:right w:val="single" w:color="000000" w:sz="4" w:space="0"/>
            </w:tcBorders>
            <w:vAlign w:val="center"/>
          </w:tcPr>
          <w:p w14:paraId="4DC0F37A">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2" w:type="dxa"/>
            <w:tcBorders>
              <w:top w:val="single" w:color="000000" w:sz="4" w:space="0"/>
              <w:left w:val="single" w:color="000000" w:sz="4" w:space="0"/>
              <w:bottom w:val="single" w:color="000000" w:sz="4" w:space="0"/>
              <w:right w:val="single" w:color="000000" w:sz="4" w:space="0"/>
            </w:tcBorders>
            <w:vAlign w:val="center"/>
          </w:tcPr>
          <w:p w14:paraId="7E496B54">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61A777D0">
            <w:pPr>
              <w:pStyle w:val="8"/>
              <w:wordWrap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一、安装于兴坪、苏桥、宛田站等3站。每站2套球机，1套用于监视河流断面工况，1套用于安防监控。</w:t>
            </w:r>
          </w:p>
          <w:p w14:paraId="70AC61F7">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二、用于对测站河道工况、测站周边环境进行监测，配置硬盘录像机进行本地视频图像存储，同时接入桂林智慧水安综合管理平台（http://10.45.224.30:8091）。视频监控系统主要有摄像头、硬盘录像机、机箱及辅材等。</w:t>
            </w:r>
          </w:p>
          <w:p w14:paraId="2037472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szCs w:val="21"/>
                <w:highlight w:val="none"/>
              </w:rPr>
              <w:t>（一）视频监控系统 （每站不少于2球机），具体要求如下：</w:t>
            </w:r>
          </w:p>
          <w:p w14:paraId="03B177E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1.本项目的断面监控设备只需新增前端采集设备，与桂林智慧水安综合管理平台（http://10.45.224.30:8091）互联互通，实现水文数据在市级平台的集中汇聚、统一展示。</w:t>
            </w:r>
          </w:p>
          <w:p w14:paraId="4A521031">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2.实时水文图像监控设备主要包括红外网络高清球机、网络硬盘录像机（NVR）、网络传输设备（网络交换机、路由器）、供电系统、安装支架和防雷接地等，系统采用单网星形结构。</w:t>
            </w:r>
          </w:p>
          <w:p w14:paraId="49440CE1">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3.实时水文图像监控信息通过无线方式接入互联网进行视频远程传输至地市水文中心。监控信息存储到本地网络硬盘录像机（NVR），同时也可在地市水文中心或自治区水文中心备份。</w:t>
            </w:r>
          </w:p>
          <w:p w14:paraId="52AEEEDA">
            <w:pPr>
              <w:wordWrap w:val="0"/>
              <w:adjustRightInd w:val="0"/>
              <w:snapToGrid w:val="0"/>
              <w:spacing w:line="36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4.功能要求</w:t>
            </w:r>
          </w:p>
          <w:p w14:paraId="1C0DF63E">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一体式断面监控设备，支持远程召测及定时间隔拍照、回传至中心站；拍摄照片就地存储，支持远程调阅功能。</w:t>
            </w:r>
          </w:p>
          <w:p w14:paraId="5EAC623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（1）系统应采用画面分割技术</w:t>
            </w:r>
          </w:p>
          <w:p w14:paraId="1640D2F1">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同一显示器应能接受多幅图像信息，画面可任意组合、扩大和缩小，并能切换任一幅图像。监视器图像切换有自动循环和手动切换两种方式。每幅画面能叠加字符，显示摄像机编号、地址、日期、时钟（精确到秒）。字符内容可通过键盘实时修改和编辑。</w:t>
            </w:r>
          </w:p>
          <w:p w14:paraId="4FE91DC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（2）系统应具有视频报警功能</w:t>
            </w:r>
          </w:p>
          <w:p w14:paraId="3D29086E">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可在显示器上设置敏感区域，敏感区域内一旦有异常（例如有人闯入等）即报警，系统能自动将相应区域摄像机的画面切换到显示器上，并自动开始录像。操作人员可在主机上方便的实现视频报警功能的设置、</w:t>
            </w:r>
            <w:r>
              <w:rPr>
                <w:rFonts w:hint="eastAsia" w:ascii="宋体" w:hAnsi="宋体" w:cs="宋体"/>
                <w:color w:val="auto"/>
                <w:kern w:val="0"/>
                <w:szCs w:val="21"/>
                <w:highlight w:val="none"/>
                <w:lang w:val="en-US" w:eastAsia="zh-CN"/>
              </w:rPr>
              <w:t>撤销</w:t>
            </w:r>
            <w:r>
              <w:rPr>
                <w:rFonts w:hint="eastAsia" w:ascii="宋体" w:hAnsi="宋体" w:cs="宋体"/>
                <w:color w:val="auto"/>
                <w:kern w:val="0"/>
                <w:szCs w:val="21"/>
                <w:highlight w:val="none"/>
              </w:rPr>
              <w:t>和修改。</w:t>
            </w:r>
          </w:p>
          <w:p w14:paraId="17A4D23E">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（3）系统应具有观察点预置功能</w:t>
            </w:r>
          </w:p>
          <w:p w14:paraId="29225111">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对于重要的位置，可在主机上预置摄像机的位置、光圈、焦距、景深等参数。在需要查看该观察点时，通过输入预置号即可观察到预定位置。操作人员可在主机上方便的实现观察点预置功能的设置、</w:t>
            </w:r>
            <w:r>
              <w:rPr>
                <w:rFonts w:hint="eastAsia" w:ascii="宋体" w:hAnsi="宋体" w:cs="宋体"/>
                <w:color w:val="auto"/>
                <w:kern w:val="0"/>
                <w:szCs w:val="21"/>
                <w:highlight w:val="none"/>
                <w:lang w:val="en-US" w:eastAsia="zh-CN"/>
              </w:rPr>
              <w:t>撤销</w:t>
            </w:r>
            <w:r>
              <w:rPr>
                <w:rFonts w:hint="eastAsia" w:ascii="宋体" w:hAnsi="宋体" w:cs="宋体"/>
                <w:color w:val="auto"/>
                <w:kern w:val="0"/>
                <w:szCs w:val="21"/>
                <w:highlight w:val="none"/>
              </w:rPr>
              <w:t>和修改。</w:t>
            </w:r>
          </w:p>
          <w:p w14:paraId="482F21A5">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（4）系统应具有计算机通讯口</w:t>
            </w:r>
          </w:p>
          <w:p w14:paraId="532A8C2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除了监控中心，任何接入网络的地方可以实现远方计算机联网控制方式控制摄像机、云台的动作，并可切换画面。</w:t>
            </w:r>
          </w:p>
          <w:p w14:paraId="224EE25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（5）系统能对监视器所显示的图像进行记录和把记录的图像在监视器上回放。</w:t>
            </w:r>
          </w:p>
          <w:p w14:paraId="474E3CA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（6）系统具有自诊断功能故障时能发出声、光报警信号，摄像机、云台、解码器驱动等现场设备被盗时能报警。</w:t>
            </w:r>
          </w:p>
          <w:p w14:paraId="1F7AE2F0">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（7）系统具备广阔且无死角的监视空间。</w:t>
            </w:r>
          </w:p>
          <w:p w14:paraId="4860D11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（8）系统具备快速调出现场画面的功能。</w:t>
            </w:r>
          </w:p>
          <w:p w14:paraId="4542A9F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（9）系统具备防雷电和抗强磁场等功能。</w:t>
            </w:r>
          </w:p>
          <w:p w14:paraId="297F223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（10）系统具备图像远传功能，能接入水文中心桂林智慧水安综合管理平台（http://10.45.224.30:8091）。</w:t>
            </w:r>
          </w:p>
          <w:p w14:paraId="0D4FE495">
            <w:pPr>
              <w:wordWrap w:val="0"/>
              <w:adjustRightInd w:val="0"/>
              <w:snapToGrid w:val="0"/>
              <w:spacing w:line="360" w:lineRule="exact"/>
              <w:rPr>
                <w:rFonts w:ascii="宋体" w:hAnsi="宋体" w:cs="宋体"/>
                <w:b/>
                <w:color w:val="auto"/>
                <w:kern w:val="0"/>
                <w:szCs w:val="21"/>
                <w:highlight w:val="none"/>
              </w:rPr>
            </w:pPr>
            <w:r>
              <w:rPr>
                <w:rFonts w:hint="eastAsia" w:ascii="宋体" w:hAnsi="宋体" w:cs="宋体"/>
                <w:bCs/>
                <w:color w:val="auto"/>
                <w:kern w:val="0"/>
                <w:szCs w:val="21"/>
                <w:highlight w:val="none"/>
              </w:rPr>
              <w:t>5.主要技术指标</w:t>
            </w:r>
          </w:p>
          <w:p w14:paraId="4D00EABD">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球机支持不低于1/2.8＂400万32倍光学变焦镜头，采用补光阵列，低功耗，白光补光≥30m，红外补光≥150m；支持区域入侵侦测，越界侦测，进入区域侦测和离开区域侦测等智能侦测；采用补光阵列，低功耗，内置混合补光灯，白光补光≥30m，红外补光≥150m ；内置加热玻璃，有效除雾；支持最大2688×1520@30fps高清画面输出；支持低照度，不低于0.005Lux/F1.5（彩色），不低于0.001Lux/F1.5（黑白），不低于0 Lux with IR；支持不低于32倍光学变倍，不低于16倍数字变倍；支持三码流技术，每路码流可独立配置分辨率及帧率；支持3D数字降噪，支持≥120dB宽动态支持多播功能开放型网络视频接口，参考或相当于ISAPIGB/T28181，ISUP，OTAP；支持两进一出报警，一进一出音频，最大支持≥1TBMicroSD存储卡，具有抗干扰能力，适用于各种电磁环境，符合GB/T17626.2/3/4/5/6 四级标准，支持智能仪表聚焦算法。</w:t>
            </w:r>
          </w:p>
          <w:p w14:paraId="373A40D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（2）传感器类型：参考或相当于1/2.8＂ progressive scan CMOS；最低照度：彩色：0.005Lux @ (F1.5，AGC ON)，黑白：0.001Lux @ (F1.5，AGC ON）；0 lux with IR；宽动态：≥120dB动态；焦距：5.9-188.8mm，不少于32倍光学变倍 ；视场角：水平视场角约60.2°-2.3°（广角-望远）；垂直视场角：约35.2°to1.3°（广角-望远）；对角线视场角：约67.4°to2.6°（广角-望远）；白光照射距离：≥30m；红外照射距离：≥150m。</w:t>
            </w:r>
          </w:p>
          <w:p w14:paraId="50D6F67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运动精度：深度传感磁编，保证定位精度至0.1°，不偏移；水平范围：360°；垂直范围：-15°-90°（自动翻转）；水平速度：水平键控速度：0.1°-160°/s，速度可设；水平预置点速度：≥240°/s；垂直速度：垂直键控速度：0.1°-120°/s，速度可设；垂直预置点速度：≥200°/s 。</w:t>
            </w:r>
          </w:p>
          <w:p w14:paraId="61BAE69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（4）主码流帧率分辨率：50Hz: ≥25fps (2688×1520，2560×1440,1920×1080,1280×960,1280×720)；60Hz: ≥30fps (2688×1520，2560×1440,1920×1080,1280×960,1280×720）；视频压缩标准：H.265;H.264;MJPEG ；SD卡扩展：支持参考或相当于MicroSD/MicroSDHC/MicroSDXC卡，最大支持≥512 GB ；网络接口：RJ45网口，自适应10M/100M网络数据；</w:t>
            </w:r>
          </w:p>
          <w:p w14:paraId="5A2CE5C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5）支持区域入侵侦测、越界侦测、进入区域侦测和离开区域侦等智能侦测，支持切换为人脸抓拍模式。报警输入：2路报警输入；报警输出：1路报警输出；音频输入：1路音频输入，音频峰值：2-2.4V[p-p]，输入阻抗：1 kΩ±10%；音频输出：1路音频输出，线性电平，阻抗：不低于600Ω ；供电方式：DC36V±25%；电源接口类型：甩线；电流及功耗：最大功耗：≥42W；工作温湿度：-30℃-65℃；湿度小于90%；支持不小于512G SD卡本地存储。</w:t>
            </w:r>
          </w:p>
          <w:p w14:paraId="0777E29B">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（6）支持H.265、H.264 HP/MP/BP、M-JPEG编码，视频输出支持2560×1440@25fps，分辨力不小于1400TVL，最大焦距≥188mm。</w:t>
            </w:r>
          </w:p>
          <w:p w14:paraId="1D3D099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（7）支持最低照度可达彩色≥0.005Lux，黑白≥0.0005Lux。采用补光阵列，低功耗，白光≥30 m，红外补光≥150m。</w:t>
            </w:r>
          </w:p>
          <w:p w14:paraId="49A5789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（8）支持≥300个预置位，可按照所设置的预置位完成不小于8条巡航路径，支持不小于4条模式路径设置，支持预置位视频冻结功能。</w:t>
            </w:r>
          </w:p>
          <w:p w14:paraId="6C0FFC10">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（9）支持宽动态≥120db，支持电子透雾；电子防抖、数字降噪、防红外过曝功能。内置热处理装置，降低球机内舱温度，防止球机内起雾。</w:t>
            </w:r>
          </w:p>
          <w:p w14:paraId="3C45EF65">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（10）支持3D定位功能，可实现点击跟踪和放大；支持预置位≥300个，巡航≥16条，扫描≥8条。</w:t>
            </w:r>
          </w:p>
          <w:p w14:paraId="61FDB9A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（11）支持1个10M/100M网口，支持报警1入1出，支持1路RS485。</w:t>
            </w:r>
          </w:p>
          <w:p w14:paraId="5DC80BD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（12）支持不低于4G全网通卡。</w:t>
            </w:r>
          </w:p>
          <w:p w14:paraId="5E7B1E9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（13）支持参考或相当于Onvif、GB28181接入。</w:t>
            </w:r>
          </w:p>
          <w:p w14:paraId="34510E0D">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（14）防护等级：具备较好的防护性能，支持不低于IP66，不低于6kV防浪涌，工作温度范围可达-30℃～65℃。</w:t>
            </w:r>
          </w:p>
          <w:p w14:paraId="2494CCF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（15）</w:t>
            </w:r>
            <w:r>
              <w:rPr>
                <w:rFonts w:hint="eastAsia" w:ascii="宋体" w:hAnsi="宋体" w:cs="宋体"/>
                <w:color w:val="auto"/>
                <w:szCs w:val="21"/>
                <w:highlight w:val="none"/>
              </w:rPr>
              <w:t>除雾：加热玻璃除雾；防护：不低于IP66。</w:t>
            </w:r>
          </w:p>
          <w:p w14:paraId="7B88A53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（16）工作温度：-30℃～65℃（不开红外），-30℃～40℃（开红外）。</w:t>
            </w:r>
          </w:p>
          <w:p w14:paraId="44379F6D">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（17）电源适应性：DC12V±10%。</w:t>
            </w:r>
          </w:p>
          <w:p w14:paraId="24EBEE18">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（18）支持低功耗、超低功耗、极低功耗三种模式。</w:t>
            </w:r>
          </w:p>
          <w:p w14:paraId="0A19CBDD">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（17）信噪比≥56dB，网络延时不大于120ms。</w:t>
            </w:r>
          </w:p>
          <w:p w14:paraId="1AAE9928">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（18）支持区域遮盖功能，支持最多8块不规则四边形区域，每个区域颜色、大小、位置可调并可设置马赛克。</w:t>
            </w:r>
          </w:p>
          <w:p w14:paraId="37364C0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（19）标配</w:t>
            </w:r>
            <w:r>
              <w:rPr>
                <w:rFonts w:hint="eastAsia" w:ascii="宋体" w:hAnsi="宋体" w:cs="宋体"/>
                <w:bCs/>
                <w:color w:val="auto"/>
                <w:kern w:val="0"/>
                <w:szCs w:val="21"/>
                <w:highlight w:val="none"/>
              </w:rPr>
              <w:t>不低于</w:t>
            </w:r>
            <w:r>
              <w:rPr>
                <w:rFonts w:hint="eastAsia" w:ascii="宋体" w:hAnsi="宋体" w:cs="宋体"/>
                <w:color w:val="auto"/>
                <w:kern w:val="0"/>
                <w:szCs w:val="21"/>
                <w:highlight w:val="none"/>
              </w:rPr>
              <w:t>4G通信卡，每月不低于20G流量，包含不少于3年通信费</w:t>
            </w:r>
            <w:r>
              <w:rPr>
                <w:rFonts w:hint="eastAsia" w:ascii="宋体" w:hAnsi="宋体" w:cs="宋体"/>
                <w:b/>
                <w:bCs/>
                <w:color w:val="auto"/>
                <w:kern w:val="0"/>
                <w:szCs w:val="21"/>
                <w:highlight w:val="none"/>
              </w:rPr>
              <w:t>【供应商于响应文件中必须提供所竞产品相应的承诺函（格式详见第五章“响应文件格式”），并加盖供应商电子签章】</w:t>
            </w:r>
            <w:r>
              <w:rPr>
                <w:rFonts w:hint="eastAsia" w:ascii="宋体" w:hAnsi="宋体" w:cs="宋体"/>
                <w:color w:val="auto"/>
                <w:kern w:val="0"/>
                <w:szCs w:val="21"/>
                <w:highlight w:val="none"/>
              </w:rPr>
              <w:t>。</w:t>
            </w:r>
          </w:p>
          <w:p w14:paraId="390F80B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（20）监控图像、水文数据必须能与桂林水文桂林智慧水安综合管理平台（http://10.45.224.30:8091）进行互联互通，实现水文数据在市级平台的集中汇聚、统一展示</w:t>
            </w:r>
            <w:r>
              <w:rPr>
                <w:rFonts w:hint="eastAsia" w:ascii="宋体" w:hAnsi="宋体" w:cs="宋体"/>
                <w:b/>
                <w:bCs/>
                <w:color w:val="auto"/>
                <w:kern w:val="0"/>
                <w:szCs w:val="21"/>
                <w:highlight w:val="none"/>
              </w:rPr>
              <w:t>【供应商于响应文件中必须提供所竞产品相应的承诺函（格式详见第五章“响应文件格式”），并加盖供应商电子签章】</w:t>
            </w:r>
            <w:r>
              <w:rPr>
                <w:rFonts w:hint="eastAsia" w:ascii="宋体" w:hAnsi="宋体" w:cs="宋体"/>
                <w:color w:val="auto"/>
                <w:kern w:val="0"/>
                <w:szCs w:val="21"/>
                <w:highlight w:val="none"/>
              </w:rPr>
              <w:t>。</w:t>
            </w:r>
          </w:p>
          <w:p w14:paraId="22CA7E1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（21）摄像机内置WiFi无线模块，支持距摄像机≥200m处的移动设备可成功链接摄像机WiFi热点【</w:t>
            </w:r>
            <w:r>
              <w:rPr>
                <w:rFonts w:hint="eastAsia" w:ascii="宋体" w:hAnsi="宋体" w:cs="宋体"/>
                <w:b/>
                <w:color w:val="auto"/>
                <w:kern w:val="0"/>
                <w:szCs w:val="21"/>
                <w:highlight w:val="none"/>
              </w:rPr>
              <w:t>供应商于响应文件中必须提供所竞产品能满足该项技术要求的由国家认可的第三方检测机构出具的合格有效的检测报告复印件佐证（检测内容包含该项技术要求），并加盖供应商电子签章】</w:t>
            </w:r>
            <w:r>
              <w:rPr>
                <w:rFonts w:hint="eastAsia" w:ascii="宋体" w:hAnsi="宋体" w:cs="宋体"/>
                <w:color w:val="auto"/>
                <w:kern w:val="0"/>
                <w:szCs w:val="21"/>
                <w:highlight w:val="none"/>
              </w:rPr>
              <w:t>。</w:t>
            </w:r>
          </w:p>
          <w:p w14:paraId="4D552C3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（22）支架及基础</w:t>
            </w:r>
          </w:p>
          <w:p w14:paraId="578E730D">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①支架及基础：参考或相当于Q235喷塑防腐立杆，根据现场环境设计。</w:t>
            </w:r>
          </w:p>
          <w:p w14:paraId="0EE0AC9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②由基础、立柱及悬臂组成，基础采用C25 混凝土基础，为“倒 T”型，下部尺寸约为 1500mm×1500mm×500mm， 上部尺寸约为600mm×600mm×1200mm；立柱采用直径≥140mm、壁厚≥4.5mm的热镀锌钢管，高度≥4.0m；悬臂采用直径≥60mm、壁厚≥3.5mm 的热镀锌钢管， 长度符合</w:t>
            </w:r>
            <w:r>
              <w:rPr>
                <w:rFonts w:hint="eastAsia" w:ascii="宋体" w:hAnsi="宋体" w:cs="宋体"/>
                <w:color w:val="auto"/>
                <w:szCs w:val="21"/>
                <w:highlight w:val="none"/>
              </w:rPr>
              <w:t>水尺视频安装要求</w:t>
            </w:r>
            <w:r>
              <w:rPr>
                <w:rFonts w:hint="eastAsia" w:ascii="宋体" w:hAnsi="宋体" w:cs="宋体"/>
                <w:color w:val="auto"/>
                <w:kern w:val="0"/>
                <w:szCs w:val="21"/>
                <w:highlight w:val="none"/>
              </w:rPr>
              <w:t>。</w:t>
            </w:r>
          </w:p>
          <w:p w14:paraId="5C49E1C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（23）</w:t>
            </w:r>
            <w:r>
              <w:rPr>
                <w:rFonts w:hint="eastAsia" w:ascii="宋体" w:hAnsi="宋体" w:cs="宋体"/>
                <w:color w:val="auto"/>
                <w:spacing w:val="-4"/>
                <w:szCs w:val="21"/>
                <w:highlight w:val="none"/>
              </w:rPr>
              <w:t>辅助设备（含线缆、接地等）</w:t>
            </w:r>
            <w:r>
              <w:rPr>
                <w:rFonts w:hint="eastAsia" w:ascii="宋体" w:hAnsi="宋体" w:cs="宋体"/>
                <w:color w:val="auto"/>
                <w:kern w:val="0"/>
                <w:szCs w:val="21"/>
                <w:highlight w:val="none"/>
              </w:rPr>
              <w:t>。</w:t>
            </w:r>
          </w:p>
          <w:p w14:paraId="1967E06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①光缆</w:t>
            </w:r>
          </w:p>
          <w:p w14:paraId="4119412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a.包含完成本项目实施所需的所有光缆。</w:t>
            </w:r>
          </w:p>
          <w:p w14:paraId="00E4B48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b.铠装室外单模4芯中心束管式光纤线。</w:t>
            </w:r>
          </w:p>
          <w:p w14:paraId="60ED9C11">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c.包含光纤架空、开挖、回填、熔纤和连接摄像头所需套件。</w:t>
            </w:r>
          </w:p>
          <w:p w14:paraId="168924E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②电缆</w:t>
            </w:r>
          </w:p>
          <w:p w14:paraId="26596000">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a.包含完成本项目实施所需的所有电缆。</w:t>
            </w:r>
          </w:p>
          <w:p w14:paraId="4DC4AEAD">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b.</w:t>
            </w:r>
            <w:r>
              <w:rPr>
                <w:rFonts w:hint="eastAsia" w:ascii="宋体" w:hAnsi="宋体" w:cs="宋体"/>
                <w:color w:val="auto"/>
                <w:szCs w:val="21"/>
                <w:highlight w:val="none"/>
              </w:rPr>
              <w:t>视频水位识别系统、</w:t>
            </w:r>
            <w:r>
              <w:rPr>
                <w:rFonts w:hint="eastAsia" w:ascii="宋体" w:hAnsi="宋体" w:cs="宋体"/>
                <w:color w:val="auto"/>
                <w:kern w:val="0"/>
                <w:szCs w:val="21"/>
                <w:highlight w:val="none"/>
              </w:rPr>
              <w:t>视频监控系统电源线。</w:t>
            </w:r>
          </w:p>
          <w:p w14:paraId="0D6DF20D">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c.国标RVV 0.5平方以上无氧纯铜电缆。</w:t>
            </w:r>
          </w:p>
          <w:p w14:paraId="4DEB8FF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d.包含电缆开挖、回填和供摄像机所需套件。</w:t>
            </w:r>
          </w:p>
          <w:p w14:paraId="60FF269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③安装杆及安装基础</w:t>
            </w:r>
          </w:p>
          <w:p w14:paraId="37782E3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a.带304不锈钢防水机箱。基础约：0.5×0.5×1.0米。</w:t>
            </w:r>
          </w:p>
          <w:p w14:paraId="1892F3FE">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b.接地，电阻小于10欧。</w:t>
            </w:r>
          </w:p>
        </w:tc>
      </w:tr>
      <w:tr w14:paraId="46F25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auto" w:sz="4" w:space="0"/>
              <w:left w:val="single" w:color="000000" w:sz="4" w:space="0"/>
              <w:bottom w:val="single" w:color="000000" w:sz="4" w:space="0"/>
              <w:right w:val="single" w:color="000000" w:sz="4" w:space="0"/>
            </w:tcBorders>
            <w:vAlign w:val="center"/>
          </w:tcPr>
          <w:p w14:paraId="1ACD1F81">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430" w:type="dxa"/>
            <w:tcBorders>
              <w:top w:val="single" w:color="auto" w:sz="4" w:space="0"/>
              <w:left w:val="single" w:color="000000" w:sz="4" w:space="0"/>
              <w:bottom w:val="single" w:color="auto" w:sz="4" w:space="0"/>
              <w:right w:val="single" w:color="000000" w:sz="4" w:space="0"/>
            </w:tcBorders>
            <w:vAlign w:val="center"/>
          </w:tcPr>
          <w:p w14:paraId="4A3E4CC3">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硬盘录像机</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5313B7D2">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367FCB1B">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2" w:type="dxa"/>
            <w:tcBorders>
              <w:top w:val="single" w:color="000000" w:sz="4" w:space="0"/>
              <w:left w:val="single" w:color="000000" w:sz="4" w:space="0"/>
              <w:bottom w:val="single" w:color="000000" w:sz="4" w:space="0"/>
              <w:right w:val="single" w:color="000000" w:sz="4" w:space="0"/>
            </w:tcBorders>
            <w:vAlign w:val="center"/>
          </w:tcPr>
          <w:p w14:paraId="5F9FA026">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09CFCDBD">
            <w:pPr>
              <w:wordWrap w:val="0"/>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一、安装于兴坪、苏桥、宛田、永福（洛清江）共4站。</w:t>
            </w:r>
          </w:p>
          <w:p w14:paraId="04148FC6">
            <w:pPr>
              <w:wordWrap w:val="0"/>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二、技术参数要求</w:t>
            </w:r>
          </w:p>
          <w:p w14:paraId="23DC56AE">
            <w:pPr>
              <w:wordWrap w:val="0"/>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 采用2盘位网络硬盘录像机，ATX 电源内置2块≥4TB 硬盘（总容量 8TB)。</w:t>
            </w:r>
          </w:p>
          <w:p w14:paraId="56F60A15">
            <w:pPr>
              <w:wordWrap w:val="0"/>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2.≥1个HDMI 接口、≥1个VGA 接口，同源输出，可支持4K输出。</w:t>
            </w:r>
          </w:p>
          <w:p w14:paraId="37ED9C4C">
            <w:pPr>
              <w:wordWrap w:val="0"/>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3.≥1个10M/100Mbps 网口+8 个10M/100MbpsPoE 网口2个USB2.0 接口。</w:t>
            </w:r>
          </w:p>
          <w:p w14:paraId="3191F331">
            <w:pPr>
              <w:wordWrap w:val="0"/>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4.报警 IO 接口：4路报警输入，1路报警输出。 </w:t>
            </w:r>
          </w:p>
          <w:p w14:paraId="472B61A3">
            <w:pPr>
              <w:wordWrap w:val="0"/>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5.输入带宽：≥80Mbps 输出带宽：≥80Mbps 。</w:t>
            </w:r>
          </w:p>
          <w:p w14:paraId="664D84F3">
            <w:pPr>
              <w:wordWrap w:val="0"/>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6. 接入能力：8路 H.264、H.265 格式高清码流接入，解码能力：最大支持≥8×1080P。</w:t>
            </w:r>
          </w:p>
        </w:tc>
      </w:tr>
      <w:tr w14:paraId="71ED7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5AEE888D">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430" w:type="dxa"/>
            <w:tcBorders>
              <w:top w:val="single" w:color="auto" w:sz="4" w:space="0"/>
              <w:left w:val="single" w:color="000000" w:sz="4" w:space="0"/>
              <w:bottom w:val="single" w:color="auto" w:sz="4" w:space="0"/>
              <w:right w:val="single" w:color="000000" w:sz="4" w:space="0"/>
            </w:tcBorders>
            <w:vAlign w:val="center"/>
          </w:tcPr>
          <w:p w14:paraId="0BF9824F">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存储卡</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7E08D88D">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3468A0D8">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张</w:t>
            </w:r>
          </w:p>
        </w:tc>
        <w:tc>
          <w:tcPr>
            <w:tcW w:w="722" w:type="dxa"/>
            <w:tcBorders>
              <w:top w:val="single" w:color="000000" w:sz="4" w:space="0"/>
              <w:left w:val="single" w:color="000000" w:sz="4" w:space="0"/>
              <w:bottom w:val="single" w:color="000000" w:sz="4" w:space="0"/>
              <w:right w:val="single" w:color="000000" w:sz="4" w:space="0"/>
            </w:tcBorders>
            <w:vAlign w:val="center"/>
          </w:tcPr>
          <w:p w14:paraId="2CEF4F9E">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73CE2F5F">
            <w:pPr>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一、安装于龙胜日新站。</w:t>
            </w:r>
          </w:p>
          <w:p w14:paraId="47FC3A96">
            <w:pPr>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二、技术参数要求</w:t>
            </w:r>
          </w:p>
          <w:p w14:paraId="326055B3">
            <w:pPr>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1.容量：</w:t>
            </w:r>
            <w:r>
              <w:rPr>
                <w:rFonts w:hint="eastAsia" w:ascii="宋体" w:hAnsi="宋体" w:cs="宋体"/>
                <w:color w:val="auto"/>
                <w:kern w:val="0"/>
                <w:szCs w:val="21"/>
                <w:highlight w:val="none"/>
              </w:rPr>
              <w:t>≥</w:t>
            </w:r>
            <w:r>
              <w:rPr>
                <w:rFonts w:hint="eastAsia" w:ascii="宋体" w:hAnsi="宋体" w:cs="宋体"/>
                <w:color w:val="auto"/>
                <w:szCs w:val="21"/>
                <w:highlight w:val="none"/>
              </w:rPr>
              <w:t>512G SD卡。</w:t>
            </w:r>
          </w:p>
          <w:p w14:paraId="34C47943">
            <w:pPr>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2.读取速度</w:t>
            </w:r>
            <w:r>
              <w:rPr>
                <w:rFonts w:hint="eastAsia" w:ascii="宋体" w:hAnsi="宋体" w:cs="宋体"/>
                <w:color w:val="auto"/>
                <w:kern w:val="0"/>
                <w:szCs w:val="21"/>
                <w:highlight w:val="none"/>
              </w:rPr>
              <w:t>≥</w:t>
            </w:r>
            <w:r>
              <w:rPr>
                <w:rFonts w:hint="eastAsia" w:ascii="宋体" w:hAnsi="宋体" w:cs="宋体"/>
                <w:color w:val="auto"/>
                <w:szCs w:val="21"/>
                <w:highlight w:val="none"/>
              </w:rPr>
              <w:t>200MB/秒以上，写入速度</w:t>
            </w:r>
            <w:r>
              <w:rPr>
                <w:rFonts w:hint="eastAsia" w:ascii="宋体" w:hAnsi="宋体" w:cs="宋体"/>
                <w:color w:val="auto"/>
                <w:kern w:val="0"/>
                <w:szCs w:val="21"/>
                <w:highlight w:val="none"/>
              </w:rPr>
              <w:t>≥</w:t>
            </w:r>
            <w:r>
              <w:rPr>
                <w:rFonts w:hint="eastAsia" w:ascii="宋体" w:hAnsi="宋体" w:cs="宋体"/>
                <w:color w:val="auto"/>
                <w:szCs w:val="21"/>
                <w:highlight w:val="none"/>
              </w:rPr>
              <w:t>140MB/秒。</w:t>
            </w:r>
          </w:p>
          <w:p w14:paraId="706CD2E2">
            <w:pPr>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3.应用：存储多种数据格式，包括RAW和JPEG照片，</w:t>
            </w:r>
          </w:p>
          <w:p w14:paraId="19E31640">
            <w:pPr>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高分辨率视频，音乐等。</w:t>
            </w:r>
          </w:p>
          <w:p w14:paraId="37D94953">
            <w:pPr>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4.内置写保护形状，防止数据意外丢失。</w:t>
            </w:r>
          </w:p>
          <w:p w14:paraId="25DED836">
            <w:pPr>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5.工作温度：-25</w:t>
            </w:r>
            <w:r>
              <w:rPr>
                <w:rFonts w:hint="eastAsia" w:ascii="宋体" w:hAnsi="宋体" w:cs="宋体"/>
                <w:color w:val="auto"/>
                <w:kern w:val="0"/>
                <w:szCs w:val="21"/>
                <w:highlight w:val="none"/>
              </w:rPr>
              <w:t>℃</w:t>
            </w:r>
            <w:r>
              <w:rPr>
                <w:rFonts w:hint="eastAsia" w:ascii="宋体" w:hAnsi="宋体" w:cs="宋体"/>
                <w:color w:val="auto"/>
                <w:szCs w:val="21"/>
                <w:highlight w:val="none"/>
              </w:rPr>
              <w:t>至85</w:t>
            </w:r>
            <w:r>
              <w:rPr>
                <w:rFonts w:hint="eastAsia" w:ascii="宋体" w:hAnsi="宋体" w:cs="宋体"/>
                <w:color w:val="auto"/>
                <w:kern w:val="0"/>
                <w:szCs w:val="21"/>
                <w:highlight w:val="none"/>
              </w:rPr>
              <w:t>℃</w:t>
            </w:r>
            <w:r>
              <w:rPr>
                <w:rFonts w:hint="eastAsia" w:ascii="宋体" w:hAnsi="宋体" w:cs="宋体"/>
                <w:color w:val="auto"/>
                <w:szCs w:val="21"/>
                <w:highlight w:val="none"/>
              </w:rPr>
              <w:t>。</w:t>
            </w:r>
          </w:p>
          <w:p w14:paraId="71194809">
            <w:pPr>
              <w:wordWrap w:val="0"/>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szCs w:val="21"/>
                <w:highlight w:val="none"/>
              </w:rPr>
              <w:t>6.存储温度-40</w:t>
            </w:r>
            <w:r>
              <w:rPr>
                <w:rFonts w:hint="eastAsia" w:ascii="宋体" w:hAnsi="宋体" w:cs="宋体"/>
                <w:color w:val="auto"/>
                <w:kern w:val="0"/>
                <w:szCs w:val="21"/>
                <w:highlight w:val="none"/>
              </w:rPr>
              <w:t>℃</w:t>
            </w:r>
            <w:r>
              <w:rPr>
                <w:rFonts w:hint="eastAsia" w:ascii="宋体" w:hAnsi="宋体" w:cs="宋体"/>
                <w:color w:val="auto"/>
                <w:szCs w:val="21"/>
                <w:highlight w:val="none"/>
              </w:rPr>
              <w:t>至85</w:t>
            </w:r>
            <w:r>
              <w:rPr>
                <w:rFonts w:hint="eastAsia" w:ascii="宋体" w:hAnsi="宋体" w:cs="宋体"/>
                <w:color w:val="auto"/>
                <w:kern w:val="0"/>
                <w:szCs w:val="21"/>
                <w:highlight w:val="none"/>
              </w:rPr>
              <w:t>℃</w:t>
            </w:r>
            <w:r>
              <w:rPr>
                <w:rFonts w:hint="eastAsia" w:ascii="宋体" w:hAnsi="宋体" w:cs="宋体"/>
                <w:color w:val="auto"/>
                <w:szCs w:val="21"/>
                <w:highlight w:val="none"/>
              </w:rPr>
              <w:t>。</w:t>
            </w:r>
          </w:p>
        </w:tc>
      </w:tr>
      <w:tr w14:paraId="0D82A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3E423F80">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1430" w:type="dxa"/>
            <w:tcBorders>
              <w:top w:val="single" w:color="auto" w:sz="4" w:space="0"/>
              <w:left w:val="single" w:color="000000" w:sz="4" w:space="0"/>
              <w:bottom w:val="single" w:color="auto" w:sz="4" w:space="0"/>
              <w:right w:val="single" w:color="000000" w:sz="4" w:space="0"/>
            </w:tcBorders>
            <w:vAlign w:val="center"/>
          </w:tcPr>
          <w:p w14:paraId="0E8AF888">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网络交换机</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046D2385">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09" w:type="dxa"/>
            <w:tcBorders>
              <w:top w:val="single" w:color="000000" w:sz="4" w:space="0"/>
              <w:left w:val="single" w:color="000000" w:sz="4" w:space="0"/>
              <w:bottom w:val="single" w:color="000000" w:sz="4" w:space="0"/>
              <w:right w:val="single" w:color="000000" w:sz="4" w:space="0"/>
            </w:tcBorders>
            <w:vAlign w:val="center"/>
          </w:tcPr>
          <w:p w14:paraId="69F85BF0">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2" w:type="dxa"/>
            <w:tcBorders>
              <w:top w:val="single" w:color="000000" w:sz="4" w:space="0"/>
              <w:left w:val="single" w:color="000000" w:sz="4" w:space="0"/>
              <w:bottom w:val="single" w:color="000000" w:sz="4" w:space="0"/>
              <w:right w:val="single" w:color="000000" w:sz="4" w:space="0"/>
            </w:tcBorders>
            <w:vAlign w:val="center"/>
          </w:tcPr>
          <w:p w14:paraId="77EBEFFC">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316282AB">
            <w:pPr>
              <w:wordWrap w:val="0"/>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安装于兴坪、苏桥、宛田、永福（洛清江）、日新等5站。</w:t>
            </w:r>
          </w:p>
          <w:p w14:paraId="2B3BB828">
            <w:pPr>
              <w:wordWrap w:val="0"/>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1.采用交换式结构，支持10/100/1000Mbps以太网，交换容量≥340Gbps。</w:t>
            </w:r>
          </w:p>
          <w:p w14:paraId="2D14AEC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2.包转发率≥131Mpps，支持参考或相当于IEEE802.3 标准的网络部件，至少5个千兆电口，2个千兆光口，配套必需的光模块（单模）、光缆终端盒、尾纤等。</w:t>
            </w:r>
          </w:p>
        </w:tc>
      </w:tr>
      <w:tr w14:paraId="6E695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0" w:type="dxa"/>
            <w:gridSpan w:val="7"/>
            <w:tcBorders>
              <w:top w:val="single" w:color="000000" w:sz="4" w:space="0"/>
              <w:left w:val="single" w:color="000000" w:sz="4" w:space="0"/>
              <w:bottom w:val="single" w:color="000000" w:sz="4" w:space="0"/>
              <w:right w:val="single" w:color="000000" w:sz="4" w:space="0"/>
            </w:tcBorders>
            <w:vAlign w:val="center"/>
          </w:tcPr>
          <w:p w14:paraId="67637AC2">
            <w:pPr>
              <w:wordWrap w:val="0"/>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szCs w:val="21"/>
                <w:highlight w:val="none"/>
              </w:rPr>
              <w:t>（四）遥测通信终端</w:t>
            </w:r>
          </w:p>
        </w:tc>
      </w:tr>
      <w:tr w14:paraId="01154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595CDA82">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1430" w:type="dxa"/>
            <w:tcBorders>
              <w:top w:val="single" w:color="auto" w:sz="4" w:space="0"/>
              <w:left w:val="single" w:color="000000" w:sz="4" w:space="0"/>
              <w:bottom w:val="single" w:color="auto" w:sz="4" w:space="0"/>
              <w:right w:val="single" w:color="000000" w:sz="4" w:space="0"/>
            </w:tcBorders>
            <w:vAlign w:val="center"/>
          </w:tcPr>
          <w:p w14:paraId="5A378411">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遥测终端RTU</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1ED26E06">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09D39A99">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2" w:type="dxa"/>
            <w:tcBorders>
              <w:top w:val="single" w:color="000000" w:sz="4" w:space="0"/>
              <w:left w:val="single" w:color="000000" w:sz="4" w:space="0"/>
              <w:bottom w:val="single" w:color="000000" w:sz="4" w:space="0"/>
              <w:right w:val="single" w:color="000000" w:sz="4" w:space="0"/>
            </w:tcBorders>
            <w:vAlign w:val="center"/>
          </w:tcPr>
          <w:p w14:paraId="15DE9ED3">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187FC3D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安装于兴坪、宛田、日新三个站</w:t>
            </w:r>
          </w:p>
          <w:p w14:paraId="7888077B">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1.工作电压：10～30VDC（允许输入范围0～30V）。</w:t>
            </w:r>
          </w:p>
          <w:p w14:paraId="159402BB">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2.值守电流：≤1.5mA@12VDC（值守时关闭，则值守电流≤1mA）。</w:t>
            </w:r>
          </w:p>
          <w:p w14:paraId="6A397BF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3.工作电流：≤15mA@12VDC（不含通信设备）。</w:t>
            </w:r>
          </w:p>
          <w:p w14:paraId="3A55061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4.工作环境：-20℃～70℃，＜95%RH。</w:t>
            </w:r>
          </w:p>
          <w:p w14:paraId="6AD6D6D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5. 通信接口：≥5个串行口（≥4个RS232，≥1个S485）。</w:t>
            </w:r>
          </w:p>
          <w:p w14:paraId="4EFD3BC4">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6.存储空间：≥128M。</w:t>
            </w:r>
          </w:p>
          <w:p w14:paraId="63EAAEA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7.多传感器接口：浮子式、激光、超声波、压力式、气泡式等，可以接入摄像头等特殊传感器。</w:t>
            </w:r>
          </w:p>
          <w:p w14:paraId="3D3A744A">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8.多通信接口：包括： PSTN、专线、短波、超短波、微波、GSM（短消息或数据业务）、GPRS、CDMA以及卫星通信（参考或相当于北斗卫星、水利卫星、海事卫星、VSAT、全线通、全球通）等。</w:t>
            </w:r>
          </w:p>
          <w:p w14:paraId="068C02E5">
            <w:pPr>
              <w:wordWrap w:val="0"/>
              <w:adjustRightInd w:val="0"/>
              <w:snapToGri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9.具有兼容性和可扩展性。                      10.RTU具备远程升级的功能，在遥测站需要更新程序时不需要抵达测站去更新程序，只需要在中心站升级程序即可。</w:t>
            </w:r>
          </w:p>
          <w:p w14:paraId="4457ADA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11.可以接入水文遥测信息管理系统（http://10.45.224.24:8808/YCViewer/YCViewerPage.aspx）。</w:t>
            </w:r>
          </w:p>
          <w:p w14:paraId="72ADF52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12.采集的遥测参数：水位、雨量、图像、流量、风向、风速、蓄电池电压、气压、空气温湿度、水温、水质、泉流量、墒情、大坝渗压、蒸发量、流速等水文、气象和水质信息。</w:t>
            </w:r>
          </w:p>
          <w:p w14:paraId="16A29AF5">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13.通信方式：可以同时接入参考或相当于GPRS/GSM、北斗卫星至少两种通信设备，并且可以实现主备通信模式，可选择GPRS作为主通信信道，当GPRS通信失败时自动转GSM短信信道，GSM短信通讯失败自动转参考或相当于北斗卫星通信信道；同时对于GPRS信道具备一站双发的功能。还可以接入超短波电台通信、PSTN通信、专线等通信方式。</w:t>
            </w:r>
          </w:p>
          <w:p w14:paraId="771F6F0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14.图片传输具有多种分辨率可选，可根据现场的情况进行设置，同时具有图片召测功能。</w:t>
            </w:r>
          </w:p>
          <w:p w14:paraId="3FB68D7C">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15.图片传输时间可以自定义设定，默认设置定时每小时发送一张中等分辨率照片。</w:t>
            </w:r>
          </w:p>
          <w:p w14:paraId="595E9407">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16.工作方式：可兼容随机增量加报、限时增量加报、定时自报、召测-应答方式等多种工作方式，同时具有信息发送失败自动补发功能。</w:t>
            </w:r>
          </w:p>
          <w:p w14:paraId="1C61C369">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17.外部SIM 卡，外部天线。</w:t>
            </w:r>
          </w:p>
          <w:p w14:paraId="6D92581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18.GPRS模块与原已建设的水情分中心水文遥测信息管理系统（http://10.45.224.24:8808/YCViewer/YCViewerPage.aspx）实现对接。</w:t>
            </w:r>
          </w:p>
          <w:p w14:paraId="2249D54E">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19.为便于系统维护，GPRS模块必须是独立设备，不能与RTU集成为一体。</w:t>
            </w:r>
          </w:p>
          <w:p w14:paraId="0588C351">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20.通过《水文监测数据通信规约》（SL651-2014）符合性测试，且各项功能全项通过（30项），</w:t>
            </w:r>
          </w:p>
          <w:p w14:paraId="6AB9B3D2">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21.满足《水文自动测报系统技术规范》（GB/T 41368-2022）和《水文自动测报系统设备遥测终端机》（SL180-2015）的要求。</w:t>
            </w:r>
          </w:p>
          <w:p w14:paraId="71345E5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22.标配含避雷器、监测数据显示屏、参数设置键盘各1个。</w:t>
            </w:r>
          </w:p>
        </w:tc>
      </w:tr>
      <w:tr w14:paraId="03EAC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299BD922">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1430" w:type="dxa"/>
            <w:tcBorders>
              <w:top w:val="single" w:color="auto" w:sz="4" w:space="0"/>
              <w:left w:val="single" w:color="000000" w:sz="4" w:space="0"/>
              <w:bottom w:val="single" w:color="auto" w:sz="4" w:space="0"/>
              <w:right w:val="single" w:color="000000" w:sz="4" w:space="0"/>
            </w:tcBorders>
            <w:vAlign w:val="center"/>
          </w:tcPr>
          <w:p w14:paraId="5AE5AF70">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通讯模块（DTU）</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388848F9">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5F643C31">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个</w:t>
            </w:r>
          </w:p>
        </w:tc>
        <w:tc>
          <w:tcPr>
            <w:tcW w:w="722" w:type="dxa"/>
            <w:tcBorders>
              <w:top w:val="single" w:color="000000" w:sz="4" w:space="0"/>
              <w:left w:val="single" w:color="000000" w:sz="4" w:space="0"/>
              <w:bottom w:val="single" w:color="000000" w:sz="4" w:space="0"/>
              <w:right w:val="single" w:color="000000" w:sz="4" w:space="0"/>
            </w:tcBorders>
            <w:vAlign w:val="center"/>
          </w:tcPr>
          <w:p w14:paraId="2366056F">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1BEB40CD">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1．支持移动、联通、电信全网通，并实现主备通信模式自动切换功能。</w:t>
            </w:r>
          </w:p>
          <w:p w14:paraId="2B21CB45">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2.支持TDD-LTE、FDD-LTE、EVDO、WCDMA、TD-SCDMA、CDMA1X、GPRS/EDGE等全网频段。</w:t>
            </w:r>
          </w:p>
          <w:p w14:paraId="4A7FE4E4">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3.SIM卡接口：支持不低于1.8/3V SIM/UIM卡，内置不低于15kV ESD保护。</w:t>
            </w:r>
          </w:p>
          <w:p w14:paraId="277CDBF7">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4.发射功率＜23dBm。</w:t>
            </w:r>
          </w:p>
          <w:p w14:paraId="7C0F6419">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5.天线：SMA接口。</w:t>
            </w:r>
          </w:p>
          <w:p w14:paraId="75801D52">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6.接收灵敏度：优于-93.3dBm。</w:t>
            </w:r>
          </w:p>
          <w:p w14:paraId="4EF1D7F0">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7.串口：1个RS232和1个RS485接口。</w:t>
            </w:r>
          </w:p>
          <w:p w14:paraId="2EF5E37C">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8.串口速率：不低于110~230400bit/s，与RTU匹配。</w:t>
            </w:r>
          </w:p>
          <w:p w14:paraId="2A24E8F6">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9.配充电控制器1个、避雷器1个、全向天线1个及安装附件。</w:t>
            </w:r>
          </w:p>
          <w:p w14:paraId="6509E1D5">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10.工作功耗：≤100mA（DC12V）。</w:t>
            </w:r>
          </w:p>
          <w:p w14:paraId="4729989F">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11.静态值守功耗：≤30mA。</w:t>
            </w:r>
          </w:p>
          <w:p w14:paraId="21D0E959">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12.支持ANP/VPDN专网、支持PPP、TCP/IP协议栈、支持透明传输、支持短信编码、自定义心跳包、注册包、低功耗、支持TCP/UDP/TCP+DDP/UDP+DDP/SMS等通讯方式，支持VPN功能、静态路由管理、IP地址绑定、防火墙功能、网络诊断、远程管理、HTTP协议传输等。</w:t>
            </w:r>
          </w:p>
          <w:p w14:paraId="6694D026">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13.外壳、用户接口通过ESD三级保护；电源接口内置反相和过压保护；链路在线监测，包括应用层心跳、PPP LCP检测、ICMP监测、接口流量监测，确保永远在线及掉线快速拨号。</w:t>
            </w:r>
          </w:p>
          <w:p w14:paraId="76023351">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14.工作环境温度：温度-10℃～+60℃，湿度≤95%RH（40℃）。</w:t>
            </w:r>
          </w:p>
          <w:p w14:paraId="4D77B1BF">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szCs w:val="21"/>
                <w:highlight w:val="none"/>
              </w:rPr>
              <w:t>15.防雷保护：电源、通信接口采用不低于2级防雷保护；开关量和模拟量接口采用不低于3级防雷保护。</w:t>
            </w:r>
          </w:p>
        </w:tc>
      </w:tr>
      <w:tr w14:paraId="2B8B2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63" w:type="dxa"/>
            <w:tcBorders>
              <w:top w:val="single" w:color="000000" w:sz="4" w:space="0"/>
              <w:left w:val="single" w:color="000000" w:sz="4" w:space="0"/>
              <w:bottom w:val="single" w:color="auto" w:sz="4" w:space="0"/>
              <w:right w:val="single" w:color="000000" w:sz="4" w:space="0"/>
            </w:tcBorders>
            <w:vAlign w:val="center"/>
          </w:tcPr>
          <w:p w14:paraId="61086DA3">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1430" w:type="dxa"/>
            <w:tcBorders>
              <w:top w:val="single" w:color="auto" w:sz="4" w:space="0"/>
              <w:left w:val="single" w:color="000000" w:sz="4" w:space="0"/>
              <w:bottom w:val="single" w:color="auto" w:sz="4" w:space="0"/>
              <w:right w:val="single" w:color="000000" w:sz="4" w:space="0"/>
            </w:tcBorders>
            <w:vAlign w:val="center"/>
          </w:tcPr>
          <w:p w14:paraId="1B62EFCB">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充电控制器</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3D95EF9A">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3C15AAE8">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个</w:t>
            </w:r>
          </w:p>
        </w:tc>
        <w:tc>
          <w:tcPr>
            <w:tcW w:w="722" w:type="dxa"/>
            <w:tcBorders>
              <w:top w:val="single" w:color="000000" w:sz="4" w:space="0"/>
              <w:left w:val="single" w:color="000000" w:sz="4" w:space="0"/>
              <w:bottom w:val="single" w:color="000000" w:sz="4" w:space="0"/>
              <w:right w:val="single" w:color="000000" w:sz="4" w:space="0"/>
            </w:tcBorders>
            <w:vAlign w:val="center"/>
          </w:tcPr>
          <w:p w14:paraId="264A5675">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0CE3879F">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1.系统电压：≥12/24VDC（自适应）。</w:t>
            </w:r>
          </w:p>
          <w:p w14:paraId="0FD68C52">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2.最大充电电流（50℃）：≥6A。</w:t>
            </w:r>
          </w:p>
          <w:p w14:paraId="34D1EA0D">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3.最大负载电流（50℃）：≥6A。</w:t>
            </w:r>
          </w:p>
          <w:p w14:paraId="740CBA67">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4.蓄电池额定电压：≥12V。</w:t>
            </w:r>
          </w:p>
          <w:p w14:paraId="2757FEC6">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5.最大自损耗：≥4mA。</w:t>
            </w:r>
          </w:p>
          <w:p w14:paraId="75D5C76B">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6.最终充电电压：≥13.7V。</w:t>
            </w:r>
          </w:p>
          <w:p w14:paraId="25505DBE">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7.过放保护电压：≥11.1V(可根据需要进行修改)。</w:t>
            </w:r>
          </w:p>
          <w:p w14:paraId="1728FDE5">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8.过放恢复值：默认≥12.6V（可根据需要进行修改）。</w:t>
            </w:r>
          </w:p>
          <w:p w14:paraId="1AA0F2B1">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szCs w:val="21"/>
                <w:highlight w:val="none"/>
              </w:rPr>
              <w:t>9.环境温度：－25℃～＋50℃。</w:t>
            </w:r>
          </w:p>
        </w:tc>
      </w:tr>
      <w:tr w14:paraId="583C8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auto" w:sz="4" w:space="0"/>
              <w:left w:val="single" w:color="000000" w:sz="4" w:space="0"/>
              <w:bottom w:val="single" w:color="000000" w:sz="4" w:space="0"/>
              <w:right w:val="single" w:color="000000" w:sz="4" w:space="0"/>
            </w:tcBorders>
            <w:vAlign w:val="center"/>
          </w:tcPr>
          <w:p w14:paraId="13A91DD0">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1430" w:type="dxa"/>
            <w:tcBorders>
              <w:top w:val="single" w:color="auto" w:sz="4" w:space="0"/>
              <w:left w:val="single" w:color="000000" w:sz="4" w:space="0"/>
              <w:bottom w:val="single" w:color="auto" w:sz="4" w:space="0"/>
              <w:right w:val="single" w:color="000000" w:sz="4" w:space="0"/>
            </w:tcBorders>
            <w:vAlign w:val="center"/>
          </w:tcPr>
          <w:p w14:paraId="59E97586">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30W太阳能电池板</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6C4E8206">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1ADF130C">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2" w:type="dxa"/>
            <w:tcBorders>
              <w:top w:val="single" w:color="000000" w:sz="4" w:space="0"/>
              <w:left w:val="single" w:color="000000" w:sz="4" w:space="0"/>
              <w:bottom w:val="single" w:color="000000" w:sz="4" w:space="0"/>
              <w:right w:val="single" w:color="000000" w:sz="4" w:space="0"/>
            </w:tcBorders>
            <w:vAlign w:val="center"/>
          </w:tcPr>
          <w:p w14:paraId="7AEA785D">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10189328">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1.功率：≥30瓦。</w:t>
            </w:r>
          </w:p>
          <w:p w14:paraId="19D21351">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2.材质：单晶硅。</w:t>
            </w:r>
          </w:p>
          <w:p w14:paraId="2B3BBD3B">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3.封装形式：高透钢化玻璃层压。</w:t>
            </w:r>
          </w:p>
          <w:p w14:paraId="2DD739C1">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4.工作电压：≥17.5V。</w:t>
            </w:r>
          </w:p>
          <w:p w14:paraId="34CF793B">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5.峰值充电电流：＞1.2A。</w:t>
            </w:r>
          </w:p>
          <w:p w14:paraId="166A974A">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6.短路电流：≥1.7A。</w:t>
            </w:r>
          </w:p>
          <w:p w14:paraId="123AB6F8">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7.工作电流：≥1.68A。</w:t>
            </w:r>
          </w:p>
          <w:p w14:paraId="718A0DB3">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szCs w:val="21"/>
                <w:highlight w:val="none"/>
              </w:rPr>
              <w:t>8.按太阳能板尺寸定制安装支架。</w:t>
            </w:r>
          </w:p>
        </w:tc>
      </w:tr>
      <w:tr w14:paraId="043D1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2463F60D">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1430" w:type="dxa"/>
            <w:tcBorders>
              <w:top w:val="single" w:color="auto" w:sz="4" w:space="0"/>
              <w:left w:val="single" w:color="000000" w:sz="4" w:space="0"/>
              <w:bottom w:val="single" w:color="auto" w:sz="4" w:space="0"/>
              <w:right w:val="single" w:color="000000" w:sz="4" w:space="0"/>
            </w:tcBorders>
            <w:vAlign w:val="center"/>
          </w:tcPr>
          <w:p w14:paraId="29E30686">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蓄电池</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057E0632">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4EC05287">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块</w:t>
            </w:r>
          </w:p>
        </w:tc>
        <w:tc>
          <w:tcPr>
            <w:tcW w:w="722" w:type="dxa"/>
            <w:tcBorders>
              <w:top w:val="single" w:color="000000" w:sz="4" w:space="0"/>
              <w:left w:val="single" w:color="000000" w:sz="4" w:space="0"/>
              <w:bottom w:val="single" w:color="000000" w:sz="4" w:space="0"/>
              <w:right w:val="single" w:color="000000" w:sz="4" w:space="0"/>
            </w:tcBorders>
            <w:vAlign w:val="center"/>
          </w:tcPr>
          <w:p w14:paraId="432ADEE2">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5EB555C6">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1.容量：不低于12V65AH 电池。</w:t>
            </w:r>
          </w:p>
          <w:p w14:paraId="6DA86651">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2.安全性能：正常使用下无电解，无液漏出，无电池膨胀及破裂。</w:t>
            </w:r>
          </w:p>
          <w:p w14:paraId="706A2603">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3.放电性能：放电电压平稳，放电平台平缓。</w:t>
            </w:r>
          </w:p>
          <w:p w14:paraId="33413335">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4.耐震动性：安全充电状态的电池完全固定，以≥3mm振幅，≥16.7Hz频率震动一小时，无漏液，无膨胀及破裂，开路电压正常。</w:t>
            </w:r>
          </w:p>
          <w:p w14:paraId="6756444E">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5.耐冲击性：完全充电状态的电池从不低于20cm高处自然落至约1cm厚的硬木板上3次无漏液，无电池膨胀及破裂，开路电压正常。</w:t>
            </w:r>
          </w:p>
          <w:p w14:paraId="73874C2F">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6.耐过放电性：约25摄氏度，完全充电状态的电池进行定电阻放电3个星期，恢复容量在75%以上。</w:t>
            </w:r>
          </w:p>
          <w:p w14:paraId="28829DD6">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7.耐充电性：约25摄氏度，完全充电状态的电池≥0.1CA充电约48小时，无漏液，无电池膨胀及破裂，开路电压正常，容量维持率在95%以上。</w:t>
            </w:r>
          </w:p>
          <w:p w14:paraId="35EDF0D6">
            <w:pPr>
              <w:wordWrap w:val="0"/>
              <w:adjustRightInd w:val="0"/>
              <w:snapToGrid w:val="0"/>
              <w:spacing w:line="360" w:lineRule="exact"/>
              <w:rPr>
                <w:rFonts w:ascii="宋体" w:hAnsi="宋体" w:cs="宋体"/>
                <w:color w:val="auto"/>
                <w:kern w:val="0"/>
                <w:szCs w:val="21"/>
                <w:highlight w:val="none"/>
              </w:rPr>
            </w:pPr>
            <w:r>
              <w:rPr>
                <w:rFonts w:hint="eastAsia" w:ascii="宋体" w:hAnsi="宋体" w:cs="宋体"/>
                <w:color w:val="auto"/>
                <w:szCs w:val="21"/>
                <w:highlight w:val="none"/>
              </w:rPr>
              <w:t>8.耐大电流性：完全充电状态的电池≥2CA充电约5分钟或10AC放电约5秒钟。无导电部分熔断，无外观变形。</w:t>
            </w:r>
          </w:p>
        </w:tc>
      </w:tr>
      <w:tr w14:paraId="38CEC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0" w:type="dxa"/>
            <w:gridSpan w:val="7"/>
            <w:tcBorders>
              <w:top w:val="single" w:color="000000" w:sz="4" w:space="0"/>
              <w:left w:val="single" w:color="000000" w:sz="4" w:space="0"/>
              <w:bottom w:val="single" w:color="000000" w:sz="4" w:space="0"/>
              <w:right w:val="single" w:color="000000" w:sz="4" w:space="0"/>
            </w:tcBorders>
            <w:vAlign w:val="center"/>
          </w:tcPr>
          <w:p w14:paraId="35A5E854">
            <w:pPr>
              <w:wordWrap w:val="0"/>
              <w:adjustRightInd w:val="0"/>
              <w:snapToGrid w:val="0"/>
              <w:spacing w:line="360" w:lineRule="exact"/>
              <w:rPr>
                <w:rFonts w:ascii="宋体" w:hAnsi="宋体" w:cs="宋体"/>
                <w:color w:val="auto"/>
                <w:szCs w:val="21"/>
                <w:highlight w:val="none"/>
              </w:rPr>
            </w:pPr>
            <w:r>
              <w:rPr>
                <w:rFonts w:hint="eastAsia" w:ascii="宋体" w:hAnsi="宋体" w:cs="宋体"/>
                <w:b/>
                <w:bCs/>
                <w:color w:val="auto"/>
                <w:szCs w:val="21"/>
                <w:highlight w:val="none"/>
              </w:rPr>
              <w:t>（五）智能一体化遥测终端</w:t>
            </w:r>
          </w:p>
        </w:tc>
      </w:tr>
      <w:tr w14:paraId="50190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6EB6DEE4">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1430" w:type="dxa"/>
            <w:tcBorders>
              <w:top w:val="single" w:color="auto" w:sz="4" w:space="0"/>
              <w:left w:val="single" w:color="000000" w:sz="4" w:space="0"/>
              <w:bottom w:val="single" w:color="auto" w:sz="4" w:space="0"/>
              <w:right w:val="single" w:color="000000" w:sz="4" w:space="0"/>
            </w:tcBorders>
            <w:vAlign w:val="center"/>
          </w:tcPr>
          <w:p w14:paraId="7891BD9F">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智能一体化遥测终端机</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0A247314">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335F728D">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2" w:type="dxa"/>
            <w:tcBorders>
              <w:top w:val="single" w:color="000000" w:sz="4" w:space="0"/>
              <w:left w:val="single" w:color="000000" w:sz="4" w:space="0"/>
              <w:bottom w:val="single" w:color="000000" w:sz="4" w:space="0"/>
              <w:right w:val="single" w:color="000000" w:sz="4" w:space="0"/>
            </w:tcBorders>
            <w:vAlign w:val="center"/>
          </w:tcPr>
          <w:p w14:paraId="6FBA4C1C">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5906B38C">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一、安装于苏桥、三街、永福（洛清江）等三站。</w:t>
            </w:r>
          </w:p>
          <w:p w14:paraId="7122F8EB">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二、技术参数要求</w:t>
            </w:r>
          </w:p>
          <w:p w14:paraId="65B44143">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1.功能：全面采集并整合水文测站的水位、流量、降水量（数据频率至少支持 5/30/60 分钟间隔）等水文要素统一汇聚至智能一体化遥测终端，由智能一体化遥测终端将各水文测站信息统一发送至水文分中心，并同步发送或交换至自治区水文中心业务平台，实现水文数据的无缝集成、集中管理和一体化展示。该设备要求通过智能通讯管理、智能设备管理功能，构建二级管控体系，实现水文自动测验指挥，实现水文要素设施设备的全面管控，支持基于标准传输通讯规约的水文全要素接入、传输，实现自动测验设备的标准接入、集中管理。</w:t>
            </w:r>
          </w:p>
          <w:p w14:paraId="4F3884C6">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2.主要参数：</w:t>
            </w:r>
          </w:p>
          <w:p w14:paraId="464A8D2D">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工作方式：定时自报，阈值加报；总线速率：300bps-57600bps；处理器：参考或相当于ARM4核A53,1GHz；固定以太网接口：3×GE电（参考或相当于），10/100/1000Mbit自适应2×GEcombo（参考或相当于）；存储：内置≥2G，支持扩展，标配≥128GB，最大支持≥256GB；APP功能：软件基于边缘计算架构，开放软硬件资源，支持多容器管理，APP 随需部署，包括雨水情APP、远程测控APP、数据分析APP、蒸发数据APP、数据传输APP、数据加解密APP、数据组包解包APP、通信APP 等；</w:t>
            </w:r>
          </w:p>
          <w:p w14:paraId="3516CABE">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（2）通信：支持以太网、2G/3G/4G/5G 移动通信、参考或相当于卫星（北斗二号、北斗三号、天通、海事卫星）等多种通信信道，三种通信信道间自动切换。支持WIFI、蓝牙、NB-LOT 无线通信，GPS定位功能等。</w:t>
            </w:r>
          </w:p>
          <w:p w14:paraId="466CBB3B">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（3）供电电压范围：9.6V DC～36V DC；平均无故障工作时间MTBF≥25000h；通讯协议：参考或相当于Modbus；接口：RS232/RS485×8，2 个RJ45，4DI/4DO，2 个4~20mA，2 KV 级浪涌保护。</w:t>
            </w:r>
          </w:p>
          <w:p w14:paraId="5457A8F7">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电源：支持电网、太阳能电池板、蓄电池（铅酸、锂电）三种；防雷保护：电网输入端带模块化防雷保护器，额定工作电压220V，最大持续工作电压：≥385V，标称放电电流：≥20KA，最大放电电流：≥40KA，响应时间：＜25ns。</w:t>
            </w:r>
          </w:p>
          <w:p w14:paraId="41F9E01A">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（5）内部含RTU、通讯模块、充电</w:t>
            </w:r>
            <w:r>
              <w:rPr>
                <w:rFonts w:hint="eastAsia" w:ascii="宋体" w:hAnsi="宋体" w:cs="宋体"/>
                <w:color w:val="auto"/>
                <w:szCs w:val="21"/>
                <w:highlight w:val="none"/>
                <w:lang w:val="en-US" w:eastAsia="zh-CN"/>
              </w:rPr>
              <w:t>控</w:t>
            </w:r>
            <w:r>
              <w:rPr>
                <w:rFonts w:hint="eastAsia" w:ascii="宋体" w:hAnsi="宋体" w:cs="宋体"/>
                <w:color w:val="auto"/>
                <w:szCs w:val="21"/>
                <w:highlight w:val="none"/>
              </w:rPr>
              <w:t>制器。充电控制器带市电和太阳能自动切换功能。</w:t>
            </w:r>
          </w:p>
          <w:p w14:paraId="5160647D">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（6）测站各传感器电源全部由RTU进行供电管理，如雨量、水位、在线ADCP等传感器电源由RTU来提供。</w:t>
            </w:r>
          </w:p>
          <w:p w14:paraId="79FBE8A6">
            <w:pPr>
              <w:widowControl/>
              <w:wordWrap w:val="0"/>
              <w:adjustRightInd w:val="0"/>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（7）常规配置供电电源≥200W太阳能板、≥300AH的磷酸铁锂电池。</w:t>
            </w:r>
          </w:p>
          <w:p w14:paraId="6F4D3E43">
            <w:pPr>
              <w:widowControl/>
              <w:wordWrap w:val="0"/>
              <w:adjustRightInd w:val="0"/>
              <w:snapToGrid w:val="0"/>
              <w:spacing w:line="36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3.供应商须负责本项号产品的二次安装服务。</w:t>
            </w:r>
          </w:p>
        </w:tc>
      </w:tr>
      <w:tr w14:paraId="03F44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auto" w:sz="4" w:space="0"/>
              <w:right w:val="single" w:color="000000" w:sz="4" w:space="0"/>
            </w:tcBorders>
            <w:vAlign w:val="center"/>
          </w:tcPr>
          <w:p w14:paraId="6C5FA125">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1430" w:type="dxa"/>
            <w:tcBorders>
              <w:top w:val="single" w:color="auto" w:sz="4" w:space="0"/>
              <w:left w:val="single" w:color="000000" w:sz="4" w:space="0"/>
              <w:bottom w:val="single" w:color="auto" w:sz="4" w:space="0"/>
              <w:right w:val="single" w:color="000000" w:sz="4" w:space="0"/>
            </w:tcBorders>
            <w:vAlign w:val="center"/>
          </w:tcPr>
          <w:p w14:paraId="2BB607F9">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300AH磷酸铁锂电池</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015C94EE">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57CA2E26">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2" w:type="dxa"/>
            <w:tcBorders>
              <w:top w:val="single" w:color="000000" w:sz="4" w:space="0"/>
              <w:left w:val="single" w:color="000000" w:sz="4" w:space="0"/>
              <w:bottom w:val="single" w:color="000000" w:sz="4" w:space="0"/>
              <w:right w:val="single" w:color="000000" w:sz="4" w:space="0"/>
            </w:tcBorders>
            <w:vAlign w:val="center"/>
          </w:tcPr>
          <w:p w14:paraId="025950C9">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377CD9F4">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一、安装于苏桥、三街、永福（洛清江）等三站。</w:t>
            </w:r>
          </w:p>
          <w:p w14:paraId="4BC2428E">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1.外壳</w:t>
            </w:r>
          </w:p>
          <w:p w14:paraId="7680150E">
            <w:pPr>
              <w:pStyle w:val="6"/>
              <w:wordWrap w:val="0"/>
              <w:spacing w:line="360" w:lineRule="exact"/>
              <w:ind w:firstLine="0"/>
              <w:jc w:val="left"/>
              <w:rPr>
                <w:rFonts w:ascii="宋体" w:hAnsi="宋体" w:cs="宋体"/>
                <w:color w:val="auto"/>
                <w:szCs w:val="21"/>
                <w:highlight w:val="none"/>
              </w:rPr>
            </w:pPr>
            <w:r>
              <w:rPr>
                <w:rFonts w:hint="eastAsia" w:ascii="宋体" w:hAnsi="宋体" w:cs="宋体"/>
                <w:color w:val="auto"/>
                <w:szCs w:val="21"/>
                <w:highlight w:val="none"/>
              </w:rPr>
              <w:t>（1）材质：ABS(阻燃耐火)；</w:t>
            </w:r>
          </w:p>
          <w:p w14:paraId="2AB4A144">
            <w:pPr>
              <w:pStyle w:val="6"/>
              <w:wordWrap w:val="0"/>
              <w:spacing w:line="360" w:lineRule="exact"/>
              <w:ind w:firstLine="0"/>
              <w:jc w:val="left"/>
              <w:rPr>
                <w:rFonts w:ascii="宋体" w:hAnsi="宋体" w:cs="宋体"/>
                <w:color w:val="auto"/>
                <w:szCs w:val="21"/>
                <w:highlight w:val="none"/>
              </w:rPr>
            </w:pPr>
            <w:r>
              <w:rPr>
                <w:rFonts w:hint="eastAsia" w:ascii="宋体" w:hAnsi="宋体" w:cs="宋体"/>
                <w:color w:val="auto"/>
                <w:szCs w:val="21"/>
                <w:highlight w:val="none"/>
              </w:rPr>
              <w:t>（2）抗冲击测试：不低于IK10；</w:t>
            </w:r>
          </w:p>
          <w:p w14:paraId="6E9B65D2">
            <w:pPr>
              <w:pStyle w:val="6"/>
              <w:wordWrap w:val="0"/>
              <w:spacing w:line="360" w:lineRule="exact"/>
              <w:ind w:firstLine="0"/>
              <w:jc w:val="left"/>
              <w:rPr>
                <w:rFonts w:ascii="宋体" w:hAnsi="宋体" w:cs="宋体"/>
                <w:color w:val="auto"/>
                <w:szCs w:val="21"/>
                <w:highlight w:val="none"/>
              </w:rPr>
            </w:pPr>
            <w:r>
              <w:rPr>
                <w:rFonts w:hint="eastAsia" w:ascii="宋体" w:hAnsi="宋体" w:cs="宋体"/>
                <w:color w:val="auto"/>
                <w:szCs w:val="21"/>
                <w:highlight w:val="none"/>
              </w:rPr>
              <w:t>（3）温度范围：-40~85℃；</w:t>
            </w:r>
          </w:p>
          <w:p w14:paraId="5A9E2B5D">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（4）抗燃烧性：不低于UL94HB。</w:t>
            </w:r>
          </w:p>
          <w:p w14:paraId="00F27537">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2.电池组</w:t>
            </w:r>
          </w:p>
          <w:p w14:paraId="70877E11">
            <w:pPr>
              <w:pStyle w:val="6"/>
              <w:wordWrap w:val="0"/>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（1）组合方式：4S1P；</w:t>
            </w:r>
          </w:p>
          <w:p w14:paraId="18FC5022">
            <w:pPr>
              <w:pStyle w:val="6"/>
              <w:wordWrap w:val="0"/>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（2）标称容量：≥30</w:t>
            </w:r>
            <w:r>
              <w:rPr>
                <w:rFonts w:ascii="宋体" w:hAnsi="宋体" w:cs="宋体"/>
                <w:color w:val="auto"/>
                <w:szCs w:val="21"/>
                <w:highlight w:val="none"/>
              </w:rPr>
              <w:t>0</w:t>
            </w:r>
            <w:r>
              <w:rPr>
                <w:rFonts w:hint="eastAsia" w:ascii="宋体" w:hAnsi="宋体" w:cs="宋体"/>
                <w:color w:val="auto"/>
                <w:szCs w:val="21"/>
                <w:highlight w:val="none"/>
              </w:rPr>
              <w:t>Ah；</w:t>
            </w:r>
          </w:p>
          <w:p w14:paraId="229AF468">
            <w:pPr>
              <w:pStyle w:val="6"/>
              <w:wordWrap w:val="0"/>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（3）标称电压：≥12.8V；</w:t>
            </w:r>
          </w:p>
          <w:p w14:paraId="2D9EFB45">
            <w:pPr>
              <w:pStyle w:val="6"/>
              <w:wordWrap w:val="0"/>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（4）放电截止电压：≥11.2V；</w:t>
            </w:r>
          </w:p>
          <w:p w14:paraId="471A5677">
            <w:pPr>
              <w:pStyle w:val="6"/>
              <w:wordWrap w:val="0"/>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（5）标准放电电流：≥60A；</w:t>
            </w:r>
          </w:p>
          <w:p w14:paraId="5873E93F">
            <w:pPr>
              <w:pStyle w:val="6"/>
              <w:wordWrap w:val="0"/>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（6）循环寿命：≥6000次；</w:t>
            </w:r>
          </w:p>
          <w:p w14:paraId="71C803CE">
            <w:pPr>
              <w:pStyle w:val="6"/>
              <w:wordWrap w:val="0"/>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（7）内阻：≤2mΩ；</w:t>
            </w:r>
          </w:p>
          <w:p w14:paraId="2146E196">
            <w:pPr>
              <w:pStyle w:val="6"/>
              <w:wordWrap w:val="0"/>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（8）自放电率：&lt;10%/月；</w:t>
            </w:r>
          </w:p>
          <w:p w14:paraId="3748F2C3">
            <w:pPr>
              <w:pStyle w:val="6"/>
              <w:wordWrap w:val="0"/>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（9）工作温度：充电0~60℃，放电-20~60℃；</w:t>
            </w:r>
          </w:p>
          <w:p w14:paraId="0495F052">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（10）环境温度：-20~60℃。</w:t>
            </w:r>
          </w:p>
          <w:p w14:paraId="0731263A">
            <w:pPr>
              <w:pStyle w:val="6"/>
              <w:wordWrap w:val="0"/>
              <w:spacing w:line="360" w:lineRule="exact"/>
              <w:ind w:firstLine="0"/>
              <w:jc w:val="left"/>
              <w:rPr>
                <w:rFonts w:ascii="宋体" w:hAnsi="宋体" w:cs="宋体"/>
                <w:color w:val="auto"/>
                <w:szCs w:val="21"/>
                <w:highlight w:val="none"/>
              </w:rPr>
            </w:pPr>
            <w:r>
              <w:rPr>
                <w:rFonts w:hint="eastAsia" w:ascii="宋体" w:hAnsi="宋体" w:cs="宋体"/>
                <w:color w:val="auto"/>
                <w:szCs w:val="21"/>
                <w:highlight w:val="none"/>
              </w:rPr>
              <w:t>3.电芯</w:t>
            </w:r>
          </w:p>
          <w:p w14:paraId="03942789">
            <w:pPr>
              <w:pStyle w:val="6"/>
              <w:wordWrap w:val="0"/>
              <w:spacing w:line="360" w:lineRule="exact"/>
              <w:ind w:firstLine="0"/>
              <w:jc w:val="left"/>
              <w:rPr>
                <w:rFonts w:ascii="宋体" w:hAnsi="宋体" w:cs="宋体"/>
                <w:color w:val="auto"/>
                <w:szCs w:val="21"/>
                <w:highlight w:val="none"/>
              </w:rPr>
            </w:pPr>
            <w:r>
              <w:rPr>
                <w:rFonts w:hint="eastAsia" w:ascii="宋体" w:hAnsi="宋体" w:cs="宋体"/>
                <w:color w:val="auto"/>
                <w:szCs w:val="21"/>
                <w:highlight w:val="none"/>
              </w:rPr>
              <w:t>（1）标称容量：≥300Ah；</w:t>
            </w:r>
          </w:p>
          <w:p w14:paraId="65BD698A">
            <w:pPr>
              <w:pStyle w:val="6"/>
              <w:wordWrap w:val="0"/>
              <w:spacing w:line="360" w:lineRule="exact"/>
              <w:ind w:firstLine="0"/>
              <w:jc w:val="left"/>
              <w:rPr>
                <w:rFonts w:ascii="宋体" w:hAnsi="宋体" w:cs="宋体"/>
                <w:color w:val="auto"/>
                <w:szCs w:val="21"/>
                <w:highlight w:val="none"/>
              </w:rPr>
            </w:pPr>
            <w:r>
              <w:rPr>
                <w:rFonts w:hint="eastAsia" w:ascii="宋体" w:hAnsi="宋体" w:cs="宋体"/>
                <w:color w:val="auto"/>
                <w:szCs w:val="21"/>
                <w:highlight w:val="none"/>
              </w:rPr>
              <w:t>（2）标称能量：≥896Wh(0.5P/0.5P,25℃±2℃，2.5V~3.65V电池；</w:t>
            </w:r>
          </w:p>
          <w:p w14:paraId="2E86CADF">
            <w:pPr>
              <w:pStyle w:val="6"/>
              <w:wordWrap w:val="0"/>
              <w:spacing w:line="360" w:lineRule="exact"/>
              <w:ind w:firstLine="0"/>
              <w:jc w:val="left"/>
              <w:rPr>
                <w:rFonts w:ascii="宋体" w:hAnsi="宋体" w:cs="宋体"/>
                <w:color w:val="auto"/>
                <w:szCs w:val="21"/>
                <w:highlight w:val="none"/>
              </w:rPr>
            </w:pPr>
            <w:r>
              <w:rPr>
                <w:rFonts w:hint="eastAsia" w:ascii="宋体" w:hAnsi="宋体" w:cs="宋体"/>
                <w:color w:val="auto"/>
                <w:szCs w:val="21"/>
                <w:highlight w:val="none"/>
              </w:rPr>
              <w:t>（3）标称电池：≥3.2V(0.5P放电，25℃±2℃，2.5V~3.65V)；</w:t>
            </w:r>
          </w:p>
          <w:p w14:paraId="04218A88">
            <w:pPr>
              <w:pStyle w:val="6"/>
              <w:wordWrap w:val="0"/>
              <w:spacing w:line="360" w:lineRule="exact"/>
              <w:ind w:firstLine="0"/>
              <w:jc w:val="left"/>
              <w:rPr>
                <w:rFonts w:ascii="宋体" w:hAnsi="宋体" w:cs="宋体"/>
                <w:color w:val="auto"/>
                <w:szCs w:val="21"/>
                <w:highlight w:val="none"/>
              </w:rPr>
            </w:pPr>
            <w:r>
              <w:rPr>
                <w:rFonts w:hint="eastAsia" w:ascii="宋体" w:hAnsi="宋体" w:cs="宋体"/>
                <w:color w:val="auto"/>
                <w:szCs w:val="21"/>
                <w:highlight w:val="none"/>
              </w:rPr>
              <w:t>（4）充电限制电压：≥3.65V；</w:t>
            </w:r>
          </w:p>
          <w:p w14:paraId="15CC3BC1">
            <w:pPr>
              <w:pStyle w:val="6"/>
              <w:wordWrap w:val="0"/>
              <w:spacing w:line="360" w:lineRule="exact"/>
              <w:ind w:firstLine="0"/>
              <w:jc w:val="left"/>
              <w:rPr>
                <w:rFonts w:ascii="宋体" w:hAnsi="宋体" w:cs="宋体"/>
                <w:color w:val="auto"/>
                <w:szCs w:val="21"/>
                <w:highlight w:val="none"/>
              </w:rPr>
            </w:pPr>
            <w:r>
              <w:rPr>
                <w:rFonts w:hint="eastAsia" w:ascii="宋体" w:hAnsi="宋体" w:cs="宋体"/>
                <w:color w:val="auto"/>
                <w:szCs w:val="21"/>
                <w:highlight w:val="none"/>
              </w:rPr>
              <w:t>（5）放电截止电压：≥2.5V(T＞0℃)，2.0V(T≤0℃)；</w:t>
            </w:r>
          </w:p>
          <w:p w14:paraId="571D255E">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（6）工作温度：-30~60℃。</w:t>
            </w:r>
          </w:p>
          <w:p w14:paraId="142F6137">
            <w:pPr>
              <w:pStyle w:val="6"/>
              <w:wordWrap w:val="0"/>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4.保护板</w:t>
            </w:r>
          </w:p>
          <w:p w14:paraId="78B13B31">
            <w:pPr>
              <w:pStyle w:val="6"/>
              <w:wordWrap w:val="0"/>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（1）适用电池种类：参考或相当于三元、铁锂；</w:t>
            </w:r>
          </w:p>
          <w:p w14:paraId="4238BA31">
            <w:pPr>
              <w:pStyle w:val="6"/>
              <w:wordWrap w:val="0"/>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（2）均衡方式：主动均衡；</w:t>
            </w:r>
          </w:p>
          <w:p w14:paraId="154BB927">
            <w:pPr>
              <w:pStyle w:val="6"/>
              <w:wordWrap w:val="0"/>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（3）均衡电流：≥0.4A；</w:t>
            </w:r>
          </w:p>
          <w:p w14:paraId="150ACE5C">
            <w:pPr>
              <w:pStyle w:val="6"/>
              <w:wordWrap w:val="0"/>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（4）持续电流：≥60A；</w:t>
            </w:r>
          </w:p>
          <w:p w14:paraId="5A9B53F2">
            <w:pPr>
              <w:pStyle w:val="6"/>
              <w:wordWrap w:val="0"/>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（5）瞬时电流：≥100A；</w:t>
            </w:r>
          </w:p>
          <w:p w14:paraId="13F0516B">
            <w:pPr>
              <w:pStyle w:val="6"/>
              <w:wordWrap w:val="0"/>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（6）运行功耗：≤900mW；</w:t>
            </w:r>
          </w:p>
          <w:p w14:paraId="05703BEF">
            <w:pPr>
              <w:pStyle w:val="6"/>
              <w:wordWrap w:val="0"/>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（7）电池串数：4-8；</w:t>
            </w:r>
          </w:p>
          <w:p w14:paraId="3DB7ECEE">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（8）工作温度：-30~70℃。</w:t>
            </w:r>
          </w:p>
          <w:p w14:paraId="54094DA3">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5.如蓄电池尺寸规格大无法集成到机柜中，供应商自行考虑配置专用配套电池箱。</w:t>
            </w:r>
          </w:p>
        </w:tc>
      </w:tr>
      <w:tr w14:paraId="23051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4" w:hRule="atLeast"/>
        </w:trPr>
        <w:tc>
          <w:tcPr>
            <w:tcW w:w="663" w:type="dxa"/>
            <w:tcBorders>
              <w:top w:val="single" w:color="000000" w:sz="4" w:space="0"/>
              <w:left w:val="single" w:color="000000" w:sz="4" w:space="0"/>
              <w:bottom w:val="single" w:color="auto" w:sz="4" w:space="0"/>
              <w:right w:val="single" w:color="000000" w:sz="4" w:space="0"/>
            </w:tcBorders>
            <w:vAlign w:val="center"/>
          </w:tcPr>
          <w:p w14:paraId="4CF982DE">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1430" w:type="dxa"/>
            <w:tcBorders>
              <w:top w:val="single" w:color="auto" w:sz="4" w:space="0"/>
              <w:left w:val="single" w:color="000000" w:sz="4" w:space="0"/>
              <w:bottom w:val="single" w:color="auto" w:sz="4" w:space="0"/>
              <w:right w:val="single" w:color="000000" w:sz="4" w:space="0"/>
            </w:tcBorders>
            <w:vAlign w:val="center"/>
          </w:tcPr>
          <w:p w14:paraId="1B1E6933">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200W太阳能电池板</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78B6883D">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0D958DA4">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22" w:type="dxa"/>
            <w:tcBorders>
              <w:top w:val="single" w:color="000000" w:sz="4" w:space="0"/>
              <w:left w:val="single" w:color="000000" w:sz="4" w:space="0"/>
              <w:bottom w:val="single" w:color="000000" w:sz="4" w:space="0"/>
              <w:right w:val="single" w:color="000000" w:sz="4" w:space="0"/>
            </w:tcBorders>
            <w:vAlign w:val="center"/>
          </w:tcPr>
          <w:p w14:paraId="3D677B42">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45F07309">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一、安装于苏桥、三街共2站。</w:t>
            </w:r>
          </w:p>
          <w:p w14:paraId="3479F4DD">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二、每套电源系统含单品太阳能发电板1块，技术指标：</w:t>
            </w:r>
          </w:p>
          <w:p w14:paraId="45B39EE6">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（1）峰值功率(Pm)：≥200W，须与太阳能充电控制器、蓄电池相配套使用。</w:t>
            </w:r>
          </w:p>
          <w:p w14:paraId="16E3A484">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（2）峰值电压(Vmp)：</w:t>
            </w:r>
            <w:r>
              <w:rPr>
                <w:rFonts w:hint="eastAsia" w:ascii="宋体" w:hAnsi="宋体" w:cs="宋体"/>
                <w:color w:val="auto"/>
                <w:kern w:val="0"/>
                <w:szCs w:val="21"/>
                <w:highlight w:val="none"/>
              </w:rPr>
              <w:t>≥</w:t>
            </w:r>
            <w:r>
              <w:rPr>
                <w:rFonts w:hint="eastAsia" w:ascii="宋体" w:hAnsi="宋体" w:cs="宋体"/>
                <w:color w:val="auto"/>
                <w:szCs w:val="21"/>
                <w:highlight w:val="none"/>
              </w:rPr>
              <w:t>18V。</w:t>
            </w:r>
          </w:p>
          <w:p w14:paraId="362B0FF4">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（3）峰值电流(Imp)：</w:t>
            </w:r>
            <w:r>
              <w:rPr>
                <w:rFonts w:hint="eastAsia" w:ascii="宋体" w:hAnsi="宋体" w:cs="宋体"/>
                <w:color w:val="auto"/>
                <w:kern w:val="0"/>
                <w:szCs w:val="21"/>
                <w:highlight w:val="none"/>
              </w:rPr>
              <w:t>≥</w:t>
            </w:r>
            <w:r>
              <w:rPr>
                <w:rFonts w:hint="eastAsia" w:ascii="宋体" w:hAnsi="宋体" w:cs="宋体"/>
                <w:color w:val="auto"/>
                <w:szCs w:val="21"/>
                <w:highlight w:val="none"/>
              </w:rPr>
              <w:t>11.12A。</w:t>
            </w:r>
          </w:p>
          <w:p w14:paraId="2D0FDFBB">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（4）开路电压(Voc)：</w:t>
            </w:r>
            <w:r>
              <w:rPr>
                <w:rFonts w:hint="eastAsia" w:ascii="宋体" w:hAnsi="宋体" w:cs="宋体"/>
                <w:color w:val="auto"/>
                <w:kern w:val="0"/>
                <w:szCs w:val="21"/>
                <w:highlight w:val="none"/>
              </w:rPr>
              <w:t>≥</w:t>
            </w:r>
            <w:r>
              <w:rPr>
                <w:rFonts w:hint="eastAsia" w:ascii="宋体" w:hAnsi="宋体" w:cs="宋体"/>
                <w:color w:val="auto"/>
                <w:szCs w:val="21"/>
                <w:highlight w:val="none"/>
              </w:rPr>
              <w:t>22V。</w:t>
            </w:r>
          </w:p>
          <w:p w14:paraId="5506C57A">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（5）短路电流(ISC)：</w:t>
            </w:r>
            <w:r>
              <w:rPr>
                <w:rFonts w:hint="eastAsia" w:ascii="宋体" w:hAnsi="宋体" w:cs="宋体"/>
                <w:color w:val="auto"/>
                <w:kern w:val="0"/>
                <w:szCs w:val="21"/>
                <w:highlight w:val="none"/>
              </w:rPr>
              <w:t>≥</w:t>
            </w:r>
            <w:r>
              <w:rPr>
                <w:rFonts w:hint="eastAsia" w:ascii="宋体" w:hAnsi="宋体" w:cs="宋体"/>
                <w:color w:val="auto"/>
                <w:szCs w:val="21"/>
                <w:highlight w:val="none"/>
              </w:rPr>
              <w:t>11.98A。</w:t>
            </w:r>
          </w:p>
          <w:p w14:paraId="7FD2AA2A">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 xml:space="preserve">（6）产品尺寸≤1480×680×35mm。 </w:t>
            </w:r>
          </w:p>
          <w:p w14:paraId="4FD70D16">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（7）工作温度：-40℃to+85℃。</w:t>
            </w:r>
          </w:p>
          <w:p w14:paraId="081DDA57">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（8）最大系统电压：</w:t>
            </w:r>
            <w:r>
              <w:rPr>
                <w:rFonts w:hint="eastAsia" w:ascii="宋体" w:hAnsi="宋体" w:cs="宋体"/>
                <w:color w:val="auto"/>
                <w:kern w:val="0"/>
                <w:szCs w:val="21"/>
                <w:highlight w:val="none"/>
              </w:rPr>
              <w:t>≥</w:t>
            </w:r>
            <w:r>
              <w:rPr>
                <w:rFonts w:hint="eastAsia" w:ascii="宋体" w:hAnsi="宋体" w:cs="宋体"/>
                <w:color w:val="auto"/>
                <w:szCs w:val="21"/>
                <w:highlight w:val="none"/>
              </w:rPr>
              <w:t>1000VDC。</w:t>
            </w:r>
          </w:p>
          <w:p w14:paraId="7C4DEACF">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（9）标准测试条件(STC)：辐照度≥100W/m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，电池片温度约25℃，AM=1.5。</w:t>
            </w:r>
          </w:p>
          <w:p w14:paraId="5435F1AC">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（10）电池片类型：约156×156 mm单晶硅电池片A类片。</w:t>
            </w:r>
          </w:p>
          <w:p w14:paraId="348531AC">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（11）电池片数量和排列：4×9PCS。</w:t>
            </w:r>
          </w:p>
          <w:p w14:paraId="74CF5352">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（12）电池片转换效率：</w:t>
            </w:r>
            <w:r>
              <w:rPr>
                <w:rFonts w:hint="eastAsia" w:ascii="宋体" w:hAnsi="宋体" w:cs="宋体"/>
                <w:color w:val="auto"/>
                <w:kern w:val="0"/>
                <w:szCs w:val="21"/>
                <w:highlight w:val="none"/>
              </w:rPr>
              <w:t>≥</w:t>
            </w:r>
            <w:r>
              <w:rPr>
                <w:rFonts w:hint="eastAsia" w:ascii="宋体" w:hAnsi="宋体" w:cs="宋体"/>
                <w:color w:val="auto"/>
                <w:szCs w:val="21"/>
                <w:highlight w:val="none"/>
              </w:rPr>
              <w:t>17.2% 。</w:t>
            </w:r>
          </w:p>
          <w:p w14:paraId="50BC67B3">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（13）接线盒类型：密封防水。</w:t>
            </w:r>
          </w:p>
          <w:p w14:paraId="66E3220E">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（14）接线盒防护等级：不低于IP68。</w:t>
            </w:r>
          </w:p>
          <w:p w14:paraId="329E5FBC">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（15）质量保证：十二年内组件功率保持在90%以上；二十五年保持在83%以上。</w:t>
            </w:r>
          </w:p>
          <w:p w14:paraId="00CB7150">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（16）防损强度：约227克钢球从</w:t>
            </w:r>
            <w:r>
              <w:rPr>
                <w:rFonts w:hint="eastAsia" w:ascii="宋体" w:hAnsi="宋体" w:cs="宋体"/>
                <w:color w:val="auto"/>
                <w:kern w:val="0"/>
                <w:szCs w:val="21"/>
                <w:highlight w:val="none"/>
              </w:rPr>
              <w:t>≥1</w:t>
            </w:r>
            <w:r>
              <w:rPr>
                <w:rFonts w:hint="eastAsia" w:ascii="宋体" w:hAnsi="宋体" w:cs="宋体"/>
                <w:color w:val="auto"/>
                <w:szCs w:val="21"/>
                <w:highlight w:val="none"/>
              </w:rPr>
              <w:t>米的高度垂直落下和</w:t>
            </w:r>
            <w:r>
              <w:rPr>
                <w:rFonts w:hint="eastAsia" w:ascii="宋体" w:hAnsi="宋体" w:cs="宋体"/>
                <w:color w:val="auto"/>
                <w:kern w:val="0"/>
                <w:szCs w:val="21"/>
                <w:highlight w:val="none"/>
              </w:rPr>
              <w:t>≥</w:t>
            </w:r>
            <w:r>
              <w:rPr>
                <w:rFonts w:hint="eastAsia" w:ascii="宋体" w:hAnsi="宋体" w:cs="宋体"/>
                <w:color w:val="auto"/>
                <w:szCs w:val="21"/>
                <w:highlight w:val="none"/>
              </w:rPr>
              <w:t>60m/S风速倒下无损。</w:t>
            </w:r>
          </w:p>
          <w:p w14:paraId="17C6BE84">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（17）冰雹压力测试：</w:t>
            </w:r>
            <w:r>
              <w:rPr>
                <w:rFonts w:hint="eastAsia" w:ascii="宋体" w:hAnsi="宋体" w:cs="宋体"/>
                <w:color w:val="auto"/>
                <w:kern w:val="0"/>
                <w:szCs w:val="21"/>
                <w:highlight w:val="none"/>
              </w:rPr>
              <w:t>≥</w:t>
            </w:r>
            <w:r>
              <w:rPr>
                <w:rFonts w:hint="eastAsia" w:ascii="宋体" w:hAnsi="宋体" w:cs="宋体"/>
                <w:color w:val="auto"/>
                <w:szCs w:val="21"/>
                <w:highlight w:val="none"/>
              </w:rPr>
              <w:t>23m/s，</w:t>
            </w:r>
            <w:r>
              <w:rPr>
                <w:rFonts w:hint="eastAsia" w:ascii="宋体" w:hAnsi="宋体" w:cs="宋体"/>
                <w:color w:val="auto"/>
                <w:kern w:val="0"/>
                <w:szCs w:val="21"/>
                <w:highlight w:val="none"/>
              </w:rPr>
              <w:t>≥</w:t>
            </w:r>
            <w:r>
              <w:rPr>
                <w:rFonts w:hint="eastAsia" w:ascii="宋体" w:hAnsi="宋体" w:cs="宋体"/>
                <w:color w:val="auto"/>
                <w:szCs w:val="21"/>
                <w:highlight w:val="none"/>
              </w:rPr>
              <w:t>7.53g。</w:t>
            </w:r>
          </w:p>
          <w:p w14:paraId="3E878720">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23.2太阳能系统支架</w:t>
            </w:r>
          </w:p>
          <w:p w14:paraId="7057AC4E">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（1）太阳能发电板专用镀锌C型钢支架。</w:t>
            </w:r>
          </w:p>
          <w:p w14:paraId="6E7A0E0A">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（2）支架倾斜角可调。</w:t>
            </w:r>
          </w:p>
          <w:p w14:paraId="5B799070">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（3）不锈钢螺钉、螺帽、垫片。</w:t>
            </w:r>
          </w:p>
          <w:p w14:paraId="61A70DCC">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Cs/>
                <w:color w:val="auto"/>
                <w:kern w:val="0"/>
                <w:szCs w:val="21"/>
                <w:highlight w:val="none"/>
              </w:rPr>
              <w:t>根据水位台顶进行安装</w:t>
            </w:r>
            <w:r>
              <w:rPr>
                <w:rFonts w:hint="eastAsia" w:ascii="宋体" w:hAnsi="宋体" w:cs="宋体"/>
                <w:color w:val="auto"/>
                <w:szCs w:val="21"/>
                <w:highlight w:val="none"/>
              </w:rPr>
              <w:t>。</w:t>
            </w:r>
          </w:p>
          <w:p w14:paraId="60C947A3">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23.3太阳能充电控制器</w:t>
            </w:r>
          </w:p>
          <w:p w14:paraId="24CE3413">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（1）液晶(LCD)显示屏，背光节电模式。主要显示实时电池电压、电池容量、输入输出电压、输出频率、负载率等。可根据不同的工作状态自动切换显示界面。具有太阳能充电指示灯、直流负载指示灯。</w:t>
            </w:r>
          </w:p>
          <w:p w14:paraId="15B07A0C">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支持市电/太阳能智能充电，具备过载、电池过充、电池过放、输出短路、过温等完善的保护功能。具备电源反接、负载短路、过流、浪涌、高温等保护功能；具备过充保护、电池欠压保护、电池过压保护、输出过载保护、输出短路保护、温度过高保护。</w:t>
            </w:r>
          </w:p>
          <w:p w14:paraId="2E46DA3A">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（3）报警：输出短路、过载、温度过高、电池欠压及过压。</w:t>
            </w:r>
          </w:p>
          <w:p w14:paraId="6F2EC1ED">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（4）全贴片模块化结构，性能稳定。</w:t>
            </w:r>
          </w:p>
          <w:p w14:paraId="6FD29FA6">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（5）额定容量：</w:t>
            </w:r>
            <w:r>
              <w:rPr>
                <w:rFonts w:hint="eastAsia" w:ascii="宋体" w:hAnsi="宋体" w:cs="宋体"/>
                <w:color w:val="auto"/>
                <w:kern w:val="0"/>
                <w:szCs w:val="21"/>
                <w:highlight w:val="none"/>
              </w:rPr>
              <w:t>≥</w:t>
            </w:r>
            <w:r>
              <w:rPr>
                <w:rFonts w:hint="eastAsia" w:ascii="宋体" w:hAnsi="宋体" w:cs="宋体"/>
                <w:color w:val="auto"/>
                <w:szCs w:val="21"/>
                <w:highlight w:val="none"/>
              </w:rPr>
              <w:t>600W。</w:t>
            </w:r>
          </w:p>
          <w:p w14:paraId="7E439B90">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（6）太阳能最大输入功率：</w:t>
            </w:r>
            <w:r>
              <w:rPr>
                <w:rFonts w:hint="eastAsia" w:ascii="宋体" w:hAnsi="宋体" w:cs="宋体"/>
                <w:color w:val="auto"/>
                <w:kern w:val="0"/>
                <w:szCs w:val="21"/>
                <w:highlight w:val="none"/>
              </w:rPr>
              <w:t>≥</w:t>
            </w:r>
            <w:r>
              <w:rPr>
                <w:rFonts w:hint="eastAsia" w:ascii="宋体" w:hAnsi="宋体" w:cs="宋体"/>
                <w:color w:val="auto"/>
                <w:szCs w:val="21"/>
                <w:highlight w:val="none"/>
              </w:rPr>
              <w:t>650W。</w:t>
            </w:r>
          </w:p>
          <w:p w14:paraId="02B3D1B0">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（7）太阳能最大开路电压：</w:t>
            </w:r>
            <w:r>
              <w:rPr>
                <w:rFonts w:hint="eastAsia" w:ascii="宋体" w:hAnsi="宋体" w:cs="宋体"/>
                <w:color w:val="auto"/>
                <w:kern w:val="0"/>
                <w:szCs w:val="21"/>
                <w:highlight w:val="none"/>
              </w:rPr>
              <w:t>≥</w:t>
            </w:r>
            <w:r>
              <w:rPr>
                <w:rFonts w:hint="eastAsia" w:ascii="宋体" w:hAnsi="宋体" w:cs="宋体"/>
                <w:color w:val="auto"/>
                <w:szCs w:val="21"/>
                <w:highlight w:val="none"/>
              </w:rPr>
              <w:t>50Vdc。</w:t>
            </w:r>
          </w:p>
          <w:p w14:paraId="477FEF7B">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（8）太阳能最大输入电流：</w:t>
            </w:r>
            <w:r>
              <w:rPr>
                <w:rFonts w:hint="eastAsia" w:ascii="宋体" w:hAnsi="宋体" w:cs="宋体"/>
                <w:color w:val="auto"/>
                <w:kern w:val="0"/>
                <w:szCs w:val="21"/>
                <w:highlight w:val="none"/>
              </w:rPr>
              <w:t>≥</w:t>
            </w:r>
            <w:r>
              <w:rPr>
                <w:rFonts w:hint="eastAsia" w:ascii="宋体" w:hAnsi="宋体" w:cs="宋体"/>
                <w:color w:val="auto"/>
                <w:szCs w:val="21"/>
                <w:highlight w:val="none"/>
              </w:rPr>
              <w:t>50A。</w:t>
            </w:r>
          </w:p>
          <w:p w14:paraId="1213116A">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（9）电池电压(蓄电池) ：12V-24Vdc 自动识别。</w:t>
            </w:r>
          </w:p>
          <w:p w14:paraId="008FBDD1">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（10）电池电压范围：10.7-13.8Vdc/21.4-27.6Vdc。</w:t>
            </w:r>
          </w:p>
          <w:p w14:paraId="2571B825">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（11）太阳能充电电压：主充约14.4V，浮充约13.8V。</w:t>
            </w:r>
          </w:p>
          <w:p w14:paraId="16B22648">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（12）最大充电电流：太阳能：</w:t>
            </w:r>
            <w:r>
              <w:rPr>
                <w:rFonts w:hint="eastAsia" w:ascii="宋体" w:hAnsi="宋体" w:cs="宋体"/>
                <w:color w:val="auto"/>
                <w:kern w:val="0"/>
                <w:szCs w:val="21"/>
                <w:highlight w:val="none"/>
              </w:rPr>
              <w:t>≥</w:t>
            </w:r>
            <w:r>
              <w:rPr>
                <w:rFonts w:hint="eastAsia" w:ascii="宋体" w:hAnsi="宋体" w:cs="宋体"/>
                <w:color w:val="auto"/>
                <w:szCs w:val="21"/>
                <w:highlight w:val="none"/>
              </w:rPr>
              <w:t>50A。</w:t>
            </w:r>
          </w:p>
          <w:p w14:paraId="4B735808">
            <w:pPr>
              <w:widowControl/>
              <w:wordWrap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（13）电池过放电保护电压：不低于11.2V。</w:t>
            </w:r>
          </w:p>
        </w:tc>
      </w:tr>
      <w:tr w14:paraId="2BF08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1494FDF0">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1430" w:type="dxa"/>
            <w:tcBorders>
              <w:left w:val="single" w:color="000000" w:sz="4" w:space="0"/>
              <w:bottom w:val="single" w:color="000000" w:sz="4" w:space="0"/>
              <w:right w:val="single" w:color="000000" w:sz="4" w:space="0"/>
            </w:tcBorders>
            <w:vAlign w:val="center"/>
          </w:tcPr>
          <w:p w14:paraId="32DEAF63">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机柜</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23FB4295">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709" w:type="dxa"/>
            <w:tcBorders>
              <w:top w:val="single" w:color="000000" w:sz="4" w:space="0"/>
              <w:left w:val="single" w:color="000000" w:sz="4" w:space="0"/>
              <w:bottom w:val="single" w:color="000000" w:sz="4" w:space="0"/>
              <w:right w:val="single" w:color="000000" w:sz="4" w:space="0"/>
            </w:tcBorders>
            <w:vAlign w:val="center"/>
          </w:tcPr>
          <w:p w14:paraId="79360AE5">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台</w:t>
            </w:r>
          </w:p>
        </w:tc>
        <w:tc>
          <w:tcPr>
            <w:tcW w:w="722" w:type="dxa"/>
            <w:tcBorders>
              <w:top w:val="single" w:color="000000" w:sz="4" w:space="0"/>
              <w:left w:val="single" w:color="000000" w:sz="4" w:space="0"/>
              <w:bottom w:val="single" w:color="000000" w:sz="4" w:space="0"/>
              <w:right w:val="single" w:color="000000" w:sz="4" w:space="0"/>
            </w:tcBorders>
            <w:vAlign w:val="center"/>
          </w:tcPr>
          <w:p w14:paraId="294CD8F2">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042B892B">
            <w:pPr>
              <w:widowControl/>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1.功能：将遥测通信终端、智能一体化遥测终端、硬盘录像机、网络交换机、12V65AH蓄电池等设施设备整合到机柜内。</w:t>
            </w:r>
          </w:p>
          <w:p w14:paraId="1539F484">
            <w:pPr>
              <w:widowControl/>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2. BS柜尺寸：约700×1800×500mm(宽×高×深) 。</w:t>
            </w:r>
          </w:p>
          <w:p w14:paraId="6B6620C6">
            <w:pPr>
              <w:widowControl/>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3.柜体喷塑、颜色浅灰色。</w:t>
            </w:r>
          </w:p>
          <w:p w14:paraId="48044E4E">
            <w:pPr>
              <w:widowControl/>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4.前单开门(配参考或相当于MS821平板锁)后背板(可拆卸)，前门为透明材质。</w:t>
            </w:r>
          </w:p>
          <w:p w14:paraId="683CE245">
            <w:pPr>
              <w:widowControl/>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5.柜内2根门安装条，A4塑料文件夹1个，照明灯；(LED ≥4W) 及开关1套，纵梁4副，层板3块（深度约400mm）横柔2根配接地线，柜内约330mm高铝安装板1块。</w:t>
            </w:r>
          </w:p>
          <w:p w14:paraId="02C16C67">
            <w:pPr>
              <w:widowControl/>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6.顶部配吊环4只(参考或相当于M12 镀锌材质) ，底部配约100mm高黑色固定底座。</w:t>
            </w:r>
          </w:p>
          <w:p w14:paraId="51685E25">
            <w:pPr>
              <w:widowControl/>
              <w:wordWrap w:val="0"/>
              <w:adjustRightInd w:val="0"/>
              <w:snapToGrid w:val="0"/>
              <w:spacing w:line="360" w:lineRule="exact"/>
              <w:rPr>
                <w:rFonts w:ascii="宋体" w:hAnsi="宋体" w:cs="宋体"/>
                <w:b/>
                <w:color w:val="auto"/>
                <w:szCs w:val="21"/>
                <w:highlight w:val="none"/>
              </w:rPr>
            </w:pPr>
            <w:r>
              <w:rPr>
                <w:rFonts w:hint="eastAsia" w:ascii="宋体" w:hAnsi="宋体" w:cs="宋体"/>
                <w:color w:val="auto"/>
                <w:szCs w:val="21"/>
                <w:highlight w:val="none"/>
              </w:rPr>
              <w:t>7.机柜内部布线符合行业规范要求，横平竖直，网线、数据线、电源线有相应的标签。</w:t>
            </w:r>
          </w:p>
        </w:tc>
      </w:tr>
      <w:tr w14:paraId="2A4C9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45F113C5">
            <w:pPr>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1430" w:type="dxa"/>
            <w:tcBorders>
              <w:left w:val="single" w:color="000000" w:sz="4" w:space="0"/>
              <w:bottom w:val="single" w:color="000000" w:sz="4" w:space="0"/>
              <w:right w:val="single" w:color="000000" w:sz="4" w:space="0"/>
            </w:tcBorders>
            <w:vAlign w:val="center"/>
          </w:tcPr>
          <w:p w14:paraId="4C905457">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路灯</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14:paraId="58007D66">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25D78C32">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个</w:t>
            </w:r>
          </w:p>
        </w:tc>
        <w:tc>
          <w:tcPr>
            <w:tcW w:w="722" w:type="dxa"/>
            <w:tcBorders>
              <w:top w:val="single" w:color="000000" w:sz="4" w:space="0"/>
              <w:left w:val="single" w:color="000000" w:sz="4" w:space="0"/>
              <w:bottom w:val="single" w:color="000000" w:sz="4" w:space="0"/>
              <w:right w:val="single" w:color="000000" w:sz="4" w:space="0"/>
            </w:tcBorders>
            <w:vAlign w:val="center"/>
          </w:tcPr>
          <w:p w14:paraId="592A2158">
            <w:pPr>
              <w:tabs>
                <w:tab w:val="left" w:pos="180"/>
                <w:tab w:val="left" w:pos="1620"/>
              </w:tabs>
              <w:adjustRightInd w:val="0"/>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4961" w:type="dxa"/>
            <w:tcBorders>
              <w:top w:val="single" w:color="000000" w:sz="4" w:space="0"/>
              <w:left w:val="single" w:color="000000" w:sz="4" w:space="0"/>
              <w:bottom w:val="single" w:color="000000" w:sz="4" w:space="0"/>
              <w:right w:val="single" w:color="000000" w:sz="4" w:space="0"/>
            </w:tcBorders>
            <w:vAlign w:val="center"/>
          </w:tcPr>
          <w:p w14:paraId="404E1C3D">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1.光源及功率：≥40W，LED；</w:t>
            </w:r>
          </w:p>
          <w:p w14:paraId="0F9E1FE3">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2.灯头数量：1个；</w:t>
            </w:r>
          </w:p>
          <w:p w14:paraId="403A0522">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3.防护等级：不低于IP65；</w:t>
            </w:r>
          </w:p>
          <w:p w14:paraId="0CE3AFA3">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4.灯杆高度：约6m；</w:t>
            </w:r>
          </w:p>
          <w:p w14:paraId="15D5C23B">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5.灯杆材质：参考或相当于Q235整体热镀锌钢材；</w:t>
            </w:r>
          </w:p>
          <w:p w14:paraId="448905E2">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6.额定电压：</w:t>
            </w:r>
            <w:r>
              <w:rPr>
                <w:rFonts w:hint="eastAsia" w:ascii="宋体" w:hAnsi="宋体" w:cs="宋体"/>
                <w:color w:val="auto"/>
                <w:kern w:val="0"/>
                <w:szCs w:val="21"/>
                <w:highlight w:val="none"/>
              </w:rPr>
              <w:t>≥</w:t>
            </w:r>
            <w:r>
              <w:rPr>
                <w:rFonts w:hint="eastAsia" w:ascii="宋体" w:hAnsi="宋体" w:cs="宋体"/>
                <w:color w:val="auto"/>
                <w:szCs w:val="21"/>
                <w:highlight w:val="none"/>
              </w:rPr>
              <w:t>3.2V；</w:t>
            </w:r>
          </w:p>
          <w:p w14:paraId="57B38EA2">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7.电池组件：</w:t>
            </w:r>
            <w:r>
              <w:rPr>
                <w:rFonts w:hint="eastAsia" w:ascii="宋体" w:hAnsi="宋体" w:cs="宋体"/>
                <w:color w:val="auto"/>
                <w:kern w:val="0"/>
                <w:szCs w:val="21"/>
                <w:highlight w:val="none"/>
              </w:rPr>
              <w:t>≥</w:t>
            </w:r>
            <w:r>
              <w:rPr>
                <w:rFonts w:hint="eastAsia" w:ascii="宋体" w:hAnsi="宋体" w:cs="宋体"/>
                <w:color w:val="auto"/>
                <w:szCs w:val="21"/>
                <w:highlight w:val="none"/>
              </w:rPr>
              <w:t>140W；</w:t>
            </w:r>
          </w:p>
          <w:p w14:paraId="1E73CD65">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8.蓄电池：</w:t>
            </w:r>
            <w:r>
              <w:rPr>
                <w:rFonts w:hint="eastAsia" w:ascii="宋体" w:hAnsi="宋体" w:cs="宋体"/>
                <w:color w:val="auto"/>
                <w:kern w:val="0"/>
                <w:szCs w:val="21"/>
                <w:highlight w:val="none"/>
              </w:rPr>
              <w:t>≥</w:t>
            </w:r>
            <w:r>
              <w:rPr>
                <w:rFonts w:hint="eastAsia" w:ascii="宋体" w:hAnsi="宋体" w:cs="宋体"/>
                <w:color w:val="auto"/>
                <w:szCs w:val="21"/>
                <w:highlight w:val="none"/>
              </w:rPr>
              <w:t>120AH；</w:t>
            </w:r>
          </w:p>
          <w:p w14:paraId="5B9B6EC9">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9.阴雨天数：连续5个阴雨天；</w:t>
            </w:r>
          </w:p>
          <w:p w14:paraId="74F5FFB7">
            <w:pPr>
              <w:wordWrap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10.照明时间：8-10小时/天；</w:t>
            </w:r>
          </w:p>
          <w:p w14:paraId="1C60027F">
            <w:pPr>
              <w:widowControl/>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11.包含本项号产品安装所需的一切费用。</w:t>
            </w:r>
          </w:p>
        </w:tc>
      </w:tr>
      <w:tr w14:paraId="3B5A8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14:paraId="57002364">
            <w:pPr>
              <w:spacing w:line="340" w:lineRule="exact"/>
              <w:rPr>
                <w:rFonts w:ascii="宋体" w:hAnsi="宋体" w:cs="宋体"/>
                <w:b/>
                <w:color w:val="auto"/>
                <w:szCs w:val="21"/>
                <w:highlight w:val="none"/>
              </w:rPr>
            </w:pPr>
            <w:r>
              <w:rPr>
                <w:rFonts w:hint="eastAsia" w:ascii="宋体" w:hAnsi="宋体" w:cs="宋体"/>
                <w:b/>
                <w:color w:val="auto"/>
                <w:szCs w:val="21"/>
                <w:highlight w:val="none"/>
              </w:rPr>
              <w:t>核心产品：第14项号标的“遥测终端RTU ”。</w:t>
            </w:r>
          </w:p>
        </w:tc>
      </w:tr>
      <w:tr w14:paraId="0613D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14:paraId="1B28C4D5">
            <w:pPr>
              <w:spacing w:line="340" w:lineRule="exact"/>
              <w:rPr>
                <w:rFonts w:ascii="宋体" w:hAnsi="宋体" w:cs="宋体"/>
                <w:b/>
                <w:color w:val="auto"/>
                <w:szCs w:val="21"/>
                <w:highlight w:val="none"/>
              </w:rPr>
            </w:pPr>
            <w:r>
              <w:rPr>
                <w:rFonts w:hint="eastAsia" w:ascii="宋体" w:hAnsi="宋体" w:cs="宋体"/>
                <w:b/>
                <w:color w:val="auto"/>
                <w:szCs w:val="21"/>
                <w:highlight w:val="none"/>
              </w:rPr>
              <w:t>二、商务要求</w:t>
            </w:r>
          </w:p>
        </w:tc>
      </w:tr>
      <w:tr w14:paraId="5CCC6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41FFE80F">
            <w:pPr>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cs="宋体"/>
                <w:b/>
                <w:color w:val="auto"/>
                <w:spacing w:val="-2"/>
                <w:szCs w:val="21"/>
                <w:highlight w:val="none"/>
              </w:rPr>
              <w:t>售后服务要求</w:t>
            </w:r>
          </w:p>
        </w:tc>
        <w:tc>
          <w:tcPr>
            <w:tcW w:w="6621" w:type="dxa"/>
            <w:gridSpan w:val="4"/>
            <w:tcBorders>
              <w:top w:val="single" w:color="auto" w:sz="4" w:space="0"/>
              <w:left w:val="nil"/>
              <w:bottom w:val="single" w:color="auto" w:sz="4" w:space="0"/>
              <w:right w:val="single" w:color="auto" w:sz="4" w:space="0"/>
            </w:tcBorders>
            <w:vAlign w:val="center"/>
          </w:tcPr>
          <w:p w14:paraId="11765574">
            <w:pPr>
              <w:spacing w:line="340" w:lineRule="exact"/>
              <w:rPr>
                <w:rFonts w:ascii="宋体" w:hAnsi="宋体" w:cs="宋体"/>
                <w:b/>
                <w:color w:val="auto"/>
                <w:szCs w:val="21"/>
                <w:highlight w:val="none"/>
              </w:rPr>
            </w:pPr>
            <w:r>
              <w:rPr>
                <w:rFonts w:hint="eastAsia" w:ascii="宋体" w:hAnsi="宋体" w:cs="宋体"/>
                <w:b/>
                <w:color w:val="auto"/>
                <w:szCs w:val="21"/>
                <w:highlight w:val="none"/>
              </w:rPr>
              <w:t>以下售后服务产生的相关费用均应综合包含在竞标报价中，采购人不再就此另行支付费用：</w:t>
            </w:r>
          </w:p>
          <w:p w14:paraId="03B8F9FE">
            <w:pPr>
              <w:spacing w:line="340" w:lineRule="exact"/>
              <w:rPr>
                <w:rFonts w:ascii="宋体" w:hAnsi="宋体" w:cs="宋体"/>
                <w:b/>
                <w:color w:val="auto"/>
                <w:szCs w:val="21"/>
                <w:highlight w:val="none"/>
              </w:rPr>
            </w:pPr>
            <w:r>
              <w:rPr>
                <w:rFonts w:hint="eastAsia" w:ascii="宋体" w:hAnsi="宋体" w:cs="宋体"/>
                <w:b/>
                <w:color w:val="auto"/>
                <w:szCs w:val="21"/>
                <w:highlight w:val="none"/>
              </w:rPr>
              <w:t>1.按国家有关产品“三包”规定执行“三包”。</w:t>
            </w:r>
          </w:p>
          <w:p w14:paraId="6A5B3740">
            <w:pPr>
              <w:spacing w:line="340" w:lineRule="exact"/>
              <w:rPr>
                <w:rFonts w:ascii="宋体" w:hAnsi="宋体" w:cs="宋体"/>
                <w:b/>
                <w:color w:val="auto"/>
                <w:szCs w:val="21"/>
                <w:highlight w:val="none"/>
              </w:rPr>
            </w:pPr>
            <w:r>
              <w:rPr>
                <w:rFonts w:hint="eastAsia" w:ascii="宋体" w:hAnsi="宋体" w:cs="宋体"/>
                <w:b/>
                <w:color w:val="auto"/>
                <w:szCs w:val="21"/>
                <w:highlight w:val="none"/>
              </w:rPr>
              <w:t>2.保修期：不少于3年。保修期从设备验收合格之日起计算。</w:t>
            </w:r>
          </w:p>
          <w:p w14:paraId="48637202">
            <w:pPr>
              <w:spacing w:line="340" w:lineRule="exact"/>
              <w:rPr>
                <w:rFonts w:ascii="宋体" w:hAnsi="宋体" w:cs="宋体"/>
                <w:b/>
                <w:color w:val="auto"/>
                <w:szCs w:val="21"/>
                <w:highlight w:val="none"/>
              </w:rPr>
            </w:pPr>
            <w:r>
              <w:rPr>
                <w:rFonts w:hint="eastAsia" w:ascii="宋体" w:hAnsi="宋体" w:cs="宋体"/>
                <w:b/>
                <w:color w:val="auto"/>
                <w:szCs w:val="21"/>
                <w:highlight w:val="none"/>
              </w:rPr>
              <w:t>3.保修期内上门维修（不再收取维修费和元器件费）、更换零部件，并提供终身维修服务。</w:t>
            </w:r>
          </w:p>
          <w:p w14:paraId="2A1995D0">
            <w:pPr>
              <w:spacing w:line="340" w:lineRule="exact"/>
              <w:rPr>
                <w:rFonts w:ascii="宋体" w:hAnsi="宋体" w:cs="宋体"/>
                <w:b/>
                <w:color w:val="auto"/>
                <w:szCs w:val="21"/>
                <w:highlight w:val="none"/>
              </w:rPr>
            </w:pPr>
            <w:r>
              <w:rPr>
                <w:rFonts w:hint="eastAsia" w:ascii="宋体" w:hAnsi="宋体" w:cs="宋体"/>
                <w:b/>
                <w:color w:val="auto"/>
                <w:szCs w:val="21"/>
                <w:highlight w:val="none"/>
              </w:rPr>
              <w:t>4.保修期内接到报障电话在2小时内响应，24小时内派工程技术人员按国家及行业标准进行及时处理，若未能在48小时内完成问题处理的，由成交供应商负责提供备用机。如果需要更换配件的，要求更换的配件应跟被更换的品牌、类型相一致或者在征得采购人同意后提供同类同档次的替代品；若产品自带软件的，则须提供保修期内升级服务。</w:t>
            </w:r>
          </w:p>
          <w:p w14:paraId="3295134C">
            <w:pPr>
              <w:spacing w:line="340" w:lineRule="exact"/>
              <w:rPr>
                <w:rFonts w:ascii="宋体" w:hAnsi="宋体" w:cs="宋体"/>
                <w:b/>
                <w:color w:val="auto"/>
                <w:szCs w:val="21"/>
                <w:highlight w:val="none"/>
              </w:rPr>
            </w:pPr>
            <w:r>
              <w:rPr>
                <w:rFonts w:hint="eastAsia" w:ascii="宋体" w:hAnsi="宋体" w:cs="宋体"/>
                <w:b/>
                <w:color w:val="auto"/>
                <w:szCs w:val="21"/>
                <w:highlight w:val="none"/>
              </w:rPr>
              <w:t>5.成交供应商负责送货到采购人现场，在采购人要求的时间内按合同提供的设备安装调试；货物到位后的安装、调试、培训均由成交供应商负责提供。</w:t>
            </w:r>
          </w:p>
          <w:p w14:paraId="1C121012">
            <w:pPr>
              <w:spacing w:line="340" w:lineRule="exact"/>
              <w:rPr>
                <w:rFonts w:ascii="宋体" w:hAnsi="宋体" w:cs="宋体"/>
                <w:b/>
                <w:color w:val="auto"/>
                <w:szCs w:val="21"/>
                <w:highlight w:val="none"/>
              </w:rPr>
            </w:pPr>
            <w:r>
              <w:rPr>
                <w:rFonts w:hint="eastAsia" w:ascii="宋体" w:hAnsi="宋体" w:cs="宋体"/>
                <w:b/>
                <w:color w:val="auto"/>
                <w:szCs w:val="21"/>
                <w:highlight w:val="none"/>
              </w:rPr>
              <w:t>6.成交供应商交货时须提供产品说明书、保修卡、合格证产品目录、图纸、操作手册、试用说明、维护手册或服务指南等供货产品的配套资料。</w:t>
            </w:r>
          </w:p>
          <w:p w14:paraId="7BFF449F">
            <w:pPr>
              <w:spacing w:line="340" w:lineRule="exact"/>
              <w:rPr>
                <w:rFonts w:ascii="宋体" w:hAnsi="宋体" w:cs="宋体"/>
                <w:b/>
                <w:color w:val="auto"/>
                <w:szCs w:val="21"/>
                <w:highlight w:val="none"/>
              </w:rPr>
            </w:pPr>
            <w:r>
              <w:rPr>
                <w:rFonts w:hint="eastAsia" w:ascii="宋体" w:hAnsi="宋体" w:cs="宋体"/>
                <w:b/>
                <w:color w:val="auto"/>
                <w:szCs w:val="21"/>
                <w:highlight w:val="none"/>
              </w:rPr>
              <w:t>7.技术培训要求：在采购人当地，成交供应商应配置专业技术人员提供现场技术培训，保证使用人员正常操作设备的各种功能。</w:t>
            </w:r>
          </w:p>
          <w:p w14:paraId="0AF88FE9">
            <w:pPr>
              <w:spacing w:line="340" w:lineRule="exact"/>
              <w:rPr>
                <w:rFonts w:ascii="宋体" w:hAnsi="宋体" w:cs="宋体"/>
                <w:b/>
                <w:color w:val="auto"/>
                <w:szCs w:val="21"/>
                <w:highlight w:val="none"/>
              </w:rPr>
            </w:pPr>
            <w:r>
              <w:rPr>
                <w:rFonts w:hint="eastAsia" w:ascii="宋体" w:hAnsi="宋体" w:cs="宋体"/>
                <w:b/>
                <w:color w:val="auto"/>
                <w:szCs w:val="21"/>
                <w:highlight w:val="none"/>
              </w:rPr>
              <w:t>8.在保修期内如有质量监督部门要求对成交供应商所供产品进行检测、检验的，成交供应商必须派出厂方代表协助检测、检验，无论产品有无质量问题，成交供应商均应承担全部费用，如产品检测、检验有质量问题，成交供应商还应承担相应的责任。</w:t>
            </w:r>
          </w:p>
          <w:p w14:paraId="7CB592C4">
            <w:pPr>
              <w:spacing w:line="340" w:lineRule="exact"/>
              <w:rPr>
                <w:rFonts w:ascii="宋体" w:hAnsi="宋体" w:cs="宋体"/>
                <w:b/>
                <w:color w:val="auto"/>
                <w:szCs w:val="21"/>
                <w:highlight w:val="none"/>
              </w:rPr>
            </w:pPr>
            <w:r>
              <w:rPr>
                <w:rFonts w:hint="eastAsia" w:ascii="宋体" w:hAnsi="宋体" w:cs="宋体"/>
                <w:b/>
                <w:color w:val="auto"/>
                <w:szCs w:val="21"/>
                <w:highlight w:val="none"/>
              </w:rPr>
              <w:t>9.</w:t>
            </w:r>
            <w:r>
              <w:rPr>
                <w:rFonts w:hint="eastAsia" w:ascii="宋体" w:hAnsi="宋体" w:cs="宋体"/>
                <w:b/>
                <w:color w:val="auto"/>
                <w:spacing w:val="-4"/>
                <w:szCs w:val="21"/>
                <w:highlight w:val="none"/>
              </w:rPr>
              <w:t>保修期内产品质量问题成交供应商承担一切与产品维修、运输等费用。</w:t>
            </w:r>
          </w:p>
        </w:tc>
      </w:tr>
      <w:tr w14:paraId="62E1D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27B57ACF">
            <w:pPr>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（二）交付时间和地点</w:t>
            </w:r>
          </w:p>
        </w:tc>
        <w:tc>
          <w:tcPr>
            <w:tcW w:w="6621" w:type="dxa"/>
            <w:gridSpan w:val="4"/>
            <w:tcBorders>
              <w:top w:val="single" w:color="auto" w:sz="4" w:space="0"/>
              <w:left w:val="nil"/>
              <w:bottom w:val="single" w:color="auto" w:sz="4" w:space="0"/>
              <w:right w:val="single" w:color="auto" w:sz="4" w:space="0"/>
            </w:tcBorders>
            <w:vAlign w:val="center"/>
          </w:tcPr>
          <w:p w14:paraId="78352DAA">
            <w:pPr>
              <w:spacing w:line="340" w:lineRule="exact"/>
              <w:rPr>
                <w:rFonts w:ascii="宋体" w:hAnsi="宋体" w:cs="宋体"/>
                <w:b/>
                <w:color w:val="auto"/>
                <w:szCs w:val="21"/>
                <w:highlight w:val="none"/>
              </w:rPr>
            </w:pPr>
            <w:r>
              <w:rPr>
                <w:rFonts w:hint="eastAsia" w:ascii="宋体" w:hAnsi="宋体" w:cs="宋体"/>
                <w:b/>
                <w:color w:val="auto"/>
                <w:szCs w:val="21"/>
                <w:highlight w:val="none"/>
              </w:rPr>
              <w:t>1.交付时间：自签订合同之日起90个日历日内到货并全部安装调试合格完毕。</w:t>
            </w:r>
          </w:p>
          <w:p w14:paraId="2B25C420">
            <w:pPr>
              <w:spacing w:line="340" w:lineRule="exact"/>
              <w:rPr>
                <w:rFonts w:ascii="宋体" w:hAnsi="宋体" w:cs="宋体"/>
                <w:b/>
                <w:color w:val="auto"/>
                <w:szCs w:val="21"/>
                <w:highlight w:val="none"/>
              </w:rPr>
            </w:pPr>
            <w:r>
              <w:rPr>
                <w:rFonts w:hint="eastAsia" w:ascii="宋体" w:hAnsi="宋体" w:cs="宋体"/>
                <w:b/>
                <w:color w:val="auto"/>
                <w:szCs w:val="21"/>
                <w:highlight w:val="none"/>
              </w:rPr>
              <w:t>2.交付地点：广西桂林市内采购人指定地点。</w:t>
            </w:r>
          </w:p>
        </w:tc>
      </w:tr>
      <w:tr w14:paraId="5EBC4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0C5DC78C">
            <w:pPr>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（三）合同签订时间</w:t>
            </w:r>
          </w:p>
        </w:tc>
        <w:tc>
          <w:tcPr>
            <w:tcW w:w="6621" w:type="dxa"/>
            <w:gridSpan w:val="4"/>
            <w:tcBorders>
              <w:top w:val="single" w:color="auto" w:sz="4" w:space="0"/>
              <w:left w:val="nil"/>
              <w:bottom w:val="single" w:color="auto" w:sz="4" w:space="0"/>
              <w:right w:val="single" w:color="auto" w:sz="4" w:space="0"/>
            </w:tcBorders>
            <w:vAlign w:val="center"/>
          </w:tcPr>
          <w:p w14:paraId="04BCEC27">
            <w:pPr>
              <w:spacing w:line="340" w:lineRule="exact"/>
              <w:rPr>
                <w:rFonts w:ascii="宋体" w:hAnsi="宋体" w:cs="宋体"/>
                <w:b/>
                <w:color w:val="auto"/>
                <w:szCs w:val="21"/>
                <w:highlight w:val="none"/>
              </w:rPr>
            </w:pPr>
            <w:r>
              <w:rPr>
                <w:rFonts w:hint="eastAsia" w:ascii="宋体" w:hAnsi="宋体" w:cs="宋体"/>
                <w:b/>
                <w:color w:val="auto"/>
                <w:szCs w:val="21"/>
                <w:highlight w:val="none"/>
              </w:rPr>
              <w:t>自成交通知书发出之日起25日内签订采购合同。</w:t>
            </w:r>
          </w:p>
        </w:tc>
      </w:tr>
      <w:tr w14:paraId="649B4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770A02A3">
            <w:pPr>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（四）付款方式</w:t>
            </w:r>
          </w:p>
        </w:tc>
        <w:tc>
          <w:tcPr>
            <w:tcW w:w="6621" w:type="dxa"/>
            <w:gridSpan w:val="4"/>
            <w:tcBorders>
              <w:top w:val="single" w:color="auto" w:sz="4" w:space="0"/>
              <w:left w:val="nil"/>
              <w:bottom w:val="single" w:color="auto" w:sz="4" w:space="0"/>
              <w:right w:val="single" w:color="auto" w:sz="4" w:space="0"/>
            </w:tcBorders>
            <w:vAlign w:val="center"/>
          </w:tcPr>
          <w:p w14:paraId="56142698">
            <w:pPr>
              <w:spacing w:line="340" w:lineRule="exact"/>
              <w:rPr>
                <w:rFonts w:ascii="宋体" w:hAnsi="宋体" w:cs="宋体"/>
                <w:b/>
                <w:color w:val="auto"/>
                <w:szCs w:val="21"/>
                <w:highlight w:val="none"/>
              </w:rPr>
            </w:pPr>
            <w:r>
              <w:rPr>
                <w:rFonts w:hint="eastAsia" w:ascii="宋体" w:hAnsi="宋体" w:cs="宋体"/>
                <w:b/>
                <w:color w:val="auto"/>
                <w:szCs w:val="21"/>
                <w:highlight w:val="none"/>
              </w:rPr>
              <w:t>1.第一次付款：签订合同后10个工作日内支付合同金额的50%款项；</w:t>
            </w:r>
          </w:p>
          <w:p w14:paraId="5E1966F7">
            <w:pPr>
              <w:spacing w:line="340" w:lineRule="exact"/>
              <w:rPr>
                <w:rFonts w:ascii="宋体" w:hAnsi="宋体" w:cs="宋体"/>
                <w:b/>
                <w:color w:val="auto"/>
                <w:szCs w:val="21"/>
                <w:highlight w:val="none"/>
              </w:rPr>
            </w:pPr>
            <w:r>
              <w:rPr>
                <w:rFonts w:hint="eastAsia" w:ascii="宋体" w:hAnsi="宋体" w:cs="宋体"/>
                <w:b/>
                <w:color w:val="auto"/>
                <w:szCs w:val="21"/>
                <w:highlight w:val="none"/>
              </w:rPr>
              <w:t>2.第二次付款：设备到货并安装调试完毕后支付合同金额30%款项；</w:t>
            </w:r>
          </w:p>
          <w:p w14:paraId="0F8FF217">
            <w:pPr>
              <w:spacing w:line="340" w:lineRule="exact"/>
              <w:rPr>
                <w:rFonts w:ascii="宋体" w:hAnsi="宋体" w:cs="宋体"/>
                <w:b/>
                <w:color w:val="auto"/>
                <w:szCs w:val="21"/>
                <w:highlight w:val="none"/>
              </w:rPr>
            </w:pPr>
            <w:r>
              <w:rPr>
                <w:rFonts w:hint="eastAsia" w:ascii="宋体" w:hAnsi="宋体" w:cs="宋体"/>
                <w:b/>
                <w:color w:val="auto"/>
                <w:szCs w:val="21"/>
                <w:highlight w:val="none"/>
              </w:rPr>
              <w:t>3.第三次付款：所有设备及相应存档资料经采购人验收合格后一次性支付剩余合同款项。</w:t>
            </w:r>
          </w:p>
          <w:p w14:paraId="20472676">
            <w:pPr>
              <w:spacing w:line="340" w:lineRule="exact"/>
              <w:rPr>
                <w:rFonts w:ascii="宋体" w:hAnsi="宋体" w:cs="宋体"/>
                <w:b/>
                <w:color w:val="auto"/>
                <w:szCs w:val="21"/>
                <w:highlight w:val="none"/>
              </w:rPr>
            </w:pPr>
            <w:r>
              <w:rPr>
                <w:rFonts w:hint="eastAsia" w:ascii="宋体" w:hAnsi="宋体" w:cs="宋体"/>
                <w:b/>
                <w:color w:val="auto"/>
                <w:szCs w:val="21"/>
                <w:highlight w:val="none"/>
              </w:rPr>
              <w:t>注：成交供应商在约定付款时间内提出付款申请，报监理单位或采购人审核，同时提供正式发票给采购人。</w:t>
            </w:r>
            <w:r>
              <w:rPr>
                <w:rFonts w:hint="eastAsia" w:ascii="宋体" w:hAnsi="宋体" w:cs="宋体"/>
                <w:b/>
                <w:color w:val="auto"/>
                <w:szCs w:val="21"/>
                <w:highlight w:val="none"/>
                <w:lang w:eastAsia="zh-CN"/>
              </w:rPr>
              <w:t>项目符合支付条件，</w:t>
            </w:r>
            <w:r>
              <w:rPr>
                <w:rFonts w:hint="eastAsia" w:ascii="宋体" w:hAnsi="宋体" w:cs="宋体"/>
                <w:b/>
                <w:color w:val="auto"/>
                <w:szCs w:val="21"/>
                <w:highlight w:val="none"/>
              </w:rPr>
              <w:t xml:space="preserve">采购人收到付款申请及发票后10个工作日内无息支付相应款项。        </w:t>
            </w:r>
          </w:p>
        </w:tc>
      </w:tr>
      <w:tr w14:paraId="01A53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344C2718">
            <w:pPr>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（五）包装和运输</w:t>
            </w:r>
          </w:p>
        </w:tc>
        <w:tc>
          <w:tcPr>
            <w:tcW w:w="6621" w:type="dxa"/>
            <w:gridSpan w:val="4"/>
            <w:tcBorders>
              <w:top w:val="single" w:color="auto" w:sz="4" w:space="0"/>
              <w:left w:val="nil"/>
              <w:bottom w:val="single" w:color="auto" w:sz="4" w:space="0"/>
              <w:right w:val="single" w:color="auto" w:sz="4" w:space="0"/>
            </w:tcBorders>
            <w:vAlign w:val="center"/>
          </w:tcPr>
          <w:p w14:paraId="68848FFE">
            <w:pPr>
              <w:spacing w:line="340" w:lineRule="exact"/>
              <w:rPr>
                <w:rFonts w:ascii="宋体" w:hAnsi="宋体" w:cs="宋体"/>
                <w:b/>
                <w:color w:val="auto"/>
                <w:szCs w:val="21"/>
                <w:highlight w:val="none"/>
              </w:rPr>
            </w:pPr>
            <w:r>
              <w:rPr>
                <w:rFonts w:hint="eastAsia" w:ascii="宋体" w:hAnsi="宋体" w:cs="宋体"/>
                <w:b/>
                <w:color w:val="auto"/>
                <w:szCs w:val="21"/>
                <w:highlight w:val="none"/>
              </w:rPr>
              <w:t>1.原厂原包装，包装完好完整、无破损、未开封。</w:t>
            </w:r>
          </w:p>
          <w:p w14:paraId="40950008">
            <w:pPr>
              <w:spacing w:line="340" w:lineRule="exact"/>
              <w:rPr>
                <w:rFonts w:ascii="宋体" w:hAnsi="宋体" w:cs="宋体"/>
                <w:b/>
                <w:color w:val="auto"/>
                <w:szCs w:val="21"/>
                <w:highlight w:val="none"/>
              </w:rPr>
            </w:pPr>
            <w:r>
              <w:rPr>
                <w:rFonts w:hint="eastAsia" w:ascii="宋体" w:hAnsi="宋体" w:cs="宋体"/>
                <w:b/>
                <w:color w:val="auto"/>
                <w:szCs w:val="21"/>
                <w:highlight w:val="none"/>
              </w:rPr>
              <w:t>2.包装及运输方式应综合考虑运输距离、防潮、防震、防锈和防破损装卸等要求。</w:t>
            </w:r>
          </w:p>
          <w:p w14:paraId="2F2EF6F1">
            <w:pPr>
              <w:spacing w:line="340" w:lineRule="exact"/>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pacing w:val="-4"/>
                <w:szCs w:val="21"/>
                <w:highlight w:val="none"/>
              </w:rPr>
              <w:t>国家对包装及运输有相关强制性标准或要求的，成交供应商应当执行。</w:t>
            </w:r>
          </w:p>
          <w:p w14:paraId="37C452B1">
            <w:pPr>
              <w:spacing w:line="340" w:lineRule="exact"/>
              <w:rPr>
                <w:rFonts w:ascii="宋体" w:hAnsi="宋体" w:cs="宋体"/>
                <w:b/>
                <w:color w:val="auto"/>
                <w:szCs w:val="21"/>
                <w:highlight w:val="none"/>
              </w:rPr>
            </w:pPr>
            <w:r>
              <w:rPr>
                <w:rFonts w:hint="eastAsia" w:ascii="宋体" w:hAnsi="宋体" w:cs="宋体"/>
                <w:b/>
                <w:color w:val="auto"/>
                <w:szCs w:val="21"/>
                <w:highlight w:val="none"/>
              </w:rPr>
              <w:t>4.设备到货后，成交供应商和采购人应在现场进行清点核对，清点核对过程中如果发现因包装或运输不当引起的货物外观或内部的损坏，成交供应商承担所有责任。</w:t>
            </w:r>
          </w:p>
        </w:tc>
      </w:tr>
      <w:tr w14:paraId="75DB0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39BB8854">
            <w:pPr>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（六）保险</w:t>
            </w:r>
          </w:p>
        </w:tc>
        <w:tc>
          <w:tcPr>
            <w:tcW w:w="6621" w:type="dxa"/>
            <w:gridSpan w:val="4"/>
            <w:tcBorders>
              <w:top w:val="single" w:color="auto" w:sz="4" w:space="0"/>
              <w:left w:val="nil"/>
              <w:bottom w:val="single" w:color="auto" w:sz="4" w:space="0"/>
              <w:right w:val="single" w:color="auto" w:sz="4" w:space="0"/>
            </w:tcBorders>
            <w:vAlign w:val="center"/>
          </w:tcPr>
          <w:p w14:paraId="6A69BF41">
            <w:pPr>
              <w:spacing w:line="340" w:lineRule="exact"/>
              <w:rPr>
                <w:rFonts w:ascii="宋体" w:hAnsi="宋体" w:cs="宋体"/>
                <w:b/>
                <w:color w:val="auto"/>
                <w:szCs w:val="21"/>
                <w:highlight w:val="none"/>
              </w:rPr>
            </w:pPr>
            <w:r>
              <w:rPr>
                <w:rFonts w:hint="eastAsia" w:ascii="宋体" w:hAnsi="宋体" w:cs="宋体"/>
                <w:b/>
                <w:color w:val="auto"/>
                <w:szCs w:val="21"/>
                <w:highlight w:val="none"/>
              </w:rPr>
              <w:t>若供应商为本项目标的及标的涉及的相关材料、设备、人员、运输等购买保险的，相关费用由供应商自行承担。</w:t>
            </w:r>
          </w:p>
        </w:tc>
      </w:tr>
      <w:tr w14:paraId="21629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6E22D629">
            <w:pPr>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（七）质量标准及验收标准</w:t>
            </w:r>
          </w:p>
        </w:tc>
        <w:tc>
          <w:tcPr>
            <w:tcW w:w="6621" w:type="dxa"/>
            <w:gridSpan w:val="4"/>
            <w:tcBorders>
              <w:top w:val="single" w:color="auto" w:sz="4" w:space="0"/>
              <w:left w:val="nil"/>
              <w:bottom w:val="single" w:color="auto" w:sz="4" w:space="0"/>
              <w:right w:val="single" w:color="auto" w:sz="4" w:space="0"/>
            </w:tcBorders>
            <w:vAlign w:val="center"/>
          </w:tcPr>
          <w:p w14:paraId="497EE2CC">
            <w:pPr>
              <w:spacing w:line="340" w:lineRule="exact"/>
              <w:rPr>
                <w:rFonts w:ascii="宋体" w:hAnsi="宋体" w:cs="宋体"/>
                <w:b/>
                <w:bCs/>
                <w:color w:val="auto"/>
                <w:szCs w:val="21"/>
                <w:highlight w:val="none"/>
              </w:rPr>
            </w:pPr>
            <w:r>
              <w:rPr>
                <w:rFonts w:hint="eastAsia" w:ascii="宋体" w:hAnsi="宋体" w:cs="宋体"/>
                <w:b/>
                <w:bCs/>
                <w:color w:val="auto"/>
                <w:szCs w:val="21"/>
                <w:highlight w:val="none"/>
              </w:rPr>
              <w:t>1.质量标准：成交供应商提供的产品应是原装正品、全新完好无破损、符合国家有关质量标准及制造厂家合格产品的出厂质量标准。</w:t>
            </w:r>
          </w:p>
          <w:p w14:paraId="23CF8859">
            <w:pPr>
              <w:spacing w:line="340" w:lineRule="exact"/>
              <w:rPr>
                <w:rFonts w:ascii="宋体" w:hAnsi="宋体" w:cs="宋体"/>
                <w:b/>
                <w:bCs/>
                <w:color w:val="auto"/>
                <w:szCs w:val="21"/>
                <w:highlight w:val="none"/>
              </w:rPr>
            </w:pPr>
            <w:r>
              <w:rPr>
                <w:rFonts w:hint="eastAsia" w:ascii="宋体" w:hAnsi="宋体" w:cs="宋体"/>
                <w:b/>
                <w:bCs/>
                <w:color w:val="auto"/>
                <w:szCs w:val="21"/>
                <w:highlight w:val="none"/>
              </w:rPr>
              <w:t>2.成交供应商于签订采购合同后且在第一次付款前向采购人提供第三章“采购需求”“技术要求”中要求提供由国家认可的第三方检测机构出具的合格有效的检测报告原件进行核查，如成交供应商不能提供以上检测报告的或提供的检测报告不符合竞争性谈判文件的技术需求及要求的，按成交供应商违约处理，采购人有权终止采购合同。成交供应商承担所有责任和费用，采购人保留进一步追究责任的权利。</w:t>
            </w:r>
          </w:p>
          <w:p w14:paraId="6BAE88CF">
            <w:pPr>
              <w:pStyle w:val="8"/>
              <w:spacing w:line="340" w:lineRule="exact"/>
              <w:jc w:val="both"/>
              <w:rPr>
                <w:rFonts w:ascii="宋体" w:hAnsi="宋体" w:cs="宋体"/>
                <w:b/>
                <w:bCs/>
                <w:color w:val="auto"/>
                <w:szCs w:val="21"/>
                <w:highlight w:val="none"/>
              </w:rPr>
            </w:pPr>
            <w:r>
              <w:rPr>
                <w:rFonts w:hint="eastAsia" w:ascii="宋体" w:hAnsi="宋体" w:cs="宋体"/>
                <w:b/>
                <w:bCs/>
                <w:color w:val="auto"/>
                <w:szCs w:val="21"/>
                <w:highlight w:val="none"/>
              </w:rPr>
              <w:t>3.成交供应商在采购文件规定的交货期内派遣专业人员完成所有设备的安装、调试，并提供完备的技术或服务资料、装箱单和合格证等。安装调试完毕后，采购人将根据采购文件要求、响应文件承诺及国家相关标准对产品进行逐项验收，成交供应商必须予以配合，在测试或试运行期间如出现问题应给予及时解决，并保证设备的正常运行或工作。验收合格后由采购人签署确认验收合格文件，核验不合格的，采购人有权终止合同执行并全部退货，采购人已支付的费用成交供应商必须在7个工作日内进行退还，同时报相关监督管理部门处理，由此造成采购人经济损失的由成交供应商负责承担全部赔偿责任。</w:t>
            </w:r>
          </w:p>
          <w:p w14:paraId="21C35C2C">
            <w:pPr>
              <w:pStyle w:val="8"/>
              <w:spacing w:line="340" w:lineRule="exact"/>
              <w:jc w:val="both"/>
              <w:rPr>
                <w:rFonts w:ascii="宋体" w:hAnsi="宋体" w:cs="宋体"/>
                <w:b/>
                <w:bCs/>
                <w:color w:val="auto"/>
                <w:szCs w:val="21"/>
                <w:highlight w:val="none"/>
              </w:rPr>
            </w:pPr>
            <w:r>
              <w:rPr>
                <w:rFonts w:hint="eastAsia" w:ascii="宋体" w:hAnsi="宋体" w:cs="宋体"/>
                <w:b/>
                <w:bCs/>
                <w:color w:val="auto"/>
                <w:szCs w:val="21"/>
                <w:highlight w:val="none"/>
              </w:rPr>
              <w:t>4.验收过程中所产生的一切费用均由成交供应商承担，供应商在响应报价时应综合考虑相关费用。</w:t>
            </w:r>
          </w:p>
          <w:p w14:paraId="5EB3B7E8">
            <w:pPr>
              <w:adjustRightInd w:val="0"/>
              <w:snapToGrid w:val="0"/>
              <w:spacing w:line="340" w:lineRule="exact"/>
              <w:rPr>
                <w:rFonts w:ascii="宋体" w:hAnsi="宋体" w:cs="宋体"/>
                <w:b/>
                <w:bCs/>
                <w:color w:val="auto"/>
                <w:szCs w:val="21"/>
                <w:highlight w:val="none"/>
              </w:rPr>
            </w:pPr>
            <w:r>
              <w:rPr>
                <w:rFonts w:hint="eastAsia" w:ascii="宋体" w:hAnsi="宋体" w:cs="宋体"/>
                <w:b/>
                <w:bCs/>
                <w:color w:val="auto"/>
                <w:szCs w:val="21"/>
                <w:highlight w:val="none"/>
              </w:rPr>
              <w:t>5.由于成交供应商的原因造成采购人不能按时验收合格并正常使用的，由此造成的损失由成交供应商承担。</w:t>
            </w:r>
          </w:p>
          <w:p w14:paraId="2FA33AC4">
            <w:pPr>
              <w:adjustRightInd w:val="0"/>
              <w:snapToGrid w:val="0"/>
              <w:spacing w:line="340" w:lineRule="exact"/>
              <w:rPr>
                <w:rFonts w:ascii="宋体" w:hAnsi="宋体" w:cs="宋体"/>
                <w:b/>
                <w:bCs/>
                <w:color w:val="auto"/>
                <w:szCs w:val="21"/>
                <w:highlight w:val="none"/>
              </w:rPr>
            </w:pPr>
            <w:r>
              <w:rPr>
                <w:rFonts w:hint="eastAsia" w:ascii="宋体" w:hAnsi="宋体" w:cs="宋体"/>
                <w:b/>
                <w:bCs/>
                <w:color w:val="auto"/>
                <w:szCs w:val="21"/>
                <w:highlight w:val="none"/>
              </w:rPr>
              <w:t>6.其他未尽事宜按照《关于印发广西壮族自治区政府采购项目履约验收管理办法的通知》[桂财采〔2015〕22号]、《财政部关于进一步加强政府采购需求和履约验收管理的指导意见》[财库〔2016〕205号]规定以及合同条款执行。</w:t>
            </w:r>
          </w:p>
          <w:p w14:paraId="241231DE">
            <w:pPr>
              <w:adjustRightInd w:val="0"/>
              <w:snapToGrid w:val="0"/>
              <w:spacing w:line="34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7.供货时，成交供应商必须向采购人提供所竞第7项“供电系统（柜式）”、第8项“供电系统（杆式）”产品中的“太阳能专用胶体蓄电池”以及第20项“300AH磷酸铁锂电池”的原厂供货证明文件（加盖厂家公章），否则，不予验收。</w:t>
            </w:r>
          </w:p>
          <w:p w14:paraId="690FE21F">
            <w:pPr>
              <w:adjustRightInd w:val="0"/>
              <w:snapToGrid w:val="0"/>
              <w:spacing w:line="340" w:lineRule="exact"/>
              <w:rPr>
                <w:rFonts w:ascii="宋体" w:hAnsi="宋体" w:cs="宋体"/>
                <w:b/>
                <w:color w:val="auto"/>
                <w:szCs w:val="21"/>
                <w:highlight w:val="none"/>
              </w:rPr>
            </w:pPr>
            <w:r>
              <w:rPr>
                <w:rFonts w:hint="eastAsia" w:ascii="宋体" w:hAnsi="宋体" w:cs="宋体"/>
                <w:b/>
                <w:bCs/>
                <w:color w:val="auto"/>
                <w:kern w:val="0"/>
                <w:szCs w:val="21"/>
                <w:highlight w:val="none"/>
              </w:rPr>
              <w:t>8.供货时，成交供应商必须向采购人提供所竞第6项“视频水位识别系统”、第10项“视频监控系统球型摄像机”、第19项号产品“智能一体化遥测终端机”生产厂家针对本分标产品出具的授权书原件、保修及售后服务承诺函原件，否则，不予验收。</w:t>
            </w:r>
          </w:p>
        </w:tc>
      </w:tr>
      <w:tr w14:paraId="2B3A5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0" w:type="dxa"/>
            <w:gridSpan w:val="7"/>
            <w:tcBorders>
              <w:top w:val="single" w:color="auto" w:sz="4" w:space="0"/>
              <w:left w:val="single" w:color="auto" w:sz="4" w:space="0"/>
              <w:bottom w:val="single" w:color="auto" w:sz="4" w:space="0"/>
              <w:right w:val="single" w:color="auto" w:sz="4" w:space="0"/>
            </w:tcBorders>
          </w:tcPr>
          <w:p w14:paraId="5F1106AF">
            <w:pPr>
              <w:spacing w:line="340" w:lineRule="exact"/>
              <w:rPr>
                <w:rFonts w:ascii="宋体" w:hAnsi="宋体" w:cs="宋体"/>
                <w:color w:val="auto"/>
                <w:szCs w:val="21"/>
                <w:highlight w:val="none"/>
              </w:rPr>
            </w:pPr>
            <w:r>
              <w:rPr>
                <w:rFonts w:hint="eastAsia" w:ascii="宋体" w:hAnsi="宋体" w:cs="宋体"/>
                <w:b/>
                <w:color w:val="auto"/>
                <w:szCs w:val="21"/>
                <w:highlight w:val="none"/>
              </w:rPr>
              <w:t>三、</w:t>
            </w:r>
            <w:r>
              <w:rPr>
                <w:rFonts w:hint="eastAsia" w:ascii="宋体" w:hAnsi="宋体" w:cs="宋体"/>
                <w:b/>
                <w:bCs/>
                <w:color w:val="auto"/>
                <w:szCs w:val="21"/>
                <w:highlight w:val="none"/>
              </w:rPr>
              <w:t>与实现项目目标相关的其他要求</w:t>
            </w:r>
          </w:p>
        </w:tc>
      </w:tr>
      <w:tr w14:paraId="3885C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77A9B19F">
            <w:pPr>
              <w:spacing w:line="34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（一）进口产品说明</w:t>
            </w:r>
          </w:p>
        </w:tc>
        <w:tc>
          <w:tcPr>
            <w:tcW w:w="6621" w:type="dxa"/>
            <w:gridSpan w:val="4"/>
            <w:tcBorders>
              <w:top w:val="single" w:color="auto" w:sz="4" w:space="0"/>
              <w:left w:val="single" w:color="auto" w:sz="4" w:space="0"/>
              <w:bottom w:val="single" w:color="auto" w:sz="4" w:space="0"/>
              <w:right w:val="single" w:color="auto" w:sz="4" w:space="0"/>
            </w:tcBorders>
            <w:vAlign w:val="center"/>
          </w:tcPr>
          <w:p w14:paraId="4410186C">
            <w:pPr>
              <w:adjustRightInd w:val="0"/>
              <w:snapToGrid w:val="0"/>
              <w:spacing w:line="340" w:lineRule="exact"/>
              <w:rPr>
                <w:rFonts w:ascii="宋体" w:hAnsi="宋体" w:cs="宋体"/>
                <w:b/>
                <w:bCs/>
                <w:color w:val="auto"/>
                <w:spacing w:val="-4"/>
                <w:szCs w:val="21"/>
                <w:highlight w:val="none"/>
              </w:rPr>
            </w:pPr>
            <w:r>
              <w:rPr>
                <w:rFonts w:hint="eastAsia" w:ascii="宋体" w:hAnsi="宋体" w:cs="宋体"/>
                <w:b/>
                <w:bCs/>
                <w:color w:val="auto"/>
                <w:spacing w:val="-4"/>
                <w:szCs w:val="21"/>
                <w:highlight w:val="none"/>
              </w:rPr>
              <w:t>本分标标的均不接受进口产品竞标（即通过中国海关报关验放进入中国境内且产自关境外的产品），如为进口产品竞标的，响应文件按无效处理。</w:t>
            </w:r>
          </w:p>
        </w:tc>
      </w:tr>
      <w:tr w14:paraId="00CF0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7EC58224">
            <w:pPr>
              <w:spacing w:line="340" w:lineRule="exact"/>
              <w:jc w:val="center"/>
              <w:rPr>
                <w:rFonts w:ascii="宋体" w:hAnsi="宋体" w:cs="宋体"/>
                <w:b/>
                <w:bCs/>
                <w:color w:val="auto"/>
                <w:szCs w:val="21"/>
                <w:highlight w:val="none"/>
              </w:rPr>
            </w:pPr>
            <w:r>
              <w:rPr>
                <w:rFonts w:hint="eastAsia" w:ascii="宋体" w:hAnsi="宋体" w:cs="宋体"/>
                <w:b/>
                <w:bCs/>
                <w:color w:val="auto"/>
                <w:szCs w:val="21"/>
                <w:highlight w:val="none"/>
              </w:rPr>
              <w:t>（二）采购预算</w:t>
            </w:r>
          </w:p>
        </w:tc>
        <w:tc>
          <w:tcPr>
            <w:tcW w:w="6621" w:type="dxa"/>
            <w:gridSpan w:val="4"/>
            <w:tcBorders>
              <w:top w:val="single" w:color="auto" w:sz="4" w:space="0"/>
              <w:left w:val="single" w:color="auto" w:sz="4" w:space="0"/>
              <w:bottom w:val="single" w:color="auto" w:sz="4" w:space="0"/>
              <w:right w:val="single" w:color="auto" w:sz="4" w:space="0"/>
            </w:tcBorders>
            <w:vAlign w:val="center"/>
          </w:tcPr>
          <w:p w14:paraId="7A1E8B32">
            <w:pPr>
              <w:spacing w:line="340" w:lineRule="exact"/>
              <w:rPr>
                <w:rFonts w:ascii="宋体" w:hAnsi="宋体" w:cs="宋体"/>
                <w:b/>
                <w:bCs/>
                <w:color w:val="auto"/>
                <w:szCs w:val="21"/>
                <w:highlight w:val="none"/>
              </w:rPr>
            </w:pPr>
            <w:r>
              <w:rPr>
                <w:rFonts w:hint="eastAsia" w:ascii="宋体" w:hAnsi="宋体" w:cs="宋体"/>
                <w:b/>
                <w:bCs/>
                <w:color w:val="auto"/>
                <w:szCs w:val="21"/>
                <w:highlight w:val="none"/>
              </w:rPr>
              <w:t>本</w:t>
            </w:r>
            <w:r>
              <w:rPr>
                <w:rFonts w:hint="eastAsia" w:ascii="宋体" w:hAnsi="宋体" w:cs="宋体"/>
                <w:b/>
                <w:bCs/>
                <w:color w:val="auto"/>
                <w:spacing w:val="-4"/>
                <w:szCs w:val="21"/>
                <w:highlight w:val="none"/>
              </w:rPr>
              <w:t>分标</w:t>
            </w:r>
            <w:r>
              <w:rPr>
                <w:rFonts w:hint="eastAsia" w:ascii="宋体" w:hAnsi="宋体" w:cs="宋体"/>
                <w:b/>
                <w:bCs/>
                <w:color w:val="auto"/>
                <w:szCs w:val="21"/>
                <w:highlight w:val="none"/>
              </w:rPr>
              <w:t>采购预算为人民币叁拾陆万柒仟肆佰元整（¥367400.00），供应商报价超采购预算金额的，响应文件按无效处理。</w:t>
            </w:r>
          </w:p>
        </w:tc>
      </w:tr>
    </w:tbl>
    <w:p w14:paraId="207BC9A8">
      <w:pPr>
        <w:spacing w:line="320" w:lineRule="exact"/>
        <w:jc w:val="left"/>
        <w:rPr>
          <w:rFonts w:ascii="宋体" w:hAnsi="宋体" w:cs="宋体"/>
          <w:b/>
          <w:bCs/>
          <w:color w:val="auto"/>
          <w:szCs w:val="21"/>
          <w:highlight w:val="none"/>
        </w:rPr>
      </w:pPr>
    </w:p>
    <w:p w14:paraId="47F3EB6D">
      <w:pPr>
        <w:spacing w:line="320" w:lineRule="exact"/>
        <w:jc w:val="left"/>
        <w:rPr>
          <w:rFonts w:ascii="宋体" w:hAnsi="宋体" w:cs="宋体"/>
          <w:b/>
          <w:bCs/>
          <w:color w:val="auto"/>
          <w:szCs w:val="21"/>
          <w:highlight w:val="none"/>
        </w:rPr>
      </w:pPr>
    </w:p>
    <w:p w14:paraId="739B9F2E">
      <w:pPr>
        <w:spacing w:line="320" w:lineRule="exact"/>
        <w:jc w:val="left"/>
        <w:rPr>
          <w:rFonts w:ascii="宋体" w:hAnsi="宋体" w:cs="宋体"/>
          <w:b/>
          <w:bCs/>
          <w:color w:val="auto"/>
          <w:szCs w:val="21"/>
          <w:highlight w:val="none"/>
        </w:rPr>
      </w:pPr>
    </w:p>
    <w:p w14:paraId="3436A37E">
      <w:pPr>
        <w:spacing w:line="320" w:lineRule="exact"/>
        <w:jc w:val="left"/>
        <w:rPr>
          <w:rFonts w:ascii="宋体" w:hAnsi="宋体" w:cs="宋体"/>
          <w:b/>
          <w:bCs/>
          <w:color w:val="auto"/>
          <w:szCs w:val="21"/>
          <w:highlight w:val="none"/>
        </w:rPr>
      </w:pPr>
      <w:bookmarkStart w:id="86" w:name="_Toc137109008"/>
      <w:bookmarkStart w:id="87" w:name="_Toc74322011"/>
    </w:p>
    <w:p w14:paraId="2F2AF550">
      <w:pPr>
        <w:spacing w:line="320" w:lineRule="exact"/>
        <w:jc w:val="left"/>
        <w:rPr>
          <w:rFonts w:ascii="宋体" w:hAnsi="宋体" w:cs="宋体"/>
          <w:b/>
          <w:bCs/>
          <w:color w:val="auto"/>
          <w:szCs w:val="21"/>
          <w:highlight w:val="none"/>
        </w:rPr>
      </w:pPr>
    </w:p>
    <w:p w14:paraId="1E11BE0E">
      <w:pPr>
        <w:spacing w:line="320" w:lineRule="exact"/>
        <w:jc w:val="left"/>
        <w:rPr>
          <w:rFonts w:ascii="宋体" w:hAnsi="宋体" w:cs="宋体"/>
          <w:b/>
          <w:bCs/>
          <w:color w:val="auto"/>
          <w:szCs w:val="21"/>
          <w:highlight w:val="none"/>
        </w:rPr>
      </w:pPr>
    </w:p>
    <w:p w14:paraId="29B4D735">
      <w:pPr>
        <w:spacing w:line="320" w:lineRule="exact"/>
        <w:jc w:val="left"/>
        <w:rPr>
          <w:rFonts w:ascii="宋体" w:hAnsi="宋体" w:cs="宋体"/>
          <w:b/>
          <w:bCs/>
          <w:color w:val="auto"/>
          <w:szCs w:val="21"/>
          <w:highlight w:val="none"/>
        </w:rPr>
      </w:pPr>
    </w:p>
    <w:p w14:paraId="19B0E7F8">
      <w:pPr>
        <w:spacing w:line="320" w:lineRule="exact"/>
        <w:jc w:val="left"/>
        <w:rPr>
          <w:rFonts w:ascii="宋体" w:hAnsi="宋体" w:cs="宋体"/>
          <w:b/>
          <w:bCs/>
          <w:color w:val="auto"/>
          <w:szCs w:val="21"/>
          <w:highlight w:val="none"/>
        </w:rPr>
      </w:pPr>
    </w:p>
    <w:p w14:paraId="32BFD529">
      <w:pPr>
        <w:spacing w:line="320" w:lineRule="exact"/>
        <w:jc w:val="left"/>
        <w:rPr>
          <w:rFonts w:ascii="宋体" w:hAnsi="宋体" w:cs="宋体"/>
          <w:b/>
          <w:bCs/>
          <w:color w:val="auto"/>
          <w:szCs w:val="21"/>
          <w:highlight w:val="none"/>
        </w:rPr>
      </w:pPr>
    </w:p>
    <w:p w14:paraId="046144FD">
      <w:pPr>
        <w:spacing w:line="320" w:lineRule="exact"/>
        <w:jc w:val="left"/>
        <w:rPr>
          <w:rFonts w:ascii="宋体" w:hAnsi="宋体" w:cs="宋体"/>
          <w:b/>
          <w:bCs/>
          <w:color w:val="auto"/>
          <w:szCs w:val="21"/>
          <w:highlight w:val="none"/>
        </w:rPr>
      </w:pPr>
    </w:p>
    <w:p w14:paraId="22A04F24">
      <w:pPr>
        <w:spacing w:line="320" w:lineRule="exact"/>
        <w:jc w:val="left"/>
        <w:rPr>
          <w:rFonts w:ascii="宋体" w:hAnsi="宋体" w:cs="宋体"/>
          <w:b/>
          <w:bCs/>
          <w:color w:val="auto"/>
          <w:szCs w:val="21"/>
          <w:highlight w:val="none"/>
        </w:rPr>
      </w:pPr>
    </w:p>
    <w:p w14:paraId="7B08D883">
      <w:pPr>
        <w:spacing w:line="320" w:lineRule="exact"/>
        <w:jc w:val="left"/>
        <w:rPr>
          <w:rFonts w:ascii="宋体" w:hAnsi="宋体" w:cs="宋体"/>
          <w:b/>
          <w:bCs/>
          <w:color w:val="auto"/>
          <w:szCs w:val="21"/>
          <w:highlight w:val="none"/>
        </w:rPr>
      </w:pPr>
    </w:p>
    <w:p w14:paraId="1D6721E3">
      <w:pPr>
        <w:spacing w:line="320" w:lineRule="exact"/>
        <w:jc w:val="left"/>
        <w:rPr>
          <w:rFonts w:ascii="宋体" w:hAnsi="宋体" w:cs="宋体"/>
          <w:b/>
          <w:bCs/>
          <w:color w:val="auto"/>
          <w:szCs w:val="21"/>
          <w:highlight w:val="none"/>
        </w:rPr>
      </w:pPr>
    </w:p>
    <w:p w14:paraId="188BC487">
      <w:pPr>
        <w:spacing w:line="320" w:lineRule="exact"/>
        <w:jc w:val="left"/>
        <w:rPr>
          <w:rFonts w:ascii="宋体" w:hAnsi="宋体" w:cs="宋体"/>
          <w:b/>
          <w:bCs/>
          <w:color w:val="auto"/>
          <w:szCs w:val="21"/>
          <w:highlight w:val="none"/>
        </w:rPr>
      </w:pPr>
    </w:p>
    <w:p w14:paraId="44FF3853">
      <w:pPr>
        <w:spacing w:line="320" w:lineRule="exact"/>
        <w:jc w:val="left"/>
        <w:rPr>
          <w:rFonts w:ascii="宋体" w:hAnsi="宋体" w:cs="宋体"/>
          <w:b/>
          <w:bCs/>
          <w:color w:val="auto"/>
          <w:szCs w:val="21"/>
          <w:highlight w:val="none"/>
        </w:rPr>
      </w:pPr>
    </w:p>
    <w:p w14:paraId="6D3D2409">
      <w:pPr>
        <w:pStyle w:val="3"/>
        <w:keepNext w:val="0"/>
        <w:keepLines w:val="0"/>
        <w:spacing w:before="0" w:after="0" w:line="360" w:lineRule="auto"/>
        <w:rPr>
          <w:rFonts w:hint="eastAsia" w:ascii="宋体" w:hAnsi="宋体" w:cs="宋体"/>
          <w:color w:val="auto"/>
          <w:highlight w:val="none"/>
        </w:rPr>
      </w:pPr>
    </w:p>
    <w:p w14:paraId="0E20945C">
      <w:pPr>
        <w:pStyle w:val="3"/>
        <w:keepNext w:val="0"/>
        <w:keepLines w:val="0"/>
        <w:spacing w:before="0" w:after="0" w:line="360" w:lineRule="auto"/>
        <w:rPr>
          <w:rFonts w:ascii="宋体" w:hAnsi="宋体" w:cs="宋体"/>
          <w:color w:val="auto"/>
          <w:highlight w:val="none"/>
        </w:rPr>
      </w:pPr>
      <w:r>
        <w:rPr>
          <w:rFonts w:hint="eastAsia" w:ascii="宋体" w:hAnsi="宋体" w:cs="宋体"/>
          <w:color w:val="auto"/>
          <w:highlight w:val="none"/>
        </w:rPr>
        <w:t>分标2：</w:t>
      </w:r>
    </w:p>
    <w:tbl>
      <w:tblPr>
        <w:tblStyle w:val="25"/>
        <w:tblW w:w="89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1430"/>
        <w:gridCol w:w="466"/>
        <w:gridCol w:w="243"/>
        <w:gridCol w:w="567"/>
        <w:gridCol w:w="708"/>
        <w:gridCol w:w="4890"/>
      </w:tblGrid>
      <w:tr w14:paraId="717EF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967" w:type="dxa"/>
            <w:gridSpan w:val="7"/>
            <w:tcBorders>
              <w:top w:val="single" w:color="000000" w:sz="4" w:space="0"/>
              <w:left w:val="single" w:color="000000" w:sz="4" w:space="0"/>
              <w:bottom w:val="single" w:color="000000" w:sz="4" w:space="0"/>
              <w:right w:val="single" w:color="000000" w:sz="4" w:space="0"/>
            </w:tcBorders>
            <w:vAlign w:val="center"/>
          </w:tcPr>
          <w:p w14:paraId="12E8367C">
            <w:pPr>
              <w:snapToGrid w:val="0"/>
              <w:spacing w:line="28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一、采购内容及技术要求</w:t>
            </w:r>
          </w:p>
        </w:tc>
      </w:tr>
      <w:tr w14:paraId="7A44E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2F77D0A9">
            <w:pPr>
              <w:snapToGrid w:val="0"/>
              <w:spacing w:line="3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项号</w:t>
            </w:r>
          </w:p>
        </w:tc>
        <w:tc>
          <w:tcPr>
            <w:tcW w:w="1430" w:type="dxa"/>
            <w:tcBorders>
              <w:top w:val="single" w:color="000000" w:sz="4" w:space="0"/>
              <w:left w:val="single" w:color="000000" w:sz="4" w:space="0"/>
              <w:bottom w:val="single" w:color="000000" w:sz="4" w:space="0"/>
              <w:right w:val="single" w:color="000000" w:sz="4" w:space="0"/>
            </w:tcBorders>
            <w:vAlign w:val="center"/>
          </w:tcPr>
          <w:p w14:paraId="228CA40F">
            <w:pPr>
              <w:snapToGrid w:val="0"/>
              <w:spacing w:line="3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标的的名称</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14:paraId="087EA3ED">
            <w:pPr>
              <w:snapToGrid w:val="0"/>
              <w:spacing w:line="3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567" w:type="dxa"/>
            <w:tcBorders>
              <w:top w:val="single" w:color="000000" w:sz="4" w:space="0"/>
              <w:left w:val="single" w:color="000000" w:sz="4" w:space="0"/>
              <w:bottom w:val="single" w:color="000000" w:sz="4" w:space="0"/>
              <w:right w:val="single" w:color="000000" w:sz="4" w:space="0"/>
            </w:tcBorders>
            <w:vAlign w:val="center"/>
          </w:tcPr>
          <w:p w14:paraId="7D6371B8">
            <w:pPr>
              <w:snapToGrid w:val="0"/>
              <w:spacing w:line="3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708" w:type="dxa"/>
            <w:tcBorders>
              <w:top w:val="single" w:color="000000" w:sz="4" w:space="0"/>
              <w:left w:val="single" w:color="000000" w:sz="4" w:space="0"/>
              <w:bottom w:val="single" w:color="000000" w:sz="4" w:space="0"/>
              <w:right w:val="single" w:color="000000" w:sz="4" w:space="0"/>
            </w:tcBorders>
            <w:vAlign w:val="center"/>
          </w:tcPr>
          <w:p w14:paraId="6B0E89A4">
            <w:pPr>
              <w:snapToGrid w:val="0"/>
              <w:spacing w:line="3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所属行业</w:t>
            </w:r>
          </w:p>
        </w:tc>
        <w:tc>
          <w:tcPr>
            <w:tcW w:w="4890" w:type="dxa"/>
            <w:tcBorders>
              <w:top w:val="single" w:color="000000" w:sz="4" w:space="0"/>
              <w:left w:val="single" w:color="000000" w:sz="4" w:space="0"/>
              <w:bottom w:val="single" w:color="000000" w:sz="4" w:space="0"/>
              <w:right w:val="single" w:color="000000" w:sz="4" w:space="0"/>
            </w:tcBorders>
            <w:vAlign w:val="center"/>
          </w:tcPr>
          <w:p w14:paraId="27C344B4">
            <w:pPr>
              <w:snapToGrid w:val="0"/>
              <w:spacing w:line="3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技术要求</w:t>
            </w:r>
          </w:p>
        </w:tc>
      </w:tr>
      <w:tr w14:paraId="7F731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967" w:type="dxa"/>
            <w:gridSpan w:val="7"/>
            <w:tcBorders>
              <w:top w:val="single" w:color="000000" w:sz="4" w:space="0"/>
              <w:left w:val="single" w:color="000000" w:sz="4" w:space="0"/>
              <w:bottom w:val="single" w:color="000000" w:sz="4" w:space="0"/>
              <w:right w:val="single" w:color="000000" w:sz="4" w:space="0"/>
            </w:tcBorders>
            <w:vAlign w:val="center"/>
          </w:tcPr>
          <w:p w14:paraId="4194AB0E">
            <w:pPr>
              <w:snapToGrid w:val="0"/>
              <w:spacing w:line="34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站网设备</w:t>
            </w:r>
          </w:p>
        </w:tc>
      </w:tr>
      <w:tr w14:paraId="452E3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7DEDB279">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30" w:type="dxa"/>
            <w:tcBorders>
              <w:left w:val="single" w:color="000000" w:sz="4" w:space="0"/>
              <w:right w:val="single" w:color="000000" w:sz="4" w:space="0"/>
            </w:tcBorders>
            <w:vAlign w:val="center"/>
          </w:tcPr>
          <w:p w14:paraId="22E4B72E">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走航式 ADCP</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436DA">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2C8D">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08" w:type="dxa"/>
            <w:tcBorders>
              <w:top w:val="single" w:color="000000" w:sz="4" w:space="0"/>
              <w:left w:val="single" w:color="000000" w:sz="4" w:space="0"/>
              <w:bottom w:val="single" w:color="000000" w:sz="4" w:space="0"/>
              <w:right w:val="single" w:color="000000" w:sz="4" w:space="0"/>
            </w:tcBorders>
            <w:vAlign w:val="center"/>
          </w:tcPr>
          <w:p w14:paraId="48BEF184">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4890" w:type="dxa"/>
            <w:tcBorders>
              <w:top w:val="single" w:color="000000" w:sz="4" w:space="0"/>
              <w:left w:val="single" w:color="000000" w:sz="4" w:space="0"/>
              <w:bottom w:val="single" w:color="000000" w:sz="4" w:space="0"/>
              <w:right w:val="single" w:color="000000" w:sz="4" w:space="0"/>
            </w:tcBorders>
            <w:vAlign w:val="center"/>
          </w:tcPr>
          <w:p w14:paraId="60443C0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一、主要技术参数 （达到或优于以下参数或要求）</w:t>
            </w:r>
          </w:p>
          <w:p w14:paraId="34C0BC87">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1.作业模式：宽带/ 脉冲相干/窄带；智能全自动模式/专家模式。</w:t>
            </w:r>
          </w:p>
          <w:p w14:paraId="610D5FE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2.速度范围：±5m/s 默认,±20m/s最大；</w:t>
            </w:r>
          </w:p>
          <w:p w14:paraId="59253174">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3.剖面范围：0.12m～25m。</w:t>
            </w:r>
          </w:p>
          <w:p w14:paraId="02E717BF">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4.准确度：水流相对于ADCP的速度±0.25% ±2mm/s。</w:t>
            </w:r>
          </w:p>
          <w:p w14:paraId="76869D60">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5.分辨率：≤1mm/s。</w:t>
            </w:r>
          </w:p>
          <w:p w14:paraId="2550656A">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6.单元数目：自动选择, 10-30（典型）, 200（最多）。</w:t>
            </w:r>
          </w:p>
          <w:p w14:paraId="184F4F87">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7.单元尺寸：0.02m～5m。</w:t>
            </w:r>
          </w:p>
          <w:p w14:paraId="35AAB47A">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8.数据输出速率：1-2Hz (典型)。</w:t>
            </w:r>
          </w:p>
          <w:p w14:paraId="70DA7C44">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二、底跟踪：</w:t>
            </w:r>
          </w:p>
          <w:p w14:paraId="08DE35A4">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1.作业模式：宽带。</w:t>
            </w:r>
          </w:p>
          <w:p w14:paraId="4FBC8EA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2.速度范围：±9m/s。</w:t>
            </w:r>
          </w:p>
          <w:p w14:paraId="0FB94761">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3.水深范围：0.15m～35m。</w:t>
            </w:r>
          </w:p>
          <w:p w14:paraId="51F41C3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4.准确度：ADCP相对于底的速度±0.25%±2mm/s。</w:t>
            </w:r>
          </w:p>
          <w:p w14:paraId="1CEC65B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5.分辨率：≤1mm/s。</w:t>
            </w:r>
          </w:p>
          <w:p w14:paraId="34070C9A">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三、水深测量：</w:t>
            </w:r>
          </w:p>
          <w:p w14:paraId="0D7B31B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1.范围：0.15m～35m。</w:t>
            </w:r>
          </w:p>
          <w:p w14:paraId="4A2FBF34">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2.准确度：±1%。</w:t>
            </w:r>
          </w:p>
          <w:p w14:paraId="24C719CA">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3.分辨率：≤1mm。</w:t>
            </w:r>
          </w:p>
          <w:p w14:paraId="05352371">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四、垂直波束水深测量。</w:t>
            </w:r>
          </w:p>
          <w:p w14:paraId="629D5D59">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1.范围：≥120m。</w:t>
            </w:r>
          </w:p>
          <w:p w14:paraId="4A12FB1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2.准确度：±1%。</w:t>
            </w:r>
          </w:p>
          <w:p w14:paraId="55389B4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3.分辨率：≤1mm。</w:t>
            </w:r>
          </w:p>
          <w:p w14:paraId="77AA6D93">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五、换能器和硬件。</w:t>
            </w:r>
          </w:p>
          <w:p w14:paraId="603A9EB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1.系统频率：≤1200kHz（垂直换能器≤600KHz）。</w:t>
            </w:r>
          </w:p>
          <w:p w14:paraId="43E84F5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2.配置：4波束活塞式传感器，波束角20°/1个垂直波束传感器。</w:t>
            </w:r>
          </w:p>
          <w:p w14:paraId="42397E0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3.内存：≥16MB。</w:t>
            </w:r>
          </w:p>
          <w:p w14:paraId="32A57557">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4.通讯端口：标配：参考或相当于RS-232,波特率1200～115200；蓝牙,波特率最大115200,≥200m。</w:t>
            </w:r>
          </w:p>
          <w:p w14:paraId="1093626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六、配套三体船</w:t>
            </w:r>
          </w:p>
          <w:p w14:paraId="01339E95">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走航式ADCP配套可折叠无动力高速三体船，要求船体有支持参考或相当于ADCP、北斗、无线电台等设备安装配套使用的孔位、基座、安装支架以及密封防水的线缆连接通道。船体采用低阻力设计，无动力三体船船体要求为耐磨抗碰撞且不老化变质的材质，船体组装支架、紧固件为铝合金或不锈钢材料，配牵引钢丝绳。适应最大流速4米/秒及以上。船体在使用过程中有保护ADCP探头设计，折叠运输过程中不需要拆卸仪器。</w:t>
            </w:r>
          </w:p>
          <w:p w14:paraId="3457695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七、配套电台</w:t>
            </w:r>
          </w:p>
          <w:p w14:paraId="1870CC5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1.无线电台工作频率：800-900MHz；通讯距离不小于1.5公里。</w:t>
            </w:r>
          </w:p>
          <w:p w14:paraId="3A5C824F">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2.电台兼容能力：可连接市场上参考或相当于瑞智、瑞普、M9和国产ADCP等多种ADCP。</w:t>
            </w:r>
          </w:p>
          <w:p w14:paraId="09FFD839">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3.电台供电：具有续航能力，一体化内置锂电池方式，一体化设计内置参考或相当于北斗定位。</w:t>
            </w:r>
          </w:p>
          <w:p w14:paraId="3716B177">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4.从机身到各部分接头都具有水密效果（要求不低于IPX8），掉进水里可浮起</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color w:val="auto"/>
                <w:sz w:val="21"/>
                <w:szCs w:val="21"/>
                <w:highlight w:val="none"/>
              </w:rPr>
              <w:t>。</w:t>
            </w:r>
          </w:p>
          <w:p w14:paraId="7CA2E2E4">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5.无线电台内置锂电池，连续工作时长：≥20h，设备工作功耗：≤4W</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color w:val="auto"/>
                <w:sz w:val="21"/>
                <w:szCs w:val="21"/>
                <w:highlight w:val="none"/>
              </w:rPr>
              <w:t>。</w:t>
            </w:r>
          </w:p>
          <w:p w14:paraId="0FE73BA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bookmarkStart w:id="88" w:name="_Hlk200370121"/>
            <w:r>
              <w:rPr>
                <w:rFonts w:hint="eastAsia" w:ascii="宋体" w:hAnsi="宋体" w:eastAsia="宋体" w:cs="宋体"/>
                <w:color w:val="auto"/>
                <w:sz w:val="21"/>
                <w:szCs w:val="21"/>
                <w:highlight w:val="none"/>
              </w:rPr>
              <w:t>.所竞产品电台获得无线电发射设备型号核准证书</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color w:val="auto"/>
                <w:sz w:val="21"/>
                <w:szCs w:val="21"/>
                <w:highlight w:val="none"/>
              </w:rPr>
              <w:t>。</w:t>
            </w:r>
            <w:bookmarkEnd w:id="88"/>
          </w:p>
          <w:p w14:paraId="34E8C5E5">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八、配套软件</w:t>
            </w:r>
          </w:p>
          <w:p w14:paraId="60FCB390">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1.配置测流操作及后处理软件要求：</w:t>
            </w:r>
          </w:p>
          <w:p w14:paraId="59817F31">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（1）参考或相当于在windows系列系统下运行，软件必须支持中文语言； </w:t>
            </w:r>
          </w:p>
          <w:p w14:paraId="57F95982">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（2）要求多界面显示，可以在一个屏幕上显示航迹、地形、流速剖面、流量分布、流速分层等数据或者图表； </w:t>
            </w:r>
          </w:p>
          <w:p w14:paraId="13EBC0D9">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（3）要求支持文件输出，数据包含流速剖面各层各点的流速大小、方向、角度以及参考或相当于北斗位置等各种断面信息以及断面流量分布数据分析等信息，方便用户绘制大断面图以及流态分布分析； </w:t>
            </w:r>
          </w:p>
          <w:p w14:paraId="5651F88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（4）可以直接输出符合《声学多普勒流量测验规范》（T/CHES 61-2021）、《河流流量测验规范》（GB 50179-2015）等规范要求的流量测验成果记载表和不同垂线不同水深的流速表；支持多格式数据处理，支持 ASCII 码文本文件输出，可用 Excel 打开文件，并直接输出符合测流规范与数据整编格式的流量报表</w:t>
            </w:r>
            <w:r>
              <w:rPr>
                <w:rFonts w:hint="eastAsia" w:ascii="宋体" w:hAnsi="宋体" w:eastAsia="宋体" w:cs="宋体"/>
                <w:b/>
                <w:bCs/>
                <w:color w:val="auto"/>
                <w:sz w:val="21"/>
                <w:szCs w:val="21"/>
                <w:highlight w:val="none"/>
              </w:rPr>
              <w:t>（供应商于</w:t>
            </w:r>
            <w:r>
              <w:rPr>
                <w:rFonts w:hint="eastAsia" w:ascii="宋体" w:hAnsi="宋体" w:eastAsia="宋体" w:cs="宋体"/>
                <w:b/>
                <w:color w:val="auto"/>
                <w:kern w:val="0"/>
                <w:sz w:val="21"/>
                <w:szCs w:val="21"/>
                <w:highlight w:val="none"/>
              </w:rPr>
              <w:t>响应文件中必须提供所竞产品能满足本项技术要求的相关证明材料，相关证明材料可以是该软件功能截图等，并加盖供应商电子签章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21B85FF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2.后处理软件技术参数：</w:t>
            </w:r>
          </w:p>
          <w:p w14:paraId="39471393">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（1）可在参考或相当于windows 系列操作系统上运行，软件支持中文语言；</w:t>
            </w:r>
          </w:p>
          <w:p w14:paraId="76C6BDC0">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（2）具有多界面显示，可以在一个屏幕上显示航迹、地形、流速剖面、流量分布、流速分层等数据或者图表；</w:t>
            </w:r>
          </w:p>
          <w:p w14:paraId="416A564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（3）支持文件输出，数据包含流速剖面各层各点的流速大小、方向、角度等各种断面信息以及断面流量分布数据分析等信息，方便用户绘制大断面图以及流态分布分析；</w:t>
            </w:r>
          </w:p>
          <w:p w14:paraId="277DA303">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（4）后处理软件可以直接输出符合《声学多普勒流量测验规范》（T/CHES 61-2021）、《河流流量测验规范》（GB 50179-2015）等规范要求的流量测验成果记载表；支持多格式数据处理，支持 ASCII 码文本文件输出，可用Excel打开文件，并直接输出符合测流规范的流量报表；</w:t>
            </w:r>
          </w:p>
          <w:p w14:paraId="19E3782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3.配置要求（具体根据采购人需求做配置）</w:t>
            </w:r>
          </w:p>
          <w:p w14:paraId="4685C770">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（1）走航式ADCP主机 1 套：含出厂原装标准配置以及正常工作所必须的所有辅助附件和备品备件，直连线，中英文操作说明光盘等；</w:t>
            </w:r>
          </w:p>
          <w:p w14:paraId="1540E7E9">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（2）外接北斗1套（参考或相当于）、无线蓝牙1个、无线电台1对（每对需配套电池1对）、充电器 1对； </w:t>
            </w:r>
          </w:p>
          <w:p w14:paraId="760D8F69">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（3）高速无动力三体船1艘，含船体、可折叠支架、安装板等，适用于参考或相当于TRDI和SonTek系列ADCP产品；</w:t>
            </w:r>
          </w:p>
          <w:p w14:paraId="0143B113">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（4）软件1套：含测流操作、后处理软件；</w:t>
            </w:r>
          </w:p>
          <w:p w14:paraId="1CECD82F">
            <w:pPr>
              <w:spacing w:line="360" w:lineRule="exact"/>
              <w:rPr>
                <w:rFonts w:hint="eastAsia" w:ascii="宋体" w:hAnsi="宋体" w:eastAsia="宋体" w:cs="宋体"/>
                <w:color w:val="auto"/>
                <w:sz w:val="21"/>
                <w:szCs w:val="21"/>
                <w:highlight w:val="none"/>
              </w:rPr>
            </w:pPr>
            <w:bookmarkStart w:id="89" w:name="OLE_LINK10"/>
            <w:r>
              <w:rPr>
                <w:rFonts w:hint="eastAsia" w:ascii="宋体" w:hAnsi="宋体" w:eastAsia="宋体" w:cs="宋体"/>
                <w:color w:val="auto"/>
                <w:sz w:val="21"/>
                <w:szCs w:val="21"/>
                <w:highlight w:val="none"/>
              </w:rPr>
              <w:t>（5）数据采集终端1套：参考或相当于酷睿I7处理器以上数据采集终端1套。</w:t>
            </w:r>
            <w:bookmarkEnd w:id="89"/>
          </w:p>
        </w:tc>
      </w:tr>
      <w:tr w14:paraId="7B5A7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1840444A">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30" w:type="dxa"/>
            <w:tcBorders>
              <w:left w:val="single" w:color="000000" w:sz="4" w:space="0"/>
              <w:right w:val="single" w:color="000000" w:sz="4" w:space="0"/>
            </w:tcBorders>
            <w:vAlign w:val="center"/>
          </w:tcPr>
          <w:p w14:paraId="74887B6F">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水平ADCP</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44623">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8D72">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08" w:type="dxa"/>
            <w:tcBorders>
              <w:top w:val="single" w:color="000000" w:sz="4" w:space="0"/>
              <w:left w:val="single" w:color="000000" w:sz="4" w:space="0"/>
              <w:bottom w:val="single" w:color="000000" w:sz="4" w:space="0"/>
              <w:right w:val="single" w:color="000000" w:sz="4" w:space="0"/>
            </w:tcBorders>
            <w:vAlign w:val="center"/>
          </w:tcPr>
          <w:p w14:paraId="34C63B5C">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4890" w:type="dxa"/>
            <w:tcBorders>
              <w:top w:val="single" w:color="000000" w:sz="4" w:space="0"/>
              <w:left w:val="single" w:color="000000" w:sz="4" w:space="0"/>
              <w:bottom w:val="single" w:color="000000" w:sz="4" w:space="0"/>
              <w:right w:val="single" w:color="000000" w:sz="4" w:space="0"/>
            </w:tcBorders>
            <w:vAlign w:val="center"/>
          </w:tcPr>
          <w:p w14:paraId="33E0164F">
            <w:pPr>
              <w:widowControl/>
              <w:spacing w:line="360" w:lineRule="exact"/>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一、声学多普勒流速仪主机</w:t>
            </w:r>
          </w:p>
          <w:p w14:paraId="36C49F07">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1.测量原理：声学多普勒原理。</w:t>
            </w:r>
          </w:p>
          <w:p w14:paraId="3015B094">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2.工作频率：≤600KHz。</w:t>
            </w:r>
          </w:p>
          <w:p w14:paraId="4B23D9DC">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3.水平声束波束宽：≤1.5º。</w:t>
            </w:r>
          </w:p>
          <w:p w14:paraId="39699A53">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4.最多单元个数：≥200个。</w:t>
            </w:r>
          </w:p>
          <w:p w14:paraId="23522DFB">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5.剖面测量范围：≥90m。</w:t>
            </w:r>
          </w:p>
          <w:p w14:paraId="22BAC922">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6.流速量程：≥±5m/s。 </w:t>
            </w:r>
          </w:p>
          <w:p w14:paraId="72C2D3BF">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7.流速测量精度：读数的±0.5%或±2mm/s。 </w:t>
            </w:r>
          </w:p>
          <w:p w14:paraId="374241A5">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8.流速分辨率：1mm/s。</w:t>
            </w:r>
          </w:p>
          <w:p w14:paraId="03DD2924">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9.通讯：支持RS-232或RS422。</w:t>
            </w:r>
          </w:p>
          <w:p w14:paraId="56800785">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10.水位测量范围：0.1～10m。</w:t>
            </w:r>
          </w:p>
          <w:p w14:paraId="08AD5110">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11.水位测量精度：±0.1%，±3mm。</w:t>
            </w:r>
          </w:p>
          <w:p w14:paraId="7C0B7AD2">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12.水位分辨率：0.1mm。</w:t>
            </w:r>
          </w:p>
          <w:p w14:paraId="5F73CA57">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13.外壳防护等级≥IP68</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b/>
                <w:color w:val="auto"/>
                <w:sz w:val="21"/>
                <w:szCs w:val="21"/>
                <w:highlight w:val="none"/>
              </w:rPr>
              <w:t>。</w:t>
            </w:r>
          </w:p>
          <w:p w14:paraId="782655C7">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14.与标准式转子式流速仪现场比测，比测误差小于5%</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b/>
                <w:color w:val="auto"/>
                <w:sz w:val="21"/>
                <w:szCs w:val="21"/>
                <w:highlight w:val="none"/>
              </w:rPr>
              <w:t>。</w:t>
            </w:r>
          </w:p>
          <w:p w14:paraId="71B59BE4">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15.基本功能:样品配套系统具有设定、校对、断电保护、来电恢复、故障报警功能,以及时间、参数显示功能，包括年、月、日和时、分以及测量值</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二、遥测终端机（RTU）</w:t>
            </w:r>
          </w:p>
          <w:p w14:paraId="5F2A698B">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1.要求遥测终端机集采集与传输功能于一体，实现水文/水资源数据的采集、存储、显示、控制、报警及传输等综合功能。</w:t>
            </w:r>
          </w:p>
          <w:p w14:paraId="791FF31A">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2.须满足《水文监测数据通信规约》（SL651-2014）、《水资源监测数据传输规约》（SL/T 427-2021）规约符合性测试以及《水文自动测报系统设备 遥测终端机》（SL180-2015）标准</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color w:val="auto"/>
                <w:kern w:val="0"/>
                <w:sz w:val="21"/>
                <w:szCs w:val="21"/>
                <w:highlight w:val="none"/>
              </w:rPr>
              <w:t>。</w:t>
            </w:r>
          </w:p>
          <w:p w14:paraId="59BE2514">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3.采用宽温设计，耐高低温，耐强电磁干扰。适用于各种恶劣的现场。采用完备的系统保护机制和防掉线机制，保证终端永远在线。</w:t>
            </w:r>
          </w:p>
          <w:p w14:paraId="6EA15B30">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接口要求：提供包含但不限于3路RS232通讯接口、2路RS485通讯接口、1路RS422通讯接口、2路翻斗式雨量脉冲输入接口、2路模拟量输入接口、2路继电器输出接口(最大3A)、1路继电器输出接口(最大8A)、1路蓄电池输入接口(最大10A)、1路太阳能输入接口(最大10A)等。 </w:t>
            </w:r>
          </w:p>
          <w:p w14:paraId="3F3421FF">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5.大容量数据存储空间：提供SD数据卡接口，最大可支持≥256G的数据卡接入。 </w:t>
            </w:r>
          </w:p>
          <w:p w14:paraId="4E08FA4B">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6.多种通信方式：GPRS/CDMA/3G/4G为主传输通道；可选北斗卫星（参考或相当于）、超短波等通信方式。</w:t>
            </w:r>
          </w:p>
          <w:p w14:paraId="4976F419">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7.低功耗设计：支持多种工作模式，最大限度降低功耗。</w:t>
            </w:r>
          </w:p>
          <w:p w14:paraId="737F4FA6">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8.本地配置方式：支持≥4.3英寸触摸屏和蓝牙连接配置方式。</w:t>
            </w:r>
          </w:p>
          <w:p w14:paraId="761F9B12">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9.远程管理功能：支持远程程序升级。</w:t>
            </w:r>
          </w:p>
          <w:p w14:paraId="358D06D6">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10.供电范围：DC9～24V（标准电源：12VDC）。</w:t>
            </w:r>
          </w:p>
          <w:p w14:paraId="7E4C1EF9">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11.最大充电电压：18VDC。</w:t>
            </w:r>
          </w:p>
          <w:p w14:paraId="494D317D">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12.最大充电电流：10A。</w:t>
            </w:r>
          </w:p>
          <w:p w14:paraId="31706C24">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13.最大充电功率：≥180W。</w:t>
            </w:r>
          </w:p>
          <w:p w14:paraId="40F171DA">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14.温度：工作温度：-35～+75℃；储存温度：-40～+85℃。</w:t>
            </w:r>
          </w:p>
          <w:p w14:paraId="09A98AB2">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15.电源稳定性误差率：≤0.05%</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b/>
                <w:color w:val="auto"/>
                <w:sz w:val="21"/>
                <w:szCs w:val="21"/>
                <w:highlight w:val="none"/>
              </w:rPr>
              <w:t>。</w:t>
            </w:r>
          </w:p>
          <w:p w14:paraId="483A819D">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16.防护等级≥IP68</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b/>
                <w:color w:val="auto"/>
                <w:sz w:val="21"/>
                <w:szCs w:val="21"/>
                <w:highlight w:val="none"/>
              </w:rPr>
              <w:t>。</w:t>
            </w:r>
          </w:p>
          <w:p w14:paraId="078B51A9">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17.RTU设备支持一站多发，支持不少于3个中心站通信方式。</w:t>
            </w:r>
          </w:p>
          <w:p w14:paraId="06C869E9">
            <w:pPr>
              <w:widowControl/>
              <w:spacing w:line="360" w:lineRule="exact"/>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三、配套软件</w:t>
            </w:r>
          </w:p>
          <w:p w14:paraId="5193B4E2">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1.配套调试软件，具有串口参数设定，用户参数设定、流量设定、断面设定等功能，通过直连设备可以测试不同距离的流速以及回波强度情况</w:t>
            </w:r>
            <w:r>
              <w:rPr>
                <w:rFonts w:hint="eastAsia" w:ascii="宋体" w:hAnsi="宋体" w:eastAsia="宋体" w:cs="宋体"/>
                <w:b/>
                <w:bCs/>
                <w:color w:val="auto"/>
                <w:sz w:val="21"/>
                <w:szCs w:val="21"/>
                <w:highlight w:val="none"/>
              </w:rPr>
              <w:t>（供应商于</w:t>
            </w:r>
            <w:r>
              <w:rPr>
                <w:rFonts w:hint="eastAsia" w:ascii="宋体" w:hAnsi="宋体" w:eastAsia="宋体" w:cs="宋体"/>
                <w:b/>
                <w:color w:val="auto"/>
                <w:kern w:val="0"/>
                <w:sz w:val="21"/>
                <w:szCs w:val="21"/>
                <w:highlight w:val="none"/>
              </w:rPr>
              <w:t>响应文件中必须提供所竞产品能满足该项技术要求的相关证明材料，相关证明材料可以是该软件功能截图等，并加盖供应商电子签章</w:t>
            </w:r>
            <w:r>
              <w:rPr>
                <w:rFonts w:hint="eastAsia" w:ascii="宋体" w:hAnsi="宋体" w:eastAsia="宋体" w:cs="宋体"/>
                <w:b/>
                <w:bCs/>
                <w:color w:val="auto"/>
                <w:sz w:val="21"/>
                <w:szCs w:val="21"/>
                <w:highlight w:val="none"/>
              </w:rPr>
              <w:t>）。</w:t>
            </w:r>
          </w:p>
          <w:p w14:paraId="2A8F2682">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2.具有信息报警等功能（要求能对数据的准确性和及时性作为实时判定，发现数据异常或来数不及时，能及时提醒相关人员作好检查和设备的维护工作），通知方式包括网页显示、短信通知、邮件通知等。</w:t>
            </w:r>
          </w:p>
          <w:p w14:paraId="50C50BFD">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要求能采集20至128个剖面层X轴方向流速、Y轴方向流速、pitch、roll、垂直波束水位、压力水位、仪器供电电压、温度、标准差、数据采集器状态、电压等数据，同时可以采集至少20组单元数据，每组单元数据包含VX,VY,AMPX,AMPY,STE X,STE Y等六种数据</w:t>
            </w:r>
            <w:r>
              <w:rPr>
                <w:rFonts w:hint="eastAsia" w:ascii="宋体" w:hAnsi="宋体" w:eastAsia="宋体" w:cs="宋体"/>
                <w:b/>
                <w:bCs/>
                <w:color w:val="auto"/>
                <w:sz w:val="21"/>
                <w:szCs w:val="21"/>
                <w:highlight w:val="none"/>
              </w:rPr>
              <w:t>（供应商于</w:t>
            </w:r>
            <w:r>
              <w:rPr>
                <w:rFonts w:hint="eastAsia" w:ascii="宋体" w:hAnsi="宋体" w:eastAsia="宋体" w:cs="宋体"/>
                <w:b/>
                <w:color w:val="auto"/>
                <w:kern w:val="0"/>
                <w:sz w:val="21"/>
                <w:szCs w:val="21"/>
                <w:highlight w:val="none"/>
              </w:rPr>
              <w:t>响应文件中必须提供所竞产品能满足该项技术要求的相关证明材料，相关证明材料可以是该软件功能截图等，并加盖供应商电子签章</w:t>
            </w:r>
            <w:r>
              <w:rPr>
                <w:rFonts w:hint="eastAsia" w:ascii="宋体" w:hAnsi="宋体" w:eastAsia="宋体" w:cs="宋体"/>
                <w:b/>
                <w:bCs/>
                <w:color w:val="auto"/>
                <w:sz w:val="21"/>
                <w:szCs w:val="21"/>
                <w:highlight w:val="none"/>
              </w:rPr>
              <w:t>）</w:t>
            </w:r>
            <w:r>
              <w:rPr>
                <w:rFonts w:hint="eastAsia" w:ascii="宋体" w:hAnsi="宋体" w:eastAsia="宋体" w:cs="宋体"/>
                <w:color w:val="auto"/>
                <w:kern w:val="0"/>
                <w:sz w:val="21"/>
                <w:szCs w:val="21"/>
                <w:highlight w:val="none"/>
              </w:rPr>
              <w:t>。</w:t>
            </w:r>
          </w:p>
          <w:p w14:paraId="3269BCAE">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4.支持多大断面图录入功能，可支持无限个大断面数据，并根据时间编号</w:t>
            </w:r>
            <w:r>
              <w:rPr>
                <w:rFonts w:hint="eastAsia" w:ascii="宋体" w:hAnsi="宋体" w:eastAsia="宋体" w:cs="宋体"/>
                <w:b/>
                <w:bCs/>
                <w:color w:val="auto"/>
                <w:sz w:val="21"/>
                <w:szCs w:val="21"/>
                <w:highlight w:val="none"/>
              </w:rPr>
              <w:t>（供应商于</w:t>
            </w:r>
            <w:r>
              <w:rPr>
                <w:rFonts w:hint="eastAsia" w:ascii="宋体" w:hAnsi="宋体" w:eastAsia="宋体" w:cs="宋体"/>
                <w:b/>
                <w:color w:val="auto"/>
                <w:kern w:val="0"/>
                <w:sz w:val="21"/>
                <w:szCs w:val="21"/>
                <w:highlight w:val="none"/>
              </w:rPr>
              <w:t>响应文件中必须提供所竞产品能满足该项技术要求的相关证明材料，相关证明材料可以是该软件功能截图等，并加盖供应商电子签章</w:t>
            </w:r>
            <w:r>
              <w:rPr>
                <w:rFonts w:hint="eastAsia" w:ascii="宋体" w:hAnsi="宋体" w:eastAsia="宋体" w:cs="宋体"/>
                <w:b/>
                <w:bCs/>
                <w:color w:val="auto"/>
                <w:sz w:val="21"/>
                <w:szCs w:val="21"/>
                <w:highlight w:val="none"/>
              </w:rPr>
              <w:t>）</w:t>
            </w:r>
            <w:r>
              <w:rPr>
                <w:rFonts w:hint="eastAsia" w:ascii="宋体" w:hAnsi="宋体" w:eastAsia="宋体" w:cs="宋体"/>
                <w:color w:val="auto"/>
                <w:kern w:val="0"/>
                <w:sz w:val="21"/>
                <w:szCs w:val="21"/>
                <w:highlight w:val="none"/>
              </w:rPr>
              <w:t>。</w:t>
            </w:r>
          </w:p>
          <w:p w14:paraId="1D783BE6">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5.内置至少三种以上流速率定模型，可直接计算指标流速为断面平均流速，最后可以直接根据H-ADCP传感器采集到的实时水位、剖面流速以及断面图数据和各种率定公式直接核算输出日期、时间、断面平均流速、过水面积、流量。 </w:t>
            </w:r>
          </w:p>
          <w:p w14:paraId="289EB47B">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6.可进行仪器运行参数设置、测流控制、数据采集、存储、查询、统计、分析、绘图、制表、流量率定关系式录入。</w:t>
            </w:r>
          </w:p>
          <w:p w14:paraId="6B7EA8EC">
            <w:pPr>
              <w:widowControl/>
              <w:spacing w:line="360" w:lineRule="exact"/>
              <w:jc w:val="left"/>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7.可以导出各种符合水文规范要求的《水位月报表》、《流量月报表》、《日平均水位表》、《日平均流量表》等符合水文规范要求的报表</w:t>
            </w:r>
            <w:r>
              <w:rPr>
                <w:rFonts w:hint="eastAsia" w:ascii="宋体" w:hAnsi="宋体" w:eastAsia="宋体" w:cs="宋体"/>
                <w:b/>
                <w:bCs/>
                <w:color w:val="auto"/>
                <w:sz w:val="21"/>
                <w:szCs w:val="21"/>
                <w:highlight w:val="none"/>
              </w:rPr>
              <w:t>（供应商于</w:t>
            </w:r>
            <w:r>
              <w:rPr>
                <w:rFonts w:hint="eastAsia" w:ascii="宋体" w:hAnsi="宋体" w:eastAsia="宋体" w:cs="宋体"/>
                <w:b/>
                <w:color w:val="auto"/>
                <w:kern w:val="0"/>
                <w:sz w:val="21"/>
                <w:szCs w:val="21"/>
                <w:highlight w:val="none"/>
              </w:rPr>
              <w:t>响应文件中必须提供所竞产品能满足该项技术要求的相关证明材料，相关证明材料可以是该软件功能截图等，并加盖供应商电子签章</w:t>
            </w:r>
            <w:r>
              <w:rPr>
                <w:rFonts w:hint="eastAsia" w:ascii="宋体" w:hAnsi="宋体" w:eastAsia="宋体" w:cs="宋体"/>
                <w:b/>
                <w:bCs/>
                <w:color w:val="auto"/>
                <w:sz w:val="21"/>
                <w:szCs w:val="21"/>
                <w:highlight w:val="none"/>
              </w:rPr>
              <w:t>）。</w:t>
            </w:r>
          </w:p>
          <w:p w14:paraId="7523688E">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8.与采购人现有的南方片整编软件兼容接驳, 提供满足采购人现有的南方片资料整编软件要求的中间数据（水位数据、流量数据、降水数据、蒸发数据等），支持 ASCII 码的文本文件、Excel 等格式的输出</w:t>
            </w:r>
            <w:r>
              <w:rPr>
                <w:rFonts w:hint="eastAsia" w:ascii="宋体" w:hAnsi="宋体" w:eastAsia="宋体" w:cs="宋体"/>
                <w:b/>
                <w:bCs/>
                <w:color w:val="auto"/>
                <w:sz w:val="21"/>
                <w:szCs w:val="21"/>
                <w:highlight w:val="none"/>
              </w:rPr>
              <w:t>（供应商于</w:t>
            </w:r>
            <w:r>
              <w:rPr>
                <w:rFonts w:hint="eastAsia" w:ascii="宋体" w:hAnsi="宋体" w:eastAsia="宋体" w:cs="宋体"/>
                <w:b/>
                <w:color w:val="auto"/>
                <w:kern w:val="0"/>
                <w:sz w:val="21"/>
                <w:szCs w:val="21"/>
                <w:highlight w:val="none"/>
              </w:rPr>
              <w:t>响应文件中必须提供所竞产品能满足该项技术要求的相关证明材料，相关证明材料可以是该软件功能截图等，并加盖供应商电子签章</w:t>
            </w:r>
            <w:r>
              <w:rPr>
                <w:rFonts w:hint="eastAsia" w:ascii="宋体" w:hAnsi="宋体" w:eastAsia="宋体" w:cs="宋体"/>
                <w:b/>
                <w:bCs/>
                <w:color w:val="auto"/>
                <w:sz w:val="21"/>
                <w:szCs w:val="21"/>
                <w:highlight w:val="none"/>
              </w:rPr>
              <w:t>）</w:t>
            </w:r>
            <w:r>
              <w:rPr>
                <w:rFonts w:hint="eastAsia" w:ascii="宋体" w:hAnsi="宋体" w:eastAsia="宋体" w:cs="宋体"/>
                <w:color w:val="auto"/>
                <w:kern w:val="0"/>
                <w:sz w:val="21"/>
                <w:szCs w:val="21"/>
                <w:highlight w:val="none"/>
              </w:rPr>
              <w:t>。</w:t>
            </w:r>
          </w:p>
          <w:p w14:paraId="6A6F157B">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9.支持移动终端查询和修改数据，现场获取到数据后，可直接将数据上传至平台。</w:t>
            </w:r>
          </w:p>
          <w:p w14:paraId="4298004D">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10.支持引入外部的水位数据参与H-ADCP的流量计算。</w:t>
            </w:r>
          </w:p>
          <w:p w14:paraId="5C506409">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11.能生成并显示时段数据，处理后生成的日数据、周数据和月数据应包含平均值、最大值、最大值出现时间、最小值、最小值出现时间等信息。</w:t>
            </w:r>
          </w:p>
          <w:p w14:paraId="131A93D9">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12.能够提供单站或多站逐时水位、流量过程图及逐日平均水位和流量数据表。</w:t>
            </w:r>
          </w:p>
          <w:p w14:paraId="7DA6B8DB">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13.平台具有自动率定功能，导入实测流量成果表后可以自动对在线数据进行比测率定，生成关系式以及导出相关三线检定表等</w:t>
            </w:r>
            <w:r>
              <w:rPr>
                <w:rFonts w:hint="eastAsia" w:ascii="宋体" w:hAnsi="宋体" w:eastAsia="宋体" w:cs="宋体"/>
                <w:b/>
                <w:bCs/>
                <w:color w:val="auto"/>
                <w:sz w:val="21"/>
                <w:szCs w:val="21"/>
                <w:highlight w:val="none"/>
              </w:rPr>
              <w:t>（供应商于</w:t>
            </w:r>
            <w:r>
              <w:rPr>
                <w:rFonts w:hint="eastAsia" w:ascii="宋体" w:hAnsi="宋体" w:eastAsia="宋体" w:cs="宋体"/>
                <w:b/>
                <w:color w:val="auto"/>
                <w:kern w:val="0"/>
                <w:sz w:val="21"/>
                <w:szCs w:val="21"/>
                <w:highlight w:val="none"/>
              </w:rPr>
              <w:t>响应文件中必须提供所竞产品能满足该项技术要求的相关证明材料，相关证明材料可以是该软件功能截图等，并加盖供应商电子签章</w:t>
            </w:r>
            <w:r>
              <w:rPr>
                <w:rFonts w:hint="eastAsia" w:ascii="宋体" w:hAnsi="宋体" w:eastAsia="宋体" w:cs="宋体"/>
                <w:b/>
                <w:bCs/>
                <w:color w:val="auto"/>
                <w:sz w:val="21"/>
                <w:szCs w:val="21"/>
                <w:highlight w:val="none"/>
              </w:rPr>
              <w:t>）。</w:t>
            </w:r>
          </w:p>
          <w:p w14:paraId="000E9F46">
            <w:pPr>
              <w:widowControl/>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bookmarkStart w:id="90" w:name="OLE_LINK4"/>
            <w:bookmarkStart w:id="91" w:name="OLE_LINK5"/>
            <w:r>
              <w:rPr>
                <w:rFonts w:hint="eastAsia" w:ascii="宋体" w:hAnsi="宋体" w:eastAsia="宋体" w:cs="宋体"/>
                <w:color w:val="auto"/>
                <w:kern w:val="0"/>
                <w:sz w:val="21"/>
                <w:szCs w:val="21"/>
                <w:highlight w:val="none"/>
              </w:rPr>
              <w:t>.提供参考或相当于酷睿I7处理器以上数据采集终端1套</w:t>
            </w:r>
            <w:bookmarkEnd w:id="90"/>
            <w:bookmarkEnd w:id="91"/>
            <w:r>
              <w:rPr>
                <w:rFonts w:hint="eastAsia" w:ascii="宋体" w:hAnsi="宋体" w:eastAsia="宋体" w:cs="宋体"/>
                <w:color w:val="auto"/>
                <w:kern w:val="0"/>
                <w:sz w:val="21"/>
                <w:szCs w:val="21"/>
                <w:highlight w:val="none"/>
              </w:rPr>
              <w:t>。</w:t>
            </w:r>
          </w:p>
          <w:p w14:paraId="4C0101B1">
            <w:pPr>
              <w:widowControl/>
              <w:spacing w:line="360" w:lineRule="exact"/>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四、配置清单</w:t>
            </w:r>
          </w:p>
          <w:p w14:paraId="5DAAC528">
            <w:pPr>
              <w:widowControl/>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声学多普勒流速仪主机1台（含与主机配套所需的电缆线1批及安装支架</w:t>
            </w:r>
            <w:r>
              <w:rPr>
                <w:rFonts w:hint="eastAsia" w:ascii="宋体" w:hAnsi="宋体" w:eastAsia="宋体" w:cs="宋体"/>
                <w:color w:val="auto"/>
                <w:sz w:val="21"/>
                <w:szCs w:val="21"/>
                <w:highlight w:val="none"/>
              </w:rPr>
              <w:t>1套</w:t>
            </w:r>
            <w:r>
              <w:rPr>
                <w:rFonts w:hint="eastAsia" w:ascii="宋体" w:hAnsi="宋体" w:eastAsia="宋体" w:cs="宋体"/>
                <w:color w:val="auto"/>
                <w:kern w:val="0"/>
                <w:sz w:val="21"/>
                <w:szCs w:val="21"/>
                <w:highlight w:val="none"/>
              </w:rPr>
              <w:t>）、遥测终端机（含太阳能板、蓄电池组等）1套、数据监控管理软件1套、参考或相当于酷睿I7处理器数据采集终端1套。</w:t>
            </w:r>
          </w:p>
        </w:tc>
      </w:tr>
      <w:tr w14:paraId="70503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59DC0CE7">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30" w:type="dxa"/>
            <w:tcBorders>
              <w:left w:val="single" w:color="000000" w:sz="4" w:space="0"/>
              <w:right w:val="single" w:color="000000" w:sz="4" w:space="0"/>
            </w:tcBorders>
            <w:vAlign w:val="center"/>
          </w:tcPr>
          <w:p w14:paraId="69E7DB3F">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视频测流系统</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2FE36">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6742">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08" w:type="dxa"/>
            <w:tcBorders>
              <w:top w:val="single" w:color="000000" w:sz="4" w:space="0"/>
              <w:left w:val="single" w:color="000000" w:sz="4" w:space="0"/>
              <w:bottom w:val="single" w:color="000000" w:sz="4" w:space="0"/>
              <w:right w:val="single" w:color="000000" w:sz="4" w:space="0"/>
            </w:tcBorders>
            <w:vAlign w:val="center"/>
          </w:tcPr>
          <w:p w14:paraId="6FD942BD">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4890" w:type="dxa"/>
            <w:tcBorders>
              <w:top w:val="single" w:color="000000" w:sz="4" w:space="0"/>
              <w:left w:val="single" w:color="000000" w:sz="4" w:space="0"/>
              <w:bottom w:val="single" w:color="000000" w:sz="4" w:space="0"/>
              <w:right w:val="single" w:color="000000" w:sz="4" w:space="0"/>
            </w:tcBorders>
            <w:vAlign w:val="center"/>
          </w:tcPr>
          <w:p w14:paraId="7CE23EE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一、主要技术参数</w:t>
            </w:r>
          </w:p>
          <w:p w14:paraId="0E94E417">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1.具有≥1个电源接口、≥1个RJ45、≥1个RS485、≥1个CVBS、≥1个MicroSD卡槽（最大支持≥512GB存储卡）；≥1对音频输入/输出接口；支持7路报警输入、2路报警输出。</w:t>
            </w:r>
          </w:p>
          <w:p w14:paraId="00FEFFA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2.支持最大抓拍分辨率为≥2560×1440。</w:t>
            </w:r>
          </w:p>
          <w:p w14:paraId="51A367F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3.图像传感器≥1/1.8英寸。</w:t>
            </w:r>
          </w:p>
          <w:p w14:paraId="04D83997">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4.云台定位准确度≥0.1°。</w:t>
            </w:r>
          </w:p>
          <w:p w14:paraId="7626000A">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5.能设置多个监测区域，并获取不同起点距（以设备所处的断面为起始位置，沿着断面方向距离样机任意位置处的距离）的表面流速数据</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color w:val="auto"/>
                <w:sz w:val="21"/>
                <w:szCs w:val="21"/>
                <w:highlight w:val="none"/>
              </w:rPr>
              <w:t>。</w:t>
            </w:r>
          </w:p>
          <w:p w14:paraId="2ADC6397">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6.设备能在监测过程，通过平台或客户端手动控制设备云台转动及变倍，应急查看设备可视范围内相关实时视频后，设备可自动恢复原监测功能</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color w:val="auto"/>
                <w:sz w:val="21"/>
                <w:szCs w:val="21"/>
                <w:highlight w:val="none"/>
              </w:rPr>
              <w:t>。</w:t>
            </w:r>
          </w:p>
          <w:p w14:paraId="63E55751">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有漂浮物和无漂浮物流速监测模式，可以自适应和手动设置，支持获取水流表面流速，最大监测宽度≥100m；应支持水流流速监测量程0.2m/s-15m/s，支持获取水流流速精确到小数点后三位。对于不同起点距的水流表面流速进行测量（采用无漂浮物模式），将其数据与水文中心在相同时间测量的水流表面流速数据进行对比，测量误差应≤10%</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color w:val="auto"/>
                <w:sz w:val="21"/>
                <w:szCs w:val="21"/>
                <w:highlight w:val="none"/>
              </w:rPr>
              <w:t>。</w:t>
            </w:r>
          </w:p>
          <w:p w14:paraId="7053B8D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8.支持配置测流间隔时间和测流周期。</w:t>
            </w:r>
          </w:p>
          <w:p w14:paraId="56E7A21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9.支持显示垂线断面处实时流量数据，支持自动计算河道累计流量数据。</w:t>
            </w:r>
          </w:p>
          <w:p w14:paraId="0F433CC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10.支持显示测流测量开始时间、结束时间。</w:t>
            </w:r>
          </w:p>
          <w:p w14:paraId="217F7D01">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11.支持根据不同起点距和不同水深设置不同的流速系数。</w:t>
            </w:r>
          </w:p>
          <w:p w14:paraId="32EB599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12.支持对河道断面进行配置，可配置矩形、梯形或不规则河道断面。</w:t>
            </w:r>
          </w:p>
          <w:p w14:paraId="09D9DC77">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13.支持接入指定型号的太阳能控制器，应能将电池电压、电池剩余电量和欠压告警数据上报给水利平台。</w:t>
            </w:r>
          </w:p>
          <w:p w14:paraId="05EB8173">
            <w:pPr>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二、视频水位识别模块</w:t>
            </w:r>
          </w:p>
          <w:p w14:paraId="36D1BF71">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1.支持最大抓拍分辨率不小于2560×1440。</w:t>
            </w:r>
          </w:p>
          <w:p w14:paraId="27AA2167">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2.具有≥1个电源接口、≥1个RJ45、≥1个RS485、≥1个BNC、≥1个Micro SD卡槽（最大支持≥512GB存储卡）；≥1对音频输入/输出接口；支持不少于7路报警输入、2路报警输出</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b/>
                <w:color w:val="auto"/>
                <w:sz w:val="21"/>
                <w:szCs w:val="21"/>
                <w:highlight w:val="none"/>
              </w:rPr>
              <w:t>。</w:t>
            </w:r>
          </w:p>
          <w:p w14:paraId="44D02D9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3.具有H.265、H.264 ( Main Profile，High Profile ，Baseline Profile）、M-JPEG设置选项（参考或相当于）。</w:t>
            </w:r>
          </w:p>
          <w:p w14:paraId="01726E33">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4.≥1/1.8英寸。</w:t>
            </w:r>
            <w:r>
              <w:rPr>
                <w:rFonts w:hint="eastAsia" w:ascii="宋体" w:hAnsi="宋体" w:eastAsia="宋体" w:cs="宋体"/>
                <w:color w:val="auto"/>
                <w:sz w:val="21"/>
                <w:szCs w:val="21"/>
                <w:highlight w:val="none"/>
              </w:rPr>
              <w:tab/>
            </w:r>
          </w:p>
          <w:p w14:paraId="1DFA5AA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5.宽动态≥100dB。</w:t>
            </w:r>
          </w:p>
          <w:p w14:paraId="2875182F">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6.垂直手控最大速度≥120°/s</w:t>
            </w:r>
            <w:r>
              <w:rPr>
                <w:rFonts w:hint="eastAsia" w:ascii="宋体" w:hAnsi="宋体" w:eastAsia="宋体" w:cs="宋体"/>
                <w:color w:val="auto"/>
                <w:sz w:val="21"/>
                <w:szCs w:val="21"/>
                <w:highlight w:val="none"/>
              </w:rPr>
              <w:tab/>
            </w:r>
          </w:p>
          <w:p w14:paraId="2F2D7BAF">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7.内置扬声器，可播放预录音频，支持远程喊话功能。</w:t>
            </w:r>
            <w:r>
              <w:rPr>
                <w:rFonts w:hint="eastAsia" w:ascii="宋体" w:hAnsi="宋体" w:eastAsia="宋体" w:cs="宋体"/>
                <w:color w:val="auto"/>
                <w:sz w:val="21"/>
                <w:szCs w:val="21"/>
                <w:highlight w:val="none"/>
              </w:rPr>
              <w:tab/>
            </w:r>
          </w:p>
          <w:p w14:paraId="7EEEB80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8.同一静止场景相同图像质量下，设备在 H.264 或 H.265 编码码率为4Mbps时，开启智能编码功能和不开启智能编码相比，码率可降低至少90%</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color w:val="auto"/>
                <w:sz w:val="21"/>
                <w:szCs w:val="21"/>
                <w:highlight w:val="none"/>
              </w:rPr>
              <w:t>。</w:t>
            </w:r>
          </w:p>
          <w:p w14:paraId="2717101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9.可设置定时抓拍或报警联动抓拍图片，并上传到FTP服务器上；抓图的时间间隔和报警联动抓拍图片数量可设</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color w:val="auto"/>
                <w:sz w:val="21"/>
                <w:szCs w:val="21"/>
                <w:highlight w:val="none"/>
              </w:rPr>
              <w:t>。</w:t>
            </w:r>
          </w:p>
          <w:p w14:paraId="3AD12A4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10.支持水位监测功能；开启水位监测后，当监测水位超过设定值时可以联动报警输出</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ab/>
            </w:r>
          </w:p>
          <w:p w14:paraId="054FE387">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11.支持对特制水尺、桩式水尺、斜式水尺、方块水尺自动识别水位读数的功能（水尺规格均为1m）</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b/>
                <w:color w:val="auto"/>
                <w:sz w:val="21"/>
                <w:szCs w:val="21"/>
                <w:highlight w:val="none"/>
              </w:rPr>
              <w:t>。</w:t>
            </w:r>
          </w:p>
          <w:p w14:paraId="64D85D93">
            <w:pPr>
              <w:spacing w:line="36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12.白天：特制水尺、桩式水尺、方块水尺最远识别距离应不小于100米，识别水尺误差范围≤2cm</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b/>
                <w:color w:val="auto"/>
                <w:sz w:val="21"/>
                <w:szCs w:val="21"/>
                <w:highlight w:val="none"/>
              </w:rPr>
              <w:t>。</w:t>
            </w:r>
          </w:p>
          <w:p w14:paraId="5B8ABEB2">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13.夜晚：特制水尺、桩式水尺、方块水尺最远识别距离应不小于95米，识别水尺误差范围应≤2cm</w:t>
            </w:r>
            <w:r>
              <w:rPr>
                <w:rFonts w:hint="eastAsia" w:ascii="宋体" w:hAnsi="宋体" w:eastAsia="宋体" w:cs="宋体"/>
                <w:b/>
                <w:bCs/>
                <w:color w:val="auto"/>
                <w:sz w:val="21"/>
                <w:szCs w:val="21"/>
                <w:highlight w:val="none"/>
              </w:rPr>
              <w:t>（供应商于响应文件必须提供所竞本项号标的由国家认可的第三方检测机构出具的满足本项号技术参数的检测报告复印件佐证，并加盖供应商电子签章）</w:t>
            </w:r>
            <w:r>
              <w:rPr>
                <w:rFonts w:hint="eastAsia" w:ascii="宋体" w:hAnsi="宋体" w:eastAsia="宋体" w:cs="宋体"/>
                <w:b/>
                <w:color w:val="auto"/>
                <w:sz w:val="21"/>
                <w:szCs w:val="21"/>
                <w:highlight w:val="none"/>
              </w:rPr>
              <w:t>。</w:t>
            </w:r>
          </w:p>
          <w:p w14:paraId="74C29AE3">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14.支持不少于3种预设报警语音功能；支持不少于2种自定义报警音功能；可通过IE浏览器（参考或相当于）、手机APP、NVR等设置自定义报警语音并上传。</w:t>
            </w:r>
            <w:r>
              <w:rPr>
                <w:rFonts w:hint="eastAsia" w:ascii="宋体" w:hAnsi="宋体" w:eastAsia="宋体" w:cs="宋体"/>
                <w:color w:val="auto"/>
                <w:sz w:val="21"/>
                <w:szCs w:val="21"/>
                <w:highlight w:val="none"/>
              </w:rPr>
              <w:tab/>
            </w:r>
          </w:p>
          <w:p w14:paraId="68BCE9B4">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15.可将视频图像存储至Micro SD卡（参考或相当于）或客户端；支持断网续传；支持Micro SD卡（参考或相当于）热插拔。</w:t>
            </w:r>
          </w:p>
          <w:p w14:paraId="325E8651">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16.具有GB/T 28181、Onvif平台（参考或相当于）接入设置选项。</w:t>
            </w:r>
            <w:r>
              <w:rPr>
                <w:rFonts w:hint="eastAsia" w:ascii="宋体" w:hAnsi="宋体" w:eastAsia="宋体" w:cs="宋体"/>
                <w:color w:val="auto"/>
                <w:sz w:val="21"/>
                <w:szCs w:val="21"/>
                <w:highlight w:val="none"/>
              </w:rPr>
              <w:tab/>
            </w:r>
          </w:p>
          <w:p w14:paraId="6F53A8CA">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17.内置4G模块；支持通过移动、联通、电信（参考或相当于）无线网络进行数据传输</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ab/>
            </w:r>
          </w:p>
          <w:p w14:paraId="777F45A4">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18.应能在DC 9.6V～DC 15.6V 的供电条件下正常工作。</w:t>
            </w:r>
          </w:p>
          <w:p w14:paraId="689F92F2">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19.支持低功耗休眠节电模式，支持一键休眠、定时休眠；支持一键唤醒功能。在低功耗模式下，功率比最大功率降低60%。</w:t>
            </w:r>
          </w:p>
          <w:p w14:paraId="4CD53D2F">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20.数据采集终端1套：参考或相当于酷睿I7处理器以上数据采集终端</w:t>
            </w:r>
          </w:p>
          <w:p w14:paraId="2B9903CD">
            <w:pPr>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三、安装及辅材</w:t>
            </w:r>
          </w:p>
          <w:p w14:paraId="28338D24">
            <w:pPr>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1.不少于2块</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330W太阳能电池板及支架。</w:t>
            </w:r>
          </w:p>
          <w:p w14:paraId="5CBA645C">
            <w:pPr>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2.不少于2块</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250AH胶体电池（含地埋箱）。</w:t>
            </w:r>
          </w:p>
          <w:p w14:paraId="75A905C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3.包含安装本标的产品所需的太阳能控制器、配电箱、稳压模块、防雷模块、线缆等配套设备及辅材1套。</w:t>
            </w:r>
          </w:p>
        </w:tc>
      </w:tr>
      <w:tr w14:paraId="63B03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51646644">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30" w:type="dxa"/>
            <w:tcBorders>
              <w:left w:val="single" w:color="000000" w:sz="4" w:space="0"/>
              <w:right w:val="single" w:color="000000" w:sz="4" w:space="0"/>
            </w:tcBorders>
            <w:vAlign w:val="center"/>
          </w:tcPr>
          <w:p w14:paraId="13B42F53">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电波流速仪</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836DB">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2FC6">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8" w:type="dxa"/>
            <w:tcBorders>
              <w:top w:val="single" w:color="000000" w:sz="4" w:space="0"/>
              <w:left w:val="single" w:color="000000" w:sz="4" w:space="0"/>
              <w:bottom w:val="single" w:color="000000" w:sz="4" w:space="0"/>
              <w:right w:val="single" w:color="000000" w:sz="4" w:space="0"/>
            </w:tcBorders>
            <w:vAlign w:val="center"/>
          </w:tcPr>
          <w:p w14:paraId="150E8BF6">
            <w:pPr>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4890" w:type="dxa"/>
            <w:tcBorders>
              <w:top w:val="single" w:color="000000" w:sz="4" w:space="0"/>
              <w:left w:val="single" w:color="000000" w:sz="4" w:space="0"/>
              <w:bottom w:val="single" w:color="000000" w:sz="4" w:space="0"/>
              <w:right w:val="single" w:color="000000" w:sz="4" w:space="0"/>
            </w:tcBorders>
            <w:vAlign w:val="center"/>
          </w:tcPr>
          <w:p w14:paraId="6A1C1C5B">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（一）电波流速仪主机主要参数</w:t>
            </w:r>
          </w:p>
          <w:p w14:paraId="5378AD8B">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1.测速范围：0.20～18.00 米/秒。</w:t>
            </w:r>
          </w:p>
          <w:p w14:paraId="57A68935">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2.测速精度：±3厘米/秒。</w:t>
            </w:r>
          </w:p>
          <w:p w14:paraId="2AEA9CAF">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3.测速分辨率：0.01m/s或0.001m/s。</w:t>
            </w:r>
          </w:p>
          <w:p w14:paraId="0589A4AB">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4.测速历时：0～99.9 秒。</w:t>
            </w:r>
          </w:p>
          <w:p w14:paraId="0C7EE55A">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5.计时精度：1秒 。</w:t>
            </w:r>
          </w:p>
          <w:p w14:paraId="7B316E21">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6.波束宽度：12°。</w:t>
            </w:r>
          </w:p>
          <w:p w14:paraId="325AF049">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7.微波功率：约50毫瓦。</w:t>
            </w:r>
          </w:p>
          <w:p w14:paraId="65C0E394">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8.微波频率：Ka 波段（34.7GHz）。</w:t>
            </w:r>
          </w:p>
          <w:p w14:paraId="33E79469">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9.最大测程：不少于100米。</w:t>
            </w:r>
          </w:p>
          <w:p w14:paraId="56354C58">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10.数据记录：不少于10个流速数据。</w:t>
            </w:r>
          </w:p>
          <w:p w14:paraId="55BEC1C1">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11.工作温度：-30～+70℃。</w:t>
            </w:r>
          </w:p>
          <w:p w14:paraId="121BF7A3">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12.全防水，可浸入水中；防护等级：不低于IP68</w:t>
            </w:r>
            <w:r>
              <w:rPr>
                <w:rFonts w:hint="eastAsia" w:ascii="宋体" w:hAnsi="宋体" w:eastAsia="宋体" w:cs="宋体"/>
                <w:b/>
                <w:bCs/>
                <w:color w:val="auto"/>
                <w:sz w:val="21"/>
                <w:szCs w:val="21"/>
                <w:highlight w:val="none"/>
              </w:rPr>
              <w:t>（供应商于响应文件必须提供所竞本项号标的由国家认可的第三方检测机构出具的满足“防护等级”技术参数的检测报告复印件佐证，并加盖供应商电子签章）</w:t>
            </w:r>
            <w:r>
              <w:rPr>
                <w:rFonts w:hint="eastAsia" w:ascii="宋体" w:hAnsi="宋体" w:eastAsia="宋体" w:cs="宋体"/>
                <w:b/>
                <w:color w:val="auto"/>
                <w:sz w:val="21"/>
                <w:szCs w:val="21"/>
                <w:highlight w:val="none"/>
              </w:rPr>
              <w:t>。</w:t>
            </w:r>
          </w:p>
          <w:p w14:paraId="55F7D89E">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13.可拆卸式锂电手柄，正常工作≥10小时。</w:t>
            </w:r>
          </w:p>
          <w:p w14:paraId="203E0C47">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14.显示内容：同时显示瞬时流速、平均流速、测速历时、回波强度、流速方向和发射状态。</w:t>
            </w:r>
          </w:p>
          <w:p w14:paraId="0769C255">
            <w:pPr>
              <w:spacing w:line="360" w:lineRule="exact"/>
              <w:outlineLvl w:val="0"/>
              <w:rPr>
                <w:rFonts w:hint="eastAsia" w:ascii="宋体" w:hAnsi="宋体" w:eastAsia="宋体" w:cs="宋体"/>
                <w:color w:val="auto"/>
                <w:sz w:val="21"/>
                <w:szCs w:val="21"/>
                <w:highlight w:val="none"/>
              </w:rPr>
            </w:pPr>
            <w:bookmarkStart w:id="92" w:name="_Toc488073346"/>
            <w:r>
              <w:rPr>
                <w:rFonts w:hint="eastAsia" w:ascii="宋体" w:hAnsi="宋体" w:eastAsia="宋体" w:cs="宋体"/>
                <w:color w:val="auto"/>
                <w:sz w:val="21"/>
                <w:szCs w:val="21"/>
                <w:highlight w:val="none"/>
              </w:rPr>
              <w:t>（二）电波流速仪测流系统附件</w:t>
            </w:r>
            <w:bookmarkEnd w:id="92"/>
          </w:p>
          <w:p w14:paraId="7F50F5BD">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电波流速仪通过蓝牙方式与数据采集器连接，数据采集器操作系统参考或相当于Windows系统，需配备相应的测流软件。</w:t>
            </w:r>
          </w:p>
          <w:p w14:paraId="5FF06312">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1.数据采集器</w:t>
            </w:r>
          </w:p>
          <w:p w14:paraId="24159CDB">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（1）操作系统：参考或相当于Windows 中文版/正版系统带激活码；</w:t>
            </w:r>
          </w:p>
          <w:p w14:paraId="6C2F45F0">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（2）Flash：≥64GB；</w:t>
            </w:r>
          </w:p>
          <w:p w14:paraId="6C9AF3DB">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（3）RAM：≥4GB  DDR3L（参考或相当于）；</w:t>
            </w:r>
          </w:p>
          <w:p w14:paraId="0F8A1983">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（4）触摸屏：≥65点，支持手写；</w:t>
            </w:r>
          </w:p>
          <w:p w14:paraId="4001814B">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（5）显示：≥8.1英寸1280×800 IPS屏，亮度≥400 Nit，阳光下可视；</w:t>
            </w:r>
          </w:p>
          <w:p w14:paraId="14C9F7C2">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（6）网络连接：WiFi 802.11 a/b/g/n频率2.4G+5.8G 双频 +蓝牙BT 4.0（参考或相当于）；</w:t>
            </w:r>
          </w:p>
          <w:p w14:paraId="23329B54">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（7）USB接口：参考或相当于USB Host（Windows） / OTG（Android），USB2.0；</w:t>
            </w:r>
          </w:p>
          <w:p w14:paraId="677DB4CA">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（8）电池：聚合物锂离子电池支持电池可拆卸，≥3.7V，≥8500mAh；</w:t>
            </w:r>
          </w:p>
          <w:p w14:paraId="5C8D89F7">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2.测流软件</w:t>
            </w:r>
          </w:p>
          <w:p w14:paraId="3CF2A7BD">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（1）数据采集器内置测流软件，能够生成符合国标《河流流量测验规范》（GB 50179-2015）和部标《水文缆道测验规范》（SL 443-2009）的流量计算成果表。</w:t>
            </w:r>
          </w:p>
          <w:p w14:paraId="4419E3CA">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测流软件需具有仪器安装角度计算功能：能够预制大断面数据、仪器观测点的地面高程、观测点至断面水平距离，并根据仪器高度、当前水位，计算出每条测速垂线设备应当执行的垂直角度（设备俯角）；能够预制观测点桥梁与水流方向水平夹角，根据电波流速仪水平方向偏角，计算出水平方位夹角α[观测点照准测速垂线方向（即电波流速仪传感器轴线与北向的水平方位夹角α）]</w:t>
            </w:r>
            <w:r>
              <w:rPr>
                <w:rFonts w:hint="eastAsia" w:ascii="宋体" w:hAnsi="宋体" w:eastAsia="宋体" w:cs="宋体"/>
                <w:b/>
                <w:bCs/>
                <w:color w:val="auto"/>
                <w:sz w:val="21"/>
                <w:szCs w:val="21"/>
                <w:highlight w:val="none"/>
              </w:rPr>
              <w:t>（供应商于</w:t>
            </w:r>
            <w:r>
              <w:rPr>
                <w:rFonts w:hint="eastAsia" w:ascii="宋体" w:hAnsi="宋体" w:eastAsia="宋体" w:cs="宋体"/>
                <w:b/>
                <w:color w:val="auto"/>
                <w:kern w:val="0"/>
                <w:sz w:val="21"/>
                <w:szCs w:val="21"/>
                <w:highlight w:val="none"/>
              </w:rPr>
              <w:t>响应文件中必须提供所竞产品能满足该项技术要求的相关证明材料，相关证明材料可以是该软件功能截图等，并加盖供应商电子签章</w:t>
            </w:r>
            <w:r>
              <w:rPr>
                <w:rFonts w:hint="eastAsia" w:ascii="宋体" w:hAnsi="宋体" w:eastAsia="宋体" w:cs="宋体"/>
                <w:b/>
                <w:bCs/>
                <w:color w:val="auto"/>
                <w:sz w:val="21"/>
                <w:szCs w:val="21"/>
                <w:highlight w:val="none"/>
              </w:rPr>
              <w:t>）。</w:t>
            </w:r>
          </w:p>
          <w:p w14:paraId="304485F7">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（3）测流软件需实时接收流速数据，并具有异常数据剔除功能。</w:t>
            </w:r>
          </w:p>
          <w:p w14:paraId="4FD41671">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（4）测流软件需具有流速分布显示功能。</w:t>
            </w:r>
          </w:p>
          <w:p w14:paraId="166DD25B">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（5）测流软件需具有流速修改功能，并提供批量修改功能。</w:t>
            </w:r>
          </w:p>
          <w:p w14:paraId="0E2BB6B7">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（6）测流软件需依据当前水位、桥面高程、设备支架高度，自动计算雷达枪角度，指导现场人员精确锁定断面。</w:t>
            </w:r>
          </w:p>
          <w:p w14:paraId="3E0D5329">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（7）测流软件需能从设备中直接读出流速数据，并能提供界面，输入或修改数据。</w:t>
            </w:r>
          </w:p>
          <w:p w14:paraId="203C2D14">
            <w:pPr>
              <w:spacing w:line="360" w:lineRule="exact"/>
              <w:outlineLvl w:val="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（8）测流软件需能显示断面图、流速分布图，能实时计算流量，并能输出流量计算表、相应水位计算表，能将数据导出为南方整编软件交换格式 。</w:t>
            </w:r>
          </w:p>
          <w:p w14:paraId="3F9A224C">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（9）测流软件永久升级服务（费用综合包含在竞标报价中，采购人不再另行支付）。</w:t>
            </w:r>
          </w:p>
          <w:p w14:paraId="172282C5">
            <w:pPr>
              <w:spacing w:line="360" w:lineRule="exac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（三）配置要求</w:t>
            </w:r>
          </w:p>
          <w:p w14:paraId="21FF8C25">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手持电波流速仪主机1台、蓝牙传输模块1个、专用三脚架1个、测流软件1套、参考或相当于酷睿I7处理器数据采集器1台。</w:t>
            </w:r>
          </w:p>
        </w:tc>
      </w:tr>
      <w:tr w14:paraId="38F90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967" w:type="dxa"/>
            <w:gridSpan w:val="7"/>
            <w:tcBorders>
              <w:top w:val="single" w:color="auto" w:sz="4" w:space="0"/>
              <w:left w:val="single" w:color="auto" w:sz="4" w:space="0"/>
              <w:bottom w:val="single" w:color="auto" w:sz="4" w:space="0"/>
              <w:right w:val="single" w:color="auto" w:sz="4" w:space="0"/>
            </w:tcBorders>
            <w:vAlign w:val="center"/>
          </w:tcPr>
          <w:p w14:paraId="79AE90E1">
            <w:pPr>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本分标核心产品：第1项号标的“走航式 ADCP”。</w:t>
            </w:r>
          </w:p>
        </w:tc>
      </w:tr>
      <w:tr w14:paraId="29A3F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967" w:type="dxa"/>
            <w:gridSpan w:val="7"/>
            <w:tcBorders>
              <w:top w:val="single" w:color="auto" w:sz="4" w:space="0"/>
              <w:left w:val="single" w:color="auto" w:sz="4" w:space="0"/>
              <w:bottom w:val="single" w:color="auto" w:sz="4" w:space="0"/>
              <w:right w:val="single" w:color="auto" w:sz="4" w:space="0"/>
            </w:tcBorders>
            <w:vAlign w:val="center"/>
          </w:tcPr>
          <w:p w14:paraId="44847C5E">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二、商务要求</w:t>
            </w:r>
          </w:p>
        </w:tc>
      </w:tr>
      <w:tr w14:paraId="0852E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126311F5">
            <w:pPr>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pacing w:val="-2"/>
                <w:sz w:val="21"/>
                <w:szCs w:val="21"/>
                <w:highlight w:val="none"/>
              </w:rPr>
              <w:t>售后服务要求</w:t>
            </w:r>
          </w:p>
        </w:tc>
        <w:tc>
          <w:tcPr>
            <w:tcW w:w="6408" w:type="dxa"/>
            <w:gridSpan w:val="4"/>
            <w:tcBorders>
              <w:top w:val="single" w:color="auto" w:sz="4" w:space="0"/>
              <w:left w:val="nil"/>
              <w:bottom w:val="single" w:color="auto" w:sz="4" w:space="0"/>
              <w:right w:val="single" w:color="auto" w:sz="4" w:space="0"/>
            </w:tcBorders>
            <w:vAlign w:val="center"/>
          </w:tcPr>
          <w:p w14:paraId="7DB49BBF">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以下售后服务产生的相关费用均应综合包含在竞标报价中，采购人不再就此另行支付费用：</w:t>
            </w:r>
          </w:p>
          <w:p w14:paraId="14C7F3FD">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1.按国家有关产品“三包”规定执行“三包”。</w:t>
            </w:r>
          </w:p>
          <w:p w14:paraId="55E7DF4A">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2.保修期：不少于3年。保修期从设备验收合格之日起计算。</w:t>
            </w:r>
          </w:p>
          <w:p w14:paraId="3B6E046E">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3.保修期内上门维修（不再收取维修费和元器件费）、更换零部件，并提供终身维修服务。</w:t>
            </w:r>
          </w:p>
          <w:p w14:paraId="06ACD50B">
            <w:pPr>
              <w:spacing w:line="34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保修期内接到报障电话在2小时内响应，24小时内派工程技术人员按国家及行业标准进行及时处理，若未能在48小时内完成问题处理的，由成交供应商负责提供备用机。如果需要更换配件的，要求更换的配件应跟被更换的品牌、类型相一致或者在征得采购人同意后提供同类同档次的替代品；若产品自带软件的，则须提供保修期内升级服务。</w:t>
            </w:r>
          </w:p>
          <w:p w14:paraId="2F75BBBF">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5.成交供应商负责送货到采购人现场，在采购人要求的时间内按合同提供的设备安装调试；货物到位后的安装、调试、培训均由成交供应商负责提供。</w:t>
            </w:r>
          </w:p>
          <w:p w14:paraId="52B0636E">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6.成交供应商交货时须提供产品说明书、保修卡、合格证产品目录、图纸、操作手册、试用说明、维护手册或服务指南等供货产品的配套资料。</w:t>
            </w:r>
          </w:p>
          <w:p w14:paraId="53E35305">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7.技术培训要求：在采购人当地，成交供应商应配置专业技术人员提供现场技术培训，保证使用人员正常操作设备的各种功能。</w:t>
            </w:r>
          </w:p>
          <w:p w14:paraId="52F4BB69">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在保修期内如有质量监督部门要求对成交供应商所供产品进行检测、检验的，成交供应商必须派出厂方代表协助检测、检验，无论产品有无质量问题，成交供应商均应承担全部费用，如产品检测、检验有质量问题，成交供应商还应承担相应的责任。</w:t>
            </w:r>
          </w:p>
          <w:p w14:paraId="11C687C2">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r>
              <w:rPr>
                <w:rFonts w:hint="eastAsia" w:ascii="宋体" w:hAnsi="宋体" w:eastAsia="宋体" w:cs="宋体"/>
                <w:b/>
                <w:color w:val="auto"/>
                <w:spacing w:val="-4"/>
                <w:sz w:val="21"/>
                <w:szCs w:val="21"/>
                <w:highlight w:val="none"/>
              </w:rPr>
              <w:t>保修期内产品质量问题成交供应商承担一切与产品维修、运输等费用。</w:t>
            </w:r>
          </w:p>
        </w:tc>
      </w:tr>
      <w:tr w14:paraId="71E0A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6F1250AF">
            <w:pPr>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（二）交付时间和地点</w:t>
            </w:r>
          </w:p>
        </w:tc>
        <w:tc>
          <w:tcPr>
            <w:tcW w:w="6408" w:type="dxa"/>
            <w:gridSpan w:val="4"/>
            <w:tcBorders>
              <w:top w:val="single" w:color="auto" w:sz="4" w:space="0"/>
              <w:left w:val="nil"/>
              <w:bottom w:val="single" w:color="auto" w:sz="4" w:space="0"/>
              <w:right w:val="single" w:color="auto" w:sz="4" w:space="0"/>
            </w:tcBorders>
            <w:vAlign w:val="center"/>
          </w:tcPr>
          <w:p w14:paraId="2CAE4C07">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1.交付时间：自签订合同之日起90个日历日内到货并全部安装调试合格完毕。</w:t>
            </w:r>
          </w:p>
          <w:p w14:paraId="35A76529">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2.交付地点：广西桂林市内采购人指定地点。</w:t>
            </w:r>
          </w:p>
        </w:tc>
      </w:tr>
      <w:tr w14:paraId="67C5F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5374F476">
            <w:pPr>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（三）合同签订时间</w:t>
            </w:r>
          </w:p>
        </w:tc>
        <w:tc>
          <w:tcPr>
            <w:tcW w:w="6408" w:type="dxa"/>
            <w:gridSpan w:val="4"/>
            <w:tcBorders>
              <w:top w:val="single" w:color="auto" w:sz="4" w:space="0"/>
              <w:left w:val="nil"/>
              <w:bottom w:val="single" w:color="auto" w:sz="4" w:space="0"/>
              <w:right w:val="single" w:color="auto" w:sz="4" w:space="0"/>
            </w:tcBorders>
            <w:vAlign w:val="center"/>
          </w:tcPr>
          <w:p w14:paraId="48D32883">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自成交通知书发出之日起25日内签订采购合同。</w:t>
            </w:r>
          </w:p>
        </w:tc>
      </w:tr>
      <w:tr w14:paraId="6A20E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30481E1C">
            <w:pPr>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（四）付款方式</w:t>
            </w:r>
          </w:p>
        </w:tc>
        <w:tc>
          <w:tcPr>
            <w:tcW w:w="6408" w:type="dxa"/>
            <w:gridSpan w:val="4"/>
            <w:tcBorders>
              <w:top w:val="single" w:color="auto" w:sz="4" w:space="0"/>
              <w:left w:val="nil"/>
              <w:bottom w:val="single" w:color="auto" w:sz="4" w:space="0"/>
              <w:right w:val="single" w:color="auto" w:sz="4" w:space="0"/>
            </w:tcBorders>
            <w:vAlign w:val="center"/>
          </w:tcPr>
          <w:p w14:paraId="59B7F7C7">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1.第一次付款：签订合同后10个工作日内支付合同金额的50%款项；</w:t>
            </w:r>
          </w:p>
          <w:p w14:paraId="01A984CF">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2.第二次付款：设备到货并安装调试完毕后支付合同金额30%款项；</w:t>
            </w:r>
          </w:p>
          <w:p w14:paraId="5F58A1CF">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3.第三次付款：所有设备及相应存档资料经采购人验收合格后一次性支付剩余合同款项。</w:t>
            </w:r>
          </w:p>
          <w:p w14:paraId="66446D45">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注：成交供应商在约定付款时间内提出付款申请，报监理单位或采购人审核，同时提供正式发票给采购人。</w:t>
            </w:r>
            <w:r>
              <w:rPr>
                <w:rFonts w:hint="eastAsia" w:ascii="宋体" w:hAnsi="宋体" w:eastAsia="宋体" w:cs="宋体"/>
                <w:b/>
                <w:color w:val="auto"/>
                <w:sz w:val="21"/>
                <w:szCs w:val="21"/>
                <w:highlight w:val="none"/>
                <w:lang w:eastAsia="zh-CN"/>
              </w:rPr>
              <w:t>项目符合支付条件，</w:t>
            </w:r>
            <w:r>
              <w:rPr>
                <w:rFonts w:hint="eastAsia" w:ascii="宋体" w:hAnsi="宋体" w:eastAsia="宋体" w:cs="宋体"/>
                <w:b/>
                <w:color w:val="auto"/>
                <w:sz w:val="21"/>
                <w:szCs w:val="21"/>
                <w:highlight w:val="none"/>
              </w:rPr>
              <w:t xml:space="preserve">采购人收到付款申请及发票后10个工作日内无息支付相应款项。     </w:t>
            </w:r>
          </w:p>
        </w:tc>
      </w:tr>
      <w:tr w14:paraId="50FBE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0BE521CB">
            <w:pPr>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（五）包装和运输</w:t>
            </w:r>
          </w:p>
        </w:tc>
        <w:tc>
          <w:tcPr>
            <w:tcW w:w="6408" w:type="dxa"/>
            <w:gridSpan w:val="4"/>
            <w:tcBorders>
              <w:top w:val="single" w:color="auto" w:sz="4" w:space="0"/>
              <w:left w:val="nil"/>
              <w:bottom w:val="single" w:color="auto" w:sz="4" w:space="0"/>
              <w:right w:val="single" w:color="auto" w:sz="4" w:space="0"/>
            </w:tcBorders>
            <w:vAlign w:val="center"/>
          </w:tcPr>
          <w:p w14:paraId="704E2FB3">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1.原厂原包装，包装完好完整、无破损、未开封。</w:t>
            </w:r>
          </w:p>
          <w:p w14:paraId="0288E6C2">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2.包装及运输方式应综合考虑运输距离、防潮、防震、防锈和防破损装卸等要求。</w:t>
            </w:r>
          </w:p>
          <w:p w14:paraId="59095659">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pacing w:val="-4"/>
                <w:sz w:val="21"/>
                <w:szCs w:val="21"/>
                <w:highlight w:val="none"/>
              </w:rPr>
              <w:t>国家对包装及运输有相关强制性标准或要求的，成交供应商应当执行。</w:t>
            </w:r>
          </w:p>
          <w:p w14:paraId="5642852D">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4.设备到货后，成交供应商和采购人应在现场进行清点核对，清点核对过程中如果发现因包装或运输不当引起的货物外观或内部的损坏，成交供应商承担所有责任。</w:t>
            </w:r>
          </w:p>
        </w:tc>
      </w:tr>
      <w:tr w14:paraId="29CA6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6C0AFE26">
            <w:pPr>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（六）保险</w:t>
            </w:r>
          </w:p>
        </w:tc>
        <w:tc>
          <w:tcPr>
            <w:tcW w:w="6408" w:type="dxa"/>
            <w:gridSpan w:val="4"/>
            <w:tcBorders>
              <w:top w:val="single" w:color="auto" w:sz="4" w:space="0"/>
              <w:left w:val="nil"/>
              <w:bottom w:val="single" w:color="auto" w:sz="4" w:space="0"/>
              <w:right w:val="single" w:color="auto" w:sz="4" w:space="0"/>
            </w:tcBorders>
            <w:vAlign w:val="center"/>
          </w:tcPr>
          <w:p w14:paraId="7CC4ED24">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若供应商为本分标标的及标的涉及的相关材料、设备、人员、运输等购买保险的，相关费用由供应商自行承担。</w:t>
            </w:r>
          </w:p>
        </w:tc>
      </w:tr>
      <w:tr w14:paraId="52745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5536861D">
            <w:pPr>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（七）质量标准及验收标准</w:t>
            </w:r>
          </w:p>
        </w:tc>
        <w:tc>
          <w:tcPr>
            <w:tcW w:w="6408" w:type="dxa"/>
            <w:gridSpan w:val="4"/>
            <w:tcBorders>
              <w:top w:val="single" w:color="auto" w:sz="4" w:space="0"/>
              <w:left w:val="nil"/>
              <w:bottom w:val="single" w:color="auto" w:sz="4" w:space="0"/>
              <w:right w:val="single" w:color="auto" w:sz="4" w:space="0"/>
            </w:tcBorders>
            <w:vAlign w:val="center"/>
          </w:tcPr>
          <w:p w14:paraId="27C3E9E4">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1.质量标准：成交供应商提供的产品应是原装正品、全新完好无破损、符合国家有关质量标准及制造厂家合格产品的出厂质量标准。</w:t>
            </w:r>
          </w:p>
          <w:p w14:paraId="21F0A420">
            <w:pPr>
              <w:pStyle w:val="8"/>
              <w:spacing w:line="34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成交供应商在采购文件规定的交货期内派遣专业人员完成所有设备的安装、调试，并提供完备的技术或服务资料、装箱单和合格证等。安装调试完毕后，采购人将根据采购文件要求、响应文件承诺及国家相关标准对产品进行逐项验收，成交供应商必须予以配合，在测试或试运行期间如出现问题应给予及时解决，并保证设备的正常运行或工作。验收合格后由采购人签署确认验收合格文件，核验不合格的，采购人有权终止合同执行并全部退货，采购人已支付的费用成交供应商必须在7个工作日内进行退还，同时报相关监督管理部门处理，由此造成采购人经济损失的由成交供应商负责承担全部赔偿责任。</w:t>
            </w:r>
          </w:p>
          <w:p w14:paraId="27D5205D">
            <w:pPr>
              <w:pStyle w:val="8"/>
              <w:spacing w:line="34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3.验收过程中所产生的一切费用均由成交供应商承担，供应商在响应报价时应综合考虑相关费用。</w:t>
            </w:r>
          </w:p>
          <w:p w14:paraId="3647673A">
            <w:pPr>
              <w:adjustRightInd w:val="0"/>
              <w:snapToGrid w:val="0"/>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4.由于成交供应商的原因造成采购人不能按时验收合格并正常使用的，由此造成的损失由成交供应商承担。</w:t>
            </w:r>
          </w:p>
          <w:p w14:paraId="6C4FF4EF">
            <w:pPr>
              <w:adjustRightInd w:val="0"/>
              <w:snapToGrid w:val="0"/>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其他未尽事宜按照《关于印发广西壮族自治区政府采购项目履约验收管理办法的通知》[桂财采〔2015〕22号]、《财政部关于进一步加强政府采购需求和履约验收管理的指导意见》[财库〔2016〕205号]规定以及合同条款执行。</w:t>
            </w:r>
          </w:p>
        </w:tc>
      </w:tr>
      <w:tr w14:paraId="5C08D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967" w:type="dxa"/>
            <w:gridSpan w:val="7"/>
            <w:tcBorders>
              <w:top w:val="single" w:color="auto" w:sz="4" w:space="0"/>
              <w:left w:val="single" w:color="auto" w:sz="4" w:space="0"/>
              <w:bottom w:val="single" w:color="auto" w:sz="4" w:space="0"/>
              <w:right w:val="single" w:color="auto" w:sz="4" w:space="0"/>
            </w:tcBorders>
          </w:tcPr>
          <w:p w14:paraId="556D4550">
            <w:pPr>
              <w:spacing w:line="34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eastAsia="宋体" w:cs="宋体"/>
                <w:b/>
                <w:bCs/>
                <w:color w:val="auto"/>
                <w:sz w:val="21"/>
                <w:szCs w:val="21"/>
                <w:highlight w:val="none"/>
              </w:rPr>
              <w:t>与实现项目目标相关的其他要求</w:t>
            </w:r>
          </w:p>
        </w:tc>
      </w:tr>
      <w:tr w14:paraId="6C0F7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5B484B03">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（一）进口产品说明</w:t>
            </w:r>
          </w:p>
        </w:tc>
        <w:tc>
          <w:tcPr>
            <w:tcW w:w="6408" w:type="dxa"/>
            <w:gridSpan w:val="4"/>
            <w:tcBorders>
              <w:top w:val="single" w:color="auto" w:sz="4" w:space="0"/>
              <w:left w:val="single" w:color="auto" w:sz="4" w:space="0"/>
              <w:bottom w:val="single" w:color="auto" w:sz="4" w:space="0"/>
              <w:right w:val="single" w:color="auto" w:sz="4" w:space="0"/>
            </w:tcBorders>
            <w:vAlign w:val="center"/>
          </w:tcPr>
          <w:p w14:paraId="7F72A421">
            <w:pPr>
              <w:adjustRightInd w:val="0"/>
              <w:snapToGrid w:val="0"/>
              <w:spacing w:line="340" w:lineRule="exac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本分标标的均不接受进口产品竞标（即通过中国海关报关验放进入中国境内且产自关境外的产品），如为进口产品竞标的，响应文件按无效处理。</w:t>
            </w:r>
          </w:p>
        </w:tc>
      </w:tr>
      <w:tr w14:paraId="531E5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277CBB81">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（二）采购预算</w:t>
            </w:r>
          </w:p>
        </w:tc>
        <w:tc>
          <w:tcPr>
            <w:tcW w:w="6408" w:type="dxa"/>
            <w:gridSpan w:val="4"/>
            <w:tcBorders>
              <w:top w:val="single" w:color="auto" w:sz="4" w:space="0"/>
              <w:left w:val="single" w:color="auto" w:sz="4" w:space="0"/>
              <w:bottom w:val="single" w:color="auto" w:sz="4" w:space="0"/>
              <w:right w:val="single" w:color="auto" w:sz="4" w:space="0"/>
            </w:tcBorders>
            <w:vAlign w:val="center"/>
          </w:tcPr>
          <w:p w14:paraId="7731F8AF">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本分标采购预算为人民币柒拾肆万元整（¥740000.00），供应商报价超采购预算金额的，响应文件按无效处理。</w:t>
            </w:r>
          </w:p>
        </w:tc>
      </w:tr>
    </w:tbl>
    <w:p w14:paraId="4D876D37">
      <w:pPr>
        <w:rPr>
          <w:color w:val="auto"/>
          <w:highlight w:val="none"/>
        </w:rPr>
      </w:pPr>
    </w:p>
    <w:p w14:paraId="5F75ABF3">
      <w:pPr>
        <w:pStyle w:val="3"/>
        <w:keepNext w:val="0"/>
        <w:keepLines w:val="0"/>
        <w:spacing w:before="0" w:after="0" w:line="360" w:lineRule="auto"/>
        <w:rPr>
          <w:rFonts w:ascii="宋体" w:hAnsi="宋体" w:cs="宋体"/>
          <w:color w:val="auto"/>
          <w:highlight w:val="none"/>
        </w:rPr>
      </w:pPr>
    </w:p>
    <w:p w14:paraId="4052625E">
      <w:pPr>
        <w:pStyle w:val="3"/>
        <w:keepNext w:val="0"/>
        <w:keepLines w:val="0"/>
        <w:spacing w:before="0" w:after="0" w:line="360" w:lineRule="auto"/>
        <w:rPr>
          <w:rFonts w:ascii="宋体" w:hAnsi="宋体" w:cs="宋体"/>
          <w:color w:val="auto"/>
          <w:highlight w:val="none"/>
        </w:rPr>
      </w:pPr>
    </w:p>
    <w:p w14:paraId="339488DD">
      <w:pPr>
        <w:pStyle w:val="3"/>
        <w:keepNext w:val="0"/>
        <w:keepLines w:val="0"/>
        <w:spacing w:before="0" w:after="0" w:line="360" w:lineRule="auto"/>
        <w:rPr>
          <w:rFonts w:ascii="宋体" w:hAnsi="宋体" w:cs="宋体"/>
          <w:color w:val="auto"/>
          <w:highlight w:val="none"/>
        </w:rPr>
      </w:pPr>
    </w:p>
    <w:p w14:paraId="64536285">
      <w:pPr>
        <w:pStyle w:val="3"/>
        <w:keepNext w:val="0"/>
        <w:keepLines w:val="0"/>
        <w:spacing w:before="0" w:after="0" w:line="360" w:lineRule="auto"/>
        <w:rPr>
          <w:rFonts w:ascii="宋体" w:hAnsi="宋体" w:cs="宋体"/>
          <w:color w:val="auto"/>
          <w:highlight w:val="none"/>
        </w:rPr>
      </w:pPr>
    </w:p>
    <w:p w14:paraId="6DF77928">
      <w:pPr>
        <w:pStyle w:val="3"/>
        <w:keepNext w:val="0"/>
        <w:keepLines w:val="0"/>
        <w:spacing w:before="0" w:after="0" w:line="360" w:lineRule="auto"/>
        <w:rPr>
          <w:rFonts w:ascii="宋体" w:hAnsi="宋体" w:cs="宋体"/>
          <w:color w:val="auto"/>
          <w:highlight w:val="none"/>
        </w:rPr>
      </w:pPr>
    </w:p>
    <w:p w14:paraId="49EFE280">
      <w:pPr>
        <w:pStyle w:val="3"/>
        <w:keepNext w:val="0"/>
        <w:keepLines w:val="0"/>
        <w:spacing w:before="0" w:after="0" w:line="360" w:lineRule="auto"/>
        <w:rPr>
          <w:rFonts w:ascii="宋体" w:hAnsi="宋体" w:cs="宋体"/>
          <w:color w:val="auto"/>
          <w:highlight w:val="none"/>
        </w:rPr>
      </w:pPr>
    </w:p>
    <w:p w14:paraId="12D122CB">
      <w:pPr>
        <w:pStyle w:val="3"/>
        <w:keepNext w:val="0"/>
        <w:keepLines w:val="0"/>
        <w:spacing w:before="0" w:after="0" w:line="360" w:lineRule="auto"/>
        <w:rPr>
          <w:rFonts w:ascii="宋体" w:hAnsi="宋体" w:cs="宋体"/>
          <w:color w:val="auto"/>
          <w:highlight w:val="none"/>
        </w:rPr>
      </w:pPr>
    </w:p>
    <w:p w14:paraId="7C30747F">
      <w:pPr>
        <w:pStyle w:val="3"/>
        <w:keepNext w:val="0"/>
        <w:keepLines w:val="0"/>
        <w:spacing w:before="0" w:after="0" w:line="360" w:lineRule="auto"/>
        <w:rPr>
          <w:rFonts w:ascii="宋体" w:hAnsi="宋体" w:cs="宋体"/>
          <w:color w:val="auto"/>
          <w:highlight w:val="none"/>
        </w:rPr>
      </w:pPr>
    </w:p>
    <w:p w14:paraId="69F23986">
      <w:pPr>
        <w:pStyle w:val="3"/>
        <w:keepNext w:val="0"/>
        <w:keepLines w:val="0"/>
        <w:spacing w:before="0" w:after="0" w:line="360" w:lineRule="auto"/>
        <w:rPr>
          <w:rFonts w:ascii="宋体" w:hAnsi="宋体" w:cs="宋体"/>
          <w:color w:val="auto"/>
          <w:highlight w:val="none"/>
        </w:rPr>
      </w:pPr>
    </w:p>
    <w:p w14:paraId="0C95C098">
      <w:pPr>
        <w:pStyle w:val="3"/>
        <w:keepNext w:val="0"/>
        <w:keepLines w:val="0"/>
        <w:spacing w:before="0" w:after="0" w:line="360" w:lineRule="auto"/>
        <w:rPr>
          <w:rFonts w:ascii="宋体" w:hAnsi="宋体" w:cs="宋体"/>
          <w:color w:val="auto"/>
          <w:highlight w:val="none"/>
        </w:rPr>
      </w:pPr>
    </w:p>
    <w:p w14:paraId="680A44CF">
      <w:pPr>
        <w:pStyle w:val="3"/>
        <w:keepNext w:val="0"/>
        <w:keepLines w:val="0"/>
        <w:spacing w:before="0" w:after="0" w:line="360" w:lineRule="auto"/>
        <w:rPr>
          <w:rFonts w:ascii="宋体" w:hAnsi="宋体" w:cs="宋体"/>
          <w:color w:val="auto"/>
          <w:highlight w:val="none"/>
        </w:rPr>
      </w:pPr>
    </w:p>
    <w:p w14:paraId="6CFE9EE0">
      <w:pPr>
        <w:rPr>
          <w:color w:val="auto"/>
          <w:highlight w:val="none"/>
        </w:rPr>
      </w:pPr>
    </w:p>
    <w:p w14:paraId="7F21E3DE">
      <w:pPr>
        <w:pStyle w:val="3"/>
        <w:keepNext w:val="0"/>
        <w:keepLines w:val="0"/>
        <w:spacing w:before="0" w:after="0" w:line="360" w:lineRule="auto"/>
        <w:rPr>
          <w:rFonts w:ascii="宋体" w:hAnsi="宋体" w:cs="宋体"/>
          <w:color w:val="auto"/>
          <w:highlight w:val="none"/>
        </w:rPr>
      </w:pPr>
    </w:p>
    <w:p w14:paraId="522FBC73">
      <w:pPr>
        <w:pStyle w:val="3"/>
        <w:keepNext w:val="0"/>
        <w:keepLines w:val="0"/>
        <w:spacing w:before="0" w:after="0" w:line="360" w:lineRule="auto"/>
        <w:rPr>
          <w:rFonts w:ascii="宋体" w:hAnsi="宋体" w:cs="宋体"/>
          <w:color w:val="auto"/>
          <w:highlight w:val="none"/>
        </w:rPr>
      </w:pPr>
      <w:r>
        <w:rPr>
          <w:rFonts w:hint="eastAsia" w:ascii="宋体" w:hAnsi="宋体" w:cs="宋体"/>
          <w:color w:val="auto"/>
          <w:highlight w:val="none"/>
        </w:rPr>
        <w:t>分标3：</w:t>
      </w:r>
    </w:p>
    <w:tbl>
      <w:tblPr>
        <w:tblStyle w:val="25"/>
        <w:tblW w:w="88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1430"/>
        <w:gridCol w:w="466"/>
        <w:gridCol w:w="243"/>
        <w:gridCol w:w="567"/>
        <w:gridCol w:w="708"/>
        <w:gridCol w:w="4758"/>
      </w:tblGrid>
      <w:tr w14:paraId="76DB2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35" w:type="dxa"/>
            <w:gridSpan w:val="7"/>
            <w:tcBorders>
              <w:top w:val="single" w:color="000000" w:sz="4" w:space="0"/>
              <w:left w:val="single" w:color="000000" w:sz="4" w:space="0"/>
              <w:bottom w:val="single" w:color="000000" w:sz="4" w:space="0"/>
              <w:right w:val="single" w:color="000000" w:sz="4" w:space="0"/>
            </w:tcBorders>
            <w:vAlign w:val="center"/>
          </w:tcPr>
          <w:p w14:paraId="0C5D6AE9">
            <w:pPr>
              <w:snapToGrid w:val="0"/>
              <w:spacing w:line="28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一、采购内容及技术要求</w:t>
            </w:r>
          </w:p>
        </w:tc>
      </w:tr>
      <w:tr w14:paraId="26760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5135225F">
            <w:pPr>
              <w:snapToGrid w:val="0"/>
              <w:spacing w:line="3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项号</w:t>
            </w:r>
          </w:p>
        </w:tc>
        <w:tc>
          <w:tcPr>
            <w:tcW w:w="1430" w:type="dxa"/>
            <w:tcBorders>
              <w:top w:val="single" w:color="000000" w:sz="4" w:space="0"/>
              <w:left w:val="single" w:color="000000" w:sz="4" w:space="0"/>
              <w:bottom w:val="single" w:color="000000" w:sz="4" w:space="0"/>
              <w:right w:val="single" w:color="000000" w:sz="4" w:space="0"/>
            </w:tcBorders>
            <w:vAlign w:val="center"/>
          </w:tcPr>
          <w:p w14:paraId="7E746CE7">
            <w:pPr>
              <w:snapToGrid w:val="0"/>
              <w:spacing w:line="3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标的的名称</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14:paraId="5382C451">
            <w:pPr>
              <w:snapToGrid w:val="0"/>
              <w:spacing w:line="3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567" w:type="dxa"/>
            <w:tcBorders>
              <w:top w:val="single" w:color="000000" w:sz="4" w:space="0"/>
              <w:left w:val="single" w:color="000000" w:sz="4" w:space="0"/>
              <w:bottom w:val="single" w:color="000000" w:sz="4" w:space="0"/>
              <w:right w:val="single" w:color="000000" w:sz="4" w:space="0"/>
            </w:tcBorders>
            <w:vAlign w:val="center"/>
          </w:tcPr>
          <w:p w14:paraId="5AB22E91">
            <w:pPr>
              <w:snapToGrid w:val="0"/>
              <w:spacing w:line="3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708" w:type="dxa"/>
            <w:tcBorders>
              <w:top w:val="single" w:color="000000" w:sz="4" w:space="0"/>
              <w:left w:val="single" w:color="000000" w:sz="4" w:space="0"/>
              <w:bottom w:val="single" w:color="000000" w:sz="4" w:space="0"/>
              <w:right w:val="single" w:color="000000" w:sz="4" w:space="0"/>
            </w:tcBorders>
            <w:vAlign w:val="center"/>
          </w:tcPr>
          <w:p w14:paraId="00B15409">
            <w:pPr>
              <w:snapToGrid w:val="0"/>
              <w:spacing w:line="3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所属行业</w:t>
            </w:r>
          </w:p>
        </w:tc>
        <w:tc>
          <w:tcPr>
            <w:tcW w:w="4758" w:type="dxa"/>
            <w:tcBorders>
              <w:top w:val="single" w:color="000000" w:sz="4" w:space="0"/>
              <w:left w:val="single" w:color="000000" w:sz="4" w:space="0"/>
              <w:bottom w:val="single" w:color="000000" w:sz="4" w:space="0"/>
              <w:right w:val="single" w:color="000000" w:sz="4" w:space="0"/>
            </w:tcBorders>
            <w:vAlign w:val="center"/>
          </w:tcPr>
          <w:p w14:paraId="2DF18B34">
            <w:pPr>
              <w:snapToGrid w:val="0"/>
              <w:spacing w:line="3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技术要求</w:t>
            </w:r>
          </w:p>
        </w:tc>
      </w:tr>
      <w:tr w14:paraId="44115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35" w:type="dxa"/>
            <w:gridSpan w:val="7"/>
            <w:tcBorders>
              <w:top w:val="single" w:color="000000" w:sz="4" w:space="0"/>
              <w:left w:val="single" w:color="000000" w:sz="4" w:space="0"/>
              <w:bottom w:val="single" w:color="000000" w:sz="4" w:space="0"/>
              <w:right w:val="single" w:color="000000" w:sz="4" w:space="0"/>
            </w:tcBorders>
            <w:vAlign w:val="center"/>
          </w:tcPr>
          <w:p w14:paraId="1982A56F">
            <w:pPr>
              <w:snapToGrid w:val="0"/>
              <w:spacing w:line="340" w:lineRule="exact"/>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缆道设备</w:t>
            </w:r>
          </w:p>
        </w:tc>
      </w:tr>
      <w:tr w14:paraId="7152E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67E2908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30" w:type="dxa"/>
            <w:tcBorders>
              <w:left w:val="single" w:color="000000" w:sz="4" w:space="0"/>
              <w:right w:val="single" w:color="000000" w:sz="4" w:space="0"/>
            </w:tcBorders>
            <w:vAlign w:val="center"/>
          </w:tcPr>
          <w:p w14:paraId="79CFF9E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水文缆道测控台      </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3628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54E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c>
          <w:tcPr>
            <w:tcW w:w="708" w:type="dxa"/>
            <w:tcBorders>
              <w:top w:val="single" w:color="000000" w:sz="4" w:space="0"/>
              <w:left w:val="single" w:color="000000" w:sz="4" w:space="0"/>
              <w:bottom w:val="single" w:color="000000" w:sz="4" w:space="0"/>
              <w:right w:val="single" w:color="000000" w:sz="4" w:space="0"/>
            </w:tcBorders>
            <w:vAlign w:val="center"/>
          </w:tcPr>
          <w:p w14:paraId="1C3EC7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4758" w:type="dxa"/>
            <w:tcBorders>
              <w:top w:val="single" w:color="000000" w:sz="4" w:space="0"/>
              <w:left w:val="single" w:color="000000" w:sz="4" w:space="0"/>
              <w:bottom w:val="single" w:color="000000" w:sz="4" w:space="0"/>
              <w:right w:val="single" w:color="000000" w:sz="4" w:space="0"/>
            </w:tcBorders>
            <w:vAlign w:val="center"/>
          </w:tcPr>
          <w:p w14:paraId="2F6C5408">
            <w:pPr>
              <w:numPr>
                <w:ilvl w:val="0"/>
                <w:numId w:val="1"/>
              </w:numPr>
              <w:spacing w:line="36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产品概述</w:t>
            </w:r>
          </w:p>
          <w:p w14:paraId="69E07758">
            <w:pPr>
              <w:numPr>
                <w:ilvl w:val="0"/>
                <w:numId w:val="2"/>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支持手动、半自动、全自动三种测流模式。</w:t>
            </w:r>
          </w:p>
          <w:p w14:paraId="634F4CE6">
            <w:pPr>
              <w:numPr>
                <w:ilvl w:val="0"/>
                <w:numId w:val="2"/>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采用触控一体机为操作平台，配备硬件控制翻转盒，手持控制盒。</w:t>
            </w:r>
          </w:p>
          <w:p w14:paraId="7445FCE7">
            <w:pPr>
              <w:numPr>
                <w:ilvl w:val="0"/>
                <w:numId w:val="2"/>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支持多种水位计的水位采集。</w:t>
            </w:r>
          </w:p>
          <w:p w14:paraId="3C041298">
            <w:pPr>
              <w:numPr>
                <w:ilvl w:val="0"/>
                <w:numId w:val="2"/>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可接收双音频信号、直流信号、开关信号。</w:t>
            </w:r>
          </w:p>
          <w:p w14:paraId="034A219F">
            <w:pPr>
              <w:numPr>
                <w:ilvl w:val="0"/>
                <w:numId w:val="2"/>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采用软、硬件滤波技术，支持采集和处理水下回传信息。</w:t>
            </w:r>
          </w:p>
          <w:p w14:paraId="4DF8806A">
            <w:pPr>
              <w:numPr>
                <w:ilvl w:val="0"/>
                <w:numId w:val="2"/>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采用信号隔离传输技术，降低主设备雷击损坏率。</w:t>
            </w:r>
          </w:p>
          <w:p w14:paraId="5163506E">
            <w:pPr>
              <w:numPr>
                <w:ilvl w:val="0"/>
                <w:numId w:val="2"/>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具有起点距记忆功能，配备前、后、上、下限位功能。</w:t>
            </w:r>
          </w:p>
          <w:p w14:paraId="6A116858">
            <w:pPr>
              <w:numPr>
                <w:ilvl w:val="0"/>
                <w:numId w:val="2"/>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采用系统模块化设计，要求便于运输、安装、维修。</w:t>
            </w:r>
          </w:p>
          <w:p w14:paraId="38DCF6C0">
            <w:pPr>
              <w:numPr>
                <w:ilvl w:val="0"/>
                <w:numId w:val="2"/>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可移动式控制箱，采用快速接头方式，各模块便于更换。</w:t>
            </w:r>
          </w:p>
          <w:p w14:paraId="0FF2E41E">
            <w:pPr>
              <w:numPr>
                <w:ilvl w:val="0"/>
                <w:numId w:val="2"/>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采用变频无极调速，铅鱼运行平稳、定位准确。</w:t>
            </w:r>
          </w:p>
          <w:p w14:paraId="7426077F">
            <w:pPr>
              <w:numPr>
                <w:ilvl w:val="0"/>
                <w:numId w:val="2"/>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采用智能控制软件对铅鱼的移动实现人性化控制和可视化模拟动态显示。</w:t>
            </w:r>
          </w:p>
          <w:p w14:paraId="71FA809B">
            <w:pPr>
              <w:numPr>
                <w:ilvl w:val="0"/>
                <w:numId w:val="2"/>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使用双变频器，水平、垂直独立运行。</w:t>
            </w:r>
          </w:p>
          <w:p w14:paraId="3224A2AF">
            <w:pPr>
              <w:numPr>
                <w:ilvl w:val="0"/>
                <w:numId w:val="2"/>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电力供电支持AC380V三相四线制或单相AC220V。</w:t>
            </w:r>
          </w:p>
          <w:p w14:paraId="4281EE76">
            <w:pPr>
              <w:numPr>
                <w:ilvl w:val="0"/>
                <w:numId w:val="1"/>
              </w:numPr>
              <w:spacing w:line="36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技术指标</w:t>
            </w:r>
          </w:p>
          <w:p w14:paraId="0DA60B5F">
            <w:pPr>
              <w:numPr>
                <w:ilvl w:val="0"/>
                <w:numId w:val="3"/>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输入电力电源：AC380V/AC220V（-10%～5%）； 50Hz。</w:t>
            </w:r>
          </w:p>
          <w:p w14:paraId="360F0192">
            <w:pPr>
              <w:numPr>
                <w:ilvl w:val="0"/>
                <w:numId w:val="3"/>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输出功率：2.2KW～7.5KW可选。</w:t>
            </w:r>
          </w:p>
          <w:p w14:paraId="78BC1182">
            <w:pPr>
              <w:numPr>
                <w:ilvl w:val="0"/>
                <w:numId w:val="3"/>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电机变频调速频率0～50Hz。</w:t>
            </w:r>
          </w:p>
          <w:p w14:paraId="61F88F67">
            <w:pPr>
              <w:numPr>
                <w:ilvl w:val="0"/>
                <w:numId w:val="3"/>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减速止动时间：≥1S。</w:t>
            </w:r>
          </w:p>
          <w:p w14:paraId="17A240E8">
            <w:pPr>
              <w:numPr>
                <w:ilvl w:val="0"/>
                <w:numId w:val="3"/>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提速时间：≤6S。</w:t>
            </w:r>
          </w:p>
          <w:p w14:paraId="46A0B9A1">
            <w:pPr>
              <w:numPr>
                <w:ilvl w:val="0"/>
                <w:numId w:val="3"/>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系统控制电源：AC220V。</w:t>
            </w:r>
          </w:p>
          <w:p w14:paraId="1EFE3BEB">
            <w:pPr>
              <w:numPr>
                <w:ilvl w:val="0"/>
                <w:numId w:val="3"/>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计数显示：水平：-999.9～9999m，分辨率：不低于1dm；垂直：-99.9～999m，分辨率：不低于1cm。</w:t>
            </w:r>
          </w:p>
          <w:p w14:paraId="1A4D6577">
            <w:pPr>
              <w:numPr>
                <w:ilvl w:val="0"/>
                <w:numId w:val="3"/>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测速范围：0.01～10m/s。</w:t>
            </w:r>
          </w:p>
          <w:p w14:paraId="263A3776">
            <w:pPr>
              <w:numPr>
                <w:ilvl w:val="0"/>
                <w:numId w:val="3"/>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测速历时：1～999.9s。</w:t>
            </w:r>
          </w:p>
          <w:p w14:paraId="226E6A4F">
            <w:pPr>
              <w:numPr>
                <w:ilvl w:val="0"/>
                <w:numId w:val="3"/>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计时精度：优于0.01s。</w:t>
            </w:r>
          </w:p>
          <w:p w14:paraId="00F11445">
            <w:pPr>
              <w:numPr>
                <w:ilvl w:val="0"/>
                <w:numId w:val="3"/>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信号接收：双音频信号≥20mv；直流脉冲信号输入范围：0.02～3V；开关信号。</w:t>
            </w:r>
          </w:p>
          <w:p w14:paraId="3BA35E0E">
            <w:pPr>
              <w:numPr>
                <w:ilvl w:val="0"/>
                <w:numId w:val="1"/>
              </w:numPr>
              <w:spacing w:line="36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适用环境</w:t>
            </w:r>
          </w:p>
          <w:p w14:paraId="055C0167">
            <w:pPr>
              <w:numPr>
                <w:ilvl w:val="0"/>
                <w:numId w:val="4"/>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工作环境温度：0～65°C。</w:t>
            </w:r>
          </w:p>
          <w:p w14:paraId="35AE81D8">
            <w:pPr>
              <w:numPr>
                <w:ilvl w:val="0"/>
                <w:numId w:val="4"/>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工作环境湿度：≤80%PH。</w:t>
            </w:r>
          </w:p>
          <w:p w14:paraId="02B80281">
            <w:pPr>
              <w:numPr>
                <w:ilvl w:val="0"/>
                <w:numId w:val="4"/>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河流水面宽：0.0～999m。</w:t>
            </w:r>
          </w:p>
          <w:p w14:paraId="6844C9D4">
            <w:pPr>
              <w:numPr>
                <w:ilvl w:val="0"/>
                <w:numId w:val="4"/>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河流断面面积：0.0～90000㎡/s。</w:t>
            </w:r>
          </w:p>
          <w:p w14:paraId="31FFC859">
            <w:pPr>
              <w:numPr>
                <w:ilvl w:val="0"/>
                <w:numId w:val="4"/>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河流断面流量：0.0～990000m³/s。</w:t>
            </w:r>
          </w:p>
          <w:p w14:paraId="3CB5D241">
            <w:pPr>
              <w:numPr>
                <w:ilvl w:val="0"/>
                <w:numId w:val="1"/>
              </w:numPr>
              <w:spacing w:line="360" w:lineRule="exact"/>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系统配置：</w:t>
            </w:r>
          </w:p>
          <w:p w14:paraId="264FCBE0">
            <w:pPr>
              <w:numPr>
                <w:ilvl w:val="0"/>
                <w:numId w:val="5"/>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触控操作平台：宽屏触摸工控机，具备收集、解析、统计各种返回信号，包括水位值、水下信号、铅鱼位置；处理、计算、储存有效数据，输出报表；发出控制指令，处理控制反馈信息等功能。</w:t>
            </w:r>
          </w:p>
          <w:p w14:paraId="5E4D160F">
            <w:pPr>
              <w:numPr>
                <w:ilvl w:val="0"/>
                <w:numId w:val="5"/>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控制柜：执行触控操作平台发出的控制指令并反馈执行结果。给触控操作平台传输外部水位计读取的当前水位值；水文缆道绞车电机的无极变频调速驱动器。内置信号输入防雷组件、PLC组件、变频器。</w:t>
            </w:r>
          </w:p>
          <w:p w14:paraId="4E541471">
            <w:pPr>
              <w:numPr>
                <w:ilvl w:val="0"/>
                <w:numId w:val="5"/>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按键盒：向控制柜发送各种按键指令，显示变频器调速比例值。专业定制，平面、灯显、调速。</w:t>
            </w:r>
          </w:p>
          <w:p w14:paraId="0AA10879">
            <w:pPr>
              <w:numPr>
                <w:ilvl w:val="0"/>
                <w:numId w:val="5"/>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信号采集盒：把水下信号回传的模拟信号转成数字信号及处理距离信号转换盒回传信号并传给触控操作平台。</w:t>
            </w:r>
          </w:p>
          <w:p w14:paraId="5ECEC021">
            <w:pPr>
              <w:numPr>
                <w:ilvl w:val="0"/>
                <w:numId w:val="5"/>
              </w:numPr>
              <w:spacing w:line="360" w:lineRule="exact"/>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电源及接插件：快速接头及镀金接插件1套。</w:t>
            </w:r>
          </w:p>
          <w:p w14:paraId="3CAD9857">
            <w:pPr>
              <w:spacing w:line="360" w:lineRule="exact"/>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五、配套</w:t>
            </w:r>
            <w:r>
              <w:rPr>
                <w:rFonts w:hint="eastAsia" w:ascii="宋体" w:hAnsi="宋体" w:eastAsia="宋体" w:cs="宋体"/>
                <w:color w:val="auto"/>
                <w:kern w:val="0"/>
                <w:sz w:val="21"/>
                <w:szCs w:val="21"/>
                <w:highlight w:val="none"/>
                <w:lang w:bidi="ar"/>
              </w:rPr>
              <w:t>上位机控制平台1套：</w:t>
            </w:r>
          </w:p>
          <w:p w14:paraId="6ABA2016">
            <w:pPr>
              <w:wordWrap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1.运行环境：操作系统参考或相当于Microsoft Windows 11/Windows 10/ Windows 8 /Windows7/Windows XP（32/64位中、英文操作系统）。</w:t>
            </w:r>
          </w:p>
          <w:p w14:paraId="016DEE12">
            <w:pPr>
              <w:wordWrap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2.参考或相当于Intel Pentium IV 3.0 GHz或以上内存：≥2G；显示：支持≥1024×768。</w:t>
            </w:r>
          </w:p>
        </w:tc>
      </w:tr>
      <w:tr w14:paraId="20ED3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14B2416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430" w:type="dxa"/>
            <w:tcBorders>
              <w:left w:val="single" w:color="000000" w:sz="4" w:space="0"/>
              <w:right w:val="single" w:color="000000" w:sz="4" w:space="0"/>
            </w:tcBorders>
            <w:vAlign w:val="center"/>
          </w:tcPr>
          <w:p w14:paraId="1583C93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手持应急控制盒</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9F5D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1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931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个</w:t>
            </w:r>
          </w:p>
        </w:tc>
        <w:tc>
          <w:tcPr>
            <w:tcW w:w="708" w:type="dxa"/>
            <w:tcBorders>
              <w:top w:val="single" w:color="000000" w:sz="4" w:space="0"/>
              <w:left w:val="single" w:color="000000" w:sz="4" w:space="0"/>
              <w:bottom w:val="single" w:color="000000" w:sz="4" w:space="0"/>
              <w:right w:val="single" w:color="000000" w:sz="4" w:space="0"/>
            </w:tcBorders>
            <w:vAlign w:val="center"/>
          </w:tcPr>
          <w:p w14:paraId="2E60BC4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4758" w:type="dxa"/>
            <w:tcBorders>
              <w:top w:val="single" w:color="000000" w:sz="4" w:space="0"/>
              <w:left w:val="single" w:color="000000" w:sz="4" w:space="0"/>
              <w:bottom w:val="single" w:color="000000" w:sz="4" w:space="0"/>
              <w:right w:val="single" w:color="000000" w:sz="4" w:space="0"/>
            </w:tcBorders>
            <w:vAlign w:val="center"/>
          </w:tcPr>
          <w:p w14:paraId="50244D48">
            <w:pPr>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1.专用设备，配有电机调速旋钮及手动按钮，包括“上升”、“下降”、“停止（OFF）”、“前进”、“后退”等至少5个按钮。</w:t>
            </w:r>
          </w:p>
          <w:p w14:paraId="1BB59A4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2.性能：操作台不能正常工作时可应急控制铅鱼移动和系统初次安装时进行电机运动调试。</w:t>
            </w:r>
          </w:p>
        </w:tc>
      </w:tr>
      <w:tr w14:paraId="20505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47AF300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430" w:type="dxa"/>
            <w:tcBorders>
              <w:left w:val="single" w:color="000000" w:sz="4" w:space="0"/>
              <w:right w:val="single" w:color="000000" w:sz="4" w:space="0"/>
            </w:tcBorders>
            <w:vAlign w:val="center"/>
          </w:tcPr>
          <w:p w14:paraId="26D23D4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设备总电源箱</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5CA9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287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c>
          <w:tcPr>
            <w:tcW w:w="708" w:type="dxa"/>
            <w:tcBorders>
              <w:top w:val="single" w:color="000000" w:sz="4" w:space="0"/>
              <w:left w:val="single" w:color="000000" w:sz="4" w:space="0"/>
              <w:bottom w:val="single" w:color="000000" w:sz="4" w:space="0"/>
              <w:right w:val="single" w:color="000000" w:sz="4" w:space="0"/>
            </w:tcBorders>
            <w:vAlign w:val="center"/>
          </w:tcPr>
          <w:p w14:paraId="65AE879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4758" w:type="dxa"/>
            <w:tcBorders>
              <w:top w:val="single" w:color="000000" w:sz="4" w:space="0"/>
              <w:left w:val="single" w:color="000000" w:sz="4" w:space="0"/>
              <w:bottom w:val="single" w:color="000000" w:sz="4" w:space="0"/>
              <w:right w:val="single" w:color="000000" w:sz="4" w:space="0"/>
            </w:tcBorders>
            <w:vAlign w:val="center"/>
          </w:tcPr>
          <w:p w14:paraId="73946E17">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内部组成：浪涌保护器、空气开关、4P插头。</w:t>
            </w:r>
          </w:p>
        </w:tc>
      </w:tr>
      <w:tr w14:paraId="15B1C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454FA42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430" w:type="dxa"/>
            <w:tcBorders>
              <w:left w:val="single" w:color="000000" w:sz="4" w:space="0"/>
              <w:right w:val="single" w:color="000000" w:sz="4" w:space="0"/>
            </w:tcBorders>
            <w:vAlign w:val="center"/>
          </w:tcPr>
          <w:p w14:paraId="1B59181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设备安装附件</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D7BA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1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6F7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项</w:t>
            </w:r>
          </w:p>
        </w:tc>
        <w:tc>
          <w:tcPr>
            <w:tcW w:w="708" w:type="dxa"/>
            <w:tcBorders>
              <w:top w:val="single" w:color="000000" w:sz="4" w:space="0"/>
              <w:left w:val="single" w:color="000000" w:sz="4" w:space="0"/>
              <w:bottom w:val="single" w:color="000000" w:sz="4" w:space="0"/>
              <w:right w:val="single" w:color="000000" w:sz="4" w:space="0"/>
            </w:tcBorders>
            <w:vAlign w:val="center"/>
          </w:tcPr>
          <w:p w14:paraId="03871D5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4758" w:type="dxa"/>
            <w:tcBorders>
              <w:top w:val="single" w:color="000000" w:sz="4" w:space="0"/>
              <w:left w:val="single" w:color="000000" w:sz="4" w:space="0"/>
              <w:bottom w:val="single" w:color="000000" w:sz="4" w:space="0"/>
              <w:right w:val="single" w:color="000000" w:sz="4" w:space="0"/>
            </w:tcBorders>
            <w:vAlign w:val="center"/>
          </w:tcPr>
          <w:p w14:paraId="717D8F35">
            <w:pPr>
              <w:wordWrap w:val="0"/>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1.应急喇叭：≥5W，≥8欧姆，用于双音频水下信号源信号检测。</w:t>
            </w:r>
          </w:p>
          <w:p w14:paraId="78EBE713">
            <w:pPr>
              <w:wordWrap w:val="0"/>
              <w:spacing w:line="36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2.设备连接线缆</w:t>
            </w:r>
            <w:r>
              <w:rPr>
                <w:rFonts w:hint="eastAsia" w:ascii="宋体" w:hAnsi="宋体" w:eastAsia="宋体" w:cs="宋体"/>
                <w:color w:val="auto"/>
                <w:sz w:val="21"/>
                <w:szCs w:val="21"/>
                <w:highlight w:val="none"/>
              </w:rPr>
              <w:t>规格分别为：</w:t>
            </w:r>
          </w:p>
          <w:p w14:paraId="0D0CC9CD">
            <w:pPr>
              <w:wordWrap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4芯×横截面积约1.5mm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（设备总电源）、5芯×横截面积约1.5mm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（垂直绞车电机线）、3芯×横截面积约1.5mm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（水平绞车电机线）、4芯×横截面积约0.3mm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（距离、水位信号线）；布设距离约15米，需做防鼠措施。</w:t>
            </w:r>
          </w:p>
          <w:p w14:paraId="3EA687BA">
            <w:pPr>
              <w:wordWrap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3.信号线：红黑多股铜芯线，布设距离约15米。</w:t>
            </w:r>
          </w:p>
        </w:tc>
      </w:tr>
      <w:tr w14:paraId="55637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5FD1616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430" w:type="dxa"/>
            <w:tcBorders>
              <w:left w:val="single" w:color="000000" w:sz="4" w:space="0"/>
              <w:right w:val="single" w:color="000000" w:sz="4" w:space="0"/>
            </w:tcBorders>
            <w:vAlign w:val="center"/>
          </w:tcPr>
          <w:p w14:paraId="7E9385F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信号地线布设</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80A4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1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6D9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项</w:t>
            </w:r>
          </w:p>
        </w:tc>
        <w:tc>
          <w:tcPr>
            <w:tcW w:w="708" w:type="dxa"/>
            <w:tcBorders>
              <w:top w:val="single" w:color="000000" w:sz="4" w:space="0"/>
              <w:left w:val="single" w:color="000000" w:sz="4" w:space="0"/>
              <w:bottom w:val="single" w:color="000000" w:sz="4" w:space="0"/>
              <w:right w:val="single" w:color="000000" w:sz="4" w:space="0"/>
            </w:tcBorders>
            <w:vAlign w:val="center"/>
          </w:tcPr>
          <w:p w14:paraId="00BF8E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4758" w:type="dxa"/>
            <w:tcBorders>
              <w:top w:val="single" w:color="000000" w:sz="4" w:space="0"/>
              <w:left w:val="single" w:color="000000" w:sz="4" w:space="0"/>
              <w:bottom w:val="single" w:color="000000" w:sz="4" w:space="0"/>
              <w:right w:val="single" w:color="000000" w:sz="4" w:space="0"/>
            </w:tcBorders>
            <w:vAlign w:val="center"/>
          </w:tcPr>
          <w:p w14:paraId="4FD910B9">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独立接地装置，引信号地线(304不锈钢≥￠3.0mm包胶钢丝绳)到缆道房；布设距离约25米。</w:t>
            </w:r>
          </w:p>
        </w:tc>
      </w:tr>
      <w:tr w14:paraId="16317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6314C6E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430" w:type="dxa"/>
            <w:tcBorders>
              <w:left w:val="single" w:color="000000" w:sz="4" w:space="0"/>
              <w:right w:val="single" w:color="000000" w:sz="4" w:space="0"/>
            </w:tcBorders>
            <w:vAlign w:val="center"/>
          </w:tcPr>
          <w:p w14:paraId="2F1EDFDD">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不锈钢仪器操作台</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EDC4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1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8194">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张</w:t>
            </w:r>
          </w:p>
        </w:tc>
        <w:tc>
          <w:tcPr>
            <w:tcW w:w="708" w:type="dxa"/>
            <w:tcBorders>
              <w:top w:val="single" w:color="000000" w:sz="4" w:space="0"/>
              <w:left w:val="single" w:color="000000" w:sz="4" w:space="0"/>
              <w:bottom w:val="single" w:color="000000" w:sz="4" w:space="0"/>
              <w:right w:val="single" w:color="000000" w:sz="4" w:space="0"/>
            </w:tcBorders>
            <w:vAlign w:val="center"/>
          </w:tcPr>
          <w:p w14:paraId="3A7BEE0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4758" w:type="dxa"/>
            <w:tcBorders>
              <w:top w:val="single" w:color="000000" w:sz="4" w:space="0"/>
              <w:left w:val="single" w:color="000000" w:sz="4" w:space="0"/>
              <w:bottom w:val="single" w:color="000000" w:sz="4" w:space="0"/>
              <w:right w:val="single" w:color="000000" w:sz="4" w:space="0"/>
            </w:tcBorders>
            <w:vAlign w:val="center"/>
          </w:tcPr>
          <w:p w14:paraId="3F680FC3">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长宽约160×80mm，不锈钢材质定制，配套所竞第1项号标的“</w:t>
            </w:r>
            <w:r>
              <w:rPr>
                <w:rFonts w:hint="eastAsia" w:ascii="宋体" w:hAnsi="宋体" w:eastAsia="宋体" w:cs="宋体"/>
                <w:color w:val="auto"/>
                <w:kern w:val="0"/>
                <w:sz w:val="21"/>
                <w:szCs w:val="21"/>
                <w:highlight w:val="none"/>
                <w:lang w:bidi="ar"/>
              </w:rPr>
              <w:t>水文缆道测控台</w:t>
            </w:r>
            <w:r>
              <w:rPr>
                <w:rFonts w:hint="eastAsia" w:ascii="宋体" w:hAnsi="宋体" w:eastAsia="宋体" w:cs="宋体"/>
                <w:color w:val="auto"/>
                <w:sz w:val="21"/>
                <w:szCs w:val="21"/>
                <w:highlight w:val="none"/>
              </w:rPr>
              <w:t>”操作使用。</w:t>
            </w:r>
          </w:p>
        </w:tc>
      </w:tr>
      <w:tr w14:paraId="44680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02C8AE1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1430" w:type="dxa"/>
            <w:tcBorders>
              <w:left w:val="single" w:color="000000" w:sz="4" w:space="0"/>
              <w:right w:val="single" w:color="000000" w:sz="4" w:space="0"/>
            </w:tcBorders>
            <w:vAlign w:val="center"/>
          </w:tcPr>
          <w:p w14:paraId="67CA9EEF">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网络监控系统</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0321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1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38C1">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c>
          <w:tcPr>
            <w:tcW w:w="708" w:type="dxa"/>
            <w:tcBorders>
              <w:top w:val="single" w:color="000000" w:sz="4" w:space="0"/>
              <w:left w:val="single" w:color="000000" w:sz="4" w:space="0"/>
              <w:bottom w:val="single" w:color="000000" w:sz="4" w:space="0"/>
              <w:right w:val="single" w:color="000000" w:sz="4" w:space="0"/>
            </w:tcBorders>
            <w:vAlign w:val="center"/>
          </w:tcPr>
          <w:p w14:paraId="726417E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4758" w:type="dxa"/>
            <w:tcBorders>
              <w:top w:val="single" w:color="000000" w:sz="4" w:space="0"/>
              <w:left w:val="single" w:color="000000" w:sz="4" w:space="0"/>
              <w:bottom w:val="single" w:color="000000" w:sz="4" w:space="0"/>
              <w:right w:val="single" w:color="000000" w:sz="4" w:space="0"/>
            </w:tcBorders>
            <w:vAlign w:val="center"/>
          </w:tcPr>
          <w:p w14:paraId="04F515CB">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1.球机：</w:t>
            </w:r>
          </w:p>
          <w:p w14:paraId="4951B462">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（1）采用约7寸全彩智能球机；支持不低于1/2.8" 400万23倍光学变焦镜头，采用高效补光阵列，红外补光≥150m，白光补光≥100m。</w:t>
            </w:r>
          </w:p>
          <w:p w14:paraId="5E81F0D0">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区域入侵侦测、越界侦测、进入区域侦测和离开区域侦等智能侦测并联动跟随；支持深度学习算法，提供精准的人车分类侦测、报警、联动球机镜头进行快速查看；支持人车检测信息叠加至码流，配合视觉系统实现图搜或文搜的功能。</w:t>
            </w:r>
          </w:p>
          <w:p w14:paraId="3A0033E7">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（3）支持切换为人脸抓拍模式，最大同时抓拍不少于5张人脸；内置加热玻璃，支持除雾；支持最大不低于2560×1440 @30 fps高清画面输出；支持超低照度，支持参考或相当于0.005 Lux @F1.5（彩色）、0.001 Lux @F1.5（黑白）、0 Lux with IR。</w:t>
            </w:r>
          </w:p>
          <w:p w14:paraId="34D404AD">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（4）支持不低于23倍光学变倍，不低于16倍数字变倍；支持参考或相当于ONVIF，ISAPI，符合</w:t>
            </w:r>
            <w:r>
              <w:rPr>
                <w:rStyle w:val="28"/>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rPr>
              <w:t>公共安全视频监控联网系统信息传输、交换、控制技术要求》（GB/T 28181-2022）</w:t>
            </w:r>
            <w:r>
              <w:rPr>
                <w:rFonts w:hint="eastAsia" w:ascii="宋体" w:hAnsi="宋体" w:eastAsia="宋体" w:cs="宋体"/>
                <w:color w:val="auto"/>
                <w:sz w:val="21"/>
                <w:szCs w:val="21"/>
                <w:highlight w:val="none"/>
              </w:rPr>
              <w:t>，支持SDK，支持参考或相当于ISUP（5.0）；支持一进一出音频、最大支持≥512 GB 支持参考或相当于MicroSD卡存储；不低于IP66，符合《电磁兼容试验和测量技术 浪涌（冲击）抗扰度试验》（GB/T 17626.5-2019）认证标准。</w:t>
            </w:r>
          </w:p>
          <w:p w14:paraId="44C43FEF">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2.枪机单灯：≥200万不低于1/2.8〃CMOS筒型网络摄像机，红外约30m，支持H.265编码。</w:t>
            </w:r>
          </w:p>
          <w:p w14:paraId="37D57A8F">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3.录像机：</w:t>
            </w:r>
          </w:p>
          <w:p w14:paraId="13CB8569">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（1）录像方式：手动录像、定时录像、事件录像、移动侦测录像、报警录像动测或报警录像，动测且报警录像；</w:t>
            </w:r>
          </w:p>
          <w:p w14:paraId="01C9CF3C">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（2）录像回放：支持4路同步回放；</w:t>
            </w:r>
          </w:p>
          <w:p w14:paraId="361FEC37">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（3）回放模式：即时回放、常规回放、事件回放、标签回放、外部文件回放、日志回放；</w:t>
            </w:r>
          </w:p>
          <w:p w14:paraId="01B5D566">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（4）备份方式：常规备份，事件备份，录像剪辑备份。</w:t>
            </w:r>
          </w:p>
          <w:p w14:paraId="37C86540">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4.≥4TB硬盘：网络录像机≥1080P高清录像盘。</w:t>
            </w:r>
          </w:p>
          <w:p w14:paraId="1DE10EC3">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5.数据输出设备：具有≥1080液晶</w:t>
            </w:r>
            <w:r>
              <w:rPr>
                <w:rFonts w:hint="eastAsia" w:ascii="宋体" w:hAnsi="宋体" w:eastAsia="宋体" w:cs="宋体"/>
                <w:color w:val="auto"/>
                <w:sz w:val="21"/>
                <w:szCs w:val="21"/>
                <w:highlight w:val="none"/>
                <w:lang w:val="zh-CN"/>
              </w:rPr>
              <w:t>显示功能。</w:t>
            </w:r>
          </w:p>
          <w:p w14:paraId="5E001665">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6.配置：2台智能球机、1台录像机、2台枪机、1套数据输出设备、2个球机支架、2个枪机支架等。</w:t>
            </w:r>
          </w:p>
        </w:tc>
      </w:tr>
      <w:tr w14:paraId="3DB04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66B2062B">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430" w:type="dxa"/>
            <w:tcBorders>
              <w:left w:val="single" w:color="000000" w:sz="4" w:space="0"/>
              <w:right w:val="single" w:color="000000" w:sz="4" w:space="0"/>
            </w:tcBorders>
            <w:vAlign w:val="center"/>
          </w:tcPr>
          <w:p w14:paraId="56A38586">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异地组网</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640B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1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A0E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c>
          <w:tcPr>
            <w:tcW w:w="708" w:type="dxa"/>
            <w:tcBorders>
              <w:top w:val="single" w:color="000000" w:sz="4" w:space="0"/>
              <w:left w:val="single" w:color="000000" w:sz="4" w:space="0"/>
              <w:bottom w:val="single" w:color="000000" w:sz="4" w:space="0"/>
              <w:right w:val="single" w:color="000000" w:sz="4" w:space="0"/>
            </w:tcBorders>
            <w:vAlign w:val="center"/>
          </w:tcPr>
          <w:p w14:paraId="75833B8C">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4758" w:type="dxa"/>
            <w:tcBorders>
              <w:top w:val="single" w:color="000000" w:sz="4" w:space="0"/>
              <w:left w:val="single" w:color="000000" w:sz="4" w:space="0"/>
              <w:bottom w:val="single" w:color="000000" w:sz="4" w:space="0"/>
              <w:right w:val="single" w:color="000000" w:sz="4" w:space="0"/>
            </w:tcBorders>
            <w:vAlign w:val="center"/>
          </w:tcPr>
          <w:p w14:paraId="46906471">
            <w:pPr>
              <w:spacing w:line="36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1.采用不低于2.4GHz+5GHz双频WIFI6路由器。 </w:t>
            </w:r>
          </w:p>
          <w:p w14:paraId="2C6A232F">
            <w:pPr>
              <w:spacing w:line="36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2.无线速率：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shd w:val="clear" w:color="auto" w:fill="FFFFFF"/>
              </w:rPr>
              <w:t>1800M。</w:t>
            </w:r>
          </w:p>
          <w:p w14:paraId="7ED49DA2">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3.千兆WAN口：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shd w:val="clear" w:color="auto" w:fill="FFFFFF"/>
              </w:rPr>
              <w:t>1个；千兆 LAN口：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shd w:val="clear" w:color="auto" w:fill="FFFFFF"/>
              </w:rPr>
              <w:t>4个。</w:t>
            </w:r>
          </w:p>
        </w:tc>
      </w:tr>
      <w:tr w14:paraId="6B237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2FC83D2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430" w:type="dxa"/>
            <w:tcBorders>
              <w:left w:val="single" w:color="000000" w:sz="4" w:space="0"/>
              <w:right w:val="single" w:color="000000" w:sz="4" w:space="0"/>
            </w:tcBorders>
            <w:vAlign w:val="center"/>
          </w:tcPr>
          <w:p w14:paraId="2FDF2BB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中心站控制系统</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C821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1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77B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c>
          <w:tcPr>
            <w:tcW w:w="708" w:type="dxa"/>
            <w:tcBorders>
              <w:top w:val="single" w:color="000000" w:sz="4" w:space="0"/>
              <w:left w:val="single" w:color="000000" w:sz="4" w:space="0"/>
              <w:bottom w:val="single" w:color="000000" w:sz="4" w:space="0"/>
              <w:right w:val="single" w:color="000000" w:sz="4" w:space="0"/>
            </w:tcBorders>
            <w:vAlign w:val="center"/>
          </w:tcPr>
          <w:p w14:paraId="5B547D0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4758" w:type="dxa"/>
            <w:tcBorders>
              <w:top w:val="single" w:color="000000" w:sz="4" w:space="0"/>
              <w:left w:val="single" w:color="000000" w:sz="4" w:space="0"/>
              <w:bottom w:val="single" w:color="000000" w:sz="4" w:space="0"/>
              <w:right w:val="single" w:color="000000" w:sz="4" w:space="0"/>
            </w:tcBorders>
            <w:vAlign w:val="center"/>
          </w:tcPr>
          <w:p w14:paraId="534CF9BD">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1.CPU：参考或相当于Intel 12代i5-12400。</w:t>
            </w:r>
          </w:p>
          <w:p w14:paraId="4B15A818">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2.硬盘：≥512G SSD 。</w:t>
            </w:r>
          </w:p>
          <w:p w14:paraId="18DE71CB">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3.系统：参考或相当于win11。</w:t>
            </w:r>
          </w:p>
          <w:p w14:paraId="28C040C1">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4.数据输出设备：≥21.45英寸。</w:t>
            </w:r>
          </w:p>
          <w:p w14:paraId="7280F4F1">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5.Wifi：有。</w:t>
            </w:r>
          </w:p>
          <w:p w14:paraId="5841B0AB">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6.配置：1台主机、2台数据输出设备。</w:t>
            </w:r>
          </w:p>
        </w:tc>
      </w:tr>
      <w:tr w14:paraId="3D624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3" w:type="dxa"/>
            <w:tcBorders>
              <w:top w:val="single" w:color="000000" w:sz="4" w:space="0"/>
              <w:left w:val="single" w:color="000000" w:sz="4" w:space="0"/>
              <w:bottom w:val="single" w:color="000000" w:sz="4" w:space="0"/>
              <w:right w:val="single" w:color="000000" w:sz="4" w:space="0"/>
            </w:tcBorders>
            <w:vAlign w:val="center"/>
          </w:tcPr>
          <w:p w14:paraId="4ACCBB3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430" w:type="dxa"/>
            <w:tcBorders>
              <w:left w:val="single" w:color="000000" w:sz="4" w:space="0"/>
              <w:right w:val="single" w:color="000000" w:sz="4" w:space="0"/>
            </w:tcBorders>
            <w:vAlign w:val="center"/>
          </w:tcPr>
          <w:p w14:paraId="2B36C82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限位装置</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A6413">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1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252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c>
          <w:tcPr>
            <w:tcW w:w="708" w:type="dxa"/>
            <w:tcBorders>
              <w:top w:val="single" w:color="000000" w:sz="4" w:space="0"/>
              <w:left w:val="single" w:color="000000" w:sz="4" w:space="0"/>
              <w:bottom w:val="single" w:color="000000" w:sz="4" w:space="0"/>
              <w:right w:val="single" w:color="000000" w:sz="4" w:space="0"/>
            </w:tcBorders>
            <w:vAlign w:val="center"/>
          </w:tcPr>
          <w:p w14:paraId="5D74844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w:t>
            </w:r>
          </w:p>
        </w:tc>
        <w:tc>
          <w:tcPr>
            <w:tcW w:w="4758" w:type="dxa"/>
            <w:tcBorders>
              <w:top w:val="single" w:color="000000" w:sz="4" w:space="0"/>
              <w:left w:val="single" w:color="000000" w:sz="4" w:space="0"/>
              <w:bottom w:val="single" w:color="000000" w:sz="4" w:space="0"/>
              <w:right w:val="single" w:color="000000" w:sz="4" w:space="0"/>
            </w:tcBorders>
            <w:vAlign w:val="center"/>
          </w:tcPr>
          <w:p w14:paraId="5A02ED9B">
            <w:pPr>
              <w:widowControl/>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前、后、上、下机械限位保护装置。</w:t>
            </w:r>
          </w:p>
        </w:tc>
      </w:tr>
      <w:tr w14:paraId="564AF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8835" w:type="dxa"/>
            <w:gridSpan w:val="7"/>
            <w:tcBorders>
              <w:top w:val="single" w:color="auto" w:sz="4" w:space="0"/>
              <w:left w:val="single" w:color="auto" w:sz="4" w:space="0"/>
              <w:bottom w:val="single" w:color="auto" w:sz="4" w:space="0"/>
              <w:right w:val="single" w:color="auto" w:sz="4" w:space="0"/>
            </w:tcBorders>
            <w:vAlign w:val="center"/>
          </w:tcPr>
          <w:p w14:paraId="7EA68BB8">
            <w:pPr>
              <w:spacing w:line="32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本分标核心产品：第1项号标的“缆道控制台”。</w:t>
            </w:r>
          </w:p>
        </w:tc>
      </w:tr>
      <w:tr w14:paraId="48485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835" w:type="dxa"/>
            <w:gridSpan w:val="7"/>
            <w:tcBorders>
              <w:top w:val="single" w:color="auto" w:sz="4" w:space="0"/>
              <w:left w:val="single" w:color="auto" w:sz="4" w:space="0"/>
              <w:bottom w:val="single" w:color="auto" w:sz="4" w:space="0"/>
              <w:right w:val="single" w:color="auto" w:sz="4" w:space="0"/>
            </w:tcBorders>
            <w:vAlign w:val="center"/>
          </w:tcPr>
          <w:p w14:paraId="1611E9F0">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二、商务要求</w:t>
            </w:r>
          </w:p>
        </w:tc>
      </w:tr>
      <w:tr w14:paraId="7D714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1B6104B2">
            <w:pPr>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pacing w:val="-2"/>
                <w:sz w:val="21"/>
                <w:szCs w:val="21"/>
                <w:highlight w:val="none"/>
              </w:rPr>
              <w:t>售后服务要求</w:t>
            </w:r>
          </w:p>
        </w:tc>
        <w:tc>
          <w:tcPr>
            <w:tcW w:w="6276" w:type="dxa"/>
            <w:gridSpan w:val="4"/>
            <w:tcBorders>
              <w:top w:val="single" w:color="auto" w:sz="4" w:space="0"/>
              <w:left w:val="nil"/>
              <w:bottom w:val="single" w:color="auto" w:sz="4" w:space="0"/>
              <w:right w:val="single" w:color="auto" w:sz="4" w:space="0"/>
            </w:tcBorders>
            <w:vAlign w:val="center"/>
          </w:tcPr>
          <w:p w14:paraId="73FDEB97">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以下售后服务产生的相关费用均应综合包含在竞标报价中，采购人不再就此另行支付费用：</w:t>
            </w:r>
          </w:p>
          <w:p w14:paraId="6F43F245">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1.按国家有关产品“三包”规定执行“三包”。</w:t>
            </w:r>
          </w:p>
          <w:p w14:paraId="1CB228FF">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2.保修期：不少于1年。保修期从设备验收合格之日起计算。</w:t>
            </w:r>
          </w:p>
          <w:p w14:paraId="79DB6FB6">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3.保修期内上门维修（不再收取维修费和元器件费）、更换零部件，并提供终身维修服务。</w:t>
            </w:r>
          </w:p>
          <w:p w14:paraId="72599858">
            <w:pPr>
              <w:spacing w:line="34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保修期内接到报障电话在2小时内响应，24小时内派工程技术人员按国家及行业标准进行及时处理，若未能在48小时内完成问题处理的，由成交供应商负责提供备用机。如果需要更换配件的，要求更换的配件应跟被更换的品牌、类型相一致或者在征得采购人同意后提供同类同档次的替代品；若产品自带软件的，则须提供保修期内升级服务。</w:t>
            </w:r>
          </w:p>
          <w:p w14:paraId="7236524A">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5.成交供应商负责送货到采购人现场，在采购人要求的时间内按合同提供的设备安装调试；货物到位后的安装、调试、培训均由成交供应商负责提供。</w:t>
            </w:r>
          </w:p>
          <w:p w14:paraId="28FFD77F">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6.成交供应商交货时须提供产品说明书、保修卡、合格证产品目录、图纸、操作手册、试用说明、维护手册或服务指南等供货产品的配套资料。</w:t>
            </w:r>
          </w:p>
          <w:p w14:paraId="79FAEB4A">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7.技术培训要求：在采购人当地，成交供应商应配置专业技术人员提供现场技术培训，保证使用人员正常操作设备的各种功能。</w:t>
            </w:r>
          </w:p>
          <w:p w14:paraId="2A217304">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在保修期内如有质量监督部门要求对成交供应商所供产品进行检测、检验的，成交供应商必须派出厂方代表协助检测、检验，无论产品有无质量问题，成交供应商均应承担全部费用，如产品检测、检验有质量问题，成交供应商还应承担相应的责任。</w:t>
            </w:r>
          </w:p>
          <w:p w14:paraId="6046211D">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r>
              <w:rPr>
                <w:rFonts w:hint="eastAsia" w:ascii="宋体" w:hAnsi="宋体" w:eastAsia="宋体" w:cs="宋体"/>
                <w:b/>
                <w:color w:val="auto"/>
                <w:spacing w:val="-4"/>
                <w:sz w:val="21"/>
                <w:szCs w:val="21"/>
                <w:highlight w:val="none"/>
              </w:rPr>
              <w:t>保修期内产品质量问题成交供应商承担一切产品维修、运输等费用。</w:t>
            </w:r>
          </w:p>
        </w:tc>
      </w:tr>
      <w:tr w14:paraId="233A7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7E8BB57F">
            <w:pPr>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（二）交付时间和地点</w:t>
            </w:r>
          </w:p>
        </w:tc>
        <w:tc>
          <w:tcPr>
            <w:tcW w:w="6276" w:type="dxa"/>
            <w:gridSpan w:val="4"/>
            <w:tcBorders>
              <w:top w:val="single" w:color="auto" w:sz="4" w:space="0"/>
              <w:left w:val="nil"/>
              <w:bottom w:val="single" w:color="auto" w:sz="4" w:space="0"/>
              <w:right w:val="single" w:color="auto" w:sz="4" w:space="0"/>
            </w:tcBorders>
            <w:vAlign w:val="center"/>
          </w:tcPr>
          <w:p w14:paraId="50BEB302">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1.交付时间：自签订合同之日起 60 个日历日内到货并全部安装调试合格完毕。</w:t>
            </w:r>
          </w:p>
          <w:p w14:paraId="3EE646E4">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2.交付地点：广西桂林市内采购人指定地点。</w:t>
            </w:r>
          </w:p>
        </w:tc>
      </w:tr>
      <w:tr w14:paraId="69913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15592FC5">
            <w:pPr>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（三）合同签订时间</w:t>
            </w:r>
          </w:p>
        </w:tc>
        <w:tc>
          <w:tcPr>
            <w:tcW w:w="6276" w:type="dxa"/>
            <w:gridSpan w:val="4"/>
            <w:tcBorders>
              <w:top w:val="single" w:color="auto" w:sz="4" w:space="0"/>
              <w:left w:val="nil"/>
              <w:bottom w:val="single" w:color="auto" w:sz="4" w:space="0"/>
              <w:right w:val="single" w:color="auto" w:sz="4" w:space="0"/>
            </w:tcBorders>
            <w:vAlign w:val="center"/>
          </w:tcPr>
          <w:p w14:paraId="198A4BF8">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自成交通知书发出之日起25日内签订采购合同。</w:t>
            </w:r>
          </w:p>
        </w:tc>
      </w:tr>
      <w:tr w14:paraId="5BA11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027CF6A0">
            <w:pPr>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（四）付款方式</w:t>
            </w:r>
          </w:p>
        </w:tc>
        <w:tc>
          <w:tcPr>
            <w:tcW w:w="6276" w:type="dxa"/>
            <w:gridSpan w:val="4"/>
            <w:tcBorders>
              <w:top w:val="single" w:color="auto" w:sz="4" w:space="0"/>
              <w:left w:val="nil"/>
              <w:bottom w:val="single" w:color="auto" w:sz="4" w:space="0"/>
              <w:right w:val="single" w:color="auto" w:sz="4" w:space="0"/>
            </w:tcBorders>
            <w:vAlign w:val="center"/>
          </w:tcPr>
          <w:p w14:paraId="0F0DFF9E">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1.第一次付款：签订合同后10个工作日内支付合同金额的50%款项；</w:t>
            </w:r>
          </w:p>
          <w:p w14:paraId="2713F950">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2.第二次付款：设备到货并安装调试完毕后支付合同金额30%款项；</w:t>
            </w:r>
          </w:p>
          <w:p w14:paraId="44504349">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3.第三次付款：所有设备及相应存档资料经采购人验收合格后一次性支付剩余合同款项。</w:t>
            </w:r>
          </w:p>
          <w:p w14:paraId="56321D76">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注：成交供应商在约定付款时间内提出付款申请，报监理单位或采购人审核，同时提供正式发票给采购人。</w:t>
            </w:r>
            <w:r>
              <w:rPr>
                <w:rFonts w:hint="eastAsia" w:ascii="宋体" w:hAnsi="宋体" w:eastAsia="宋体" w:cs="宋体"/>
                <w:b/>
                <w:color w:val="auto"/>
                <w:sz w:val="21"/>
                <w:szCs w:val="21"/>
                <w:highlight w:val="none"/>
                <w:lang w:eastAsia="zh-CN"/>
              </w:rPr>
              <w:t>项目符合支付条件，</w:t>
            </w:r>
            <w:r>
              <w:rPr>
                <w:rFonts w:hint="eastAsia" w:ascii="宋体" w:hAnsi="宋体" w:eastAsia="宋体" w:cs="宋体"/>
                <w:b/>
                <w:color w:val="auto"/>
                <w:sz w:val="21"/>
                <w:szCs w:val="21"/>
                <w:highlight w:val="none"/>
              </w:rPr>
              <w:t xml:space="preserve">采购人收到付款申请及发票后10个工作日内无息支付相应款项。     </w:t>
            </w:r>
          </w:p>
        </w:tc>
      </w:tr>
      <w:tr w14:paraId="0F292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4F2827CB">
            <w:pPr>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（五）包装和运输</w:t>
            </w:r>
          </w:p>
        </w:tc>
        <w:tc>
          <w:tcPr>
            <w:tcW w:w="6276" w:type="dxa"/>
            <w:gridSpan w:val="4"/>
            <w:tcBorders>
              <w:top w:val="single" w:color="auto" w:sz="4" w:space="0"/>
              <w:left w:val="nil"/>
              <w:bottom w:val="single" w:color="auto" w:sz="4" w:space="0"/>
              <w:right w:val="single" w:color="auto" w:sz="4" w:space="0"/>
            </w:tcBorders>
            <w:vAlign w:val="center"/>
          </w:tcPr>
          <w:p w14:paraId="528B77DA">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1.原厂原包装，包装完好完整、无破损、未开封。</w:t>
            </w:r>
          </w:p>
          <w:p w14:paraId="4B81CF9E">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2.包装及运输方式应综合考虑运输距离、防潮、防震、防锈和防破损装卸等要求。</w:t>
            </w:r>
          </w:p>
          <w:p w14:paraId="4E06D00B">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pacing w:val="-4"/>
                <w:sz w:val="21"/>
                <w:szCs w:val="21"/>
                <w:highlight w:val="none"/>
              </w:rPr>
              <w:t>国家对包装及运输有相关强制性标准或要求的，成交供应商应当执行。</w:t>
            </w:r>
          </w:p>
          <w:p w14:paraId="76680232">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4.设备到货后，成交供应商和采购人应在现场进行清点核对，清点核对过程中如果发现因包装或运输不当引起的货物外观或内部的损坏，成交供应商承担所有责任。</w:t>
            </w:r>
          </w:p>
        </w:tc>
      </w:tr>
      <w:tr w14:paraId="690F3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39D4B1CC">
            <w:pPr>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（六）保险</w:t>
            </w:r>
          </w:p>
        </w:tc>
        <w:tc>
          <w:tcPr>
            <w:tcW w:w="6276" w:type="dxa"/>
            <w:gridSpan w:val="4"/>
            <w:tcBorders>
              <w:top w:val="single" w:color="auto" w:sz="4" w:space="0"/>
              <w:left w:val="nil"/>
              <w:bottom w:val="single" w:color="auto" w:sz="4" w:space="0"/>
              <w:right w:val="single" w:color="auto" w:sz="4" w:space="0"/>
            </w:tcBorders>
            <w:vAlign w:val="center"/>
          </w:tcPr>
          <w:p w14:paraId="2FB5B5E1">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若供应商为本分标标的及标的涉及的相关材料、设备、人员、运输等购买保险的，相关费用由供应商自行承担。</w:t>
            </w:r>
          </w:p>
        </w:tc>
      </w:tr>
      <w:tr w14:paraId="17B31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08143527">
            <w:pPr>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（七）质量标准及验收标准</w:t>
            </w:r>
          </w:p>
        </w:tc>
        <w:tc>
          <w:tcPr>
            <w:tcW w:w="6276" w:type="dxa"/>
            <w:gridSpan w:val="4"/>
            <w:tcBorders>
              <w:top w:val="single" w:color="auto" w:sz="4" w:space="0"/>
              <w:left w:val="nil"/>
              <w:bottom w:val="single" w:color="auto" w:sz="4" w:space="0"/>
              <w:right w:val="single" w:color="auto" w:sz="4" w:space="0"/>
            </w:tcBorders>
            <w:vAlign w:val="center"/>
          </w:tcPr>
          <w:p w14:paraId="0A47D809">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1.质量标准：成交供应商提供的产品应是原装正品、全新完好无破损、符合国家有关质量标准及制造厂家合格产品的出厂质量标准。</w:t>
            </w:r>
          </w:p>
          <w:p w14:paraId="013793F6">
            <w:pPr>
              <w:pStyle w:val="8"/>
              <w:spacing w:line="34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成交供应商在采购文件规定的交货期内派遣专业人员完成所有设备的安装、调试，并提供完备的技术或服务资料、装箱单和合格证等。安装调试完毕后，采购人将根据采购文件要求、响应文件承诺及国家相关标准对产品进行逐项验收，成交供应商必须予以配合，在测试或试运行期间如出现问题应给予及时解决，并保证设备的正常运行或工作。验收合格后由采购人签署确认验收合格文件，核验不合格的，采购人有权终止合同执行并全部退货，采购人已支付的费用成交供应商必须在7个工作日内进行退还，同时报相关监督管理部门处理，由此造成采购人经济损失的由成交供应商负责承担全部赔偿责任。</w:t>
            </w:r>
          </w:p>
          <w:p w14:paraId="4C33EACE">
            <w:pPr>
              <w:pStyle w:val="8"/>
              <w:spacing w:line="340" w:lineRule="exact"/>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3.验收过程中所产生的一切费用均由成交供应商承担，供应商在响应报价时应综合考虑相关费用。</w:t>
            </w:r>
          </w:p>
          <w:p w14:paraId="7EC3C1A4">
            <w:pPr>
              <w:adjustRightInd w:val="0"/>
              <w:snapToGrid w:val="0"/>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4.由于成交供应商的原因造成采购人不能按时验收合格并正常使用的，由此造成的损失由成交供应商承担。</w:t>
            </w:r>
          </w:p>
          <w:p w14:paraId="36E8AFF5">
            <w:pPr>
              <w:adjustRightInd w:val="0"/>
              <w:snapToGrid w:val="0"/>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其他未尽事宜按照《关于印发广西壮族自治区政府采购项目履约验收管理办法的通知》[桂财采〔2015〕22号]、《财政部关于进一步加强政府采购需求和履约验收管理的指导意见》[财库〔2016〕205号]规定以及合同条款执行。</w:t>
            </w:r>
          </w:p>
        </w:tc>
      </w:tr>
      <w:tr w14:paraId="23657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35" w:type="dxa"/>
            <w:gridSpan w:val="7"/>
            <w:tcBorders>
              <w:top w:val="single" w:color="auto" w:sz="4" w:space="0"/>
              <w:left w:val="single" w:color="auto" w:sz="4" w:space="0"/>
              <w:bottom w:val="single" w:color="auto" w:sz="4" w:space="0"/>
              <w:right w:val="single" w:color="auto" w:sz="4" w:space="0"/>
            </w:tcBorders>
          </w:tcPr>
          <w:p w14:paraId="4D3C751B">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三、与实现项目目标相关的其他要求</w:t>
            </w:r>
          </w:p>
        </w:tc>
      </w:tr>
      <w:tr w14:paraId="06328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0783D8ED">
            <w:pPr>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（一）进口产品说明</w:t>
            </w:r>
          </w:p>
        </w:tc>
        <w:tc>
          <w:tcPr>
            <w:tcW w:w="6276" w:type="dxa"/>
            <w:gridSpan w:val="4"/>
            <w:tcBorders>
              <w:top w:val="single" w:color="auto" w:sz="4" w:space="0"/>
              <w:left w:val="single" w:color="auto" w:sz="4" w:space="0"/>
              <w:bottom w:val="single" w:color="auto" w:sz="4" w:space="0"/>
              <w:right w:val="single" w:color="auto" w:sz="4" w:space="0"/>
            </w:tcBorders>
            <w:vAlign w:val="center"/>
          </w:tcPr>
          <w:p w14:paraId="68259E30">
            <w:pPr>
              <w:adjustRightInd w:val="0"/>
              <w:snapToGrid w:val="0"/>
              <w:spacing w:line="340" w:lineRule="exact"/>
              <w:rPr>
                <w:rFonts w:hint="eastAsia" w:ascii="宋体" w:hAnsi="宋体" w:eastAsia="宋体" w:cs="宋体"/>
                <w:b/>
                <w:color w:val="auto"/>
                <w:spacing w:val="-4"/>
                <w:sz w:val="21"/>
                <w:szCs w:val="21"/>
                <w:highlight w:val="none"/>
              </w:rPr>
            </w:pPr>
            <w:r>
              <w:rPr>
                <w:rFonts w:hint="eastAsia" w:ascii="宋体" w:hAnsi="宋体" w:eastAsia="宋体" w:cs="宋体"/>
                <w:b/>
                <w:color w:val="auto"/>
                <w:spacing w:val="-4"/>
                <w:sz w:val="21"/>
                <w:szCs w:val="21"/>
                <w:highlight w:val="none"/>
              </w:rPr>
              <w:t>本分标标的均不接受进口产品竞标（即通过中国海关报关验放进入中国境内且产自关境外的产品），如为进口产品竞标的，响应文件按无效处理。</w:t>
            </w:r>
          </w:p>
        </w:tc>
      </w:tr>
      <w:tr w14:paraId="52D99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59" w:type="dxa"/>
            <w:gridSpan w:val="3"/>
            <w:tcBorders>
              <w:top w:val="single" w:color="auto" w:sz="4" w:space="0"/>
              <w:left w:val="single" w:color="auto" w:sz="4" w:space="0"/>
              <w:bottom w:val="single" w:color="auto" w:sz="4" w:space="0"/>
              <w:right w:val="single" w:color="auto" w:sz="4" w:space="0"/>
            </w:tcBorders>
            <w:vAlign w:val="center"/>
          </w:tcPr>
          <w:p w14:paraId="5BE7F7A8">
            <w:pPr>
              <w:spacing w:line="3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（二）采购预算</w:t>
            </w:r>
          </w:p>
        </w:tc>
        <w:tc>
          <w:tcPr>
            <w:tcW w:w="6276" w:type="dxa"/>
            <w:gridSpan w:val="4"/>
            <w:tcBorders>
              <w:top w:val="single" w:color="auto" w:sz="4" w:space="0"/>
              <w:left w:val="single" w:color="auto" w:sz="4" w:space="0"/>
              <w:bottom w:val="single" w:color="auto" w:sz="4" w:space="0"/>
              <w:right w:val="single" w:color="auto" w:sz="4" w:space="0"/>
            </w:tcBorders>
            <w:vAlign w:val="center"/>
          </w:tcPr>
          <w:p w14:paraId="6D14D26D">
            <w:pPr>
              <w:spacing w:line="3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本分标采购预算为人民币壹拾贰万元整（¥120000.00），供应商报价超采购预算金额的，响应文件按无效处理。</w:t>
            </w:r>
          </w:p>
        </w:tc>
      </w:tr>
    </w:tbl>
    <w:p w14:paraId="016CD1E1">
      <w:pPr>
        <w:rPr>
          <w:b/>
          <w:color w:val="auto"/>
          <w:highlight w:val="none"/>
        </w:rPr>
      </w:pPr>
    </w:p>
    <w:p w14:paraId="46BC59A3">
      <w:pPr>
        <w:rPr>
          <w:color w:val="auto"/>
          <w:sz w:val="44"/>
          <w:szCs w:val="44"/>
          <w:highlight w:val="none"/>
        </w:rPr>
      </w:pPr>
      <w:r>
        <w:rPr>
          <w:color w:val="auto"/>
          <w:highlight w:val="none"/>
        </w:rPr>
        <w:br w:type="page"/>
      </w:r>
    </w:p>
    <w:p w14:paraId="42C7A532">
      <w:pPr>
        <w:pStyle w:val="2"/>
        <w:spacing w:line="440" w:lineRule="exact"/>
        <w:jc w:val="center"/>
        <w:rPr>
          <w:color w:val="auto"/>
          <w:kern w:val="2"/>
          <w:highlight w:val="none"/>
        </w:rPr>
      </w:pPr>
      <w:r>
        <w:rPr>
          <w:rFonts w:hint="eastAsia"/>
          <w:color w:val="auto"/>
          <w:kern w:val="2"/>
          <w:highlight w:val="none"/>
        </w:rPr>
        <w:t>第四章</w:t>
      </w:r>
      <w:bookmarkStart w:id="93" w:name="_Hlk68601507"/>
      <w:r>
        <w:rPr>
          <w:rFonts w:hint="eastAsia"/>
          <w:color w:val="auto"/>
          <w:kern w:val="2"/>
          <w:highlight w:val="none"/>
        </w:rPr>
        <w:t>评审程序和评定成交的标准</w:t>
      </w:r>
      <w:bookmarkEnd w:id="86"/>
      <w:bookmarkEnd w:id="87"/>
      <w:bookmarkEnd w:id="93"/>
    </w:p>
    <w:p w14:paraId="00195273">
      <w:pPr>
        <w:spacing w:line="300" w:lineRule="exact"/>
        <w:jc w:val="center"/>
        <w:rPr>
          <w:rFonts w:ascii="宋体" w:hAnsi="宋体"/>
          <w:b/>
          <w:color w:val="auto"/>
          <w:sz w:val="32"/>
          <w:szCs w:val="32"/>
          <w:highlight w:val="none"/>
        </w:rPr>
      </w:pPr>
    </w:p>
    <w:p w14:paraId="667CACBD">
      <w:pPr>
        <w:spacing w:line="300" w:lineRule="exact"/>
        <w:jc w:val="center"/>
        <w:rPr>
          <w:rFonts w:ascii="宋体"/>
          <w:b/>
          <w:color w:val="auto"/>
          <w:sz w:val="32"/>
          <w:szCs w:val="32"/>
          <w:highlight w:val="none"/>
        </w:rPr>
      </w:pPr>
      <w:r>
        <w:rPr>
          <w:rFonts w:hint="eastAsia" w:ascii="宋体" w:hAnsi="宋体"/>
          <w:b/>
          <w:color w:val="auto"/>
          <w:sz w:val="32"/>
          <w:szCs w:val="32"/>
          <w:highlight w:val="none"/>
        </w:rPr>
        <w:t>一、评审程序</w:t>
      </w:r>
    </w:p>
    <w:p w14:paraId="57FBB9E2">
      <w:pPr>
        <w:spacing w:line="360" w:lineRule="auto"/>
        <w:ind w:firstLine="482" w:firstLineChars="200"/>
        <w:rPr>
          <w:rFonts w:ascii="黑体" w:hAnsi="黑体" w:eastAsia="黑体" w:cs="宋体"/>
          <w:b/>
          <w:bCs/>
          <w:color w:val="auto"/>
          <w:sz w:val="24"/>
          <w:highlight w:val="none"/>
        </w:rPr>
      </w:pPr>
    </w:p>
    <w:p w14:paraId="6F16F7C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确认谈判文件</w:t>
      </w:r>
    </w:p>
    <w:p w14:paraId="5F2D787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由谈判小组确认谈判文件。</w:t>
      </w:r>
    </w:p>
    <w:p w14:paraId="6E737D5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资格审查</w:t>
      </w:r>
    </w:p>
    <w:p w14:paraId="5F9B719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响应文件开启后，谈判小组依法对供应商的资格证明文件进行审查。</w:t>
      </w:r>
    </w:p>
    <w:p w14:paraId="69611CFF">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谈判小组</w:t>
      </w:r>
      <w:r>
        <w:rPr>
          <w:rFonts w:hint="eastAsia" w:ascii="宋体" w:hAnsi="宋体" w:cs="宋体"/>
          <w:color w:val="auto"/>
          <w:szCs w:val="21"/>
          <w:highlight w:val="none"/>
        </w:rPr>
        <w:t>在资格审查结束前，对供应商进行信用查询。</w:t>
      </w:r>
    </w:p>
    <w:p w14:paraId="4DA2417F">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）查询渠道：广西政府采购云平台“信用中国”网站（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）链接入口。</w:t>
      </w:r>
    </w:p>
    <w:p w14:paraId="64B77D53">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）信用查询截止时点：资格审查结束前。</w:t>
      </w:r>
    </w:p>
    <w:p w14:paraId="6E4FD156">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）查询记录和证据留存方式：在查询网站中直接查询，截图另存为电子文档作为评审资料保存。</w:t>
      </w:r>
    </w:p>
    <w:p w14:paraId="071EB792">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）信用信息使用规则：对在“信用中国”网站（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40752219">
      <w:pPr>
        <w:spacing w:line="360" w:lineRule="auto"/>
        <w:ind w:firstLine="420" w:firstLineChars="200"/>
        <w:rPr>
          <w:rFonts w:ascii="宋体" w:hAnsi="宋体" w:cs="宋体"/>
          <w:color w:val="auto"/>
          <w:szCs w:val="21"/>
          <w:highlight w:val="none"/>
        </w:rPr>
      </w:pPr>
      <w:r>
        <w:rPr>
          <w:rFonts w:hint="eastAsia"/>
          <w:color w:val="auto"/>
          <w:highlight w:val="none"/>
        </w:rPr>
        <w:t>谈判小组</w:t>
      </w:r>
      <w:r>
        <w:rPr>
          <w:rFonts w:hint="eastAsia" w:ascii="宋体" w:hAnsi="宋体" w:cs="宋体"/>
          <w:color w:val="auto"/>
          <w:szCs w:val="21"/>
          <w:highlight w:val="none"/>
        </w:rPr>
        <w:t>在资格审查结束前，对供应商企业股东及出资等信息进行查询。</w:t>
      </w:r>
    </w:p>
    <w:p w14:paraId="68A9EC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查询渠道：《国家企业信用信息公示系统》（网址：www.gsxt.gov.cn/index.html）</w:t>
      </w:r>
    </w:p>
    <w:p w14:paraId="59E4C4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审查流程：</w:t>
      </w:r>
    </w:p>
    <w:p w14:paraId="384F5B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进入《国家企业信用信息公示系统》（网址：www.gsxt.gov.cn/index.html），输入企业名称；进入企业信息主页面，查看主页“股东及出资信息”栏，或年报中的“股东及出资信息”栏信息；将各供应商的股东及出资信息进行比对，得出审查结论；将相关资料作为评审资料打印存档。</w:t>
      </w:r>
    </w:p>
    <w:p w14:paraId="5774B8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审查中如发现供应商存在单位负责人为同一人或者存在直接控股、管理关系的不同供应商参加同一合同项下的采购活动的，资格审查不通过，响应文件按无效处理。</w:t>
      </w:r>
    </w:p>
    <w:p w14:paraId="33E9130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资格审查标准为本谈判文件中载明对供应商资格要求的条件。本项目资格审查采用合格制，凡符合谈判文件规定的供应商资格要求的供应商均通过资格审查。</w:t>
      </w:r>
    </w:p>
    <w:p w14:paraId="0F8AF27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2.3 </w:t>
      </w:r>
      <w:r>
        <w:rPr>
          <w:rFonts w:hint="eastAsia" w:ascii="宋体" w:hAnsi="宋体" w:cs="宋体"/>
          <w:color w:val="auto"/>
          <w:szCs w:val="21"/>
          <w:highlight w:val="none"/>
        </w:rPr>
        <w:t>供应商有下列情形之一的，资格审查不通过，其响应文件按无效处理：</w:t>
      </w:r>
    </w:p>
    <w:p w14:paraId="6083B429">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）不具备谈判文件中规定的资格要求的；</w:t>
      </w:r>
    </w:p>
    <w:p w14:paraId="37A3844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）未按谈判文件规定的方式获取本谈判文件的供应商；</w:t>
      </w:r>
    </w:p>
    <w:p w14:paraId="17175E09">
      <w:p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）响应文件中的资格证明文件缺少任一项“供应商须知前附表”资格证明文件规定的“必须提供”的文件资料的；</w:t>
      </w:r>
    </w:p>
    <w:p w14:paraId="767F2D7F">
      <w:p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0801641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386A737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家（本章</w:t>
      </w:r>
      <w:r>
        <w:rPr>
          <w:rFonts w:ascii="宋体" w:hAnsi="宋体" w:cs="宋体"/>
          <w:color w:val="auto"/>
          <w:szCs w:val="21"/>
          <w:highlight w:val="none"/>
        </w:rPr>
        <w:t>3.7</w:t>
      </w:r>
      <w:r>
        <w:rPr>
          <w:rFonts w:hint="eastAsia" w:ascii="宋体" w:hAnsi="宋体" w:cs="宋体"/>
          <w:color w:val="auto"/>
          <w:szCs w:val="21"/>
          <w:highlight w:val="none"/>
        </w:rPr>
        <w:t>条规定除外）的，不得进入符合性审查环节，应当重新开展采购活动。</w:t>
      </w:r>
    </w:p>
    <w:p w14:paraId="66DD832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符合性审查</w:t>
      </w:r>
    </w:p>
    <w:p w14:paraId="5AFCB1C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谈判小组应当对符合资格的供应商的响应文件进行竞标报价、商务、技术等实质性要求符合性审查，以确定其是否满足谈判文件的实质性要求。</w:t>
      </w:r>
    </w:p>
    <w:p w14:paraId="2B3DE86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108A217">
      <w:pPr>
        <w:spacing w:line="360" w:lineRule="auto"/>
        <w:ind w:firstLine="420" w:firstLineChars="200"/>
        <w:rPr>
          <w:rFonts w:ascii="宋体" w:cs="宋体"/>
          <w:color w:val="auto"/>
          <w:spacing w:val="-6"/>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433EFF75">
      <w:pPr>
        <w:spacing w:line="360" w:lineRule="auto"/>
        <w:ind w:firstLine="420" w:firstLineChars="200"/>
        <w:rPr>
          <w:rFonts w:asci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62DB00B2">
      <w:pPr>
        <w:spacing w:line="360" w:lineRule="auto"/>
        <w:ind w:firstLine="396" w:firstLineChars="200"/>
        <w:rPr>
          <w:rFonts w:asci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首次响应文件报价出现前后不一致的，按照下列规定修正：</w:t>
      </w:r>
    </w:p>
    <w:p w14:paraId="06B6A62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）响应文件中报价表内容与响应文件中相应内容不一致的，以报价表为准；</w:t>
      </w:r>
    </w:p>
    <w:p w14:paraId="280FDDF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）大写金额和小写金额不一致的，以大写金额为准；</w:t>
      </w:r>
    </w:p>
    <w:p w14:paraId="03C2F30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）单价金额小数点或者百分比有明显错位的，以报价表的总价为准，并修改单价；</w:t>
      </w:r>
    </w:p>
    <w:p w14:paraId="68F1D9A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）总价金额与按单价汇总金额不一致的，以单价金额计算结果为准。</w:t>
      </w:r>
    </w:p>
    <w:p w14:paraId="21390AB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同时出现两种以上不一致的，按照以上（</w:t>
      </w:r>
      <w:r>
        <w:rPr>
          <w:rFonts w:ascii="宋体" w:hAnsi="宋体" w:cs="宋体"/>
          <w:color w:val="auto"/>
          <w:szCs w:val="21"/>
          <w:highlight w:val="none"/>
        </w:rPr>
        <w:t>1</w:t>
      </w:r>
      <w:r>
        <w:rPr>
          <w:rFonts w:hint="eastAsia" w:ascii="宋体" w:hAnsi="宋体" w:cs="宋体"/>
          <w:color w:val="auto"/>
          <w:szCs w:val="21"/>
          <w:highlight w:val="none"/>
        </w:rPr>
        <w:t>）</w:t>
      </w:r>
      <w:r>
        <w:rPr>
          <w:rFonts w:asci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）规定的顺序逐条进行修正。修正后的报价经供应商确认后产生约束力，供应商不确认的，其响应文件按无效响应处理。</w:t>
      </w:r>
    </w:p>
    <w:p w14:paraId="245D80F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asci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3228BC0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5FC2128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）商务技术评审</w:t>
      </w:r>
    </w:p>
    <w:p w14:paraId="334E023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）响应文件未按谈判文件要求签署、盖章的；</w:t>
      </w:r>
    </w:p>
    <w:p w14:paraId="52B8AA4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）委托代理人未能出具有效身份证或者出具的身份证与授权委托书中的信息不符的；</w:t>
      </w:r>
    </w:p>
    <w:p w14:paraId="1169A15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）提交的竞标保证金无效的或者未按照谈判文件的规定提交竞标保证金；</w:t>
      </w:r>
    </w:p>
    <w:p w14:paraId="1C5F52E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0FFB7E7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）商务要求允许负偏离的条款数超过“供应商须知前附表”规定项数的；</w:t>
      </w:r>
    </w:p>
    <w:p w14:paraId="3E30922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）未对竞标有效期作出响应或者响应文件承诺的竞标有效期不满足谈判文件要求；</w:t>
      </w:r>
    </w:p>
    <w:p w14:paraId="6864792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）响应文件的实质性内容未使用中文表述、使用计量单位不符合谈判文件要求的；</w:t>
      </w:r>
    </w:p>
    <w:p w14:paraId="7187A3F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）响应文件中的文件资料因填写不齐全或者内容虚假或者出现其他情形而导致被谈判小组认定无效的；</w:t>
      </w:r>
    </w:p>
    <w:p w14:paraId="7BAAA87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）响应文件含有采购人不能接受的附加条件的；</w:t>
      </w:r>
    </w:p>
    <w:p w14:paraId="5D0E377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ascii="宋体" w:cs="宋体"/>
          <w:color w:val="auto"/>
          <w:szCs w:val="21"/>
          <w:highlight w:val="none"/>
        </w:rPr>
        <w:t>0</w:t>
      </w:r>
      <w:r>
        <w:rPr>
          <w:rFonts w:hint="eastAsia" w:ascii="宋体" w:hAnsi="宋体" w:cs="宋体"/>
          <w:color w:val="auto"/>
          <w:szCs w:val="21"/>
          <w:highlight w:val="none"/>
        </w:rPr>
        <w:t>）属于“供应商须知正文”第</w:t>
      </w:r>
      <w:r>
        <w:rPr>
          <w:rFonts w:ascii="宋体" w:hAnsi="宋体" w:cs="宋体"/>
          <w:color w:val="auto"/>
          <w:szCs w:val="21"/>
          <w:highlight w:val="none"/>
        </w:rPr>
        <w:t>7.5</w:t>
      </w:r>
      <w:r>
        <w:rPr>
          <w:rFonts w:hint="eastAsia" w:ascii="宋体" w:hAnsi="宋体" w:cs="宋体"/>
          <w:color w:val="auto"/>
          <w:szCs w:val="21"/>
          <w:highlight w:val="none"/>
        </w:rPr>
        <w:t>条的情形的；</w:t>
      </w:r>
    </w:p>
    <w:p w14:paraId="0573E1A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）技术评审允许负偏离的条款数超过“供应商须知前附表”规定项数的；</w:t>
      </w:r>
    </w:p>
    <w:p w14:paraId="49A36C7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）虚假竞标，或者出现其他情形而导致被谈判小组认定无效的；</w:t>
      </w:r>
    </w:p>
    <w:p w14:paraId="1D85446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w:t>
      </w:r>
      <w:bookmarkStart w:id="94"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94"/>
    </w:p>
    <w:p w14:paraId="1C9D490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w:t>
      </w:r>
      <w:r>
        <w:rPr>
          <w:rFonts w:hint="eastAsia" w:ascii="宋体" w:hAnsi="宋体"/>
          <w:color w:val="auto"/>
          <w:szCs w:val="21"/>
          <w:highlight w:val="none"/>
        </w:rPr>
        <w:t>谈判文件明确不允许分包，响应文件拟分包的；</w:t>
      </w:r>
    </w:p>
    <w:p w14:paraId="590875A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）未响应谈判文件实质性要求；</w:t>
      </w:r>
    </w:p>
    <w:p w14:paraId="349754A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）法律、法规和谈判文件规定的其他无效情形。</w:t>
      </w:r>
    </w:p>
    <w:p w14:paraId="2C97463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426E552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）响应文件未提供“供应商须知前附表”报价文件中规定的“竞标报价表”的；</w:t>
      </w:r>
    </w:p>
    <w:p w14:paraId="1DC5551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）未采用人民币报价或者未按照谈判文件标明的币种报价的；</w:t>
      </w:r>
    </w:p>
    <w:p w14:paraId="365F303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未就本项目所有内容进行报价或者存在漏项报价；供应商未就本项目单项内容作唯一报价；供应商未就本项目的全部内容作完整唯一总价报价；供应商响应文件中存在有选择、有条件报价的（谈判文件允许有备选方案或者其他约定的除外）；</w:t>
      </w:r>
    </w:p>
    <w:p w14:paraId="7CC9C9C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竞标报价（包含首次报价、最后报价）超过本项目规定的相应分标采购预算金额或者最高限价的（如本项目公布了最高限价）；竞标报价（包含首次报价、最后报价）超过谈判文件相应分标分项采购预算金额或者最高限价的（如本项目公布了最高限价）；</w:t>
      </w:r>
    </w:p>
    <w:p w14:paraId="644DE32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修正后的报价，供应商不确认的；或者经供应商确认修正后的竞标报价（包含首次报价、最后报价）超过本项目规定的相应分标采购预算金额或者最高限价（如本项目公布了最高限价）；或者经供应商确认修正后竞标报价（包含首次报价、最后报价）超过谈判文件相应分标分项采购预算金额或者最高限价的（如本项目公布了最高限价）。</w:t>
      </w:r>
    </w:p>
    <w:p w14:paraId="1B103AB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w:t>
      </w:r>
      <w:r>
        <w:rPr>
          <w:rFonts w:hint="eastAsia" w:ascii="宋体" w:hAnsi="宋体"/>
          <w:color w:val="auto"/>
          <w:szCs w:val="21"/>
          <w:highlight w:val="none"/>
        </w:rPr>
        <w:t>响应文件响应的标的数量及单位与竞争性谈判采购文件要求实质性不一致的。</w:t>
      </w:r>
    </w:p>
    <w:p w14:paraId="58A864E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谈判小组对响应文件进行评审，未实质性响应谈判文件的响应文件按无效处理。谈判小组应当将资格和符合性不通过的情况告知有关供应商。谈判小组从符合谈判文件规定的相应资格条件的供应商名单中确定不少于</w:t>
      </w:r>
      <w:r>
        <w:rPr>
          <w:rFonts w:ascii="宋体" w:hAnsi="宋体" w:cs="宋体"/>
          <w:color w:val="auto"/>
          <w:szCs w:val="21"/>
          <w:highlight w:val="none"/>
        </w:rPr>
        <w:t>3</w:t>
      </w:r>
      <w:r>
        <w:rPr>
          <w:rFonts w:hint="eastAsia" w:ascii="宋体" w:hAnsi="宋体" w:cs="宋体"/>
          <w:color w:val="auto"/>
          <w:szCs w:val="21"/>
          <w:highlight w:val="none"/>
        </w:rPr>
        <w:t>家的供应商参加谈判。</w:t>
      </w:r>
    </w:p>
    <w:p w14:paraId="4F32D7A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3.7</w:t>
      </w:r>
      <w:r>
        <w:rPr>
          <w:rFonts w:hint="eastAsia" w:ascii="宋体" w:hAnsi="宋体" w:cs="宋体"/>
          <w:color w:val="auto"/>
          <w:szCs w:val="21"/>
          <w:highlight w:val="none"/>
        </w:rPr>
        <w:t>公开招标的货物、服务采购项目，招标过程中提交响应文件或者经评审实质性响应谈判文件要求的供应商只有两家时，采购人、采购代理机构按照《政府采购非招标采购方式管理办法》（财政部</w:t>
      </w:r>
      <w:r>
        <w:rPr>
          <w:rFonts w:ascii="宋体" w:hAnsi="宋体" w:cs="宋体"/>
          <w:color w:val="auto"/>
          <w:szCs w:val="21"/>
          <w:highlight w:val="none"/>
        </w:rPr>
        <w:t>74</w:t>
      </w:r>
      <w:r>
        <w:rPr>
          <w:rFonts w:hint="eastAsia" w:ascii="宋体" w:hAnsi="宋体" w:cs="宋体"/>
          <w:color w:val="auto"/>
          <w:szCs w:val="21"/>
          <w:highlight w:val="none"/>
        </w:rPr>
        <w:t>号令）第四条经本级财政部门批准后可以与该两家供应商进行竞争性谈判采购。</w:t>
      </w:r>
    </w:p>
    <w:p w14:paraId="6C87887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3.8</w:t>
      </w:r>
      <w:r>
        <w:rPr>
          <w:rFonts w:hint="eastAsia" w:ascii="宋体" w:hAnsi="宋体" w:cs="宋体"/>
          <w:color w:val="auto"/>
          <w:szCs w:val="21"/>
          <w:highlight w:val="none"/>
        </w:rPr>
        <w:t>除本章</w:t>
      </w:r>
      <w:r>
        <w:rPr>
          <w:rFonts w:ascii="宋体" w:hAnsi="宋体" w:cs="宋体"/>
          <w:color w:val="auto"/>
          <w:szCs w:val="21"/>
          <w:highlight w:val="none"/>
        </w:rPr>
        <w:t>3.7</w:t>
      </w:r>
      <w:r>
        <w:rPr>
          <w:rFonts w:hint="eastAsia" w:ascii="宋体" w:hAnsi="宋体" w:cs="宋体"/>
          <w:color w:val="auto"/>
          <w:szCs w:val="21"/>
          <w:highlight w:val="none"/>
        </w:rPr>
        <w:t>条规定的情形外，通过符合性审查的合格供应商不足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家的，不得进入谈判环节，应当重新开展采购活动。</w:t>
      </w:r>
    </w:p>
    <w:p w14:paraId="268C226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谈判程序</w:t>
      </w:r>
    </w:p>
    <w:p w14:paraId="691111D9">
      <w:pPr>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4.1</w:t>
      </w:r>
      <w:r>
        <w:rPr>
          <w:rFonts w:hint="eastAsia" w:ascii="宋体" w:hAnsi="宋体" w:cs="宋体"/>
          <w:color w:val="auto"/>
          <w:kern w:val="0"/>
          <w:szCs w:val="21"/>
          <w:highlight w:val="none"/>
        </w:rPr>
        <w:t>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4EE6ADC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02A4FC5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对谈判文件作出的实质性变动是谈判文件的有效组成部分，由谈判小组及时以电子澄清函形式同时通知所有参加谈判的供应商。</w:t>
      </w:r>
    </w:p>
    <w:p w14:paraId="0E70672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0932E23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谈判中，谈判的任何一方不得透露与谈判有关的其他供应商的技术资料、价格和其他信息。</w:t>
      </w:r>
    </w:p>
    <w:p w14:paraId="001D6A05">
      <w:pPr>
        <w:widowControl/>
        <w:tabs>
          <w:tab w:val="left" w:pos="540"/>
        </w:tabs>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谈判小组应对谈判过程和重要谈判内容进行记录。</w:t>
      </w:r>
    </w:p>
    <w:p w14:paraId="0378F5F8">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除本章第</w:t>
      </w:r>
      <w:r>
        <w:rPr>
          <w:rFonts w:ascii="宋体" w:hAnsi="宋体" w:cs="宋体"/>
          <w:color w:val="auto"/>
          <w:szCs w:val="21"/>
          <w:highlight w:val="none"/>
        </w:rPr>
        <w:t>3.7</w:t>
      </w:r>
      <w:r>
        <w:rPr>
          <w:rFonts w:hint="eastAsia" w:ascii="宋体" w:hAnsi="宋体" w:cs="宋体"/>
          <w:color w:val="auto"/>
          <w:szCs w:val="21"/>
          <w:highlight w:val="none"/>
        </w:rPr>
        <w:t>条外，</w:t>
      </w:r>
      <w:r>
        <w:rPr>
          <w:rFonts w:hint="eastAsia" w:ascii="宋体" w:hAnsi="宋体"/>
          <w:color w:val="auto"/>
          <w:szCs w:val="21"/>
          <w:highlight w:val="none"/>
        </w:rPr>
        <w:t>对谈判过程提交的响应文件进行有效性、完整性和响应程度审查，通过审查的合格供应商不足</w:t>
      </w:r>
      <w:r>
        <w:rPr>
          <w:rFonts w:ascii="宋体" w:hAnsi="宋体"/>
          <w:color w:val="auto"/>
          <w:szCs w:val="21"/>
          <w:highlight w:val="none"/>
        </w:rPr>
        <w:t>3</w:t>
      </w:r>
      <w:r>
        <w:rPr>
          <w:rFonts w:hint="eastAsia" w:ascii="宋体" w:hAnsi="宋体"/>
          <w:color w:val="auto"/>
          <w:szCs w:val="21"/>
          <w:highlight w:val="none"/>
        </w:rPr>
        <w:t>家的，采购人或者采购代理机构应当重新开展采购活动</w:t>
      </w:r>
      <w:r>
        <w:rPr>
          <w:rFonts w:hint="eastAsia" w:ascii="宋体" w:hAnsi="宋体" w:cs="宋体"/>
          <w:color w:val="auto"/>
          <w:szCs w:val="21"/>
          <w:highlight w:val="none"/>
        </w:rPr>
        <w:t>。</w:t>
      </w:r>
    </w:p>
    <w:p w14:paraId="5280EEC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5.</w:t>
      </w:r>
      <w:r>
        <w:rPr>
          <w:rFonts w:hint="eastAsia" w:ascii="黑体" w:hAnsi="黑体" w:eastAsia="黑体" w:cs="宋体"/>
          <w:b/>
          <w:bCs/>
          <w:color w:val="auto"/>
          <w:sz w:val="24"/>
          <w:highlight w:val="none"/>
        </w:rPr>
        <w:t>最后报价</w:t>
      </w:r>
    </w:p>
    <w:p w14:paraId="37544B2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谈判文件能够详细列明采购标的的技术、服务要求的，谈判结束后，谈判小组应当要求所有继续参加谈判的供应商在规定时间内在广西政府采购云平台开标大厅提交最后报价，除本章第</w:t>
      </w:r>
      <w:r>
        <w:rPr>
          <w:rFonts w:ascii="宋体" w:hAnsi="宋体" w:cs="宋体"/>
          <w:color w:val="auto"/>
          <w:szCs w:val="21"/>
          <w:highlight w:val="none"/>
        </w:rPr>
        <w:t>3.7</w:t>
      </w:r>
      <w:r>
        <w:rPr>
          <w:rFonts w:hint="eastAsia" w:ascii="宋体" w:hAnsi="宋体" w:cs="宋体"/>
          <w:color w:val="auto"/>
          <w:szCs w:val="21"/>
          <w:highlight w:val="none"/>
        </w:rPr>
        <w:t>条外，提交最后报价的供应商不得少于</w:t>
      </w:r>
      <w:r>
        <w:rPr>
          <w:rFonts w:ascii="宋体" w:hAnsi="宋体" w:cs="宋体"/>
          <w:color w:val="auto"/>
          <w:szCs w:val="21"/>
          <w:highlight w:val="none"/>
        </w:rPr>
        <w:t>3</w:t>
      </w:r>
      <w:r>
        <w:rPr>
          <w:rFonts w:hint="eastAsia" w:ascii="宋体" w:hAnsi="宋体" w:cs="宋体"/>
          <w:color w:val="auto"/>
          <w:szCs w:val="21"/>
          <w:highlight w:val="none"/>
        </w:rPr>
        <w:t>家，否则应当重新采购。</w:t>
      </w:r>
    </w:p>
    <w:p w14:paraId="37D3CD1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asci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w:t>
      </w:r>
      <w:r>
        <w:rPr>
          <w:rFonts w:ascii="宋体" w:hAnsi="宋体" w:cs="宋体"/>
          <w:color w:val="auto"/>
          <w:szCs w:val="21"/>
          <w:highlight w:val="none"/>
        </w:rPr>
        <w:t>3</w:t>
      </w:r>
      <w:r>
        <w:rPr>
          <w:rFonts w:hint="eastAsia" w:ascii="宋体" w:hAnsi="宋体" w:cs="宋体"/>
          <w:color w:val="auto"/>
          <w:szCs w:val="21"/>
          <w:highlight w:val="none"/>
        </w:rPr>
        <w:t>家以上供应商的设计方案或者解决方案，并要求其在规定时间内在广西政府采购云平台开标大厅提交最后报价。</w:t>
      </w:r>
    </w:p>
    <w:p w14:paraId="5370C95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最后报价是供应商响应文件的有效组成部分。</w:t>
      </w:r>
    </w:p>
    <w:p w14:paraId="28E91FD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已经提交响应文件的供应商，在提交最后报价之前，可以根据谈判情况退出谈判，退出谈判的供应商的响应文件按无效响应处理。采购人、采购代理机构将退还退出谈判的供应商的保证金。</w:t>
      </w:r>
    </w:p>
    <w:p w14:paraId="12766F8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供应商未在规定时间内提交最后报价的，视为退出谈判，其响应文件按无效处理。</w:t>
      </w:r>
    </w:p>
    <w:p w14:paraId="64A0E59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5.6</w:t>
      </w:r>
      <w:r>
        <w:rPr>
          <w:rFonts w:hint="eastAsia" w:ascii="宋体" w:hAnsi="宋体" w:cs="宋体"/>
          <w:color w:val="auto"/>
          <w:szCs w:val="21"/>
          <w:highlight w:val="none"/>
        </w:rPr>
        <w:t>最后报价统一开启后，谈判小组对最后报价进行有效性、完整性和响应程度的审查。</w:t>
      </w:r>
    </w:p>
    <w:p w14:paraId="0B945BA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条的规定修正。</w:t>
      </w:r>
    </w:p>
    <w:p w14:paraId="558DA77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5.8</w:t>
      </w:r>
      <w:r>
        <w:rPr>
          <w:rFonts w:hint="eastAsia" w:ascii="宋体" w:hAnsi="宋体" w:cs="宋体"/>
          <w:color w:val="auto"/>
          <w:szCs w:val="21"/>
          <w:highlight w:val="none"/>
        </w:rPr>
        <w:t>修正后的报价出现下列情形的，按无效响应处理：</w:t>
      </w:r>
    </w:p>
    <w:p w14:paraId="365E026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）供应商不确认的（全流程电子化评标采取在线确认）；</w:t>
      </w:r>
    </w:p>
    <w:p w14:paraId="4F8F0D8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）经供应商确认修正后的竞标报价（包含首次报价、最后报价）超过本项目规定的采购预算金额或者最高限价的（如本项目公布了最高限价）；</w:t>
      </w:r>
    </w:p>
    <w:p w14:paraId="3E069AE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）经供应商确认修正后的竞标报价（包含首次报价、最后报价）超过分项采购预算金额或者最高限价的（如本项目公布了最高限价）。</w:t>
      </w:r>
    </w:p>
    <w:p w14:paraId="1E7280B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5.9</w:t>
      </w:r>
      <w:r>
        <w:rPr>
          <w:rFonts w:hint="eastAsia" w:ascii="宋体" w:hAnsi="宋体" w:cs="宋体"/>
          <w:color w:val="auto"/>
          <w:szCs w:val="21"/>
          <w:highlight w:val="none"/>
        </w:rPr>
        <w:t>经供应商确认修正后的最后报价作为评审及签订合同的依据。</w:t>
      </w:r>
    </w:p>
    <w:p w14:paraId="29C0C7A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5.10</w:t>
      </w:r>
      <w:r>
        <w:rPr>
          <w:rFonts w:hint="eastAsia" w:ascii="宋体" w:hAnsi="宋体" w:cs="宋体"/>
          <w:color w:val="auto"/>
          <w:szCs w:val="21"/>
          <w:highlight w:val="none"/>
        </w:rPr>
        <w:t>供应商出现最后报价按无效响应处理或者响应文件按无效处理时</w:t>
      </w:r>
      <w:r>
        <w:rPr>
          <w:rFonts w:hint="eastAsia" w:ascii="宋体" w:hAnsi="宋体"/>
          <w:color w:val="auto"/>
          <w:sz w:val="22"/>
          <w:szCs w:val="22"/>
          <w:highlight w:val="none"/>
        </w:rPr>
        <w:t>，谈判小组应当告知有关供应商</w:t>
      </w:r>
      <w:r>
        <w:rPr>
          <w:rFonts w:hint="eastAsia" w:ascii="宋体" w:hAnsi="宋体" w:cs="宋体"/>
          <w:color w:val="auto"/>
          <w:szCs w:val="21"/>
          <w:highlight w:val="none"/>
        </w:rPr>
        <w:t>。</w:t>
      </w:r>
    </w:p>
    <w:p w14:paraId="63B8C72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5.11</w:t>
      </w:r>
      <w:r>
        <w:rPr>
          <w:rFonts w:hint="eastAsia" w:ascii="宋体" w:hAnsi="宋体" w:cs="宋体"/>
          <w:color w:val="auto"/>
          <w:szCs w:val="21"/>
          <w:highlight w:val="none"/>
        </w:rPr>
        <w:t>最后报价结束后，谈判小组不得再与供应商进行任何形式的商谈。</w:t>
      </w:r>
    </w:p>
    <w:p w14:paraId="42BC3F4A">
      <w:pPr>
        <w:spacing w:line="360" w:lineRule="auto"/>
        <w:ind w:firstLine="472" w:firstLineChars="196"/>
        <w:rPr>
          <w:rFonts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最后报价政府采购政策性扣除</w:t>
      </w:r>
    </w:p>
    <w:p w14:paraId="4AD4CED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1105A49">
      <w:pPr>
        <w:spacing w:line="360" w:lineRule="auto"/>
        <w:ind w:firstLine="420" w:firstLineChars="200"/>
        <w:rPr>
          <w:rFonts w:ascii="宋体" w:cs="宋体"/>
          <w:color w:val="auto"/>
          <w:highlight w:val="none"/>
        </w:rPr>
      </w:pPr>
      <w:r>
        <w:rPr>
          <w:rFonts w:ascii="宋体" w:hAnsi="宋体" w:cs="宋体"/>
          <w:color w:val="auto"/>
          <w:szCs w:val="21"/>
          <w:highlight w:val="none"/>
        </w:rPr>
        <w:t>6.2</w:t>
      </w:r>
      <w:r>
        <w:rPr>
          <w:rFonts w:hint="eastAsia" w:ascii="宋体" w:hAnsi="宋体" w:cs="宋体"/>
          <w:color w:val="auto"/>
          <w:highlight w:val="none"/>
        </w:rPr>
        <w:t>政策性扣除计算方法。</w:t>
      </w:r>
    </w:p>
    <w:p w14:paraId="4B647B3C">
      <w:pPr>
        <w:spacing w:line="360" w:lineRule="auto"/>
        <w:ind w:firstLine="369" w:firstLineChars="176"/>
        <w:rPr>
          <w:rFonts w:ascii="宋体" w:cs="宋体"/>
          <w:color w:val="auto"/>
          <w:highlight w:val="none"/>
        </w:rPr>
      </w:pPr>
      <w:r>
        <w:rPr>
          <w:rFonts w:hint="eastAsia" w:ascii="宋体" w:hAnsi="宋体" w:cs="宋体"/>
          <w:color w:val="auto"/>
          <w:szCs w:val="21"/>
          <w:highlight w:val="none"/>
        </w:rPr>
        <w:t>根据《政府采购促进中小企业发展管理办法》（财库〔</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46</w:t>
      </w:r>
      <w:r>
        <w:rPr>
          <w:rFonts w:hint="eastAsia" w:ascii="宋体" w:hAnsi="宋体" w:cs="宋体"/>
          <w:color w:val="auto"/>
          <w:szCs w:val="21"/>
          <w:highlight w:val="none"/>
        </w:rPr>
        <w:t>号）及《广西壮族自治区财政厅关于持续优化政府采购营商环境推动高质量发展的通知》（桂财采〔2024〕55号）的规定，供应商在其响应文件中提供《中小企业声明函》，</w:t>
      </w:r>
      <w:r>
        <w:rPr>
          <w:rFonts w:hint="eastAsia" w:ascii="宋体" w:hAnsi="宋体"/>
          <w:bCs/>
          <w:color w:val="auto"/>
          <w:szCs w:val="21"/>
          <w:highlight w:val="none"/>
        </w:rPr>
        <w:t>且其竞标全部货物由符合政策要求的小微企业制造的</w:t>
      </w:r>
      <w:r>
        <w:rPr>
          <w:rFonts w:hint="eastAsia" w:ascii="宋体" w:hAnsi="宋体" w:cs="宋体"/>
          <w:color w:val="auto"/>
          <w:szCs w:val="21"/>
          <w:highlight w:val="none"/>
        </w:rPr>
        <w:t>，</w:t>
      </w:r>
      <w:r>
        <w:rPr>
          <w:rFonts w:hint="eastAsia" w:ascii="宋体" w:hAnsi="宋体"/>
          <w:bCs/>
          <w:color w:val="auto"/>
          <w:szCs w:val="21"/>
          <w:highlight w:val="none"/>
        </w:rPr>
        <w:t>对供应商的竞标报价给予1</w:t>
      </w:r>
      <w:r>
        <w:rPr>
          <w:rFonts w:ascii="宋体" w:hAnsi="宋体"/>
          <w:bCs/>
          <w:color w:val="auto"/>
          <w:szCs w:val="21"/>
          <w:highlight w:val="none"/>
        </w:rPr>
        <w:t>0%</w:t>
      </w:r>
      <w:r>
        <w:rPr>
          <w:rFonts w:hint="eastAsia" w:ascii="宋体" w:hAnsi="宋体"/>
          <w:bCs/>
          <w:color w:val="auto"/>
          <w:szCs w:val="21"/>
          <w:highlight w:val="none"/>
        </w:rPr>
        <w:t>的扣除，扣除后的价格为评审价，即评审价</w:t>
      </w:r>
      <w:r>
        <w:rPr>
          <w:rFonts w:ascii="宋体" w:hAnsi="宋体"/>
          <w:bCs/>
          <w:color w:val="auto"/>
          <w:szCs w:val="21"/>
          <w:highlight w:val="none"/>
        </w:rPr>
        <w:t>=</w:t>
      </w:r>
      <w:r>
        <w:rPr>
          <w:rFonts w:hint="eastAsia" w:ascii="宋体" w:hAnsi="宋体"/>
          <w:bCs/>
          <w:color w:val="auto"/>
          <w:szCs w:val="21"/>
          <w:highlight w:val="none"/>
        </w:rPr>
        <w:t>竞标报价×（</w:t>
      </w:r>
      <w:r>
        <w:rPr>
          <w:rFonts w:ascii="宋体" w:hAnsi="宋体"/>
          <w:bCs/>
          <w:color w:val="auto"/>
          <w:szCs w:val="21"/>
          <w:highlight w:val="none"/>
        </w:rPr>
        <w:t>1-</w:t>
      </w:r>
      <w:r>
        <w:rPr>
          <w:rFonts w:hint="eastAsia" w:ascii="宋体" w:hAnsi="宋体"/>
          <w:bCs/>
          <w:color w:val="auto"/>
          <w:szCs w:val="21"/>
          <w:highlight w:val="none"/>
        </w:rPr>
        <w:t>1</w:t>
      </w:r>
      <w:r>
        <w:rPr>
          <w:rFonts w:ascii="宋体"/>
          <w:bCs/>
          <w:color w:val="auto"/>
          <w:szCs w:val="21"/>
          <w:highlight w:val="none"/>
        </w:rPr>
        <w:t>0</w:t>
      </w:r>
      <w:r>
        <w:rPr>
          <w:rFonts w:ascii="宋体" w:hAnsi="宋体"/>
          <w:bCs/>
          <w:color w:val="auto"/>
          <w:szCs w:val="21"/>
          <w:highlight w:val="none"/>
        </w:rPr>
        <w:t>%</w:t>
      </w:r>
      <w:r>
        <w:rPr>
          <w:rFonts w:hint="eastAsia" w:ascii="宋体" w:hAnsi="宋体"/>
          <w:bCs/>
          <w:color w:val="auto"/>
          <w:szCs w:val="21"/>
          <w:highlight w:val="none"/>
        </w:rPr>
        <w:t>）。</w:t>
      </w:r>
    </w:p>
    <w:p w14:paraId="68D8890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按照《财政部、司法部关于政府采购支持监狱企业发展有关问题的通知》（财库〔</w:t>
      </w:r>
      <w:r>
        <w:rPr>
          <w:rFonts w:ascii="宋体" w:hAnsi="宋体" w:cs="宋体"/>
          <w:color w:val="auto"/>
          <w:szCs w:val="21"/>
          <w:highlight w:val="none"/>
        </w:rPr>
        <w:t>2014</w:t>
      </w:r>
      <w:r>
        <w:rPr>
          <w:rFonts w:hint="eastAsia" w:ascii="宋体" w:hAnsi="宋体" w:cs="宋体"/>
          <w:color w:val="auto"/>
          <w:szCs w:val="21"/>
          <w:highlight w:val="none"/>
        </w:rPr>
        <w:t>〕</w:t>
      </w:r>
      <w:r>
        <w:rPr>
          <w:rFonts w:ascii="宋体" w:hAnsi="宋体" w:cs="宋体"/>
          <w:color w:val="auto"/>
          <w:szCs w:val="21"/>
          <w:highlight w:val="none"/>
        </w:rPr>
        <w:t>68</w:t>
      </w:r>
      <w:r>
        <w:rPr>
          <w:rFonts w:hint="eastAsia" w:ascii="宋体" w:hAnsi="宋体" w:cs="宋体"/>
          <w:color w:val="auto"/>
          <w:szCs w:val="21"/>
          <w:highlight w:val="none"/>
        </w:rPr>
        <w:t>号）的规定，监狱企业视同小型、微型企业，享受预留份额、评审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w:t>
      </w:r>
      <w:r>
        <w:rPr>
          <w:rFonts w:hint="eastAsia" w:ascii="宋体" w:hAnsi="宋体" w:cs="宋体"/>
          <w:color w:val="auto"/>
          <w:szCs w:val="21"/>
          <w:highlight w:val="none"/>
        </w:rPr>
        <w:t>不重复享受政策。</w:t>
      </w:r>
    </w:p>
    <w:p w14:paraId="560DE8BF">
      <w:pPr>
        <w:spacing w:line="360" w:lineRule="auto"/>
        <w:ind w:firstLine="420" w:firstLineChars="200"/>
        <w:rPr>
          <w:rFonts w:ascii="宋体" w:cs="宋体"/>
          <w:color w:val="auto"/>
          <w:highlight w:val="none"/>
        </w:rPr>
      </w:pPr>
      <w:r>
        <w:rPr>
          <w:rFonts w:ascii="宋体" w:hAnsi="宋体" w:cs="宋体"/>
          <w:color w:val="auto"/>
          <w:szCs w:val="21"/>
          <w:highlight w:val="none"/>
        </w:rPr>
        <w:t>6.4</w:t>
      </w:r>
      <w:r>
        <w:rPr>
          <w:rFonts w:hint="eastAsia" w:ascii="宋体" w:hAnsi="宋体" w:cs="宋体"/>
          <w:color w:val="auto"/>
          <w:szCs w:val="21"/>
          <w:highlight w:val="none"/>
        </w:rPr>
        <w:t>按照《关于促进残疾人就业政府采购政策的通知》（财库〔</w:t>
      </w:r>
      <w:r>
        <w:rPr>
          <w:rFonts w:ascii="宋体" w:hAnsi="宋体" w:cs="宋体"/>
          <w:color w:val="auto"/>
          <w:szCs w:val="21"/>
          <w:highlight w:val="none"/>
        </w:rPr>
        <w:t>2017</w:t>
      </w:r>
      <w:r>
        <w:rPr>
          <w:rFonts w:hint="eastAsia" w:ascii="宋体" w:hAnsi="宋体" w:cs="宋体"/>
          <w:color w:val="auto"/>
          <w:szCs w:val="21"/>
          <w:highlight w:val="none"/>
        </w:rPr>
        <w:t>〕</w:t>
      </w:r>
      <w:r>
        <w:rPr>
          <w:rFonts w:ascii="宋体" w:hAnsi="宋体" w:cs="宋体"/>
          <w:color w:val="auto"/>
          <w:szCs w:val="21"/>
          <w:highlight w:val="none"/>
        </w:rPr>
        <w:t>141</w:t>
      </w:r>
      <w:r>
        <w:rPr>
          <w:rFonts w:hint="eastAsia" w:ascii="宋体" w:hAnsi="宋体" w:cs="宋体"/>
          <w:color w:val="auto"/>
          <w:szCs w:val="21"/>
          <w:highlight w:val="none"/>
        </w:rPr>
        <w:t>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EA6D65A">
      <w:pPr>
        <w:spacing w:line="360" w:lineRule="auto"/>
        <w:ind w:firstLine="420" w:firstLineChars="200"/>
        <w:rPr>
          <w:rFonts w:ascii="宋体" w:cs="宋体"/>
          <w:color w:val="auto"/>
          <w:highlight w:val="none"/>
        </w:rPr>
      </w:pPr>
      <w:r>
        <w:rPr>
          <w:rFonts w:ascii="宋体" w:hAnsi="宋体" w:cs="宋体"/>
          <w:color w:val="auto"/>
          <w:highlight w:val="none"/>
        </w:rPr>
        <w:t>6.5</w:t>
      </w:r>
      <w:r>
        <w:rPr>
          <w:rFonts w:hint="eastAsia" w:ascii="宋体" w:hAnsi="宋体" w:cs="宋体"/>
          <w:color w:val="auto"/>
          <w:highlight w:val="none"/>
        </w:rPr>
        <w:t>除上述情况外，评审价＝最后报价。</w:t>
      </w:r>
    </w:p>
    <w:p w14:paraId="117A3B47">
      <w:pPr>
        <w:spacing w:line="360" w:lineRule="auto"/>
        <w:jc w:val="center"/>
        <w:rPr>
          <w:rFonts w:ascii="宋体"/>
          <w:b/>
          <w:color w:val="auto"/>
          <w:sz w:val="32"/>
          <w:szCs w:val="32"/>
          <w:highlight w:val="none"/>
        </w:rPr>
      </w:pPr>
      <w:r>
        <w:rPr>
          <w:rFonts w:hint="eastAsia" w:ascii="宋体" w:hAnsi="宋体"/>
          <w:b/>
          <w:color w:val="auto"/>
          <w:sz w:val="32"/>
          <w:szCs w:val="32"/>
          <w:highlight w:val="none"/>
        </w:rPr>
        <w:t>二、评定成交的标准</w:t>
      </w:r>
    </w:p>
    <w:p w14:paraId="1940BA9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7.</w:t>
      </w:r>
      <w:r>
        <w:rPr>
          <w:rFonts w:hint="eastAsia" w:ascii="黑体" w:hAnsi="黑体" w:eastAsia="黑体" w:cs="宋体"/>
          <w:b/>
          <w:bCs/>
          <w:color w:val="auto"/>
          <w:sz w:val="24"/>
          <w:highlight w:val="none"/>
        </w:rPr>
        <w:t>成交候选人推荐</w:t>
      </w:r>
    </w:p>
    <w:p w14:paraId="6342AAE9">
      <w:pPr>
        <w:spacing w:line="360" w:lineRule="auto"/>
        <w:ind w:firstLine="420" w:firstLineChars="200"/>
        <w:contextualSpacing/>
        <w:rPr>
          <w:rFonts w:hAnsi="宋体"/>
          <w:color w:val="auto"/>
          <w:highlight w:val="none"/>
        </w:rPr>
      </w:pPr>
      <w:r>
        <w:rPr>
          <w:rFonts w:hint="eastAsia" w:ascii="宋体" w:hAnsi="宋体" w:cs="宋体"/>
          <w:color w:val="auto"/>
          <w:highlight w:val="none"/>
        </w:rPr>
        <w:t>谈判小组应当从质量和服务均能满足谈判文件实质性响应要求的供应商中，按照评审价由低到高的顺序提出</w:t>
      </w:r>
      <w:r>
        <w:rPr>
          <w:rFonts w:ascii="宋体" w:hAnsi="宋体" w:cs="宋体"/>
          <w:color w:val="auto"/>
          <w:highlight w:val="none"/>
        </w:rPr>
        <w:t>3</w:t>
      </w:r>
      <w:r>
        <w:rPr>
          <w:rFonts w:hint="eastAsia" w:ascii="宋体" w:hAnsi="宋体" w:cs="宋体"/>
          <w:color w:val="auto"/>
          <w:highlight w:val="none"/>
        </w:rPr>
        <w:t>名以上成交候选人（评审价相同时，按照最后报价由低到高顺序依次推荐；最后报价相同时，由谈判小组按“供应商须知前附表”第</w:t>
      </w:r>
      <w:r>
        <w:rPr>
          <w:rFonts w:ascii="宋体" w:hAnsi="宋体" w:cs="宋体"/>
          <w:color w:val="auto"/>
          <w:highlight w:val="none"/>
        </w:rPr>
        <w:t>26</w:t>
      </w:r>
      <w:r>
        <w:rPr>
          <w:rFonts w:hint="eastAsia" w:ascii="宋体" w:hAnsi="宋体" w:cs="宋体"/>
          <w:color w:val="auto"/>
          <w:highlight w:val="none"/>
        </w:rPr>
        <w:t>.1条规定的顺序推荐），并编写评审报告，评审报告</w:t>
      </w:r>
      <w:r>
        <w:rPr>
          <w:rFonts w:hint="eastAsia" w:hAnsi="宋体"/>
          <w:color w:val="auto"/>
          <w:highlight w:val="none"/>
        </w:rPr>
        <w:t>通过电子交易平台向采购人、采购代理机构提交。</w:t>
      </w:r>
    </w:p>
    <w:p w14:paraId="0FA3A31C">
      <w:pPr>
        <w:pStyle w:val="2"/>
        <w:jc w:val="center"/>
        <w:rPr>
          <w:color w:val="auto"/>
          <w:highlight w:val="none"/>
        </w:rPr>
      </w:pPr>
    </w:p>
    <w:p w14:paraId="13B52352">
      <w:pPr>
        <w:rPr>
          <w:color w:val="auto"/>
          <w:highlight w:val="none"/>
        </w:rPr>
      </w:pPr>
    </w:p>
    <w:p w14:paraId="2718B278">
      <w:pPr>
        <w:rPr>
          <w:color w:val="auto"/>
          <w:highlight w:val="none"/>
        </w:rPr>
      </w:pPr>
    </w:p>
    <w:p w14:paraId="7983697A">
      <w:pPr>
        <w:rPr>
          <w:color w:val="auto"/>
          <w:highlight w:val="none"/>
        </w:rPr>
      </w:pPr>
    </w:p>
    <w:p w14:paraId="41725CE4">
      <w:pPr>
        <w:rPr>
          <w:color w:val="auto"/>
          <w:highlight w:val="none"/>
        </w:rPr>
      </w:pPr>
    </w:p>
    <w:p w14:paraId="5B625C23">
      <w:pPr>
        <w:rPr>
          <w:color w:val="auto"/>
          <w:highlight w:val="none"/>
        </w:rPr>
      </w:pPr>
    </w:p>
    <w:p w14:paraId="6775853A">
      <w:pPr>
        <w:rPr>
          <w:color w:val="auto"/>
          <w:highlight w:val="none"/>
        </w:rPr>
      </w:pPr>
    </w:p>
    <w:p w14:paraId="2284EC19">
      <w:pPr>
        <w:rPr>
          <w:color w:val="auto"/>
          <w:highlight w:val="none"/>
        </w:rPr>
      </w:pPr>
    </w:p>
    <w:p w14:paraId="60622F61">
      <w:pPr>
        <w:rPr>
          <w:color w:val="auto"/>
          <w:highlight w:val="none"/>
        </w:rPr>
      </w:pPr>
    </w:p>
    <w:p w14:paraId="31C09433">
      <w:pPr>
        <w:rPr>
          <w:color w:val="auto"/>
          <w:highlight w:val="none"/>
        </w:rPr>
      </w:pPr>
    </w:p>
    <w:p w14:paraId="44023AF3">
      <w:pPr>
        <w:rPr>
          <w:color w:val="auto"/>
          <w:highlight w:val="none"/>
        </w:rPr>
      </w:pPr>
    </w:p>
    <w:p w14:paraId="249C4EA0">
      <w:pPr>
        <w:rPr>
          <w:color w:val="auto"/>
          <w:highlight w:val="none"/>
        </w:rPr>
      </w:pPr>
    </w:p>
    <w:p w14:paraId="1B811B81">
      <w:pPr>
        <w:rPr>
          <w:color w:val="auto"/>
          <w:highlight w:val="none"/>
        </w:rPr>
      </w:pPr>
    </w:p>
    <w:p w14:paraId="4308F35D">
      <w:pPr>
        <w:pStyle w:val="2"/>
        <w:rPr>
          <w:color w:val="auto"/>
          <w:highlight w:val="none"/>
        </w:rPr>
      </w:pPr>
      <w:bookmarkStart w:id="95" w:name="_Toc74322012"/>
    </w:p>
    <w:p w14:paraId="496D05E9">
      <w:pPr>
        <w:rPr>
          <w:color w:val="auto"/>
          <w:highlight w:val="none"/>
        </w:rPr>
      </w:pPr>
    </w:p>
    <w:p w14:paraId="76888E4A">
      <w:pPr>
        <w:rPr>
          <w:color w:val="auto"/>
          <w:highlight w:val="none"/>
        </w:rPr>
      </w:pPr>
    </w:p>
    <w:p w14:paraId="6FC79422">
      <w:pPr>
        <w:rPr>
          <w:color w:val="auto"/>
          <w:highlight w:val="none"/>
        </w:rPr>
      </w:pPr>
    </w:p>
    <w:p w14:paraId="568AC1E1">
      <w:pPr>
        <w:rPr>
          <w:color w:val="auto"/>
          <w:highlight w:val="none"/>
        </w:rPr>
      </w:pPr>
    </w:p>
    <w:p w14:paraId="243CB360">
      <w:pPr>
        <w:rPr>
          <w:color w:val="auto"/>
          <w:highlight w:val="none"/>
        </w:rPr>
      </w:pPr>
    </w:p>
    <w:p w14:paraId="47BA2D29">
      <w:pPr>
        <w:rPr>
          <w:color w:val="auto"/>
          <w:highlight w:val="none"/>
        </w:rPr>
      </w:pPr>
    </w:p>
    <w:p w14:paraId="4C635C14">
      <w:pPr>
        <w:rPr>
          <w:color w:val="auto"/>
          <w:highlight w:val="none"/>
        </w:rPr>
      </w:pPr>
    </w:p>
    <w:p w14:paraId="1AD05178">
      <w:pPr>
        <w:rPr>
          <w:color w:val="auto"/>
          <w:highlight w:val="none"/>
        </w:rPr>
      </w:pPr>
    </w:p>
    <w:p w14:paraId="44D23924">
      <w:pPr>
        <w:rPr>
          <w:color w:val="auto"/>
          <w:highlight w:val="none"/>
        </w:rPr>
      </w:pPr>
    </w:p>
    <w:p w14:paraId="4FE6FE08">
      <w:pPr>
        <w:rPr>
          <w:color w:val="auto"/>
          <w:highlight w:val="none"/>
        </w:rPr>
      </w:pPr>
    </w:p>
    <w:p w14:paraId="6BAC5E95">
      <w:pPr>
        <w:rPr>
          <w:color w:val="auto"/>
          <w:highlight w:val="none"/>
        </w:rPr>
      </w:pPr>
    </w:p>
    <w:p w14:paraId="4EB566A0">
      <w:pPr>
        <w:rPr>
          <w:color w:val="auto"/>
          <w:highlight w:val="none"/>
        </w:rPr>
      </w:pPr>
    </w:p>
    <w:p w14:paraId="202EE291">
      <w:pPr>
        <w:rPr>
          <w:color w:val="auto"/>
          <w:highlight w:val="none"/>
        </w:rPr>
      </w:pPr>
    </w:p>
    <w:p w14:paraId="41B6915E">
      <w:pPr>
        <w:rPr>
          <w:color w:val="auto"/>
          <w:highlight w:val="none"/>
        </w:rPr>
      </w:pPr>
    </w:p>
    <w:p w14:paraId="13F3A1F0">
      <w:pPr>
        <w:rPr>
          <w:color w:val="auto"/>
          <w:highlight w:val="none"/>
        </w:rPr>
      </w:pPr>
    </w:p>
    <w:p w14:paraId="04981F0D">
      <w:pPr>
        <w:rPr>
          <w:color w:val="auto"/>
          <w:highlight w:val="none"/>
        </w:rPr>
      </w:pPr>
    </w:p>
    <w:p w14:paraId="5AEBE54D">
      <w:pPr>
        <w:rPr>
          <w:color w:val="auto"/>
          <w:highlight w:val="none"/>
        </w:rPr>
      </w:pPr>
    </w:p>
    <w:p w14:paraId="26C8A1ED">
      <w:pPr>
        <w:rPr>
          <w:color w:val="auto"/>
          <w:highlight w:val="none"/>
        </w:rPr>
      </w:pPr>
    </w:p>
    <w:p w14:paraId="79F8CA99">
      <w:pPr>
        <w:rPr>
          <w:color w:val="auto"/>
          <w:highlight w:val="none"/>
        </w:rPr>
      </w:pPr>
    </w:p>
    <w:p w14:paraId="5881570D">
      <w:pPr>
        <w:pStyle w:val="2"/>
        <w:jc w:val="center"/>
        <w:rPr>
          <w:color w:val="auto"/>
          <w:highlight w:val="none"/>
        </w:rPr>
      </w:pPr>
      <w:bookmarkStart w:id="96" w:name="_Toc137109009"/>
    </w:p>
    <w:p w14:paraId="74F57725">
      <w:pPr>
        <w:pStyle w:val="2"/>
        <w:jc w:val="center"/>
        <w:rPr>
          <w:color w:val="auto"/>
          <w:highlight w:val="none"/>
        </w:rPr>
      </w:pPr>
    </w:p>
    <w:p w14:paraId="07E8B617">
      <w:pPr>
        <w:pStyle w:val="2"/>
        <w:jc w:val="center"/>
        <w:rPr>
          <w:color w:val="auto"/>
          <w:highlight w:val="none"/>
        </w:rPr>
      </w:pPr>
    </w:p>
    <w:p w14:paraId="059E3659">
      <w:pPr>
        <w:rPr>
          <w:color w:val="auto"/>
          <w:highlight w:val="none"/>
        </w:rPr>
      </w:pPr>
    </w:p>
    <w:p w14:paraId="2197AB55">
      <w:pPr>
        <w:pStyle w:val="2"/>
        <w:jc w:val="center"/>
        <w:rPr>
          <w:color w:val="auto"/>
          <w:highlight w:val="none"/>
        </w:rPr>
      </w:pPr>
    </w:p>
    <w:p w14:paraId="52949BCB">
      <w:pPr>
        <w:pStyle w:val="2"/>
        <w:jc w:val="center"/>
        <w:rPr>
          <w:color w:val="auto"/>
          <w:highlight w:val="none"/>
        </w:rPr>
      </w:pPr>
      <w:r>
        <w:rPr>
          <w:rFonts w:hint="eastAsia"/>
          <w:color w:val="auto"/>
          <w:highlight w:val="none"/>
        </w:rPr>
        <w:t>第五章响应文件格式</w:t>
      </w:r>
      <w:bookmarkEnd w:id="95"/>
      <w:bookmarkEnd w:id="96"/>
    </w:p>
    <w:p w14:paraId="2A299244">
      <w:pPr>
        <w:spacing w:line="240" w:lineRule="atLeast"/>
        <w:rPr>
          <w:rFonts w:ascii="宋体"/>
          <w:b/>
          <w:color w:val="auto"/>
          <w:sz w:val="32"/>
          <w:szCs w:val="32"/>
          <w:highlight w:val="none"/>
        </w:rPr>
      </w:pPr>
    </w:p>
    <w:p w14:paraId="17DCF42D">
      <w:pPr>
        <w:spacing w:line="240" w:lineRule="atLeast"/>
        <w:rPr>
          <w:rFonts w:ascii="宋体"/>
          <w:b/>
          <w:color w:val="auto"/>
          <w:sz w:val="32"/>
          <w:szCs w:val="32"/>
          <w:highlight w:val="none"/>
        </w:rPr>
      </w:pPr>
    </w:p>
    <w:p w14:paraId="1290220A">
      <w:pPr>
        <w:spacing w:line="240" w:lineRule="atLeast"/>
        <w:rPr>
          <w:rFonts w:ascii="宋体"/>
          <w:b/>
          <w:color w:val="auto"/>
          <w:sz w:val="32"/>
          <w:szCs w:val="32"/>
          <w:highlight w:val="none"/>
        </w:rPr>
      </w:pPr>
    </w:p>
    <w:p w14:paraId="3E769C3F">
      <w:pPr>
        <w:spacing w:line="240" w:lineRule="atLeast"/>
        <w:rPr>
          <w:rFonts w:ascii="宋体"/>
          <w:b/>
          <w:color w:val="auto"/>
          <w:sz w:val="32"/>
          <w:szCs w:val="32"/>
          <w:highlight w:val="none"/>
        </w:rPr>
      </w:pPr>
    </w:p>
    <w:p w14:paraId="6754E2B8">
      <w:pPr>
        <w:spacing w:line="240" w:lineRule="atLeast"/>
        <w:rPr>
          <w:rFonts w:ascii="宋体"/>
          <w:b/>
          <w:color w:val="auto"/>
          <w:sz w:val="32"/>
          <w:szCs w:val="32"/>
          <w:highlight w:val="none"/>
        </w:rPr>
      </w:pPr>
    </w:p>
    <w:p w14:paraId="3E8A91C6">
      <w:pPr>
        <w:spacing w:line="240" w:lineRule="atLeast"/>
        <w:rPr>
          <w:rFonts w:ascii="宋体"/>
          <w:b/>
          <w:color w:val="auto"/>
          <w:sz w:val="32"/>
          <w:szCs w:val="32"/>
          <w:highlight w:val="none"/>
        </w:rPr>
      </w:pPr>
    </w:p>
    <w:p w14:paraId="6507261B">
      <w:pPr>
        <w:spacing w:line="240" w:lineRule="atLeast"/>
        <w:rPr>
          <w:rFonts w:ascii="宋体"/>
          <w:b/>
          <w:color w:val="auto"/>
          <w:sz w:val="32"/>
          <w:szCs w:val="32"/>
          <w:highlight w:val="none"/>
        </w:rPr>
      </w:pPr>
    </w:p>
    <w:p w14:paraId="5E4DB718">
      <w:pPr>
        <w:spacing w:line="240" w:lineRule="atLeast"/>
        <w:rPr>
          <w:rFonts w:ascii="宋体"/>
          <w:b/>
          <w:color w:val="auto"/>
          <w:sz w:val="32"/>
          <w:szCs w:val="32"/>
          <w:highlight w:val="none"/>
        </w:rPr>
      </w:pPr>
    </w:p>
    <w:p w14:paraId="6675F307">
      <w:pPr>
        <w:spacing w:line="240" w:lineRule="atLeast"/>
        <w:rPr>
          <w:rFonts w:ascii="宋体"/>
          <w:b/>
          <w:color w:val="auto"/>
          <w:sz w:val="32"/>
          <w:szCs w:val="32"/>
          <w:highlight w:val="none"/>
        </w:rPr>
      </w:pPr>
    </w:p>
    <w:p w14:paraId="55F92F2E">
      <w:pPr>
        <w:spacing w:line="240" w:lineRule="atLeast"/>
        <w:rPr>
          <w:rFonts w:ascii="宋体"/>
          <w:b/>
          <w:color w:val="auto"/>
          <w:sz w:val="32"/>
          <w:szCs w:val="32"/>
          <w:highlight w:val="none"/>
        </w:rPr>
      </w:pPr>
    </w:p>
    <w:p w14:paraId="5393D72B">
      <w:pPr>
        <w:spacing w:line="240" w:lineRule="atLeast"/>
        <w:rPr>
          <w:rFonts w:ascii="宋体"/>
          <w:b/>
          <w:color w:val="auto"/>
          <w:sz w:val="32"/>
          <w:szCs w:val="32"/>
          <w:highlight w:val="none"/>
        </w:rPr>
      </w:pPr>
    </w:p>
    <w:p w14:paraId="69B27631">
      <w:pPr>
        <w:spacing w:line="240" w:lineRule="atLeast"/>
        <w:rPr>
          <w:rFonts w:ascii="宋体"/>
          <w:b/>
          <w:color w:val="auto"/>
          <w:sz w:val="32"/>
          <w:szCs w:val="32"/>
          <w:highlight w:val="none"/>
        </w:rPr>
      </w:pPr>
    </w:p>
    <w:p w14:paraId="7E6D3361">
      <w:pPr>
        <w:spacing w:line="240" w:lineRule="atLeast"/>
        <w:rPr>
          <w:rFonts w:ascii="宋体"/>
          <w:b/>
          <w:color w:val="auto"/>
          <w:sz w:val="32"/>
          <w:szCs w:val="32"/>
          <w:highlight w:val="none"/>
        </w:rPr>
      </w:pPr>
    </w:p>
    <w:p w14:paraId="3E58FA90">
      <w:pPr>
        <w:spacing w:line="240" w:lineRule="atLeast"/>
        <w:rPr>
          <w:rFonts w:ascii="宋体"/>
          <w:b/>
          <w:color w:val="auto"/>
          <w:sz w:val="32"/>
          <w:szCs w:val="32"/>
          <w:highlight w:val="none"/>
        </w:rPr>
      </w:pPr>
    </w:p>
    <w:p w14:paraId="7691368F">
      <w:pPr>
        <w:rPr>
          <w:b/>
          <w:color w:val="auto"/>
          <w:sz w:val="32"/>
          <w:szCs w:val="32"/>
          <w:highlight w:val="none"/>
        </w:rPr>
      </w:pPr>
      <w:bookmarkStart w:id="97" w:name="_Toc71366060"/>
      <w:bookmarkStart w:id="98" w:name="_Toc71365382"/>
      <w:r>
        <w:rPr>
          <w:rFonts w:hint="eastAsia"/>
          <w:b/>
          <w:color w:val="auto"/>
          <w:sz w:val="32"/>
          <w:szCs w:val="32"/>
          <w:highlight w:val="none"/>
        </w:rPr>
        <w:t>一、资格证明文件格式</w:t>
      </w:r>
      <w:bookmarkEnd w:id="97"/>
      <w:bookmarkEnd w:id="98"/>
    </w:p>
    <w:p w14:paraId="3BE6FA65">
      <w:pPr>
        <w:snapToGrid w:val="0"/>
        <w:spacing w:before="120" w:beforeLines="50" w:after="50" w:line="360" w:lineRule="auto"/>
        <w:jc w:val="left"/>
        <w:rPr>
          <w:rFonts w:ascii="宋体"/>
          <w:b/>
          <w:color w:val="auto"/>
          <w:sz w:val="24"/>
          <w:highlight w:val="none"/>
        </w:rPr>
      </w:pPr>
      <w:r>
        <w:rPr>
          <w:rFonts w:ascii="宋体" w:hAnsi="宋体"/>
          <w:b/>
          <w:color w:val="auto"/>
          <w:sz w:val="32"/>
          <w:szCs w:val="32"/>
          <w:highlight w:val="none"/>
        </w:rPr>
        <w:t>1.</w:t>
      </w:r>
      <w:r>
        <w:rPr>
          <w:rFonts w:hint="eastAsia" w:ascii="宋体" w:hAnsi="宋体"/>
          <w:b/>
          <w:color w:val="auto"/>
          <w:sz w:val="32"/>
          <w:szCs w:val="32"/>
          <w:highlight w:val="none"/>
        </w:rPr>
        <w:t>资格证明文件封面格式：</w:t>
      </w:r>
    </w:p>
    <w:p w14:paraId="2720C4A4">
      <w:pPr>
        <w:snapToGrid w:val="0"/>
        <w:spacing w:before="120" w:beforeLines="50" w:after="50"/>
        <w:rPr>
          <w:rFonts w:ascii="宋体"/>
          <w:bCs/>
          <w:color w:val="auto"/>
          <w:sz w:val="32"/>
          <w:szCs w:val="20"/>
          <w:highlight w:val="none"/>
        </w:rPr>
      </w:pPr>
    </w:p>
    <w:p w14:paraId="2F249A27">
      <w:pPr>
        <w:snapToGrid w:val="0"/>
        <w:spacing w:before="120" w:beforeLines="50" w:after="50"/>
        <w:jc w:val="center"/>
        <w:rPr>
          <w:rFonts w:ascii="宋体"/>
          <w:color w:val="auto"/>
          <w:sz w:val="44"/>
          <w:szCs w:val="44"/>
          <w:highlight w:val="none"/>
        </w:rPr>
      </w:pPr>
      <w:r>
        <w:rPr>
          <w:rFonts w:hint="eastAsia" w:ascii="宋体" w:hAnsi="宋体"/>
          <w:color w:val="auto"/>
          <w:sz w:val="44"/>
          <w:szCs w:val="44"/>
          <w:highlight w:val="none"/>
        </w:rPr>
        <w:t>电子响应文件</w:t>
      </w:r>
    </w:p>
    <w:p w14:paraId="2A3A8417">
      <w:pPr>
        <w:snapToGrid w:val="0"/>
        <w:spacing w:before="120" w:beforeLines="50" w:after="50"/>
        <w:rPr>
          <w:rFonts w:ascii="宋体"/>
          <w:color w:val="auto"/>
          <w:sz w:val="24"/>
          <w:szCs w:val="20"/>
          <w:highlight w:val="none"/>
        </w:rPr>
      </w:pPr>
    </w:p>
    <w:p w14:paraId="21EA297E">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资格证明文件</w:t>
      </w:r>
    </w:p>
    <w:p w14:paraId="2F469706">
      <w:pPr>
        <w:snapToGrid w:val="0"/>
        <w:spacing w:before="120" w:beforeLines="50" w:after="50"/>
        <w:rPr>
          <w:rFonts w:ascii="宋体"/>
          <w:bCs/>
          <w:color w:val="auto"/>
          <w:sz w:val="24"/>
          <w:szCs w:val="20"/>
          <w:highlight w:val="none"/>
        </w:rPr>
      </w:pPr>
    </w:p>
    <w:p w14:paraId="421C8943">
      <w:pPr>
        <w:snapToGrid w:val="0"/>
        <w:spacing w:before="120" w:beforeLines="50" w:after="50"/>
        <w:rPr>
          <w:rFonts w:ascii="宋体"/>
          <w:bCs/>
          <w:color w:val="auto"/>
          <w:sz w:val="24"/>
          <w:szCs w:val="20"/>
          <w:highlight w:val="none"/>
        </w:rPr>
      </w:pPr>
    </w:p>
    <w:p w14:paraId="5BCA9F23">
      <w:pPr>
        <w:snapToGrid w:val="0"/>
        <w:spacing w:before="120" w:beforeLines="50" w:after="50"/>
        <w:rPr>
          <w:rFonts w:ascii="宋体"/>
          <w:bCs/>
          <w:color w:val="auto"/>
          <w:sz w:val="24"/>
          <w:szCs w:val="20"/>
          <w:highlight w:val="none"/>
        </w:rPr>
      </w:pPr>
    </w:p>
    <w:p w14:paraId="0747ECB7">
      <w:pPr>
        <w:snapToGrid w:val="0"/>
        <w:spacing w:before="120" w:beforeLines="50" w:after="50"/>
        <w:rPr>
          <w:rFonts w:ascii="宋体"/>
          <w:bCs/>
          <w:color w:val="auto"/>
          <w:sz w:val="24"/>
          <w:szCs w:val="20"/>
          <w:highlight w:val="none"/>
        </w:rPr>
      </w:pPr>
    </w:p>
    <w:p w14:paraId="6D50EAA4">
      <w:pPr>
        <w:snapToGrid w:val="0"/>
        <w:spacing w:before="120" w:beforeLines="50" w:after="50"/>
        <w:rPr>
          <w:rFonts w:ascii="宋体"/>
          <w:bCs/>
          <w:color w:val="auto"/>
          <w:sz w:val="24"/>
          <w:szCs w:val="20"/>
          <w:highlight w:val="none"/>
        </w:rPr>
      </w:pPr>
    </w:p>
    <w:p w14:paraId="54467E54">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项目名称：</w:t>
      </w:r>
    </w:p>
    <w:p w14:paraId="2F6933F5">
      <w:pPr>
        <w:snapToGrid w:val="0"/>
        <w:spacing w:before="120" w:beforeLines="50" w:after="50"/>
        <w:ind w:firstLine="720" w:firstLineChars="225"/>
        <w:rPr>
          <w:rFonts w:ascii="宋体" w:cs="仿宋_GB2312"/>
          <w:bCs/>
          <w:color w:val="auto"/>
          <w:sz w:val="32"/>
          <w:szCs w:val="32"/>
          <w:highlight w:val="none"/>
        </w:rPr>
      </w:pPr>
    </w:p>
    <w:p w14:paraId="71FB16DE">
      <w:pPr>
        <w:snapToGrid w:val="0"/>
        <w:spacing w:before="120" w:beforeLines="50" w:after="50"/>
        <w:ind w:firstLine="707" w:firstLineChars="221"/>
        <w:rPr>
          <w:rFonts w:ascii="宋体" w:cs="仿宋_GB2312"/>
          <w:bCs/>
          <w:color w:val="auto"/>
          <w:sz w:val="32"/>
          <w:szCs w:val="32"/>
          <w:highlight w:val="none"/>
        </w:rPr>
      </w:pPr>
      <w:r>
        <w:rPr>
          <w:rFonts w:hint="eastAsia" w:ascii="宋体" w:hAnsi="宋体" w:cs="仿宋_GB2312"/>
          <w:bCs/>
          <w:color w:val="auto"/>
          <w:sz w:val="32"/>
          <w:szCs w:val="32"/>
          <w:highlight w:val="none"/>
        </w:rPr>
        <w:t>项目编号：</w:t>
      </w:r>
    </w:p>
    <w:p w14:paraId="48A92CD2">
      <w:pPr>
        <w:snapToGrid w:val="0"/>
        <w:spacing w:before="120" w:beforeLines="50" w:after="50"/>
        <w:ind w:firstLine="720" w:firstLineChars="225"/>
        <w:rPr>
          <w:rFonts w:ascii="宋体" w:cs="仿宋_GB2312"/>
          <w:bCs/>
          <w:color w:val="auto"/>
          <w:sz w:val="32"/>
          <w:szCs w:val="32"/>
          <w:highlight w:val="none"/>
        </w:rPr>
      </w:pPr>
    </w:p>
    <w:p w14:paraId="1D295CF7">
      <w:pPr>
        <w:pStyle w:val="6"/>
        <w:snapToGrid w:val="0"/>
        <w:spacing w:before="50" w:after="50"/>
        <w:ind w:firstLine="720" w:firstLineChars="225"/>
        <w:rPr>
          <w:rFonts w:ascii="宋体" w:hAnsi="宋体" w:cs="仿宋_GB2312"/>
          <w:bCs/>
          <w:color w:val="auto"/>
          <w:sz w:val="32"/>
          <w:szCs w:val="32"/>
          <w:highlight w:val="none"/>
        </w:rPr>
      </w:pPr>
    </w:p>
    <w:p w14:paraId="56E0400D">
      <w:pPr>
        <w:pStyle w:val="6"/>
        <w:snapToGrid w:val="0"/>
        <w:spacing w:before="50" w:after="50"/>
        <w:ind w:firstLine="720" w:firstLineChars="225"/>
        <w:rPr>
          <w:rFonts w:asci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4062822">
      <w:pPr>
        <w:snapToGrid w:val="0"/>
        <w:spacing w:before="120" w:beforeLines="50" w:after="50"/>
        <w:ind w:firstLine="640" w:firstLineChars="200"/>
        <w:rPr>
          <w:rFonts w:ascii="宋体" w:cs="仿宋_GB2312"/>
          <w:bCs/>
          <w:color w:val="auto"/>
          <w:sz w:val="32"/>
          <w:szCs w:val="32"/>
          <w:highlight w:val="none"/>
        </w:rPr>
      </w:pPr>
    </w:p>
    <w:p w14:paraId="2B3E9265">
      <w:pPr>
        <w:pStyle w:val="6"/>
        <w:snapToGrid w:val="0"/>
        <w:spacing w:before="50" w:after="50"/>
        <w:ind w:firstLine="720" w:firstLineChars="225"/>
        <w:rPr>
          <w:rFonts w:ascii="宋体" w:cs="仿宋_GB2312"/>
          <w:bCs/>
          <w:color w:val="auto"/>
          <w:sz w:val="32"/>
          <w:szCs w:val="32"/>
          <w:highlight w:val="none"/>
        </w:rPr>
      </w:pPr>
    </w:p>
    <w:p w14:paraId="1A82F1DA">
      <w:pPr>
        <w:pStyle w:val="6"/>
        <w:snapToGrid w:val="0"/>
        <w:spacing w:before="50" w:after="50"/>
        <w:ind w:firstLine="720" w:firstLineChars="225"/>
        <w:rPr>
          <w:rFonts w:ascii="宋体" w:cs="仿宋_GB2312"/>
          <w:bCs/>
          <w:color w:val="auto"/>
          <w:sz w:val="32"/>
          <w:szCs w:val="32"/>
          <w:highlight w:val="none"/>
        </w:rPr>
      </w:pPr>
    </w:p>
    <w:p w14:paraId="2C8504C6">
      <w:pPr>
        <w:pStyle w:val="6"/>
        <w:snapToGrid w:val="0"/>
        <w:spacing w:before="50" w:after="50"/>
        <w:ind w:firstLine="1280" w:firstLineChars="400"/>
        <w:rPr>
          <w:rFonts w:ascii="宋体" w:cs="仿宋_GB2312"/>
          <w:bCs/>
          <w:color w:val="auto"/>
          <w:sz w:val="32"/>
          <w:szCs w:val="32"/>
          <w:highlight w:val="none"/>
        </w:rPr>
      </w:pPr>
    </w:p>
    <w:p w14:paraId="0614EBD6">
      <w:pPr>
        <w:snapToGrid w:val="0"/>
        <w:spacing w:before="120" w:beforeLines="50" w:after="50"/>
        <w:jc w:val="center"/>
        <w:rPr>
          <w:rFonts w:ascii="宋体" w:cs="仿宋_GB2312"/>
          <w:color w:val="auto"/>
          <w:sz w:val="32"/>
          <w:szCs w:val="32"/>
          <w:highlight w:val="none"/>
        </w:rPr>
      </w:pPr>
      <w:r>
        <w:rPr>
          <w:rFonts w:hint="eastAsia" w:ascii="宋体" w:hAnsi="宋体" w:cs="仿宋_GB2312"/>
          <w:color w:val="auto"/>
          <w:sz w:val="32"/>
          <w:szCs w:val="32"/>
          <w:highlight w:val="none"/>
        </w:rPr>
        <w:t>年   月   日</w:t>
      </w:r>
    </w:p>
    <w:p w14:paraId="6BA8244A">
      <w:pPr>
        <w:snapToGrid w:val="0"/>
        <w:spacing w:before="120" w:beforeLines="50" w:after="50" w:line="360" w:lineRule="auto"/>
        <w:ind w:left="142"/>
        <w:jc w:val="left"/>
        <w:rPr>
          <w:rFonts w:ascii="宋体"/>
          <w:b/>
          <w:bCs/>
          <w:color w:val="auto"/>
          <w:sz w:val="32"/>
          <w:szCs w:val="32"/>
          <w:highlight w:val="none"/>
        </w:rPr>
      </w:pPr>
      <w:r>
        <w:rPr>
          <w:rFonts w:ascii="宋体"/>
          <w:color w:val="auto"/>
          <w:sz w:val="24"/>
          <w:highlight w:val="none"/>
        </w:rPr>
        <w:br w:type="page"/>
      </w:r>
      <w:r>
        <w:rPr>
          <w:rFonts w:ascii="宋体" w:hAnsi="宋体"/>
          <w:b/>
          <w:bCs/>
          <w:color w:val="auto"/>
          <w:sz w:val="32"/>
          <w:szCs w:val="32"/>
          <w:highlight w:val="none"/>
        </w:rPr>
        <w:t>2.</w:t>
      </w:r>
      <w:r>
        <w:rPr>
          <w:rFonts w:hint="eastAsia" w:ascii="宋体" w:hAnsi="宋体"/>
          <w:b/>
          <w:bCs/>
          <w:color w:val="auto"/>
          <w:sz w:val="32"/>
          <w:szCs w:val="32"/>
          <w:highlight w:val="none"/>
        </w:rPr>
        <w:t>资格证明文件目录</w:t>
      </w:r>
    </w:p>
    <w:p w14:paraId="2C8529E3">
      <w:pPr>
        <w:snapToGrid w:val="0"/>
        <w:spacing w:before="120" w:beforeLines="50" w:after="50" w:line="360" w:lineRule="auto"/>
        <w:ind w:firstLine="645"/>
        <w:rPr>
          <w:rFonts w:asci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0BA4BED0">
      <w:pPr>
        <w:snapToGrid w:val="0"/>
        <w:spacing w:before="120" w:beforeLines="50" w:after="50" w:line="360" w:lineRule="auto"/>
        <w:rPr>
          <w:rFonts w:ascii="宋体"/>
          <w:color w:val="auto"/>
          <w:sz w:val="24"/>
          <w:szCs w:val="20"/>
          <w:highlight w:val="none"/>
        </w:rPr>
      </w:pPr>
    </w:p>
    <w:p w14:paraId="4A38E0C4">
      <w:pPr>
        <w:spacing w:line="360" w:lineRule="auto"/>
        <w:rPr>
          <w:rFonts w:ascii="宋体"/>
          <w:color w:val="auto"/>
          <w:szCs w:val="21"/>
          <w:highlight w:val="none"/>
        </w:rPr>
      </w:pPr>
    </w:p>
    <w:p w14:paraId="0313A9AE">
      <w:pPr>
        <w:spacing w:line="360" w:lineRule="auto"/>
        <w:rPr>
          <w:rFonts w:ascii="宋体"/>
          <w:color w:val="auto"/>
          <w:szCs w:val="21"/>
          <w:highlight w:val="none"/>
        </w:rPr>
      </w:pPr>
    </w:p>
    <w:p w14:paraId="24612FF6">
      <w:pPr>
        <w:spacing w:line="360" w:lineRule="auto"/>
        <w:rPr>
          <w:rFonts w:ascii="宋体"/>
          <w:color w:val="auto"/>
          <w:szCs w:val="21"/>
          <w:highlight w:val="none"/>
        </w:rPr>
      </w:pPr>
    </w:p>
    <w:p w14:paraId="3F79A93E">
      <w:pPr>
        <w:spacing w:line="360" w:lineRule="auto"/>
        <w:rPr>
          <w:rFonts w:ascii="宋体"/>
          <w:color w:val="auto"/>
          <w:szCs w:val="21"/>
          <w:highlight w:val="none"/>
        </w:rPr>
      </w:pPr>
    </w:p>
    <w:p w14:paraId="395E74D5">
      <w:pPr>
        <w:spacing w:line="300" w:lineRule="auto"/>
        <w:rPr>
          <w:rFonts w:ascii="宋体"/>
          <w:color w:val="auto"/>
          <w:szCs w:val="21"/>
          <w:highlight w:val="none"/>
        </w:rPr>
      </w:pPr>
    </w:p>
    <w:p w14:paraId="77B4E9E4">
      <w:pPr>
        <w:spacing w:line="300" w:lineRule="auto"/>
        <w:rPr>
          <w:rFonts w:ascii="宋体"/>
          <w:color w:val="auto"/>
          <w:szCs w:val="21"/>
          <w:highlight w:val="none"/>
        </w:rPr>
      </w:pPr>
    </w:p>
    <w:p w14:paraId="727DB9D9">
      <w:pPr>
        <w:spacing w:line="300" w:lineRule="auto"/>
        <w:rPr>
          <w:rFonts w:ascii="宋体"/>
          <w:color w:val="auto"/>
          <w:szCs w:val="21"/>
          <w:highlight w:val="none"/>
        </w:rPr>
      </w:pPr>
    </w:p>
    <w:p w14:paraId="5C4FBAEF">
      <w:pPr>
        <w:spacing w:line="300" w:lineRule="auto"/>
        <w:rPr>
          <w:rFonts w:ascii="宋体"/>
          <w:color w:val="auto"/>
          <w:szCs w:val="21"/>
          <w:highlight w:val="none"/>
        </w:rPr>
      </w:pPr>
    </w:p>
    <w:p w14:paraId="79C33B76">
      <w:pPr>
        <w:spacing w:line="300" w:lineRule="auto"/>
        <w:rPr>
          <w:rFonts w:ascii="宋体"/>
          <w:color w:val="auto"/>
          <w:szCs w:val="21"/>
          <w:highlight w:val="none"/>
        </w:rPr>
      </w:pPr>
    </w:p>
    <w:p w14:paraId="51CD1980">
      <w:pPr>
        <w:spacing w:line="300" w:lineRule="auto"/>
        <w:rPr>
          <w:rFonts w:ascii="宋体"/>
          <w:color w:val="auto"/>
          <w:szCs w:val="21"/>
          <w:highlight w:val="none"/>
        </w:rPr>
      </w:pPr>
    </w:p>
    <w:p w14:paraId="44581240">
      <w:pPr>
        <w:spacing w:line="300" w:lineRule="auto"/>
        <w:rPr>
          <w:rFonts w:ascii="宋体"/>
          <w:color w:val="auto"/>
          <w:szCs w:val="21"/>
          <w:highlight w:val="none"/>
        </w:rPr>
      </w:pPr>
    </w:p>
    <w:p w14:paraId="01C0F76C">
      <w:pPr>
        <w:spacing w:line="300" w:lineRule="auto"/>
        <w:rPr>
          <w:rFonts w:ascii="宋体"/>
          <w:color w:val="auto"/>
          <w:szCs w:val="21"/>
          <w:highlight w:val="none"/>
        </w:rPr>
      </w:pPr>
    </w:p>
    <w:p w14:paraId="62E0995D">
      <w:pPr>
        <w:spacing w:line="300" w:lineRule="auto"/>
        <w:rPr>
          <w:rFonts w:ascii="宋体"/>
          <w:color w:val="auto"/>
          <w:szCs w:val="21"/>
          <w:highlight w:val="none"/>
        </w:rPr>
      </w:pPr>
    </w:p>
    <w:p w14:paraId="5D68684A">
      <w:pPr>
        <w:spacing w:line="300" w:lineRule="auto"/>
        <w:rPr>
          <w:rFonts w:ascii="宋体"/>
          <w:color w:val="auto"/>
          <w:szCs w:val="21"/>
          <w:highlight w:val="none"/>
        </w:rPr>
      </w:pPr>
    </w:p>
    <w:p w14:paraId="0975D81F">
      <w:pPr>
        <w:spacing w:line="300" w:lineRule="auto"/>
        <w:rPr>
          <w:rFonts w:ascii="宋体"/>
          <w:color w:val="auto"/>
          <w:szCs w:val="21"/>
          <w:highlight w:val="none"/>
        </w:rPr>
      </w:pPr>
    </w:p>
    <w:p w14:paraId="08F0CCB2">
      <w:pPr>
        <w:widowControl/>
        <w:jc w:val="left"/>
        <w:rPr>
          <w:rFonts w:ascii="宋体"/>
          <w:color w:val="auto"/>
          <w:szCs w:val="21"/>
          <w:highlight w:val="none"/>
        </w:rPr>
      </w:pPr>
      <w:r>
        <w:rPr>
          <w:rFonts w:ascii="宋体"/>
          <w:color w:val="auto"/>
          <w:szCs w:val="21"/>
          <w:highlight w:val="none"/>
        </w:rPr>
        <w:br w:type="page"/>
      </w:r>
    </w:p>
    <w:p w14:paraId="18E97B51">
      <w:pPr>
        <w:tabs>
          <w:tab w:val="left" w:pos="1305"/>
        </w:tabs>
        <w:spacing w:line="380" w:lineRule="exact"/>
        <w:rPr>
          <w:rFonts w:ascii="宋体" w:hAnsi="宋体" w:cs="宋体"/>
          <w:b/>
          <w:color w:val="auto"/>
          <w:sz w:val="28"/>
          <w:szCs w:val="28"/>
          <w:highlight w:val="none"/>
        </w:rPr>
      </w:pPr>
      <w:r>
        <w:rPr>
          <w:rFonts w:hint="eastAsia" w:ascii="宋体" w:hAnsi="宋体" w:cs="宋体"/>
          <w:b/>
          <w:color w:val="auto"/>
          <w:sz w:val="28"/>
          <w:szCs w:val="28"/>
          <w:highlight w:val="none"/>
        </w:rPr>
        <w:t>总公司法人授权书原件扫描件（分公司参与谈判时必须提供）</w:t>
      </w:r>
    </w:p>
    <w:p w14:paraId="502CA42C">
      <w:pPr>
        <w:ind w:firstLine="803" w:firstLineChars="250"/>
        <w:jc w:val="center"/>
        <w:rPr>
          <w:rFonts w:ascii="宋体" w:hAnsi="Courier New"/>
          <w:b/>
          <w:color w:val="auto"/>
          <w:sz w:val="32"/>
          <w:szCs w:val="20"/>
          <w:highlight w:val="none"/>
        </w:rPr>
      </w:pPr>
    </w:p>
    <w:p w14:paraId="5BA30C57">
      <w:pPr>
        <w:ind w:firstLine="703" w:firstLineChars="250"/>
        <w:jc w:val="center"/>
        <w:rPr>
          <w:rFonts w:ascii="宋体" w:hAnsi="Courier New"/>
          <w:b/>
          <w:color w:val="auto"/>
          <w:sz w:val="28"/>
          <w:szCs w:val="28"/>
          <w:highlight w:val="none"/>
        </w:rPr>
      </w:pPr>
      <w:r>
        <w:rPr>
          <w:rFonts w:hint="eastAsia" w:ascii="宋体" w:hAnsi="Courier New"/>
          <w:b/>
          <w:color w:val="auto"/>
          <w:sz w:val="28"/>
          <w:szCs w:val="28"/>
          <w:highlight w:val="none"/>
        </w:rPr>
        <w:t>授权书（格式）</w:t>
      </w:r>
    </w:p>
    <w:p w14:paraId="191D5613">
      <w:pPr>
        <w:spacing w:line="400" w:lineRule="exact"/>
        <w:rPr>
          <w:color w:val="auto"/>
          <w:highlight w:val="none"/>
        </w:rPr>
      </w:pPr>
      <w:r>
        <w:rPr>
          <w:rFonts w:hint="eastAsia" w:ascii="宋体" w:hAnsi="宋体"/>
          <w:color w:val="auto"/>
          <w:szCs w:val="21"/>
          <w:highlight w:val="none"/>
        </w:rPr>
        <w:t>致：</w:t>
      </w:r>
      <w:r>
        <w:rPr>
          <w:rFonts w:hint="eastAsia"/>
          <w:color w:val="auto"/>
          <w:highlight w:val="none"/>
          <w:u w:val="single"/>
        </w:rPr>
        <w:t>云之龙咨询集团有限公司</w:t>
      </w:r>
    </w:p>
    <w:p w14:paraId="157BE308">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我公司授权</w:t>
      </w:r>
      <w:r>
        <w:rPr>
          <w:rFonts w:hint="eastAsia" w:ascii="宋体" w:hAnsi="Courier New"/>
          <w:color w:val="auto"/>
          <w:szCs w:val="21"/>
          <w:highlight w:val="none"/>
          <w:u w:val="single"/>
        </w:rPr>
        <w:t xml:space="preserve">    （供应商名称，即分公司名称）    </w:t>
      </w:r>
      <w:r>
        <w:rPr>
          <w:rFonts w:hint="eastAsia" w:ascii="宋体" w:hAnsi="Courier New"/>
          <w:color w:val="auto"/>
          <w:szCs w:val="21"/>
          <w:highlight w:val="none"/>
        </w:rPr>
        <w:t>参加</w:t>
      </w:r>
      <w:r>
        <w:rPr>
          <w:rFonts w:hint="eastAsia" w:ascii="宋体" w:hAnsi="Courier New"/>
          <w:color w:val="auto"/>
          <w:szCs w:val="21"/>
          <w:highlight w:val="none"/>
          <w:u w:val="single"/>
        </w:rPr>
        <w:t xml:space="preserve">       项目名称（项目编号：     ）</w:t>
      </w:r>
      <w:r>
        <w:rPr>
          <w:rFonts w:hint="eastAsia" w:ascii="宋体" w:hAnsi="Courier New"/>
          <w:color w:val="auto"/>
          <w:szCs w:val="21"/>
          <w:highlight w:val="none"/>
        </w:rPr>
        <w:t>的谈判活动，其权限如下：</w:t>
      </w:r>
    </w:p>
    <w:p w14:paraId="4CC1725D">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一、</w:t>
      </w:r>
      <w:r>
        <w:rPr>
          <w:rFonts w:hint="eastAsia" w:ascii="宋体" w:hAnsi="Courier New"/>
          <w:color w:val="auto"/>
          <w:szCs w:val="21"/>
          <w:highlight w:val="none"/>
          <w:u w:val="single"/>
        </w:rPr>
        <w:t xml:space="preserve">  （分公司名称）</w:t>
      </w:r>
      <w:r>
        <w:rPr>
          <w:rFonts w:hint="eastAsia" w:ascii="宋体" w:hAnsi="Courier New"/>
          <w:color w:val="auto"/>
          <w:szCs w:val="21"/>
          <w:highlight w:val="none"/>
        </w:rPr>
        <w:t>我公司下设分公司，我公司现授权其参加</w:t>
      </w:r>
      <w:r>
        <w:rPr>
          <w:rFonts w:hint="eastAsia" w:ascii="宋体" w:hAnsi="Courier New"/>
          <w:color w:val="auto"/>
          <w:szCs w:val="21"/>
          <w:highlight w:val="none"/>
          <w:u w:val="single"/>
        </w:rPr>
        <w:t xml:space="preserve">       项目名称（项目编号：     ）的谈判活动。</w:t>
      </w:r>
    </w:p>
    <w:p w14:paraId="344D2610">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二、提交保证金，接收退回的保证金。</w:t>
      </w:r>
    </w:p>
    <w:p w14:paraId="0EBA0A35">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三、提交响应文件（含补充、修改文件），或者</w:t>
      </w:r>
      <w:r>
        <w:rPr>
          <w:rFonts w:hint="eastAsia" w:ascii="宋体" w:hAnsi="Courier New"/>
          <w:color w:val="auto"/>
          <w:szCs w:val="21"/>
          <w:highlight w:val="none"/>
          <w:lang w:val="en-US" w:eastAsia="zh-CN"/>
        </w:rPr>
        <w:t>撤回</w:t>
      </w:r>
      <w:r>
        <w:rPr>
          <w:rFonts w:hint="eastAsia" w:ascii="宋体" w:hAnsi="Courier New"/>
          <w:color w:val="auto"/>
          <w:szCs w:val="21"/>
          <w:highlight w:val="none"/>
        </w:rPr>
        <w:t>已提交的响应文件（含补充、修改文件），或者接收退回的响应文件。</w:t>
      </w:r>
    </w:p>
    <w:p w14:paraId="63EF8906">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四、依法参加谈判等活动，答复谈判小组提出的澄清等。</w:t>
      </w:r>
    </w:p>
    <w:p w14:paraId="77688E88">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五、提出事先由委托人确认的异议、投诉，并接收异议、投诉答复。</w:t>
      </w:r>
    </w:p>
    <w:p w14:paraId="0130F211">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六、接收采购人或采购代理机构发出的有关本项目相关的公告、文书等。</w:t>
      </w:r>
    </w:p>
    <w:p w14:paraId="4DC336FD">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七、交纳采购代理服务费，办理成交手续，参加采购合同谈判和签约。</w:t>
      </w:r>
    </w:p>
    <w:p w14:paraId="55216652">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八、进行合同履约、参加验收、提供服务等。</w:t>
      </w:r>
    </w:p>
    <w:p w14:paraId="7D5F37FE">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被授权单位无转委托权。</w:t>
      </w:r>
    </w:p>
    <w:p w14:paraId="48F4142B">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本授权书自签发之日起生效，有效期180天。如被授权方成交，则本授权书的有效期自签发之日起生效至项目合同履行完毕结束。</w:t>
      </w:r>
      <w:r>
        <w:rPr>
          <w:rFonts w:ascii="宋体" w:hAnsi="Courier New"/>
          <w:color w:val="auto"/>
          <w:szCs w:val="20"/>
          <w:highlight w:val="none"/>
        </w:rPr>
        <w:t>项目执行过程中所发生的一切后果，由我公司承担相应的法律责任。</w:t>
      </w:r>
    </w:p>
    <w:p w14:paraId="56B68A10">
      <w:pPr>
        <w:spacing w:line="400" w:lineRule="exact"/>
        <w:ind w:firstLine="420" w:firstLineChars="200"/>
        <w:rPr>
          <w:rFonts w:ascii="宋体" w:hAnsi="Courier New"/>
          <w:color w:val="auto"/>
          <w:szCs w:val="21"/>
          <w:highlight w:val="none"/>
        </w:rPr>
      </w:pPr>
      <w:r>
        <w:rPr>
          <w:rFonts w:hint="eastAsia" w:ascii="宋体" w:hAnsi="Courier New"/>
          <w:color w:val="auto"/>
          <w:szCs w:val="21"/>
          <w:highlight w:val="none"/>
        </w:rPr>
        <w:t>特此授权。</w:t>
      </w:r>
    </w:p>
    <w:p w14:paraId="33DB7CDA">
      <w:pPr>
        <w:widowControl/>
        <w:snapToGrid w:val="0"/>
        <w:spacing w:line="360" w:lineRule="exact"/>
        <w:ind w:firstLine="3780" w:firstLineChars="1800"/>
        <w:textAlignment w:val="baseline"/>
        <w:rPr>
          <w:rFonts w:ascii="宋体" w:hAnsi="Courier New"/>
          <w:color w:val="auto"/>
          <w:kern w:val="0"/>
          <w:sz w:val="20"/>
          <w:szCs w:val="20"/>
          <w:highlight w:val="none"/>
        </w:rPr>
      </w:pPr>
      <w:r>
        <w:rPr>
          <w:rFonts w:hint="eastAsia" w:ascii="宋体" w:hAnsi="Courier New"/>
          <w:color w:val="auto"/>
          <w:kern w:val="0"/>
          <w:szCs w:val="20"/>
          <w:highlight w:val="none"/>
        </w:rPr>
        <w:t>授权人</w:t>
      </w:r>
      <w:r>
        <w:rPr>
          <w:rFonts w:ascii="宋体" w:hAnsi="宋体"/>
          <w:color w:val="auto"/>
          <w:kern w:val="0"/>
          <w:sz w:val="20"/>
          <w:szCs w:val="22"/>
          <w:highlight w:val="none"/>
        </w:rPr>
        <w:t>（公章）：</w:t>
      </w:r>
      <w:r>
        <w:rPr>
          <w:rFonts w:hint="eastAsia" w:ascii="宋体" w:hAnsi="Courier New"/>
          <w:color w:val="auto"/>
          <w:kern w:val="0"/>
          <w:sz w:val="20"/>
          <w:szCs w:val="20"/>
          <w:highlight w:val="none"/>
        </w:rPr>
        <w:t>____________</w:t>
      </w:r>
    </w:p>
    <w:p w14:paraId="06518666">
      <w:pPr>
        <w:widowControl/>
        <w:snapToGrid w:val="0"/>
        <w:spacing w:line="360" w:lineRule="exact"/>
        <w:ind w:firstLine="420"/>
        <w:textAlignment w:val="baseline"/>
        <w:rPr>
          <w:rFonts w:ascii="宋体" w:hAnsi="Courier New"/>
          <w:color w:val="auto"/>
          <w:kern w:val="0"/>
          <w:sz w:val="20"/>
          <w:szCs w:val="20"/>
          <w:highlight w:val="none"/>
        </w:rPr>
      </w:pPr>
    </w:p>
    <w:p w14:paraId="009DAA4F">
      <w:pPr>
        <w:widowControl/>
        <w:snapToGrid w:val="0"/>
        <w:spacing w:line="360" w:lineRule="exact"/>
        <w:ind w:firstLine="420"/>
        <w:textAlignment w:val="baseline"/>
        <w:rPr>
          <w:rFonts w:ascii="宋体" w:hAnsi="Courier New"/>
          <w:color w:val="auto"/>
          <w:kern w:val="0"/>
          <w:sz w:val="20"/>
          <w:szCs w:val="20"/>
          <w:highlight w:val="none"/>
        </w:rPr>
      </w:pPr>
      <w:r>
        <w:rPr>
          <w:rFonts w:hint="eastAsia" w:ascii="宋体" w:hAnsi="Courier New"/>
          <w:color w:val="auto"/>
          <w:kern w:val="0"/>
          <w:sz w:val="20"/>
          <w:szCs w:val="20"/>
          <w:highlight w:val="none"/>
        </w:rPr>
        <w:t xml:space="preserve">                                           日期：______年____月____日</w:t>
      </w:r>
    </w:p>
    <w:p w14:paraId="3B9B5577">
      <w:pPr>
        <w:adjustRightInd w:val="0"/>
        <w:snapToGrid w:val="0"/>
        <w:spacing w:line="300" w:lineRule="auto"/>
        <w:jc w:val="center"/>
        <w:rPr>
          <w:rFonts w:ascii="宋体" w:hAnsi="宋体"/>
          <w:b/>
          <w:color w:val="auto"/>
          <w:sz w:val="32"/>
          <w:szCs w:val="32"/>
          <w:highlight w:val="none"/>
        </w:rPr>
      </w:pPr>
    </w:p>
    <w:p w14:paraId="512A9BFC">
      <w:pPr>
        <w:spacing w:line="320" w:lineRule="exact"/>
        <w:jc w:val="left"/>
        <w:rPr>
          <w:rFonts w:ascii="宋体"/>
          <w:color w:val="auto"/>
          <w:szCs w:val="21"/>
          <w:highlight w:val="none"/>
        </w:rPr>
      </w:pPr>
    </w:p>
    <w:p w14:paraId="6AAEEB1C">
      <w:pPr>
        <w:snapToGrid w:val="0"/>
        <w:spacing w:before="120" w:beforeLines="50" w:after="50"/>
        <w:jc w:val="center"/>
        <w:rPr>
          <w:rFonts w:ascii="宋体"/>
          <w:b/>
          <w:color w:val="auto"/>
          <w:sz w:val="32"/>
          <w:szCs w:val="32"/>
          <w:highlight w:val="none"/>
        </w:rPr>
      </w:pPr>
      <w:r>
        <w:rPr>
          <w:rFonts w:ascii="宋体"/>
          <w:b/>
          <w:color w:val="auto"/>
          <w:sz w:val="32"/>
          <w:szCs w:val="32"/>
          <w:highlight w:val="none"/>
        </w:rPr>
        <w:br w:type="page"/>
      </w:r>
      <w:r>
        <w:rPr>
          <w:rFonts w:hint="eastAsia" w:ascii="宋体" w:hAnsi="宋体"/>
          <w:b/>
          <w:color w:val="auto"/>
          <w:sz w:val="32"/>
          <w:szCs w:val="32"/>
          <w:highlight w:val="none"/>
        </w:rPr>
        <w:t>供应商直接控股、管理关系信息表</w:t>
      </w:r>
    </w:p>
    <w:p w14:paraId="537E85D6">
      <w:pPr>
        <w:snapToGrid w:val="0"/>
        <w:spacing w:before="120" w:beforeLines="50" w:after="50"/>
        <w:jc w:val="center"/>
        <w:rPr>
          <w:rFonts w:ascii="宋体"/>
          <w:b/>
          <w:color w:val="auto"/>
          <w:sz w:val="32"/>
          <w:szCs w:val="32"/>
          <w:highlight w:val="none"/>
        </w:rPr>
      </w:pPr>
    </w:p>
    <w:p w14:paraId="37E13577">
      <w:pPr>
        <w:snapToGrid w:val="0"/>
        <w:spacing w:before="120" w:beforeLines="50" w:after="50"/>
        <w:jc w:val="center"/>
        <w:rPr>
          <w:rFonts w:ascii="宋体"/>
          <w:b/>
          <w:color w:val="auto"/>
          <w:sz w:val="32"/>
          <w:szCs w:val="32"/>
          <w:highlight w:val="none"/>
        </w:rPr>
      </w:pPr>
      <w:r>
        <w:rPr>
          <w:rFonts w:hint="eastAsia" w:ascii="宋体" w:hAnsi="宋体"/>
          <w:b/>
          <w:color w:val="auto"/>
          <w:sz w:val="32"/>
          <w:szCs w:val="32"/>
          <w:highlight w:val="none"/>
        </w:rPr>
        <w:t>供应商直接控股股东信息表</w:t>
      </w:r>
    </w:p>
    <w:p w14:paraId="55CCDE16">
      <w:pPr>
        <w:snapToGrid w:val="0"/>
        <w:spacing w:before="50" w:after="120" w:afterLines="50"/>
        <w:jc w:val="center"/>
        <w:rPr>
          <w:rFonts w:ascii="宋体"/>
          <w:b/>
          <w:color w:val="auto"/>
          <w:sz w:val="32"/>
          <w:szCs w:val="32"/>
          <w:highlight w:val="none"/>
        </w:rPr>
      </w:pPr>
    </w:p>
    <w:tbl>
      <w:tblPr>
        <w:tblStyle w:val="25"/>
        <w:tblW w:w="10147" w:type="dxa"/>
        <w:jc w:val="center"/>
        <w:tblLayout w:type="fixed"/>
        <w:tblCellMar>
          <w:top w:w="0" w:type="dxa"/>
          <w:left w:w="0" w:type="dxa"/>
          <w:bottom w:w="0" w:type="dxa"/>
          <w:right w:w="0" w:type="dxa"/>
        </w:tblCellMar>
      </w:tblPr>
      <w:tblGrid>
        <w:gridCol w:w="880"/>
        <w:gridCol w:w="2655"/>
        <w:gridCol w:w="1455"/>
        <w:gridCol w:w="4287"/>
        <w:gridCol w:w="870"/>
      </w:tblGrid>
      <w:tr w14:paraId="3DCAF4EF">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70D340">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650F40">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E06CB4A">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5B1A2D6">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AC0B420">
            <w:pPr>
              <w:widowControl/>
              <w:spacing w:line="360" w:lineRule="auto"/>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2EF4FA8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234F57">
            <w:pPr>
              <w:widowControl/>
              <w:spacing w:line="360" w:lineRule="auto"/>
              <w:jc w:val="center"/>
              <w:rPr>
                <w:rFonts w:ascii="宋体" w:cs="宋体"/>
                <w:color w:val="auto"/>
                <w:kern w:val="0"/>
                <w:sz w:val="28"/>
                <w:szCs w:val="28"/>
                <w:highlight w:val="none"/>
              </w:rPr>
            </w:pPr>
            <w:r>
              <w:rPr>
                <w:rFonts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A78045">
            <w:pPr>
              <w:widowControl/>
              <w:spacing w:line="360" w:lineRule="auto"/>
              <w:jc w:val="center"/>
              <w:rPr>
                <w:rFonts w:asci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F08B5F">
            <w:pPr>
              <w:widowControl/>
              <w:spacing w:line="360" w:lineRule="auto"/>
              <w:jc w:val="center"/>
              <w:rPr>
                <w:rFonts w:asci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1F66BF">
            <w:pPr>
              <w:widowControl/>
              <w:spacing w:line="360" w:lineRule="auto"/>
              <w:jc w:val="center"/>
              <w:rPr>
                <w:rFonts w:asci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B57FCF">
            <w:pPr>
              <w:widowControl/>
              <w:spacing w:line="360" w:lineRule="auto"/>
              <w:jc w:val="center"/>
              <w:rPr>
                <w:rFonts w:ascii="宋体" w:cs="宋体"/>
                <w:color w:val="auto"/>
                <w:kern w:val="0"/>
                <w:sz w:val="28"/>
                <w:szCs w:val="28"/>
                <w:highlight w:val="none"/>
              </w:rPr>
            </w:pPr>
          </w:p>
        </w:tc>
      </w:tr>
      <w:tr w14:paraId="467F4BC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3C983E">
            <w:pPr>
              <w:widowControl/>
              <w:spacing w:line="360" w:lineRule="auto"/>
              <w:jc w:val="center"/>
              <w:rPr>
                <w:rFonts w:ascii="宋体" w:cs="宋体"/>
                <w:color w:val="auto"/>
                <w:kern w:val="0"/>
                <w:sz w:val="28"/>
                <w:szCs w:val="28"/>
                <w:highlight w:val="none"/>
              </w:rPr>
            </w:pPr>
            <w:r>
              <w:rPr>
                <w:rFonts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A92BA9">
            <w:pPr>
              <w:widowControl/>
              <w:spacing w:line="360" w:lineRule="auto"/>
              <w:jc w:val="center"/>
              <w:rPr>
                <w:rFonts w:asci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FCC186">
            <w:pPr>
              <w:widowControl/>
              <w:spacing w:line="360" w:lineRule="auto"/>
              <w:jc w:val="center"/>
              <w:rPr>
                <w:rFonts w:asci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98DDF7">
            <w:pPr>
              <w:widowControl/>
              <w:spacing w:line="360" w:lineRule="auto"/>
              <w:jc w:val="center"/>
              <w:rPr>
                <w:rFonts w:asci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880D9E">
            <w:pPr>
              <w:widowControl/>
              <w:spacing w:line="360" w:lineRule="auto"/>
              <w:jc w:val="center"/>
              <w:rPr>
                <w:rFonts w:ascii="宋体" w:cs="宋体"/>
                <w:color w:val="auto"/>
                <w:kern w:val="0"/>
                <w:sz w:val="28"/>
                <w:szCs w:val="28"/>
                <w:highlight w:val="none"/>
              </w:rPr>
            </w:pPr>
          </w:p>
        </w:tc>
      </w:tr>
      <w:tr w14:paraId="78A155D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8AE1EB">
            <w:pPr>
              <w:widowControl/>
              <w:spacing w:line="360" w:lineRule="auto"/>
              <w:jc w:val="center"/>
              <w:rPr>
                <w:rFonts w:ascii="宋体" w:cs="宋体"/>
                <w:color w:val="auto"/>
                <w:kern w:val="0"/>
                <w:sz w:val="28"/>
                <w:szCs w:val="28"/>
                <w:highlight w:val="none"/>
              </w:rPr>
            </w:pPr>
            <w:r>
              <w:rPr>
                <w:rFonts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09B8EF">
            <w:pPr>
              <w:widowControl/>
              <w:spacing w:line="360" w:lineRule="auto"/>
              <w:jc w:val="center"/>
              <w:rPr>
                <w:rFonts w:asci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086404">
            <w:pPr>
              <w:widowControl/>
              <w:spacing w:line="360" w:lineRule="auto"/>
              <w:jc w:val="center"/>
              <w:rPr>
                <w:rFonts w:asci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F1DA53">
            <w:pPr>
              <w:widowControl/>
              <w:spacing w:line="360" w:lineRule="auto"/>
              <w:jc w:val="center"/>
              <w:rPr>
                <w:rFonts w:asci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517925">
            <w:pPr>
              <w:widowControl/>
              <w:spacing w:line="360" w:lineRule="auto"/>
              <w:jc w:val="center"/>
              <w:rPr>
                <w:rFonts w:ascii="宋体" w:cs="宋体"/>
                <w:color w:val="auto"/>
                <w:kern w:val="0"/>
                <w:sz w:val="28"/>
                <w:szCs w:val="28"/>
                <w:highlight w:val="none"/>
              </w:rPr>
            </w:pPr>
          </w:p>
        </w:tc>
      </w:tr>
      <w:tr w14:paraId="7D2FE78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67B575">
            <w:pPr>
              <w:widowControl/>
              <w:spacing w:line="360" w:lineRule="auto"/>
              <w:jc w:val="center"/>
              <w:rPr>
                <w:rFonts w:asci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A92FEF">
            <w:pPr>
              <w:widowControl/>
              <w:spacing w:line="360" w:lineRule="auto"/>
              <w:jc w:val="center"/>
              <w:rPr>
                <w:rFonts w:asci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A0A2EA">
            <w:pPr>
              <w:widowControl/>
              <w:spacing w:line="360" w:lineRule="auto"/>
              <w:jc w:val="center"/>
              <w:rPr>
                <w:rFonts w:asci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96C29A">
            <w:pPr>
              <w:widowControl/>
              <w:spacing w:line="360" w:lineRule="auto"/>
              <w:jc w:val="center"/>
              <w:rPr>
                <w:rFonts w:asci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B44E63">
            <w:pPr>
              <w:widowControl/>
              <w:spacing w:line="360" w:lineRule="auto"/>
              <w:jc w:val="center"/>
              <w:rPr>
                <w:rFonts w:ascii="宋体" w:cs="宋体"/>
                <w:color w:val="auto"/>
                <w:kern w:val="0"/>
                <w:sz w:val="28"/>
                <w:szCs w:val="28"/>
                <w:highlight w:val="none"/>
              </w:rPr>
            </w:pPr>
          </w:p>
        </w:tc>
      </w:tr>
    </w:tbl>
    <w:p w14:paraId="31D235C2">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p>
    <w:p w14:paraId="68652CDD">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C770EE1">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本表所指的控股关系仅限于直接控股关系，不包括间接的控股关系。公司实际控制人与公司之间的关系不属于本表所指的直接控股关系。</w:t>
      </w:r>
    </w:p>
    <w:p w14:paraId="4E827320">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7D8784F6">
      <w:pPr>
        <w:spacing w:line="360" w:lineRule="auto"/>
        <w:ind w:firstLine="420" w:firstLineChars="200"/>
        <w:contextualSpacing/>
        <w:jc w:val="left"/>
        <w:rPr>
          <w:rFonts w:ascii="宋体" w:cs="宋体"/>
          <w:color w:val="auto"/>
          <w:szCs w:val="21"/>
          <w:highlight w:val="none"/>
        </w:rPr>
      </w:pPr>
    </w:p>
    <w:p w14:paraId="5304D89D">
      <w:pPr>
        <w:spacing w:line="360" w:lineRule="auto"/>
        <w:ind w:firstLine="560" w:firstLineChars="200"/>
        <w:contextualSpacing/>
        <w:jc w:val="left"/>
        <w:rPr>
          <w:rFonts w:ascii="宋体" w:cs="宋体"/>
          <w:color w:val="auto"/>
          <w:sz w:val="28"/>
          <w:szCs w:val="28"/>
          <w:highlight w:val="none"/>
        </w:rPr>
      </w:pPr>
    </w:p>
    <w:p w14:paraId="7BF6D3A0">
      <w:pPr>
        <w:spacing w:line="360" w:lineRule="auto"/>
        <w:ind w:right="480"/>
        <w:contextualSpacing/>
        <w:jc w:val="center"/>
        <w:rPr>
          <w:rFonts w:asci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4721A419">
      <w:pPr>
        <w:spacing w:line="360" w:lineRule="auto"/>
        <w:ind w:right="480" w:firstLine="3000" w:firstLineChars="1250"/>
        <w:contextualSpacing/>
        <w:rPr>
          <w:rFonts w:asci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w:t>
      </w:r>
    </w:p>
    <w:p w14:paraId="70A14066">
      <w:pPr>
        <w:spacing w:line="360" w:lineRule="auto"/>
        <w:ind w:right="480" w:firstLine="5280" w:firstLineChars="2200"/>
        <w:contextualSpacing/>
        <w:rPr>
          <w:rFonts w:ascii="宋体" w:cs="宋体"/>
          <w:color w:val="auto"/>
          <w:sz w:val="28"/>
          <w:szCs w:val="28"/>
          <w:highlight w:val="none"/>
        </w:rPr>
      </w:pPr>
      <w:r>
        <w:rPr>
          <w:rFonts w:hint="eastAsia" w:ascii="宋体" w:hAnsi="宋体" w:cs="宋体"/>
          <w:color w:val="auto"/>
          <w:sz w:val="24"/>
          <w:highlight w:val="none"/>
        </w:rPr>
        <w:t>年  月  日</w:t>
      </w:r>
    </w:p>
    <w:p w14:paraId="753089C7">
      <w:pPr>
        <w:snapToGrid w:val="0"/>
        <w:jc w:val="center"/>
        <w:rPr>
          <w:rFonts w:ascii="宋体"/>
          <w:b/>
          <w:color w:val="auto"/>
          <w:sz w:val="28"/>
          <w:szCs w:val="28"/>
          <w:highlight w:val="none"/>
        </w:rPr>
      </w:pPr>
      <w:r>
        <w:rPr>
          <w:rFonts w:ascii="宋体"/>
          <w:b/>
          <w:color w:val="auto"/>
          <w:sz w:val="28"/>
          <w:szCs w:val="28"/>
          <w:highlight w:val="none"/>
        </w:rPr>
        <w:br w:type="page"/>
      </w:r>
    </w:p>
    <w:p w14:paraId="622299E4">
      <w:pPr>
        <w:snapToGrid w:val="0"/>
        <w:jc w:val="center"/>
        <w:rPr>
          <w:rFonts w:ascii="宋体"/>
          <w:b/>
          <w:color w:val="auto"/>
          <w:sz w:val="32"/>
          <w:szCs w:val="32"/>
          <w:highlight w:val="none"/>
        </w:rPr>
      </w:pPr>
      <w:r>
        <w:rPr>
          <w:rFonts w:hint="eastAsia" w:ascii="宋体" w:hAnsi="宋体"/>
          <w:b/>
          <w:color w:val="auto"/>
          <w:sz w:val="32"/>
          <w:szCs w:val="32"/>
          <w:highlight w:val="none"/>
        </w:rPr>
        <w:t>供应商直接管理关系信息表</w:t>
      </w:r>
    </w:p>
    <w:p w14:paraId="6476B0BE">
      <w:pPr>
        <w:snapToGrid w:val="0"/>
        <w:jc w:val="center"/>
        <w:rPr>
          <w:rFonts w:ascii="宋体"/>
          <w:b/>
          <w:color w:val="auto"/>
          <w:sz w:val="32"/>
          <w:szCs w:val="32"/>
          <w:highlight w:val="none"/>
        </w:rPr>
      </w:pPr>
    </w:p>
    <w:tbl>
      <w:tblPr>
        <w:tblStyle w:val="25"/>
        <w:tblW w:w="9652" w:type="dxa"/>
        <w:jc w:val="center"/>
        <w:tblLayout w:type="fixed"/>
        <w:tblCellMar>
          <w:top w:w="0" w:type="dxa"/>
          <w:left w:w="0" w:type="dxa"/>
          <w:bottom w:w="0" w:type="dxa"/>
          <w:right w:w="0" w:type="dxa"/>
        </w:tblCellMar>
      </w:tblPr>
      <w:tblGrid>
        <w:gridCol w:w="808"/>
        <w:gridCol w:w="3600"/>
        <w:gridCol w:w="3555"/>
        <w:gridCol w:w="1689"/>
      </w:tblGrid>
      <w:tr w14:paraId="70444B7F">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8675EF6">
            <w:pPr>
              <w:widowControl/>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0B2D975">
            <w:pPr>
              <w:widowControl/>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84D5265">
            <w:pPr>
              <w:widowControl/>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95EADF4">
            <w:pPr>
              <w:widowControl/>
              <w:jc w:val="center"/>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4CC1091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112985">
            <w:pPr>
              <w:widowControl/>
              <w:wordWrap w:val="0"/>
              <w:spacing w:line="200" w:lineRule="atLeast"/>
              <w:jc w:val="center"/>
              <w:rPr>
                <w:rFonts w:ascii="宋体" w:cs="宋体"/>
                <w:color w:val="auto"/>
                <w:kern w:val="0"/>
                <w:sz w:val="28"/>
                <w:szCs w:val="28"/>
                <w:highlight w:val="none"/>
              </w:rPr>
            </w:pPr>
            <w:r>
              <w:rPr>
                <w:rFonts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7299D3">
            <w:pPr>
              <w:widowControl/>
              <w:wordWrap w:val="0"/>
              <w:spacing w:line="200" w:lineRule="atLeast"/>
              <w:jc w:val="center"/>
              <w:rPr>
                <w:rFonts w:asci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840A92">
            <w:pPr>
              <w:widowControl/>
              <w:wordWrap w:val="0"/>
              <w:spacing w:line="200" w:lineRule="atLeast"/>
              <w:jc w:val="center"/>
              <w:rPr>
                <w:rFonts w:asci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96517E">
            <w:pPr>
              <w:widowControl/>
              <w:wordWrap w:val="0"/>
              <w:spacing w:line="200" w:lineRule="atLeast"/>
              <w:jc w:val="center"/>
              <w:rPr>
                <w:rFonts w:ascii="宋体" w:cs="宋体"/>
                <w:color w:val="auto"/>
                <w:kern w:val="0"/>
                <w:sz w:val="28"/>
                <w:szCs w:val="28"/>
                <w:highlight w:val="none"/>
              </w:rPr>
            </w:pPr>
          </w:p>
        </w:tc>
      </w:tr>
      <w:tr w14:paraId="2D8BD2B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85B728">
            <w:pPr>
              <w:widowControl/>
              <w:wordWrap w:val="0"/>
              <w:spacing w:line="200" w:lineRule="atLeast"/>
              <w:jc w:val="center"/>
              <w:rPr>
                <w:rFonts w:ascii="宋体" w:cs="宋体"/>
                <w:color w:val="auto"/>
                <w:kern w:val="0"/>
                <w:sz w:val="28"/>
                <w:szCs w:val="28"/>
                <w:highlight w:val="none"/>
              </w:rPr>
            </w:pPr>
            <w:r>
              <w:rPr>
                <w:rFonts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D0352D">
            <w:pPr>
              <w:widowControl/>
              <w:wordWrap w:val="0"/>
              <w:spacing w:line="200" w:lineRule="atLeast"/>
              <w:jc w:val="center"/>
              <w:rPr>
                <w:rFonts w:asci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94C94E">
            <w:pPr>
              <w:widowControl/>
              <w:wordWrap w:val="0"/>
              <w:spacing w:line="200" w:lineRule="atLeast"/>
              <w:jc w:val="center"/>
              <w:rPr>
                <w:rFonts w:asci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FB7387">
            <w:pPr>
              <w:widowControl/>
              <w:wordWrap w:val="0"/>
              <w:spacing w:line="200" w:lineRule="atLeast"/>
              <w:jc w:val="center"/>
              <w:rPr>
                <w:rFonts w:ascii="宋体" w:cs="宋体"/>
                <w:color w:val="auto"/>
                <w:kern w:val="0"/>
                <w:sz w:val="28"/>
                <w:szCs w:val="28"/>
                <w:highlight w:val="none"/>
              </w:rPr>
            </w:pPr>
          </w:p>
        </w:tc>
      </w:tr>
      <w:tr w14:paraId="12309AA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208E8D">
            <w:pPr>
              <w:widowControl/>
              <w:wordWrap w:val="0"/>
              <w:spacing w:line="200" w:lineRule="atLeast"/>
              <w:jc w:val="center"/>
              <w:rPr>
                <w:rFonts w:ascii="宋体" w:cs="宋体"/>
                <w:color w:val="auto"/>
                <w:kern w:val="0"/>
                <w:sz w:val="28"/>
                <w:szCs w:val="28"/>
                <w:highlight w:val="none"/>
              </w:rPr>
            </w:pPr>
            <w:r>
              <w:rPr>
                <w:rFonts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0994A9">
            <w:pPr>
              <w:widowControl/>
              <w:wordWrap w:val="0"/>
              <w:spacing w:line="200" w:lineRule="atLeast"/>
              <w:jc w:val="center"/>
              <w:rPr>
                <w:rFonts w:asci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98DE47">
            <w:pPr>
              <w:widowControl/>
              <w:wordWrap w:val="0"/>
              <w:spacing w:line="200" w:lineRule="atLeast"/>
              <w:jc w:val="center"/>
              <w:rPr>
                <w:rFonts w:asci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941D31">
            <w:pPr>
              <w:widowControl/>
              <w:wordWrap w:val="0"/>
              <w:spacing w:line="200" w:lineRule="atLeast"/>
              <w:jc w:val="center"/>
              <w:rPr>
                <w:rFonts w:ascii="宋体" w:cs="宋体"/>
                <w:color w:val="auto"/>
                <w:kern w:val="0"/>
                <w:sz w:val="28"/>
                <w:szCs w:val="28"/>
                <w:highlight w:val="none"/>
              </w:rPr>
            </w:pPr>
          </w:p>
        </w:tc>
      </w:tr>
      <w:tr w14:paraId="16FC699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A98E78">
            <w:pPr>
              <w:widowControl/>
              <w:wordWrap w:val="0"/>
              <w:spacing w:line="200" w:lineRule="atLeast"/>
              <w:jc w:val="center"/>
              <w:rPr>
                <w:rFonts w:asci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CB8C54">
            <w:pPr>
              <w:widowControl/>
              <w:wordWrap w:val="0"/>
              <w:spacing w:line="200" w:lineRule="atLeast"/>
              <w:jc w:val="center"/>
              <w:rPr>
                <w:rFonts w:asci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D33A5F">
            <w:pPr>
              <w:widowControl/>
              <w:wordWrap w:val="0"/>
              <w:spacing w:line="200" w:lineRule="atLeast"/>
              <w:jc w:val="center"/>
              <w:rPr>
                <w:rFonts w:asci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732FC6">
            <w:pPr>
              <w:widowControl/>
              <w:wordWrap w:val="0"/>
              <w:spacing w:line="200" w:lineRule="atLeast"/>
              <w:jc w:val="center"/>
              <w:rPr>
                <w:rFonts w:ascii="宋体" w:cs="宋体"/>
                <w:color w:val="auto"/>
                <w:kern w:val="0"/>
                <w:sz w:val="28"/>
                <w:szCs w:val="28"/>
                <w:highlight w:val="none"/>
              </w:rPr>
            </w:pPr>
          </w:p>
        </w:tc>
      </w:tr>
    </w:tbl>
    <w:p w14:paraId="6C6AA0B6">
      <w:pPr>
        <w:spacing w:line="360" w:lineRule="auto"/>
        <w:contextualSpacing/>
        <w:jc w:val="left"/>
        <w:rPr>
          <w:rFonts w:ascii="宋体"/>
          <w:color w:val="auto"/>
          <w:sz w:val="24"/>
          <w:highlight w:val="none"/>
        </w:rPr>
      </w:pPr>
      <w:r>
        <w:rPr>
          <w:rFonts w:hint="eastAsia" w:ascii="宋体" w:hAnsi="宋体"/>
          <w:color w:val="auto"/>
          <w:sz w:val="24"/>
          <w:highlight w:val="none"/>
        </w:rPr>
        <w:t>注：</w:t>
      </w:r>
    </w:p>
    <w:p w14:paraId="51A4596E">
      <w:pPr>
        <w:spacing w:line="360" w:lineRule="auto"/>
        <w:ind w:firstLine="480" w:firstLineChars="200"/>
        <w:contextualSpacing/>
        <w:jc w:val="left"/>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管理关系：是指不具有出资持股关系的其他单位之间存在的管理与被管理关系，如一些上下级关系的事业单位和团体组织。</w:t>
      </w:r>
    </w:p>
    <w:p w14:paraId="2907BFC8">
      <w:pPr>
        <w:spacing w:line="360" w:lineRule="auto"/>
        <w:ind w:firstLine="480" w:firstLineChars="200"/>
        <w:contextualSpacing/>
        <w:jc w:val="left"/>
        <w:rPr>
          <w:rFonts w:ascii="宋体"/>
          <w:color w:val="auto"/>
          <w:sz w:val="24"/>
          <w:highlight w:val="none"/>
        </w:rPr>
      </w:pPr>
      <w:r>
        <w:rPr>
          <w:rFonts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295527EF">
      <w:pPr>
        <w:spacing w:line="360" w:lineRule="auto"/>
        <w:ind w:firstLine="480" w:firstLineChars="200"/>
        <w:contextualSpacing/>
        <w:jc w:val="left"/>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供应商不存在直接管理关系的，则在“直接管理关系单位名称”填“无”。</w:t>
      </w:r>
    </w:p>
    <w:p w14:paraId="42E9D237">
      <w:pPr>
        <w:spacing w:line="360" w:lineRule="auto"/>
        <w:contextualSpacing/>
        <w:jc w:val="left"/>
        <w:rPr>
          <w:rFonts w:ascii="宋体"/>
          <w:color w:val="auto"/>
          <w:sz w:val="28"/>
          <w:szCs w:val="28"/>
          <w:highlight w:val="none"/>
        </w:rPr>
      </w:pPr>
    </w:p>
    <w:p w14:paraId="1F327262">
      <w:pPr>
        <w:spacing w:line="360" w:lineRule="auto"/>
        <w:contextualSpacing/>
        <w:jc w:val="left"/>
        <w:rPr>
          <w:rFonts w:ascii="宋体"/>
          <w:color w:val="auto"/>
          <w:sz w:val="28"/>
          <w:szCs w:val="28"/>
          <w:highlight w:val="none"/>
        </w:rPr>
      </w:pPr>
    </w:p>
    <w:p w14:paraId="6D5ACA61">
      <w:pPr>
        <w:spacing w:line="360" w:lineRule="auto"/>
        <w:contextualSpacing/>
        <w:jc w:val="left"/>
        <w:rPr>
          <w:color w:val="auto"/>
          <w:sz w:val="28"/>
          <w:szCs w:val="28"/>
          <w:highlight w:val="none"/>
        </w:rPr>
      </w:pPr>
    </w:p>
    <w:p w14:paraId="4F12CE98">
      <w:pPr>
        <w:spacing w:line="360" w:lineRule="auto"/>
        <w:contextualSpacing/>
        <w:jc w:val="left"/>
        <w:rPr>
          <w:color w:val="auto"/>
          <w:sz w:val="28"/>
          <w:szCs w:val="28"/>
          <w:highlight w:val="none"/>
        </w:rPr>
      </w:pPr>
    </w:p>
    <w:p w14:paraId="1F8C71AA">
      <w:pPr>
        <w:spacing w:line="360" w:lineRule="auto"/>
        <w:contextualSpacing/>
        <w:jc w:val="left"/>
        <w:rPr>
          <w:color w:val="auto"/>
          <w:sz w:val="28"/>
          <w:szCs w:val="28"/>
          <w:highlight w:val="none"/>
        </w:rPr>
      </w:pPr>
    </w:p>
    <w:p w14:paraId="69F1556E">
      <w:pPr>
        <w:spacing w:line="360" w:lineRule="auto"/>
        <w:contextualSpacing/>
        <w:jc w:val="left"/>
        <w:rPr>
          <w:rFonts w:ascii="宋体"/>
          <w:color w:val="auto"/>
          <w:sz w:val="28"/>
          <w:szCs w:val="28"/>
          <w:highlight w:val="none"/>
        </w:rPr>
      </w:pPr>
    </w:p>
    <w:p w14:paraId="6A675285">
      <w:pPr>
        <w:spacing w:line="360" w:lineRule="auto"/>
        <w:ind w:right="480"/>
        <w:contextualSpacing/>
        <w:jc w:val="center"/>
        <w:rPr>
          <w:rFonts w:ascii="宋体"/>
          <w:color w:val="auto"/>
          <w:sz w:val="24"/>
          <w:highlight w:val="none"/>
          <w:u w:val="single"/>
        </w:rPr>
      </w:pPr>
      <w:r>
        <w:rPr>
          <w:rFonts w:hint="eastAsia" w:ascii="宋体" w:hAnsi="宋体"/>
          <w:color w:val="auto"/>
          <w:sz w:val="24"/>
          <w:highlight w:val="none"/>
        </w:rPr>
        <w:t>法定代表人或者委托代理人（签字或者电子签名）：</w:t>
      </w:r>
    </w:p>
    <w:p w14:paraId="18D5B84C">
      <w:pPr>
        <w:spacing w:line="360" w:lineRule="auto"/>
        <w:ind w:right="480" w:firstLine="3360" w:firstLineChars="1400"/>
        <w:contextualSpacing/>
        <w:rPr>
          <w:rFonts w:ascii="宋体"/>
          <w:color w:val="auto"/>
          <w:sz w:val="24"/>
          <w:highlight w:val="none"/>
        </w:rPr>
      </w:pPr>
      <w:r>
        <w:rPr>
          <w:rFonts w:hint="eastAsia" w:ascii="宋体" w:hAnsi="宋体"/>
          <w:color w:val="auto"/>
          <w:sz w:val="24"/>
          <w:highlight w:val="none"/>
        </w:rPr>
        <w:t>供应商（电子签章）：</w:t>
      </w:r>
    </w:p>
    <w:p w14:paraId="5A0BF860">
      <w:pPr>
        <w:spacing w:line="360" w:lineRule="auto"/>
        <w:ind w:right="480" w:firstLine="240" w:firstLineChars="100"/>
        <w:contextualSpacing/>
        <w:jc w:val="center"/>
        <w:rPr>
          <w:rFonts w:ascii="宋体"/>
          <w:color w:val="auto"/>
          <w:sz w:val="28"/>
          <w:szCs w:val="28"/>
          <w:highlight w:val="none"/>
        </w:rPr>
      </w:pPr>
      <w:r>
        <w:rPr>
          <w:rFonts w:hint="eastAsia" w:ascii="宋体" w:hAnsi="宋体"/>
          <w:color w:val="auto"/>
          <w:sz w:val="24"/>
          <w:highlight w:val="none"/>
        </w:rPr>
        <w:t>年  月   日</w:t>
      </w:r>
    </w:p>
    <w:p w14:paraId="184460A1">
      <w:pPr>
        <w:spacing w:line="500" w:lineRule="exact"/>
        <w:jc w:val="center"/>
        <w:rPr>
          <w:rFonts w:ascii="方正小标宋简体" w:hAnsi="宋体" w:eastAsia="方正小标宋简体"/>
          <w:b/>
          <w:color w:val="auto"/>
          <w:sz w:val="32"/>
          <w:szCs w:val="32"/>
          <w:highlight w:val="none"/>
        </w:rPr>
      </w:pPr>
      <w:r>
        <w:rPr>
          <w:rFonts w:ascii="宋体"/>
          <w:b/>
          <w:color w:val="auto"/>
          <w:sz w:val="32"/>
          <w:szCs w:val="32"/>
          <w:highlight w:val="none"/>
        </w:rPr>
        <w:br w:type="page"/>
      </w:r>
      <w:r>
        <w:rPr>
          <w:rFonts w:hint="eastAsia" w:ascii="方正小标宋简体" w:hAnsi="宋体" w:eastAsia="方正小标宋简体"/>
          <w:b/>
          <w:color w:val="auto"/>
          <w:sz w:val="32"/>
          <w:szCs w:val="32"/>
          <w:highlight w:val="none"/>
        </w:rPr>
        <w:t>竞标声明</w:t>
      </w:r>
    </w:p>
    <w:p w14:paraId="123BCD98">
      <w:pPr>
        <w:spacing w:line="320" w:lineRule="exact"/>
        <w:jc w:val="center"/>
        <w:rPr>
          <w:rFonts w:ascii="宋体"/>
          <w:color w:val="auto"/>
          <w:sz w:val="24"/>
          <w:szCs w:val="20"/>
          <w:highlight w:val="none"/>
        </w:rPr>
      </w:pPr>
    </w:p>
    <w:p w14:paraId="1B4AF02D">
      <w:pPr>
        <w:spacing w:line="360" w:lineRule="auto"/>
        <w:contextualSpacing/>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24ECAB6B">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678DCC6">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05BA548D">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我方向贵方提交的所有响应文件、资料都是准确的和真实的。</w:t>
      </w:r>
    </w:p>
    <w:p w14:paraId="584A56AD">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36EC0031">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在此，我方宣布同意如下：</w:t>
      </w:r>
    </w:p>
    <w:p w14:paraId="16D02D5F">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）将按谈判文件的约定履行合同责任和义务；</w:t>
      </w:r>
    </w:p>
    <w:p w14:paraId="4B69599F">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）已详细审查全部谈判文件，包括补遗文件（如有）；</w:t>
      </w:r>
    </w:p>
    <w:p w14:paraId="23A006E0">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）同意提供按照贵方可能要求的与谈判有关的一切数据或者资料；</w:t>
      </w:r>
    </w:p>
    <w:p w14:paraId="4D34783F">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）响应谈判文件规定的竞标有效期。</w:t>
      </w:r>
    </w:p>
    <w:p w14:paraId="70F5DD8E">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我方承诺符合《中华人民共和国政府采购法》第二十二条规定：</w:t>
      </w:r>
    </w:p>
    <w:p w14:paraId="2341742B">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21125889">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p>
    <w:p w14:paraId="57DB3B1D">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10779BFC">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57A7BADB">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58B8591F">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333FD3E1">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2B01B82">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291C099E">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33A9BF80">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14:paraId="122467D2">
      <w:pPr>
        <w:pStyle w:val="14"/>
        <w:spacing w:line="360" w:lineRule="auto"/>
        <w:ind w:firstLine="480" w:firstLineChars="200"/>
        <w:contextualSpacing/>
        <w:rPr>
          <w:rFonts w:hAnsi="宋体" w:cs="宋体"/>
          <w:color w:val="auto"/>
          <w:sz w:val="24"/>
          <w:szCs w:val="24"/>
          <w:highlight w:val="none"/>
          <w:u w:val="single"/>
        </w:rPr>
      </w:pPr>
      <w:r>
        <w:rPr>
          <w:rFonts w:hAnsi="宋体" w:cs="宋体"/>
          <w:color w:val="auto"/>
          <w:sz w:val="24"/>
          <w:szCs w:val="24"/>
          <w:highlight w:val="none"/>
        </w:rPr>
        <w:t>7.</w:t>
      </w:r>
      <w:r>
        <w:rPr>
          <w:rFonts w:hint="eastAsia" w:hAnsi="宋体" w:cs="宋体"/>
          <w:color w:val="auto"/>
          <w:sz w:val="24"/>
          <w:szCs w:val="24"/>
          <w:highlight w:val="none"/>
        </w:rPr>
        <w:t>与本谈判有关的一切正式往来信函请寄：</w:t>
      </w:r>
      <w:r>
        <w:rPr>
          <w:rFonts w:hint="eastAsia" w:hAnsi="宋体" w:cs="宋体"/>
          <w:color w:val="auto"/>
          <w:sz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highlight w:val="none"/>
          <w:u w:val="single"/>
        </w:rPr>
        <w:t xml:space="preserve">             </w:t>
      </w:r>
    </w:p>
    <w:p w14:paraId="19AFA05C">
      <w:pPr>
        <w:pStyle w:val="14"/>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w:t>
      </w:r>
      <w:r>
        <w:rPr>
          <w:rFonts w:hAnsi="宋体" w:cs="宋体"/>
          <w:color w:val="auto"/>
          <w:sz w:val="24"/>
          <w:szCs w:val="24"/>
          <w:highlight w:val="none"/>
        </w:rPr>
        <w:t>/</w:t>
      </w:r>
      <w:r>
        <w:rPr>
          <w:rFonts w:hint="eastAsia" w:hAnsi="宋体" w:cs="宋体"/>
          <w:color w:val="auto"/>
          <w:sz w:val="24"/>
          <w:szCs w:val="24"/>
          <w:highlight w:val="none"/>
        </w:rPr>
        <w:t>传真：</w:t>
      </w:r>
      <w:r>
        <w:rPr>
          <w:rFonts w:hint="eastAsia" w:hAnsi="宋体" w:cs="宋体"/>
          <w:color w:val="auto"/>
          <w:sz w:val="24"/>
          <w:highlight w:val="none"/>
          <w:u w:val="single"/>
        </w:rPr>
        <w:t xml:space="preserve">             </w:t>
      </w:r>
      <w:r>
        <w:rPr>
          <w:rFonts w:hint="eastAsia" w:hAnsi="宋体" w:cs="宋体"/>
          <w:color w:val="auto"/>
          <w:sz w:val="24"/>
          <w:szCs w:val="24"/>
          <w:highlight w:val="none"/>
        </w:rPr>
        <w:t>电子邮箱：</w:t>
      </w:r>
      <w:r>
        <w:rPr>
          <w:rFonts w:hint="eastAsia" w:hAnsi="宋体" w:cs="宋体"/>
          <w:color w:val="auto"/>
          <w:sz w:val="24"/>
          <w:highlight w:val="none"/>
          <w:u w:val="single"/>
        </w:rPr>
        <w:t xml:space="preserve">             </w:t>
      </w:r>
    </w:p>
    <w:p w14:paraId="01A79E53">
      <w:pPr>
        <w:pStyle w:val="12"/>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账号</w:t>
      </w:r>
      <w:r>
        <w:rPr>
          <w:rFonts w:ascii="宋体" w:hAnsi="宋体" w:cs="宋体"/>
          <w:color w:val="auto"/>
          <w:sz w:val="24"/>
          <w:highlight w:val="none"/>
        </w:rPr>
        <w:t>/</w:t>
      </w:r>
      <w:r>
        <w:rPr>
          <w:rFonts w:hint="eastAsia" w:ascii="宋体" w:hAnsi="宋体" w:cs="宋体"/>
          <w:color w:val="auto"/>
          <w:sz w:val="24"/>
          <w:highlight w:val="none"/>
        </w:rPr>
        <w:t>行号：</w:t>
      </w:r>
      <w:r>
        <w:rPr>
          <w:rFonts w:hint="eastAsia" w:ascii="宋体" w:hAnsi="宋体" w:cs="宋体"/>
          <w:color w:val="auto"/>
          <w:sz w:val="24"/>
          <w:highlight w:val="none"/>
          <w:u w:val="single"/>
        </w:rPr>
        <w:t xml:space="preserve">             </w:t>
      </w:r>
    </w:p>
    <w:p w14:paraId="167192C6">
      <w:pPr>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rPr>
        <w:t>8.如我方成交，保证按本项目谈判文件的规定标准向贵单位一次性足额支付采购代理服务费。采购代理服务费发票我方选择开具：□</w:t>
      </w:r>
      <w:r>
        <w:rPr>
          <w:rFonts w:hint="eastAsia" w:ascii="宋体" w:hAnsi="宋体" w:cs="宋体"/>
          <w:color w:val="auto"/>
          <w:kern w:val="0"/>
          <w:sz w:val="24"/>
          <w:highlight w:val="none"/>
          <w:u w:val="single"/>
        </w:rPr>
        <w:t>增值税普通发票</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增值税专用发票</w:t>
      </w:r>
      <w:r>
        <w:rPr>
          <w:rFonts w:hint="eastAsia" w:ascii="宋体" w:hAnsi="宋体" w:cs="宋体"/>
          <w:color w:val="auto"/>
          <w:kern w:val="0"/>
          <w:sz w:val="24"/>
          <w:highlight w:val="none"/>
        </w:rPr>
        <w:t>，开票信息如下：</w:t>
      </w:r>
    </w:p>
    <w:p w14:paraId="1E186763">
      <w:pPr>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rPr>
        <w:t>开具增值税发票开票信息：</w:t>
      </w:r>
    </w:p>
    <w:p w14:paraId="2942FB73">
      <w:pPr>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rPr>
        <w:t>①公司名称：</w:t>
      </w:r>
      <w:r>
        <w:rPr>
          <w:rFonts w:hint="eastAsia" w:ascii="宋体" w:hAnsi="宋体" w:cs="宋体"/>
          <w:color w:val="auto"/>
          <w:sz w:val="24"/>
          <w:highlight w:val="none"/>
          <w:u w:val="single"/>
        </w:rPr>
        <w:t xml:space="preserve">             </w:t>
      </w:r>
    </w:p>
    <w:p w14:paraId="09B528A2">
      <w:pPr>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rPr>
        <w:t>②纳税人识别号：</w:t>
      </w:r>
      <w:r>
        <w:rPr>
          <w:rFonts w:hint="eastAsia" w:ascii="宋体" w:hAnsi="宋体" w:cs="宋体"/>
          <w:color w:val="auto"/>
          <w:sz w:val="24"/>
          <w:highlight w:val="none"/>
          <w:u w:val="single"/>
        </w:rPr>
        <w:t xml:space="preserve">             </w:t>
      </w:r>
    </w:p>
    <w:p w14:paraId="05E49361">
      <w:pPr>
        <w:pStyle w:val="12"/>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9</w:t>
      </w:r>
      <w:r>
        <w:rPr>
          <w:rFonts w:ascii="宋体" w:hAnsi="宋体" w:cs="宋体"/>
          <w:color w:val="auto"/>
          <w:sz w:val="24"/>
          <w:highlight w:val="none"/>
        </w:rPr>
        <w:t>.</w:t>
      </w:r>
      <w:r>
        <w:rPr>
          <w:rFonts w:hint="eastAsia" w:ascii="宋体" w:hAnsi="宋体" w:cs="宋体"/>
          <w:color w:val="auto"/>
          <w:sz w:val="24"/>
          <w:highlight w:val="none"/>
        </w:rPr>
        <w:t>以上事项如有虚假或者隐瞒，我方愿意承担一切后果，并不再寻求任何旨在减轻或者免除法律责任的辩解。</w:t>
      </w:r>
    </w:p>
    <w:p w14:paraId="2CF694C4">
      <w:pPr>
        <w:pStyle w:val="12"/>
        <w:tabs>
          <w:tab w:val="left" w:pos="939"/>
        </w:tabs>
        <w:spacing w:line="360" w:lineRule="auto"/>
        <w:ind w:left="141" w:leftChars="67" w:firstLine="360" w:firstLineChars="150"/>
        <w:rPr>
          <w:rFonts w:ascii="宋体" w:cs="宋体"/>
          <w:color w:val="auto"/>
          <w:szCs w:val="21"/>
          <w:highlight w:val="none"/>
        </w:rPr>
      </w:pPr>
      <w:r>
        <w:rPr>
          <w:rFonts w:hint="eastAsia" w:ascii="宋体" w:hAnsi="宋体" w:cs="宋体"/>
          <w:color w:val="auto"/>
          <w:sz w:val="24"/>
          <w:highlight w:val="none"/>
        </w:rPr>
        <w:t>特此承诺。</w:t>
      </w:r>
    </w:p>
    <w:p w14:paraId="0AB5FEF5">
      <w:pPr>
        <w:spacing w:line="360" w:lineRule="auto"/>
        <w:contextualSpacing/>
        <w:jc w:val="left"/>
        <w:rPr>
          <w:rFonts w:ascii="宋体"/>
          <w:b/>
          <w:color w:val="auto"/>
          <w:sz w:val="24"/>
          <w:highlight w:val="none"/>
        </w:rPr>
      </w:pPr>
      <w:r>
        <w:rPr>
          <w:rFonts w:hint="eastAsia" w:ascii="宋体" w:hAnsi="宋体"/>
          <w:b/>
          <w:color w:val="auto"/>
          <w:sz w:val="24"/>
          <w:highlight w:val="none"/>
        </w:rPr>
        <w:t>注：如为联合体竞标，盖章处须加盖联合体牵头人电子签章并由联合体牵头人法定代表人分别签字或者电子签名，否则响应文件按无效处理（非联合体竞标的请忽略）。</w:t>
      </w:r>
    </w:p>
    <w:p w14:paraId="0302AD60">
      <w:pPr>
        <w:spacing w:line="360" w:lineRule="auto"/>
        <w:contextualSpacing/>
        <w:jc w:val="left"/>
        <w:rPr>
          <w:rFonts w:ascii="宋体" w:cs="宋体"/>
          <w:color w:val="auto"/>
          <w:szCs w:val="21"/>
          <w:highlight w:val="none"/>
        </w:rPr>
      </w:pPr>
    </w:p>
    <w:p w14:paraId="18C1E5BA">
      <w:pPr>
        <w:spacing w:line="360" w:lineRule="auto"/>
        <w:ind w:firstLine="1575" w:firstLineChars="750"/>
        <w:contextualSpacing/>
        <w:rPr>
          <w:color w:val="auto"/>
          <w:highlight w:val="none"/>
        </w:rPr>
      </w:pPr>
      <w:r>
        <w:rPr>
          <w:rFonts w:hint="eastAsia"/>
          <w:color w:val="auto"/>
          <w:highlight w:val="none"/>
        </w:rPr>
        <w:t>法定代表人签字或签章（或电子签名）：</w:t>
      </w:r>
    </w:p>
    <w:p w14:paraId="6196C1FC">
      <w:pPr>
        <w:spacing w:line="360" w:lineRule="auto"/>
        <w:ind w:firstLine="3780" w:firstLineChars="1800"/>
        <w:contextualSpacing/>
        <w:rPr>
          <w:rFonts w:ascii="宋体" w:cs="宋体"/>
          <w:color w:val="auto"/>
          <w:szCs w:val="21"/>
          <w:highlight w:val="none"/>
          <w:u w:val="single"/>
        </w:rPr>
      </w:pPr>
      <w:r>
        <w:rPr>
          <w:rFonts w:hint="eastAsia"/>
          <w:color w:val="auto"/>
          <w:highlight w:val="none"/>
        </w:rPr>
        <w:t>供应商（电子签章）：</w:t>
      </w:r>
    </w:p>
    <w:p w14:paraId="6F9CDC97">
      <w:pPr>
        <w:spacing w:line="360" w:lineRule="auto"/>
        <w:ind w:right="482" w:firstLine="210" w:firstLineChars="100"/>
        <w:contextualSpacing/>
        <w:jc w:val="center"/>
        <w:rPr>
          <w:rFonts w:ascii="宋体"/>
          <w:color w:val="auto"/>
          <w:szCs w:val="21"/>
          <w:highlight w:val="none"/>
        </w:rPr>
      </w:pPr>
      <w:r>
        <w:rPr>
          <w:rFonts w:hint="eastAsia"/>
          <w:color w:val="auto"/>
          <w:highlight w:val="none"/>
        </w:rPr>
        <w:t>年月日</w:t>
      </w:r>
    </w:p>
    <w:p w14:paraId="6FC76E8F">
      <w:pPr>
        <w:pStyle w:val="6"/>
        <w:overflowPunct w:val="0"/>
        <w:spacing w:line="520" w:lineRule="exact"/>
        <w:ind w:firstLine="0"/>
        <w:jc w:val="center"/>
        <w:rPr>
          <w:rFonts w:ascii="方正小标宋简体" w:hAnsi="方正小标宋简体" w:eastAsia="方正小标宋简体" w:cs="方正小标宋简体"/>
          <w:color w:val="auto"/>
          <w:sz w:val="32"/>
          <w:szCs w:val="32"/>
          <w:highlight w:val="none"/>
        </w:rPr>
      </w:pPr>
      <w:r>
        <w:rPr>
          <w:rFonts w:ascii="方正小标宋简体" w:hAnsi="方正小标宋简体" w:eastAsia="方正小标宋简体" w:cs="方正小标宋简体"/>
          <w:color w:val="auto"/>
          <w:sz w:val="32"/>
          <w:szCs w:val="32"/>
          <w:highlight w:val="none"/>
        </w:rPr>
        <w:br w:type="page"/>
      </w:r>
      <w:r>
        <w:rPr>
          <w:rFonts w:hint="eastAsia" w:ascii="方正小标宋简体" w:hAnsi="方正小标宋简体" w:eastAsia="方正小标宋简体" w:cs="方正小标宋简体"/>
          <w:color w:val="auto"/>
          <w:sz w:val="32"/>
          <w:szCs w:val="32"/>
          <w:highlight w:val="none"/>
        </w:rPr>
        <w:t>联合体竞标协议书（如有）</w:t>
      </w:r>
    </w:p>
    <w:p w14:paraId="50E95EC2">
      <w:pPr>
        <w:pStyle w:val="6"/>
        <w:overflowPunct w:val="0"/>
        <w:spacing w:line="520" w:lineRule="exact"/>
        <w:ind w:firstLine="0"/>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（非联合体竞标的请忽略）</w:t>
      </w:r>
    </w:p>
    <w:p w14:paraId="23E5073A">
      <w:pPr>
        <w:pStyle w:val="6"/>
        <w:overflowPunct w:val="0"/>
        <w:spacing w:line="360" w:lineRule="auto"/>
        <w:ind w:firstLine="0"/>
        <w:contextualSpacing/>
        <w:rPr>
          <w:rFonts w:ascii="宋体"/>
          <w:color w:val="auto"/>
          <w:sz w:val="24"/>
          <w:szCs w:val="24"/>
          <w:highlight w:val="none"/>
        </w:rPr>
      </w:pPr>
    </w:p>
    <w:p w14:paraId="2453123D">
      <w:pPr>
        <w:pStyle w:val="6"/>
        <w:overflowPunct w:val="0"/>
        <w:spacing w:line="440" w:lineRule="exact"/>
        <w:ind w:firstLine="480" w:firstLineChars="200"/>
        <w:contextualSpacing/>
        <w:rPr>
          <w:rFonts w:ascii="宋体" w:cs="仿宋_GB2312"/>
          <w:color w:val="auto"/>
          <w:sz w:val="24"/>
          <w:szCs w:val="24"/>
          <w:highlight w:val="none"/>
        </w:rPr>
      </w:pPr>
      <w:r>
        <w:rPr>
          <w:rFonts w:hint="eastAsia" w:ascii="宋体" w:hAnsi="宋体" w:cs="仿宋_GB2312"/>
          <w:color w:val="auto"/>
          <w:sz w:val="24"/>
          <w:szCs w:val="24"/>
          <w:highlight w:val="none"/>
        </w:rPr>
        <w:t>（所有成员单位名称）自愿组成（联合体名称）联合体，共同参加（项目名称）采购项目竞标。现就联合体竞标事宜订立如下协议。</w:t>
      </w:r>
    </w:p>
    <w:p w14:paraId="21EF83A8">
      <w:pPr>
        <w:pStyle w:val="6"/>
        <w:overflowPunct w:val="0"/>
        <w:spacing w:line="440" w:lineRule="exact"/>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1.</w:t>
      </w:r>
      <w:r>
        <w:rPr>
          <w:rFonts w:ascii="宋体" w:hAnsi="宋体" w:cs="仿宋_GB2312"/>
          <w:color w:val="auto"/>
          <w:sz w:val="24"/>
          <w:szCs w:val="24"/>
          <w:highlight w:val="none"/>
          <w:u w:val="single"/>
        </w:rPr>
        <w:tab/>
      </w:r>
      <w:r>
        <w:rPr>
          <w:rFonts w:hint="eastAsia" w:ascii="宋体" w:hAnsi="宋体" w:cs="仿宋_GB2312"/>
          <w:color w:val="auto"/>
          <w:sz w:val="24"/>
          <w:szCs w:val="24"/>
          <w:highlight w:val="none"/>
        </w:rPr>
        <w:t>（某成员单位名称）为（联合体名称）牵头人。</w:t>
      </w:r>
    </w:p>
    <w:p w14:paraId="7C9A812B">
      <w:pPr>
        <w:pStyle w:val="6"/>
        <w:overflowPunct w:val="0"/>
        <w:spacing w:line="440" w:lineRule="exact"/>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2.</w:t>
      </w:r>
      <w:r>
        <w:rPr>
          <w:rFonts w:hint="eastAsia" w:ascii="宋体" w:hAnsi="宋体" w:cs="仿宋_GB2312"/>
          <w:color w:val="auto"/>
          <w:sz w:val="24"/>
          <w:szCs w:val="24"/>
          <w:highlight w:val="none"/>
        </w:rPr>
        <w:t>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4E5A5737">
      <w:pPr>
        <w:pStyle w:val="6"/>
        <w:overflowPunct w:val="0"/>
        <w:spacing w:line="440" w:lineRule="exact"/>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3.</w:t>
      </w:r>
      <w:r>
        <w:rPr>
          <w:rFonts w:hint="eastAsia" w:ascii="宋体" w:hAnsi="宋体" w:cs="仿宋_GB2312"/>
          <w:color w:val="auto"/>
          <w:sz w:val="24"/>
          <w:szCs w:val="24"/>
          <w:highlight w:val="none"/>
        </w:rPr>
        <w:t>联合体牵头人在本项目中签署和盖章的一切文件和处理的一切事宜，联合体各成员均予以承认。联合体各成员将严格按照谈判文件、响应文件和合同的要求全面履行义务，并向采购人承担连带责任。</w:t>
      </w:r>
    </w:p>
    <w:p w14:paraId="7AD0B7E9">
      <w:pPr>
        <w:pStyle w:val="6"/>
        <w:overflowPunct w:val="0"/>
        <w:spacing w:line="440" w:lineRule="exact"/>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4.</w:t>
      </w:r>
      <w:r>
        <w:rPr>
          <w:rFonts w:hint="eastAsia" w:ascii="宋体" w:hAnsi="宋体" w:cs="仿宋_GB2312"/>
          <w:color w:val="auto"/>
          <w:sz w:val="24"/>
          <w:szCs w:val="24"/>
          <w:highlight w:val="none"/>
        </w:rPr>
        <w:t>联合体各成员单位内部的职责分工如下：</w:t>
      </w:r>
      <w:r>
        <w:rPr>
          <w:rFonts w:hint="eastAsia" w:ascii="宋体" w:hAnsi="宋体" w:cs="宋体"/>
          <w:color w:val="auto"/>
          <w:sz w:val="24"/>
          <w:highlight w:val="none"/>
          <w:u w:val="single"/>
        </w:rPr>
        <w:t xml:space="preserve">             </w:t>
      </w:r>
      <w:r>
        <w:rPr>
          <w:rFonts w:hint="eastAsia" w:ascii="宋体" w:hAnsi="宋体" w:cs="仿宋_GB2312"/>
          <w:color w:val="auto"/>
          <w:sz w:val="24"/>
          <w:szCs w:val="24"/>
          <w:highlight w:val="none"/>
        </w:rPr>
        <w:t>。</w:t>
      </w:r>
    </w:p>
    <w:p w14:paraId="342C6B2B">
      <w:pPr>
        <w:pStyle w:val="6"/>
        <w:overflowPunct w:val="0"/>
        <w:spacing w:line="440" w:lineRule="exact"/>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5.</w:t>
      </w:r>
      <w:r>
        <w:rPr>
          <w:rFonts w:hint="eastAsia" w:ascii="宋体" w:hAnsi="宋体" w:cs="仿宋_GB2312"/>
          <w:color w:val="auto"/>
          <w:sz w:val="24"/>
          <w:szCs w:val="24"/>
          <w:highlight w:val="none"/>
        </w:rPr>
        <w:t>本</w:t>
      </w:r>
      <w:r>
        <w:rPr>
          <w:rFonts w:hint="eastAsia" w:ascii="宋体" w:hAnsi="宋体" w:cs="仿宋_GB2312"/>
          <w:color w:val="auto"/>
          <w:spacing w:val="-6"/>
          <w:sz w:val="24"/>
          <w:szCs w:val="24"/>
          <w:highlight w:val="none"/>
        </w:rPr>
        <w:t>协议书自所有成员单位法定代表人或者其委托代理人签字或者盖单位章之日起生效，合同履行完毕后自动失效。</w:t>
      </w:r>
    </w:p>
    <w:p w14:paraId="27181E79">
      <w:pPr>
        <w:pStyle w:val="6"/>
        <w:overflowPunct w:val="0"/>
        <w:spacing w:line="440" w:lineRule="exact"/>
        <w:ind w:firstLine="480" w:firstLineChars="200"/>
        <w:contextualSpacing/>
        <w:rPr>
          <w:rFonts w:ascii="宋体" w:cs="仿宋_GB2312"/>
          <w:color w:val="auto"/>
          <w:sz w:val="24"/>
          <w:szCs w:val="24"/>
          <w:highlight w:val="none"/>
        </w:rPr>
      </w:pPr>
      <w:r>
        <w:rPr>
          <w:rFonts w:ascii="宋体" w:hAnsi="宋体" w:cs="仿宋_GB2312"/>
          <w:color w:val="auto"/>
          <w:sz w:val="24"/>
          <w:szCs w:val="24"/>
          <w:highlight w:val="none"/>
        </w:rPr>
        <w:t>6.</w:t>
      </w:r>
      <w:r>
        <w:rPr>
          <w:rFonts w:hint="eastAsia" w:ascii="宋体" w:hAnsi="宋体" w:cs="仿宋_GB2312"/>
          <w:color w:val="auto"/>
          <w:sz w:val="24"/>
          <w:szCs w:val="24"/>
          <w:highlight w:val="none"/>
        </w:rPr>
        <w:t>本协议书一式</w:t>
      </w:r>
      <w:r>
        <w:rPr>
          <w:rFonts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6355D73B">
      <w:pPr>
        <w:pStyle w:val="6"/>
        <w:overflowPunct w:val="0"/>
        <w:spacing w:line="440" w:lineRule="exact"/>
        <w:ind w:firstLine="480" w:firstLineChars="200"/>
        <w:contextualSpacing/>
        <w:rPr>
          <w:rFonts w:asci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注：本协议书应附法定代表人身份证明书；有委托代理的，应附授权委托书（格式自拟）。</w:t>
      </w:r>
    </w:p>
    <w:p w14:paraId="6F2ED303">
      <w:pPr>
        <w:pStyle w:val="6"/>
        <w:overflowPunct w:val="0"/>
        <w:spacing w:line="440" w:lineRule="exact"/>
        <w:ind w:firstLineChars="175"/>
        <w:contextualSpacing/>
        <w:rPr>
          <w:rFonts w:ascii="宋体" w:cs="仿宋_GB2312"/>
          <w:color w:val="auto"/>
          <w:sz w:val="24"/>
          <w:szCs w:val="24"/>
          <w:highlight w:val="none"/>
        </w:rPr>
      </w:pPr>
    </w:p>
    <w:p w14:paraId="72621F76">
      <w:pPr>
        <w:pStyle w:val="6"/>
        <w:overflowPunct w:val="0"/>
        <w:spacing w:line="440" w:lineRule="exact"/>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395DD7FF">
      <w:pPr>
        <w:pStyle w:val="6"/>
        <w:overflowPunct w:val="0"/>
        <w:spacing w:line="440" w:lineRule="exact"/>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60341B4A">
      <w:pPr>
        <w:pStyle w:val="6"/>
        <w:overflowPunct w:val="0"/>
        <w:spacing w:line="440" w:lineRule="exact"/>
        <w:ind w:firstLine="0"/>
        <w:contextualSpacing/>
        <w:rPr>
          <w:rFonts w:ascii="宋体" w:cs="仿宋_GB2312"/>
          <w:color w:val="auto"/>
          <w:sz w:val="24"/>
          <w:szCs w:val="24"/>
          <w:highlight w:val="none"/>
        </w:rPr>
      </w:pPr>
    </w:p>
    <w:p w14:paraId="4A07D4ED">
      <w:pPr>
        <w:pStyle w:val="6"/>
        <w:overflowPunct w:val="0"/>
        <w:spacing w:line="440" w:lineRule="exact"/>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29806948">
      <w:pPr>
        <w:pStyle w:val="6"/>
        <w:overflowPunct w:val="0"/>
        <w:spacing w:line="440" w:lineRule="exact"/>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3E53B930">
      <w:pPr>
        <w:pStyle w:val="6"/>
        <w:overflowPunct w:val="0"/>
        <w:spacing w:line="440" w:lineRule="exact"/>
        <w:ind w:firstLine="0"/>
        <w:contextualSpacing/>
        <w:rPr>
          <w:rFonts w:ascii="宋体" w:cs="仿宋_GB2312"/>
          <w:color w:val="auto"/>
          <w:sz w:val="24"/>
          <w:szCs w:val="24"/>
          <w:highlight w:val="none"/>
        </w:rPr>
      </w:pPr>
    </w:p>
    <w:p w14:paraId="2CF42B99">
      <w:pPr>
        <w:pStyle w:val="6"/>
        <w:overflowPunct w:val="0"/>
        <w:spacing w:line="440" w:lineRule="exact"/>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2E395929">
      <w:pPr>
        <w:pStyle w:val="6"/>
        <w:overflowPunct w:val="0"/>
        <w:spacing w:line="440" w:lineRule="exact"/>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691E45CB">
      <w:pPr>
        <w:pStyle w:val="6"/>
        <w:overflowPunct w:val="0"/>
        <w:spacing w:line="440" w:lineRule="exact"/>
        <w:ind w:firstLine="0"/>
        <w:contextualSpacing/>
        <w:rPr>
          <w:rFonts w:ascii="宋体" w:cs="仿宋_GB2312"/>
          <w:color w:val="auto"/>
          <w:sz w:val="24"/>
          <w:szCs w:val="24"/>
          <w:highlight w:val="none"/>
        </w:rPr>
      </w:pPr>
      <w:r>
        <w:rPr>
          <w:rFonts w:hint="eastAsia" w:ascii="宋体" w:hAnsi="宋体" w:cs="仿宋_GB2312"/>
          <w:color w:val="auto"/>
          <w:sz w:val="24"/>
          <w:szCs w:val="24"/>
          <w:highlight w:val="none"/>
        </w:rPr>
        <w:t>……</w:t>
      </w:r>
    </w:p>
    <w:p w14:paraId="49687D06">
      <w:pPr>
        <w:spacing w:line="360" w:lineRule="auto"/>
        <w:contextualSpacing/>
        <w:rPr>
          <w:rFonts w:ascii="宋体" w:cs="仿宋_GB2312"/>
          <w:color w:val="auto"/>
          <w:sz w:val="24"/>
          <w:highlight w:val="none"/>
        </w:rPr>
      </w:pPr>
    </w:p>
    <w:p w14:paraId="489127D2">
      <w:pPr>
        <w:spacing w:line="360" w:lineRule="auto"/>
        <w:contextualSpacing/>
        <w:rPr>
          <w:rFonts w:ascii="宋体" w:cs="仿宋_GB2312"/>
          <w:color w:val="auto"/>
          <w:sz w:val="24"/>
          <w:highlight w:val="none"/>
        </w:rPr>
      </w:pPr>
    </w:p>
    <w:p w14:paraId="03B17890">
      <w:pPr>
        <w:wordWrap w:val="0"/>
        <w:spacing w:line="360" w:lineRule="auto"/>
        <w:contextualSpacing/>
        <w:jc w:val="right"/>
        <w:rPr>
          <w:rFonts w:ascii="宋体" w:cs="仿宋_GB2312"/>
          <w:color w:val="auto"/>
          <w:sz w:val="24"/>
          <w:highlight w:val="none"/>
        </w:rPr>
      </w:pPr>
      <w:r>
        <w:rPr>
          <w:rFonts w:hint="eastAsia" w:ascii="宋体" w:hAnsi="宋体" w:cs="仿宋_GB2312"/>
          <w:color w:val="auto"/>
          <w:sz w:val="24"/>
          <w:highlight w:val="none"/>
        </w:rPr>
        <w:t>日期：  年  月   日</w:t>
      </w:r>
    </w:p>
    <w:p w14:paraId="4A6AD48C">
      <w:pPr>
        <w:spacing w:line="360" w:lineRule="auto"/>
        <w:ind w:right="420"/>
        <w:contextualSpacing/>
        <w:jc w:val="left"/>
        <w:rPr>
          <w:rFonts w:ascii="宋体"/>
          <w:b/>
          <w:color w:val="auto"/>
          <w:sz w:val="32"/>
          <w:szCs w:val="32"/>
          <w:highlight w:val="none"/>
        </w:rPr>
      </w:pPr>
      <w:r>
        <w:rPr>
          <w:rFonts w:ascii="宋体"/>
          <w:color w:val="auto"/>
          <w:szCs w:val="21"/>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报价文件格式</w:t>
      </w:r>
    </w:p>
    <w:p w14:paraId="7F68ED73">
      <w:pPr>
        <w:snapToGrid w:val="0"/>
        <w:spacing w:before="120" w:beforeLines="50" w:after="50" w:line="360" w:lineRule="auto"/>
        <w:jc w:val="left"/>
        <w:rPr>
          <w:rFonts w:ascii="宋体"/>
          <w:b/>
          <w:color w:val="auto"/>
          <w:sz w:val="32"/>
          <w:szCs w:val="32"/>
          <w:highlight w:val="none"/>
        </w:rPr>
      </w:pPr>
      <w:r>
        <w:rPr>
          <w:rFonts w:ascii="宋体" w:hAnsi="宋体"/>
          <w:b/>
          <w:color w:val="auto"/>
          <w:sz w:val="32"/>
          <w:szCs w:val="32"/>
          <w:highlight w:val="none"/>
        </w:rPr>
        <w:t>1.</w:t>
      </w:r>
      <w:r>
        <w:rPr>
          <w:rFonts w:hint="eastAsia" w:ascii="宋体" w:hAnsi="宋体"/>
          <w:b/>
          <w:color w:val="auto"/>
          <w:sz w:val="32"/>
          <w:szCs w:val="32"/>
          <w:highlight w:val="none"/>
        </w:rPr>
        <w:t>报价文件封面格式</w:t>
      </w:r>
    </w:p>
    <w:p w14:paraId="776A58DF">
      <w:pPr>
        <w:snapToGrid w:val="0"/>
        <w:spacing w:before="120" w:beforeLines="50" w:after="50"/>
        <w:rPr>
          <w:rFonts w:ascii="宋体"/>
          <w:bCs/>
          <w:color w:val="auto"/>
          <w:sz w:val="32"/>
          <w:szCs w:val="20"/>
          <w:highlight w:val="none"/>
        </w:rPr>
      </w:pPr>
    </w:p>
    <w:p w14:paraId="45E06C35">
      <w:pPr>
        <w:snapToGrid w:val="0"/>
        <w:spacing w:before="120" w:beforeLines="50" w:after="50"/>
        <w:jc w:val="center"/>
        <w:rPr>
          <w:rFonts w:ascii="宋体"/>
          <w:color w:val="auto"/>
          <w:sz w:val="24"/>
          <w:szCs w:val="20"/>
          <w:highlight w:val="none"/>
        </w:rPr>
      </w:pPr>
      <w:r>
        <w:rPr>
          <w:rFonts w:hint="eastAsia" w:ascii="宋体" w:hAnsi="宋体"/>
          <w:color w:val="auto"/>
          <w:sz w:val="44"/>
          <w:szCs w:val="44"/>
          <w:highlight w:val="none"/>
        </w:rPr>
        <w:t>电子响应文件</w:t>
      </w:r>
    </w:p>
    <w:p w14:paraId="4DA3F735">
      <w:pPr>
        <w:snapToGrid w:val="0"/>
        <w:spacing w:before="120" w:beforeLines="50" w:after="50"/>
        <w:rPr>
          <w:rFonts w:ascii="宋体"/>
          <w:color w:val="auto"/>
          <w:sz w:val="24"/>
          <w:szCs w:val="20"/>
          <w:highlight w:val="none"/>
        </w:rPr>
      </w:pPr>
    </w:p>
    <w:p w14:paraId="264F90CF">
      <w:pPr>
        <w:snapToGrid w:val="0"/>
        <w:spacing w:before="120" w:beforeLines="50" w:after="50"/>
        <w:rPr>
          <w:rFonts w:ascii="宋体"/>
          <w:color w:val="auto"/>
          <w:sz w:val="24"/>
          <w:szCs w:val="20"/>
          <w:highlight w:val="none"/>
        </w:rPr>
      </w:pPr>
    </w:p>
    <w:p w14:paraId="557325E5">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报价文件</w:t>
      </w:r>
    </w:p>
    <w:p w14:paraId="3D81B415">
      <w:pPr>
        <w:snapToGrid w:val="0"/>
        <w:spacing w:before="120" w:beforeLines="50" w:after="50"/>
        <w:rPr>
          <w:rFonts w:ascii="宋体"/>
          <w:bCs/>
          <w:color w:val="auto"/>
          <w:sz w:val="24"/>
          <w:szCs w:val="20"/>
          <w:highlight w:val="none"/>
        </w:rPr>
      </w:pPr>
    </w:p>
    <w:p w14:paraId="33E66711">
      <w:pPr>
        <w:snapToGrid w:val="0"/>
        <w:spacing w:before="120" w:beforeLines="50" w:after="50"/>
        <w:rPr>
          <w:rFonts w:ascii="宋体"/>
          <w:bCs/>
          <w:color w:val="auto"/>
          <w:sz w:val="24"/>
          <w:szCs w:val="20"/>
          <w:highlight w:val="none"/>
        </w:rPr>
      </w:pPr>
    </w:p>
    <w:p w14:paraId="290CBE0F">
      <w:pPr>
        <w:snapToGrid w:val="0"/>
        <w:spacing w:before="120" w:beforeLines="50" w:after="50"/>
        <w:rPr>
          <w:rFonts w:ascii="宋体"/>
          <w:bCs/>
          <w:color w:val="auto"/>
          <w:sz w:val="24"/>
          <w:szCs w:val="20"/>
          <w:highlight w:val="none"/>
        </w:rPr>
      </w:pPr>
    </w:p>
    <w:p w14:paraId="68E418D8">
      <w:pPr>
        <w:snapToGrid w:val="0"/>
        <w:spacing w:before="120" w:beforeLines="50" w:after="50"/>
        <w:rPr>
          <w:rFonts w:ascii="宋体"/>
          <w:bCs/>
          <w:color w:val="auto"/>
          <w:sz w:val="24"/>
          <w:szCs w:val="20"/>
          <w:highlight w:val="none"/>
        </w:rPr>
      </w:pPr>
    </w:p>
    <w:p w14:paraId="1199F6AE">
      <w:pPr>
        <w:snapToGrid w:val="0"/>
        <w:spacing w:before="120" w:beforeLines="50" w:after="50"/>
        <w:rPr>
          <w:rFonts w:ascii="宋体"/>
          <w:bCs/>
          <w:color w:val="auto"/>
          <w:sz w:val="24"/>
          <w:szCs w:val="20"/>
          <w:highlight w:val="none"/>
        </w:rPr>
      </w:pPr>
    </w:p>
    <w:p w14:paraId="5A992D61">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项目名称：</w:t>
      </w:r>
    </w:p>
    <w:p w14:paraId="416EB69C">
      <w:pPr>
        <w:snapToGrid w:val="0"/>
        <w:spacing w:before="120" w:beforeLines="50" w:after="50"/>
        <w:ind w:firstLine="720" w:firstLineChars="225"/>
        <w:rPr>
          <w:rFonts w:ascii="宋体" w:cs="仿宋_GB2312"/>
          <w:bCs/>
          <w:color w:val="auto"/>
          <w:sz w:val="32"/>
          <w:szCs w:val="32"/>
          <w:highlight w:val="none"/>
        </w:rPr>
      </w:pPr>
    </w:p>
    <w:p w14:paraId="4F604661">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项目编号：</w:t>
      </w:r>
    </w:p>
    <w:p w14:paraId="3B78CA8F">
      <w:pPr>
        <w:snapToGrid w:val="0"/>
        <w:spacing w:before="120" w:beforeLines="50" w:after="50"/>
        <w:ind w:firstLine="720" w:firstLineChars="225"/>
        <w:rPr>
          <w:rFonts w:ascii="宋体" w:cs="仿宋_GB2312"/>
          <w:bCs/>
          <w:color w:val="auto"/>
          <w:sz w:val="32"/>
          <w:szCs w:val="32"/>
          <w:highlight w:val="none"/>
        </w:rPr>
      </w:pPr>
    </w:p>
    <w:p w14:paraId="23FFA931">
      <w:pPr>
        <w:snapToGrid w:val="0"/>
        <w:spacing w:before="120" w:beforeLines="50" w:after="50"/>
        <w:ind w:firstLine="720" w:firstLineChars="225"/>
        <w:rPr>
          <w:rFonts w:ascii="宋体" w:cs="仿宋_GB2312"/>
          <w:bCs/>
          <w:color w:val="auto"/>
          <w:sz w:val="32"/>
          <w:szCs w:val="32"/>
          <w:highlight w:val="none"/>
        </w:rPr>
      </w:pPr>
    </w:p>
    <w:p w14:paraId="220A7D17">
      <w:pPr>
        <w:pStyle w:val="6"/>
        <w:snapToGrid w:val="0"/>
        <w:spacing w:before="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76DAF5B">
      <w:pPr>
        <w:pStyle w:val="6"/>
        <w:snapToGrid w:val="0"/>
        <w:spacing w:before="50" w:after="50"/>
        <w:ind w:firstLine="640" w:firstLineChars="200"/>
        <w:rPr>
          <w:rFonts w:ascii="宋体" w:cs="仿宋_GB2312"/>
          <w:bCs/>
          <w:color w:val="auto"/>
          <w:sz w:val="32"/>
          <w:szCs w:val="32"/>
          <w:highlight w:val="none"/>
        </w:rPr>
      </w:pPr>
    </w:p>
    <w:p w14:paraId="15ECDAED">
      <w:pPr>
        <w:pStyle w:val="6"/>
        <w:snapToGrid w:val="0"/>
        <w:spacing w:before="50" w:after="50"/>
        <w:ind w:firstLine="720" w:firstLineChars="225"/>
        <w:rPr>
          <w:rFonts w:ascii="宋体" w:cs="仿宋_GB2312"/>
          <w:bCs/>
          <w:color w:val="auto"/>
          <w:sz w:val="32"/>
          <w:szCs w:val="32"/>
          <w:highlight w:val="none"/>
        </w:rPr>
      </w:pPr>
    </w:p>
    <w:p w14:paraId="3A9777A9">
      <w:pPr>
        <w:pStyle w:val="6"/>
        <w:snapToGrid w:val="0"/>
        <w:spacing w:before="50" w:after="50"/>
        <w:ind w:firstLine="0"/>
        <w:rPr>
          <w:rFonts w:ascii="宋体" w:cs="仿宋_GB2312"/>
          <w:bCs/>
          <w:color w:val="auto"/>
          <w:sz w:val="32"/>
          <w:szCs w:val="32"/>
          <w:highlight w:val="none"/>
        </w:rPr>
      </w:pPr>
    </w:p>
    <w:p w14:paraId="5FD665C2">
      <w:pPr>
        <w:pStyle w:val="6"/>
        <w:snapToGrid w:val="0"/>
        <w:spacing w:before="50" w:after="50"/>
        <w:ind w:firstLine="1280" w:firstLineChars="400"/>
        <w:rPr>
          <w:rFonts w:ascii="宋体" w:cs="仿宋_GB2312"/>
          <w:bCs/>
          <w:color w:val="auto"/>
          <w:sz w:val="32"/>
          <w:szCs w:val="32"/>
          <w:highlight w:val="none"/>
        </w:rPr>
      </w:pPr>
    </w:p>
    <w:p w14:paraId="3F0ABBBD">
      <w:pPr>
        <w:snapToGrid w:val="0"/>
        <w:spacing w:before="120" w:beforeLines="50" w:after="50"/>
        <w:jc w:val="center"/>
        <w:rPr>
          <w:rFonts w:ascii="宋体" w:cs="仿宋_GB2312"/>
          <w:color w:val="auto"/>
          <w:sz w:val="32"/>
          <w:szCs w:val="32"/>
          <w:highlight w:val="none"/>
        </w:rPr>
      </w:pPr>
      <w:r>
        <w:rPr>
          <w:rFonts w:hint="eastAsia" w:ascii="宋体" w:hAnsi="宋体" w:cs="仿宋_GB2312"/>
          <w:color w:val="auto"/>
          <w:sz w:val="32"/>
          <w:szCs w:val="32"/>
          <w:highlight w:val="none"/>
        </w:rPr>
        <w:t>年   月   日</w:t>
      </w:r>
    </w:p>
    <w:p w14:paraId="19D10998">
      <w:pPr>
        <w:snapToGrid w:val="0"/>
        <w:spacing w:before="120" w:beforeLines="50" w:after="50" w:line="360" w:lineRule="auto"/>
        <w:ind w:left="142"/>
        <w:jc w:val="left"/>
        <w:rPr>
          <w:rFonts w:ascii="宋体"/>
          <w:b/>
          <w:bCs/>
          <w:color w:val="auto"/>
          <w:sz w:val="24"/>
          <w:highlight w:val="none"/>
        </w:rPr>
      </w:pPr>
      <w:r>
        <w:rPr>
          <w:rFonts w:ascii="宋体"/>
          <w:color w:val="auto"/>
          <w:szCs w:val="21"/>
          <w:highlight w:val="none"/>
        </w:rPr>
        <w:br w:type="page"/>
      </w:r>
      <w:r>
        <w:rPr>
          <w:rFonts w:ascii="宋体" w:hAnsi="宋体"/>
          <w:b/>
          <w:bCs/>
          <w:color w:val="auto"/>
          <w:sz w:val="32"/>
          <w:szCs w:val="32"/>
          <w:highlight w:val="none"/>
        </w:rPr>
        <w:t>2.</w:t>
      </w:r>
      <w:r>
        <w:rPr>
          <w:rFonts w:hint="eastAsia" w:ascii="宋体" w:hAnsi="宋体"/>
          <w:b/>
          <w:bCs/>
          <w:color w:val="auto"/>
          <w:sz w:val="32"/>
          <w:szCs w:val="32"/>
          <w:highlight w:val="none"/>
        </w:rPr>
        <w:t>报价文件目录</w:t>
      </w:r>
    </w:p>
    <w:p w14:paraId="0369CE16">
      <w:pPr>
        <w:tabs>
          <w:tab w:val="left" w:pos="3479"/>
        </w:tabs>
        <w:spacing w:line="520" w:lineRule="exact"/>
        <w:jc w:val="left"/>
        <w:rPr>
          <w:rFonts w:asci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0D13C882">
      <w:pPr>
        <w:tabs>
          <w:tab w:val="left" w:pos="3479"/>
        </w:tabs>
        <w:spacing w:line="520" w:lineRule="exact"/>
        <w:jc w:val="center"/>
        <w:rPr>
          <w:rFonts w:ascii="方正小标宋简体" w:hAnsi="方正小标宋简体" w:eastAsia="方正小标宋简体" w:cs="方正小标宋简体"/>
          <w:bCs/>
          <w:color w:val="auto"/>
          <w:sz w:val="32"/>
          <w:szCs w:val="32"/>
          <w:highlight w:val="none"/>
        </w:rPr>
      </w:pPr>
      <w:r>
        <w:rPr>
          <w:rFonts w:ascii="宋体"/>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竞标报价表</w:t>
      </w:r>
    </w:p>
    <w:p w14:paraId="4AFFE4A3">
      <w:pPr>
        <w:snapToGrid w:val="0"/>
        <w:spacing w:before="50" w:after="50" w:line="360" w:lineRule="auto"/>
        <w:rPr>
          <w:rFonts w:ascii="宋体" w:cs="仿宋_GB2312"/>
          <w:color w:val="auto"/>
          <w:sz w:val="24"/>
          <w:highlight w:val="none"/>
          <w:u w:val="single"/>
        </w:rPr>
      </w:pPr>
      <w:r>
        <w:rPr>
          <w:rFonts w:hint="eastAsia" w:ascii="宋体" w:hAnsi="宋体" w:cs="仿宋_GB2312"/>
          <w:color w:val="auto"/>
          <w:sz w:val="24"/>
          <w:highlight w:val="none"/>
        </w:rPr>
        <w:t>项目名称：                             项目编号：</w:t>
      </w:r>
    </w:p>
    <w:p w14:paraId="55F33102">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供应商名称：                                                 金额单位：元</w:t>
      </w:r>
    </w:p>
    <w:p w14:paraId="6DABF3DD">
      <w:pPr>
        <w:spacing w:line="360" w:lineRule="exact"/>
        <w:jc w:val="left"/>
        <w:rPr>
          <w:rFonts w:ascii="宋体" w:hAnsi="宋体" w:cs="仿宋_GB2312"/>
          <w:color w:val="auto"/>
          <w:sz w:val="24"/>
          <w:highlight w:val="none"/>
          <w:u w:val="single"/>
        </w:rPr>
      </w:pPr>
      <w:r>
        <w:rPr>
          <w:rFonts w:hint="eastAsia" w:cs="宋体" w:asciiTheme="minorEastAsia" w:hAnsiTheme="minorEastAsia" w:eastAsiaTheme="minorEastAsia"/>
          <w:color w:val="auto"/>
          <w:kern w:val="0"/>
          <w:szCs w:val="21"/>
          <w:highlight w:val="none"/>
        </w:rPr>
        <w:t>分标</w:t>
      </w:r>
      <w:r>
        <w:rPr>
          <w:rFonts w:hint="eastAsia" w:cs="宋体" w:asciiTheme="minorEastAsia" w:hAnsiTheme="minorEastAsia" w:eastAsiaTheme="minorEastAsia"/>
          <w:color w:val="auto"/>
          <w:kern w:val="0"/>
          <w:szCs w:val="21"/>
          <w:highlight w:val="none"/>
          <w:u w:val="single"/>
        </w:rPr>
        <w:t xml:space="preserve">    </w:t>
      </w:r>
    </w:p>
    <w:tbl>
      <w:tblPr>
        <w:tblStyle w:val="25"/>
        <w:tblW w:w="106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1090"/>
        <w:gridCol w:w="1221"/>
        <w:gridCol w:w="850"/>
        <w:gridCol w:w="1276"/>
        <w:gridCol w:w="992"/>
        <w:gridCol w:w="773"/>
        <w:gridCol w:w="786"/>
        <w:gridCol w:w="1560"/>
        <w:gridCol w:w="1417"/>
      </w:tblGrid>
      <w:tr w14:paraId="78594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14:paraId="78B752D4">
            <w:pPr>
              <w:wordWrap w:val="0"/>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项号</w:t>
            </w:r>
          </w:p>
        </w:tc>
        <w:tc>
          <w:tcPr>
            <w:tcW w:w="1090" w:type="dxa"/>
            <w:tcBorders>
              <w:top w:val="single" w:color="auto" w:sz="4" w:space="0"/>
              <w:left w:val="single" w:color="auto" w:sz="4" w:space="0"/>
              <w:bottom w:val="single" w:color="auto" w:sz="4" w:space="0"/>
              <w:right w:val="single" w:color="auto" w:sz="4" w:space="0"/>
            </w:tcBorders>
            <w:vAlign w:val="center"/>
          </w:tcPr>
          <w:p w14:paraId="2BF17E70">
            <w:pPr>
              <w:wordWrap w:val="0"/>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标的的名称</w:t>
            </w:r>
          </w:p>
        </w:tc>
        <w:tc>
          <w:tcPr>
            <w:tcW w:w="1221" w:type="dxa"/>
            <w:tcBorders>
              <w:top w:val="single" w:color="auto" w:sz="4" w:space="0"/>
              <w:left w:val="single" w:color="auto" w:sz="4" w:space="0"/>
              <w:bottom w:val="single" w:color="auto" w:sz="4" w:space="0"/>
              <w:right w:val="single" w:color="auto" w:sz="4" w:space="0"/>
            </w:tcBorders>
            <w:vAlign w:val="center"/>
          </w:tcPr>
          <w:p w14:paraId="6A8C460F">
            <w:pPr>
              <w:wordWrap w:val="0"/>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生产厂家</w:t>
            </w:r>
          </w:p>
        </w:tc>
        <w:tc>
          <w:tcPr>
            <w:tcW w:w="850" w:type="dxa"/>
            <w:tcBorders>
              <w:top w:val="single" w:color="auto" w:sz="4" w:space="0"/>
              <w:left w:val="single" w:color="auto" w:sz="4" w:space="0"/>
              <w:bottom w:val="single" w:color="auto" w:sz="4" w:space="0"/>
              <w:right w:val="single" w:color="auto" w:sz="4" w:space="0"/>
            </w:tcBorders>
            <w:vAlign w:val="center"/>
          </w:tcPr>
          <w:p w14:paraId="22689035">
            <w:pPr>
              <w:wordWrap w:val="0"/>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品牌</w:t>
            </w:r>
          </w:p>
        </w:tc>
        <w:tc>
          <w:tcPr>
            <w:tcW w:w="1276" w:type="dxa"/>
            <w:tcBorders>
              <w:top w:val="single" w:color="auto" w:sz="4" w:space="0"/>
              <w:left w:val="single" w:color="auto" w:sz="4" w:space="0"/>
              <w:bottom w:val="single" w:color="auto" w:sz="4" w:space="0"/>
              <w:right w:val="single" w:color="auto" w:sz="4" w:space="0"/>
            </w:tcBorders>
            <w:vAlign w:val="center"/>
          </w:tcPr>
          <w:p w14:paraId="2071042B">
            <w:pPr>
              <w:wordWrap w:val="0"/>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2AB9A0F7">
            <w:pPr>
              <w:wordWrap w:val="0"/>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数量①</w:t>
            </w:r>
          </w:p>
        </w:tc>
        <w:tc>
          <w:tcPr>
            <w:tcW w:w="773" w:type="dxa"/>
            <w:tcBorders>
              <w:top w:val="single" w:color="auto" w:sz="4" w:space="0"/>
              <w:left w:val="single" w:color="auto" w:sz="4" w:space="0"/>
              <w:bottom w:val="single" w:color="auto" w:sz="4" w:space="0"/>
              <w:right w:val="single" w:color="auto" w:sz="4" w:space="0"/>
            </w:tcBorders>
            <w:vAlign w:val="center"/>
          </w:tcPr>
          <w:p w14:paraId="2E60F82D">
            <w:pPr>
              <w:wordWrap w:val="0"/>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单位</w:t>
            </w:r>
          </w:p>
        </w:tc>
        <w:tc>
          <w:tcPr>
            <w:tcW w:w="786" w:type="dxa"/>
            <w:tcBorders>
              <w:top w:val="single" w:color="auto" w:sz="4" w:space="0"/>
              <w:left w:val="single" w:color="auto" w:sz="4" w:space="0"/>
              <w:bottom w:val="single" w:color="auto" w:sz="4" w:space="0"/>
              <w:right w:val="single" w:color="auto" w:sz="4" w:space="0"/>
            </w:tcBorders>
            <w:vAlign w:val="center"/>
          </w:tcPr>
          <w:p w14:paraId="591DA505">
            <w:pPr>
              <w:wordWrap w:val="0"/>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单价</w:t>
            </w:r>
          </w:p>
          <w:p w14:paraId="6150A661">
            <w:pPr>
              <w:wordWrap w:val="0"/>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②</w:t>
            </w:r>
          </w:p>
        </w:tc>
        <w:tc>
          <w:tcPr>
            <w:tcW w:w="1560" w:type="dxa"/>
            <w:tcBorders>
              <w:top w:val="single" w:color="auto" w:sz="4" w:space="0"/>
              <w:left w:val="single" w:color="auto" w:sz="4" w:space="0"/>
              <w:bottom w:val="single" w:color="auto" w:sz="4" w:space="0"/>
              <w:right w:val="single" w:color="auto" w:sz="4" w:space="0"/>
            </w:tcBorders>
            <w:vAlign w:val="center"/>
          </w:tcPr>
          <w:p w14:paraId="6E0BB0DA">
            <w:pPr>
              <w:wordWrap w:val="0"/>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竞标报价</w:t>
            </w:r>
          </w:p>
          <w:p w14:paraId="518C7E53">
            <w:pPr>
              <w:wordWrap w:val="0"/>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③=①×②</w:t>
            </w:r>
          </w:p>
        </w:tc>
        <w:tc>
          <w:tcPr>
            <w:tcW w:w="1417" w:type="dxa"/>
            <w:tcBorders>
              <w:top w:val="single" w:color="auto" w:sz="4" w:space="0"/>
              <w:left w:val="single" w:color="auto" w:sz="4" w:space="0"/>
              <w:bottom w:val="single" w:color="auto" w:sz="4" w:space="0"/>
              <w:right w:val="single" w:color="auto" w:sz="4" w:space="0"/>
            </w:tcBorders>
            <w:vAlign w:val="center"/>
          </w:tcPr>
          <w:p w14:paraId="15D71BFC">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备注</w:t>
            </w:r>
          </w:p>
        </w:tc>
      </w:tr>
      <w:tr w14:paraId="34ABD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14:paraId="1302CFD0">
            <w:pPr>
              <w:wordWrap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090" w:type="dxa"/>
            <w:tcBorders>
              <w:top w:val="single" w:color="auto" w:sz="4" w:space="0"/>
              <w:left w:val="single" w:color="auto" w:sz="4" w:space="0"/>
              <w:bottom w:val="single" w:color="auto" w:sz="4" w:space="0"/>
              <w:right w:val="single" w:color="auto" w:sz="4" w:space="0"/>
            </w:tcBorders>
            <w:vAlign w:val="center"/>
          </w:tcPr>
          <w:p w14:paraId="6DEB1C13">
            <w:pPr>
              <w:wordWrap w:val="0"/>
              <w:spacing w:line="360" w:lineRule="auto"/>
              <w:jc w:val="center"/>
              <w:rPr>
                <w:rFonts w:ascii="宋体" w:hAnsi="宋体" w:cs="仿宋_GB2312"/>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6FA109F9">
            <w:pPr>
              <w:wordWrap w:val="0"/>
              <w:spacing w:line="360" w:lineRule="auto"/>
              <w:jc w:val="center"/>
              <w:rPr>
                <w:rFonts w:ascii="宋体" w:hAnsi="宋体" w:cs="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0088614">
            <w:pPr>
              <w:wordWrap w:val="0"/>
              <w:spacing w:line="360" w:lineRule="auto"/>
              <w:jc w:val="center"/>
              <w:rPr>
                <w:rFonts w:ascii="宋体" w:hAnsi="宋体" w:cs="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20C610B">
            <w:pPr>
              <w:wordWrap w:val="0"/>
              <w:spacing w:line="360" w:lineRule="auto"/>
              <w:jc w:val="center"/>
              <w:rPr>
                <w:rFonts w:ascii="宋体" w:hAnsi="宋体" w:cs="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FF3AA2E">
            <w:pPr>
              <w:wordWrap w:val="0"/>
              <w:spacing w:line="360" w:lineRule="auto"/>
              <w:jc w:val="center"/>
              <w:rPr>
                <w:rFonts w:ascii="宋体" w:hAnsi="宋体" w:cs="仿宋_GB2312"/>
                <w:color w:val="auto"/>
                <w:sz w:val="24"/>
                <w:highlight w:val="none"/>
              </w:rPr>
            </w:pPr>
          </w:p>
        </w:tc>
        <w:tc>
          <w:tcPr>
            <w:tcW w:w="773" w:type="dxa"/>
            <w:tcBorders>
              <w:top w:val="single" w:color="auto" w:sz="4" w:space="0"/>
              <w:left w:val="single" w:color="auto" w:sz="4" w:space="0"/>
              <w:bottom w:val="single" w:color="auto" w:sz="4" w:space="0"/>
              <w:right w:val="single" w:color="auto" w:sz="4" w:space="0"/>
            </w:tcBorders>
          </w:tcPr>
          <w:p w14:paraId="61D46F9D">
            <w:pPr>
              <w:wordWrap w:val="0"/>
              <w:spacing w:line="360" w:lineRule="auto"/>
              <w:jc w:val="center"/>
              <w:rPr>
                <w:rFonts w:ascii="宋体" w:hAnsi="宋体" w:cs="仿宋_GB2312"/>
                <w:color w:val="auto"/>
                <w:sz w:val="24"/>
                <w:highlight w:val="none"/>
              </w:rPr>
            </w:pPr>
          </w:p>
        </w:tc>
        <w:tc>
          <w:tcPr>
            <w:tcW w:w="786" w:type="dxa"/>
            <w:tcBorders>
              <w:top w:val="single" w:color="auto" w:sz="4" w:space="0"/>
              <w:left w:val="single" w:color="auto" w:sz="4" w:space="0"/>
              <w:bottom w:val="single" w:color="auto" w:sz="4" w:space="0"/>
              <w:right w:val="single" w:color="auto" w:sz="4" w:space="0"/>
            </w:tcBorders>
            <w:vAlign w:val="center"/>
          </w:tcPr>
          <w:p w14:paraId="2DCAD020">
            <w:pPr>
              <w:wordWrap w:val="0"/>
              <w:spacing w:line="360" w:lineRule="auto"/>
              <w:jc w:val="center"/>
              <w:rPr>
                <w:rFonts w:ascii="宋体" w:hAnsi="宋体" w:cs="仿宋_GB2312"/>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89F194A">
            <w:pPr>
              <w:wordWrap w:val="0"/>
              <w:spacing w:line="360" w:lineRule="auto"/>
              <w:jc w:val="center"/>
              <w:rPr>
                <w:rFonts w:ascii="宋体" w:hAnsi="宋体" w:cs="仿宋_GB2312"/>
                <w:color w:val="auto"/>
                <w:sz w:val="24"/>
                <w:highlight w:val="none"/>
              </w:rPr>
            </w:pPr>
          </w:p>
        </w:tc>
        <w:tc>
          <w:tcPr>
            <w:tcW w:w="1417" w:type="dxa"/>
            <w:vMerge w:val="restart"/>
            <w:tcBorders>
              <w:top w:val="single" w:color="auto" w:sz="4" w:space="0"/>
              <w:left w:val="single" w:color="auto" w:sz="4" w:space="0"/>
              <w:right w:val="single" w:color="auto" w:sz="4" w:space="0"/>
            </w:tcBorders>
            <w:vAlign w:val="center"/>
          </w:tcPr>
          <w:p w14:paraId="6A9A1887">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所竞标的的技术指标详见“技术要求响应承诺书”</w:t>
            </w:r>
          </w:p>
        </w:tc>
      </w:tr>
      <w:tr w14:paraId="73A47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14:paraId="400D72AF">
            <w:pPr>
              <w:wordWrap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090" w:type="dxa"/>
            <w:tcBorders>
              <w:top w:val="single" w:color="auto" w:sz="4" w:space="0"/>
              <w:left w:val="single" w:color="auto" w:sz="4" w:space="0"/>
              <w:bottom w:val="single" w:color="auto" w:sz="4" w:space="0"/>
              <w:right w:val="single" w:color="auto" w:sz="4" w:space="0"/>
            </w:tcBorders>
            <w:vAlign w:val="center"/>
          </w:tcPr>
          <w:p w14:paraId="5EF5831B">
            <w:pPr>
              <w:wordWrap w:val="0"/>
              <w:spacing w:line="360" w:lineRule="auto"/>
              <w:jc w:val="center"/>
              <w:rPr>
                <w:rFonts w:ascii="宋体" w:hAnsi="宋体" w:cs="仿宋_GB2312"/>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0BB3935B">
            <w:pPr>
              <w:wordWrap w:val="0"/>
              <w:spacing w:line="360" w:lineRule="auto"/>
              <w:jc w:val="center"/>
              <w:rPr>
                <w:rFonts w:ascii="宋体" w:hAnsi="宋体" w:cs="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328B6CB">
            <w:pPr>
              <w:wordWrap w:val="0"/>
              <w:spacing w:line="360" w:lineRule="auto"/>
              <w:jc w:val="center"/>
              <w:rPr>
                <w:rFonts w:ascii="宋体" w:hAnsi="宋体" w:cs="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BF94E15">
            <w:pPr>
              <w:wordWrap w:val="0"/>
              <w:spacing w:line="360" w:lineRule="auto"/>
              <w:jc w:val="center"/>
              <w:rPr>
                <w:rFonts w:ascii="宋体" w:hAnsi="宋体" w:cs="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6354849">
            <w:pPr>
              <w:wordWrap w:val="0"/>
              <w:spacing w:line="360" w:lineRule="auto"/>
              <w:jc w:val="center"/>
              <w:rPr>
                <w:rFonts w:ascii="宋体" w:hAnsi="宋体" w:cs="仿宋_GB2312"/>
                <w:color w:val="auto"/>
                <w:sz w:val="24"/>
                <w:highlight w:val="none"/>
              </w:rPr>
            </w:pPr>
          </w:p>
        </w:tc>
        <w:tc>
          <w:tcPr>
            <w:tcW w:w="773" w:type="dxa"/>
            <w:tcBorders>
              <w:top w:val="single" w:color="auto" w:sz="4" w:space="0"/>
              <w:left w:val="single" w:color="auto" w:sz="4" w:space="0"/>
              <w:bottom w:val="single" w:color="auto" w:sz="4" w:space="0"/>
              <w:right w:val="single" w:color="auto" w:sz="4" w:space="0"/>
            </w:tcBorders>
          </w:tcPr>
          <w:p w14:paraId="3522DC08">
            <w:pPr>
              <w:wordWrap w:val="0"/>
              <w:spacing w:line="360" w:lineRule="auto"/>
              <w:jc w:val="center"/>
              <w:rPr>
                <w:rFonts w:ascii="宋体" w:hAnsi="宋体" w:cs="仿宋_GB2312"/>
                <w:color w:val="auto"/>
                <w:sz w:val="24"/>
                <w:highlight w:val="none"/>
              </w:rPr>
            </w:pPr>
          </w:p>
        </w:tc>
        <w:tc>
          <w:tcPr>
            <w:tcW w:w="786" w:type="dxa"/>
            <w:tcBorders>
              <w:top w:val="single" w:color="auto" w:sz="4" w:space="0"/>
              <w:left w:val="single" w:color="auto" w:sz="4" w:space="0"/>
              <w:bottom w:val="single" w:color="auto" w:sz="4" w:space="0"/>
              <w:right w:val="single" w:color="auto" w:sz="4" w:space="0"/>
            </w:tcBorders>
            <w:vAlign w:val="center"/>
          </w:tcPr>
          <w:p w14:paraId="155FEBA3">
            <w:pPr>
              <w:wordWrap w:val="0"/>
              <w:spacing w:line="360" w:lineRule="auto"/>
              <w:jc w:val="center"/>
              <w:rPr>
                <w:rFonts w:ascii="宋体" w:hAnsi="宋体" w:cs="仿宋_GB2312"/>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BDF7FB1">
            <w:pPr>
              <w:wordWrap w:val="0"/>
              <w:spacing w:line="360" w:lineRule="auto"/>
              <w:jc w:val="center"/>
              <w:rPr>
                <w:rFonts w:ascii="宋体" w:hAnsi="宋体" w:cs="仿宋_GB2312"/>
                <w:color w:val="auto"/>
                <w:sz w:val="24"/>
                <w:highlight w:val="none"/>
              </w:rPr>
            </w:pPr>
          </w:p>
        </w:tc>
        <w:tc>
          <w:tcPr>
            <w:tcW w:w="1417" w:type="dxa"/>
            <w:vMerge w:val="continue"/>
            <w:tcBorders>
              <w:top w:val="single" w:color="auto" w:sz="4" w:space="0"/>
              <w:left w:val="single" w:color="auto" w:sz="4" w:space="0"/>
              <w:right w:val="single" w:color="auto" w:sz="4" w:space="0"/>
            </w:tcBorders>
            <w:vAlign w:val="center"/>
          </w:tcPr>
          <w:p w14:paraId="68327AF8">
            <w:pPr>
              <w:spacing w:line="360" w:lineRule="auto"/>
              <w:jc w:val="center"/>
              <w:rPr>
                <w:rFonts w:ascii="宋体" w:hAnsi="宋体" w:cs="仿宋_GB2312"/>
                <w:color w:val="auto"/>
                <w:sz w:val="24"/>
                <w:highlight w:val="none"/>
              </w:rPr>
            </w:pPr>
          </w:p>
        </w:tc>
      </w:tr>
      <w:tr w14:paraId="2B5C4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14:paraId="08300210">
            <w:pPr>
              <w:wordWrap w:val="0"/>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3</w:t>
            </w:r>
          </w:p>
        </w:tc>
        <w:tc>
          <w:tcPr>
            <w:tcW w:w="1090" w:type="dxa"/>
            <w:tcBorders>
              <w:top w:val="single" w:color="auto" w:sz="4" w:space="0"/>
              <w:left w:val="single" w:color="auto" w:sz="4" w:space="0"/>
              <w:bottom w:val="single" w:color="auto" w:sz="4" w:space="0"/>
              <w:right w:val="single" w:color="auto" w:sz="4" w:space="0"/>
            </w:tcBorders>
            <w:vAlign w:val="center"/>
          </w:tcPr>
          <w:p w14:paraId="34CBC534">
            <w:pPr>
              <w:wordWrap w:val="0"/>
              <w:spacing w:line="360" w:lineRule="auto"/>
              <w:jc w:val="center"/>
              <w:rPr>
                <w:rFonts w:ascii="宋体" w:hAnsi="宋体" w:cs="仿宋_GB2312"/>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085927DF">
            <w:pPr>
              <w:wordWrap w:val="0"/>
              <w:spacing w:line="360" w:lineRule="auto"/>
              <w:jc w:val="center"/>
              <w:rPr>
                <w:rFonts w:ascii="宋体" w:hAnsi="宋体" w:cs="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F5B5087">
            <w:pPr>
              <w:wordWrap w:val="0"/>
              <w:spacing w:line="360" w:lineRule="auto"/>
              <w:jc w:val="center"/>
              <w:rPr>
                <w:rFonts w:ascii="宋体" w:hAnsi="宋体" w:cs="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D2D45ED">
            <w:pPr>
              <w:wordWrap w:val="0"/>
              <w:spacing w:line="360" w:lineRule="auto"/>
              <w:jc w:val="center"/>
              <w:rPr>
                <w:rFonts w:ascii="宋体" w:hAnsi="宋体" w:cs="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CE06ABD">
            <w:pPr>
              <w:wordWrap w:val="0"/>
              <w:spacing w:line="360" w:lineRule="auto"/>
              <w:jc w:val="center"/>
              <w:rPr>
                <w:rFonts w:ascii="宋体" w:hAnsi="宋体" w:cs="仿宋_GB2312"/>
                <w:color w:val="auto"/>
                <w:sz w:val="24"/>
                <w:highlight w:val="none"/>
              </w:rPr>
            </w:pPr>
          </w:p>
        </w:tc>
        <w:tc>
          <w:tcPr>
            <w:tcW w:w="773" w:type="dxa"/>
            <w:tcBorders>
              <w:top w:val="single" w:color="auto" w:sz="4" w:space="0"/>
              <w:left w:val="single" w:color="auto" w:sz="4" w:space="0"/>
              <w:bottom w:val="single" w:color="auto" w:sz="4" w:space="0"/>
              <w:right w:val="single" w:color="auto" w:sz="4" w:space="0"/>
            </w:tcBorders>
          </w:tcPr>
          <w:p w14:paraId="286BC61A">
            <w:pPr>
              <w:wordWrap w:val="0"/>
              <w:spacing w:line="360" w:lineRule="auto"/>
              <w:jc w:val="center"/>
              <w:rPr>
                <w:rFonts w:ascii="宋体" w:hAnsi="宋体" w:cs="仿宋_GB2312"/>
                <w:color w:val="auto"/>
                <w:sz w:val="24"/>
                <w:highlight w:val="none"/>
              </w:rPr>
            </w:pPr>
          </w:p>
        </w:tc>
        <w:tc>
          <w:tcPr>
            <w:tcW w:w="786" w:type="dxa"/>
            <w:tcBorders>
              <w:top w:val="single" w:color="auto" w:sz="4" w:space="0"/>
              <w:left w:val="single" w:color="auto" w:sz="4" w:space="0"/>
              <w:bottom w:val="single" w:color="auto" w:sz="4" w:space="0"/>
              <w:right w:val="single" w:color="auto" w:sz="4" w:space="0"/>
            </w:tcBorders>
            <w:vAlign w:val="center"/>
          </w:tcPr>
          <w:p w14:paraId="499BAD6F">
            <w:pPr>
              <w:wordWrap w:val="0"/>
              <w:spacing w:line="360" w:lineRule="auto"/>
              <w:jc w:val="center"/>
              <w:rPr>
                <w:rFonts w:ascii="宋体" w:hAnsi="宋体" w:cs="仿宋_GB2312"/>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4595AEE">
            <w:pPr>
              <w:wordWrap w:val="0"/>
              <w:spacing w:line="360" w:lineRule="auto"/>
              <w:jc w:val="center"/>
              <w:rPr>
                <w:rFonts w:ascii="宋体" w:hAnsi="宋体" w:cs="仿宋_GB2312"/>
                <w:color w:val="auto"/>
                <w:sz w:val="24"/>
                <w:highlight w:val="none"/>
              </w:rPr>
            </w:pPr>
          </w:p>
        </w:tc>
        <w:tc>
          <w:tcPr>
            <w:tcW w:w="1417" w:type="dxa"/>
            <w:vMerge w:val="continue"/>
            <w:tcBorders>
              <w:left w:val="single" w:color="auto" w:sz="4" w:space="0"/>
              <w:right w:val="single" w:color="auto" w:sz="4" w:space="0"/>
            </w:tcBorders>
            <w:vAlign w:val="center"/>
          </w:tcPr>
          <w:p w14:paraId="230253F9">
            <w:pPr>
              <w:spacing w:line="360" w:lineRule="auto"/>
              <w:jc w:val="center"/>
              <w:rPr>
                <w:rFonts w:ascii="宋体" w:hAnsi="宋体" w:cs="仿宋_GB2312"/>
                <w:color w:val="auto"/>
                <w:sz w:val="24"/>
                <w:highlight w:val="none"/>
              </w:rPr>
            </w:pPr>
          </w:p>
        </w:tc>
      </w:tr>
      <w:tr w14:paraId="59432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14:paraId="0E09B4E8">
            <w:pPr>
              <w:wordWrap w:val="0"/>
              <w:spacing w:line="360" w:lineRule="auto"/>
              <w:jc w:val="center"/>
              <w:rPr>
                <w:rFonts w:ascii="宋体" w:hAnsi="宋体" w:cs="仿宋_GB2312"/>
                <w:color w:val="auto"/>
                <w:sz w:val="24"/>
                <w:highlight w:val="none"/>
              </w:rPr>
            </w:pPr>
            <w:r>
              <w:rPr>
                <w:rFonts w:ascii="宋体" w:hAnsi="宋体" w:cs="仿宋_GB2312"/>
                <w:color w:val="auto"/>
                <w:sz w:val="24"/>
                <w:highlight w:val="none"/>
              </w:rPr>
              <w:t>…</w:t>
            </w:r>
          </w:p>
        </w:tc>
        <w:tc>
          <w:tcPr>
            <w:tcW w:w="1090" w:type="dxa"/>
            <w:tcBorders>
              <w:top w:val="single" w:color="auto" w:sz="4" w:space="0"/>
              <w:left w:val="single" w:color="auto" w:sz="4" w:space="0"/>
              <w:bottom w:val="single" w:color="auto" w:sz="4" w:space="0"/>
              <w:right w:val="single" w:color="auto" w:sz="4" w:space="0"/>
            </w:tcBorders>
            <w:vAlign w:val="center"/>
          </w:tcPr>
          <w:p w14:paraId="256DED4B">
            <w:pPr>
              <w:wordWrap w:val="0"/>
              <w:spacing w:line="360" w:lineRule="auto"/>
              <w:jc w:val="center"/>
              <w:rPr>
                <w:rFonts w:ascii="宋体" w:hAnsi="宋体" w:cs="仿宋_GB2312"/>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053514E4">
            <w:pPr>
              <w:wordWrap w:val="0"/>
              <w:spacing w:line="360" w:lineRule="auto"/>
              <w:jc w:val="center"/>
              <w:rPr>
                <w:rFonts w:ascii="宋体" w:hAnsi="宋体" w:cs="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06F1C9C">
            <w:pPr>
              <w:wordWrap w:val="0"/>
              <w:spacing w:line="360" w:lineRule="auto"/>
              <w:jc w:val="center"/>
              <w:rPr>
                <w:rFonts w:ascii="宋体" w:hAnsi="宋体" w:cs="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1A965D7">
            <w:pPr>
              <w:wordWrap w:val="0"/>
              <w:spacing w:line="360" w:lineRule="auto"/>
              <w:jc w:val="center"/>
              <w:rPr>
                <w:rFonts w:ascii="宋体" w:hAnsi="宋体" w:cs="仿宋_GB2312"/>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AB4A26C">
            <w:pPr>
              <w:wordWrap w:val="0"/>
              <w:spacing w:line="360" w:lineRule="auto"/>
              <w:jc w:val="center"/>
              <w:rPr>
                <w:rFonts w:ascii="宋体" w:hAnsi="宋体" w:cs="仿宋_GB2312"/>
                <w:color w:val="auto"/>
                <w:sz w:val="24"/>
                <w:highlight w:val="none"/>
              </w:rPr>
            </w:pPr>
          </w:p>
        </w:tc>
        <w:tc>
          <w:tcPr>
            <w:tcW w:w="773" w:type="dxa"/>
            <w:tcBorders>
              <w:top w:val="single" w:color="auto" w:sz="4" w:space="0"/>
              <w:left w:val="single" w:color="auto" w:sz="4" w:space="0"/>
              <w:bottom w:val="single" w:color="auto" w:sz="4" w:space="0"/>
              <w:right w:val="single" w:color="auto" w:sz="4" w:space="0"/>
            </w:tcBorders>
          </w:tcPr>
          <w:p w14:paraId="7EC807B6">
            <w:pPr>
              <w:wordWrap w:val="0"/>
              <w:spacing w:line="360" w:lineRule="auto"/>
              <w:jc w:val="center"/>
              <w:rPr>
                <w:rFonts w:ascii="宋体" w:hAnsi="宋体" w:cs="仿宋_GB2312"/>
                <w:color w:val="auto"/>
                <w:sz w:val="24"/>
                <w:highlight w:val="none"/>
              </w:rPr>
            </w:pPr>
          </w:p>
        </w:tc>
        <w:tc>
          <w:tcPr>
            <w:tcW w:w="786" w:type="dxa"/>
            <w:tcBorders>
              <w:top w:val="single" w:color="auto" w:sz="4" w:space="0"/>
              <w:left w:val="single" w:color="auto" w:sz="4" w:space="0"/>
              <w:bottom w:val="single" w:color="auto" w:sz="4" w:space="0"/>
              <w:right w:val="single" w:color="auto" w:sz="4" w:space="0"/>
            </w:tcBorders>
            <w:vAlign w:val="center"/>
          </w:tcPr>
          <w:p w14:paraId="5ADCC255">
            <w:pPr>
              <w:wordWrap w:val="0"/>
              <w:spacing w:line="360" w:lineRule="auto"/>
              <w:jc w:val="center"/>
              <w:rPr>
                <w:rFonts w:ascii="宋体" w:hAnsi="宋体" w:cs="仿宋_GB2312"/>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62182266">
            <w:pPr>
              <w:wordWrap w:val="0"/>
              <w:spacing w:line="360" w:lineRule="auto"/>
              <w:jc w:val="center"/>
              <w:rPr>
                <w:rFonts w:ascii="宋体" w:hAnsi="宋体" w:cs="仿宋_GB2312"/>
                <w:color w:val="auto"/>
                <w:sz w:val="24"/>
                <w:highlight w:val="none"/>
              </w:rPr>
            </w:pPr>
          </w:p>
        </w:tc>
        <w:tc>
          <w:tcPr>
            <w:tcW w:w="1417" w:type="dxa"/>
            <w:vMerge w:val="continue"/>
            <w:tcBorders>
              <w:left w:val="single" w:color="auto" w:sz="4" w:space="0"/>
              <w:right w:val="single" w:color="auto" w:sz="4" w:space="0"/>
            </w:tcBorders>
            <w:vAlign w:val="center"/>
          </w:tcPr>
          <w:p w14:paraId="52EC95FE">
            <w:pPr>
              <w:spacing w:line="360" w:lineRule="auto"/>
              <w:jc w:val="center"/>
              <w:rPr>
                <w:rFonts w:ascii="宋体" w:hAnsi="宋体" w:cs="仿宋_GB2312"/>
                <w:color w:val="auto"/>
                <w:sz w:val="24"/>
                <w:highlight w:val="none"/>
              </w:rPr>
            </w:pPr>
          </w:p>
        </w:tc>
      </w:tr>
      <w:tr w14:paraId="2D403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70" w:type="dxa"/>
            <w:gridSpan w:val="10"/>
            <w:tcBorders>
              <w:top w:val="single" w:color="auto" w:sz="4" w:space="0"/>
              <w:left w:val="single" w:color="auto" w:sz="4" w:space="0"/>
              <w:bottom w:val="single" w:color="auto" w:sz="4" w:space="0"/>
              <w:right w:val="single" w:color="auto" w:sz="4" w:space="0"/>
            </w:tcBorders>
          </w:tcPr>
          <w:p w14:paraId="7FB73F0B">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p w14:paraId="33FA8800">
            <w:pPr>
              <w:snapToGrid w:val="0"/>
              <w:spacing w:before="50" w:after="50" w:line="360" w:lineRule="auto"/>
              <w:rPr>
                <w:rFonts w:ascii="宋体" w:hAnsi="宋体" w:cs="仿宋_GB2312"/>
                <w:color w:val="auto"/>
                <w:sz w:val="24"/>
                <w:highlight w:val="none"/>
                <w:u w:val="single"/>
              </w:rPr>
            </w:pPr>
            <w:r>
              <w:rPr>
                <w:rFonts w:hint="eastAsia" w:ascii="宋体" w:hAnsi="宋体" w:cs="仿宋_GB2312"/>
                <w:color w:val="auto"/>
                <w:sz w:val="24"/>
                <w:highlight w:val="none"/>
                <w:u w:val="single"/>
              </w:rPr>
              <w:t>竞标货物中，属于优先采购节能产品总值为¥（具体明细详见附表，附表格式自拟），占本竞标报价的比例为    %；属于优先采购环境标志产品总值为¥（具体明细详见附表，附表格式自拟），占本竞标报价的比例为   %。</w:t>
            </w:r>
          </w:p>
        </w:tc>
      </w:tr>
    </w:tbl>
    <w:p w14:paraId="147E2E8A">
      <w:pPr>
        <w:spacing w:line="340" w:lineRule="exact"/>
        <w:contextualSpacing/>
        <w:jc w:val="left"/>
        <w:rPr>
          <w:rFonts w:ascii="宋体" w:cs="仿宋_GB2312"/>
          <w:color w:val="auto"/>
          <w:sz w:val="24"/>
          <w:highlight w:val="none"/>
        </w:rPr>
      </w:pPr>
      <w:r>
        <w:rPr>
          <w:rFonts w:hint="eastAsia" w:ascii="宋体" w:hAnsi="宋体" w:cs="仿宋_GB2312"/>
          <w:color w:val="auto"/>
          <w:sz w:val="24"/>
          <w:highlight w:val="none"/>
        </w:rPr>
        <w:t>注</w:t>
      </w:r>
      <w:r>
        <w:rPr>
          <w:rFonts w:ascii="宋体" w:hAnsi="宋体" w:cs="仿宋_GB2312"/>
          <w:color w:val="auto"/>
          <w:sz w:val="24"/>
          <w:highlight w:val="none"/>
        </w:rPr>
        <w:t xml:space="preserve">： </w:t>
      </w:r>
    </w:p>
    <w:p w14:paraId="47CC283E">
      <w:pPr>
        <w:spacing w:line="340" w:lineRule="exact"/>
        <w:ind w:firstLine="480" w:firstLineChars="200"/>
        <w:contextualSpacing/>
        <w:jc w:val="left"/>
        <w:rPr>
          <w:rFonts w:ascii="宋体" w:cs="仿宋_GB2312"/>
          <w:color w:val="auto"/>
          <w:sz w:val="24"/>
          <w:highlight w:val="none"/>
        </w:rPr>
      </w:pPr>
      <w:r>
        <w:rPr>
          <w:rFonts w:ascii="宋体" w:hAnsi="宋体" w:cs="仿宋_GB2312"/>
          <w:color w:val="auto"/>
          <w:sz w:val="24"/>
          <w:highlight w:val="none"/>
        </w:rPr>
        <w:t>1</w:t>
      </w:r>
      <w:r>
        <w:rPr>
          <w:rFonts w:ascii="宋体" w:cs="仿宋_GB2312"/>
          <w:color w:val="auto"/>
          <w:sz w:val="24"/>
          <w:highlight w:val="none"/>
        </w:rPr>
        <w:t>.</w:t>
      </w:r>
      <w:r>
        <w:rPr>
          <w:rFonts w:hint="eastAsia" w:ascii="宋体" w:hAnsi="宋体"/>
          <w:color w:val="auto"/>
          <w:sz w:val="24"/>
          <w:highlight w:val="none"/>
        </w:rPr>
        <w:t>以上竞标报价表中“标的的名称、生产厂家、品牌、规格型号、数量及单位”必须如实填写完整，品牌、规格型号没有则填无，填写有缺漏</w:t>
      </w:r>
      <w:r>
        <w:rPr>
          <w:rFonts w:hint="eastAsia" w:ascii="宋体" w:hAnsi="宋体"/>
          <w:bCs/>
          <w:color w:val="auto"/>
          <w:sz w:val="24"/>
          <w:highlight w:val="none"/>
        </w:rPr>
        <w:t>的，</w:t>
      </w:r>
      <w:r>
        <w:rPr>
          <w:rFonts w:hint="eastAsia" w:ascii="宋体" w:hAnsi="宋体" w:cs="仿宋_GB2312"/>
          <w:b/>
          <w:color w:val="auto"/>
          <w:sz w:val="24"/>
          <w:highlight w:val="none"/>
        </w:rPr>
        <w:t>其响应文件按无效处理</w:t>
      </w:r>
      <w:r>
        <w:rPr>
          <w:rFonts w:hint="eastAsia" w:ascii="宋体" w:hAnsi="宋体"/>
          <w:b/>
          <w:color w:val="auto"/>
          <w:sz w:val="24"/>
          <w:highlight w:val="none"/>
        </w:rPr>
        <w:t>。</w:t>
      </w:r>
    </w:p>
    <w:p w14:paraId="7E30B0A1">
      <w:pPr>
        <w:spacing w:line="340" w:lineRule="exact"/>
        <w:ind w:firstLine="480" w:firstLineChars="200"/>
        <w:contextualSpacing/>
        <w:jc w:val="left"/>
        <w:rPr>
          <w:rFonts w:ascii="宋体" w:cs="仿宋_GB2312"/>
          <w:color w:val="auto"/>
          <w:sz w:val="24"/>
          <w:highlight w:val="none"/>
        </w:rPr>
      </w:pPr>
      <w:r>
        <w:rPr>
          <w:rFonts w:ascii="宋体" w:hAnsi="宋体" w:cs="仿宋_GB2312"/>
          <w:color w:val="auto"/>
          <w:sz w:val="24"/>
          <w:highlight w:val="none"/>
        </w:rPr>
        <w:t>2</w:t>
      </w:r>
      <w:r>
        <w:rPr>
          <w:rFonts w:ascii="宋体" w:cs="仿宋_GB2312"/>
          <w:color w:val="auto"/>
          <w:sz w:val="24"/>
          <w:highlight w:val="none"/>
        </w:rPr>
        <w:t>.</w:t>
      </w:r>
      <w:r>
        <w:rPr>
          <w:rFonts w:hint="eastAsia" w:ascii="宋体" w:hAnsi="宋体" w:cs="仿宋_GB2312"/>
          <w:color w:val="auto"/>
          <w:sz w:val="24"/>
          <w:highlight w:val="none"/>
        </w:rPr>
        <w:t>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2CF51616">
      <w:pPr>
        <w:spacing w:line="340" w:lineRule="exact"/>
        <w:ind w:firstLine="480" w:firstLineChars="200"/>
        <w:contextualSpacing/>
        <w:jc w:val="left"/>
        <w:rPr>
          <w:rFonts w:ascii="宋体" w:cs="仿宋_GB2312"/>
          <w:color w:val="auto"/>
          <w:sz w:val="24"/>
          <w:highlight w:val="none"/>
        </w:rPr>
      </w:pPr>
      <w:r>
        <w:rPr>
          <w:rFonts w:ascii="宋体" w:hAnsi="宋体" w:cs="仿宋_GB2312"/>
          <w:bCs/>
          <w:color w:val="auto"/>
          <w:sz w:val="24"/>
          <w:highlight w:val="none"/>
        </w:rPr>
        <w:t>3</w:t>
      </w:r>
      <w:r>
        <w:rPr>
          <w:rFonts w:ascii="宋体" w:cs="仿宋_GB2312"/>
          <w:bCs/>
          <w:color w:val="auto"/>
          <w:sz w:val="24"/>
          <w:highlight w:val="none"/>
        </w:rPr>
        <w:t>.</w:t>
      </w:r>
      <w:r>
        <w:rPr>
          <w:rFonts w:hint="eastAsia" w:ascii="宋体" w:hAnsi="宋体" w:cs="仿宋_GB2312"/>
          <w:color w:val="auto"/>
          <w:sz w:val="24"/>
          <w:highlight w:val="none"/>
        </w:rPr>
        <w:t>报价一经涂改，应在涂改处加盖供应商电子签章或者由法定代表人或者授权委托人签字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r>
        <w:rPr>
          <w:rFonts w:hint="eastAsia" w:ascii="宋体" w:hAnsi="宋体"/>
          <w:b/>
          <w:color w:val="auto"/>
          <w:sz w:val="24"/>
          <w:highlight w:val="none"/>
        </w:rPr>
        <w:t>。</w:t>
      </w:r>
    </w:p>
    <w:p w14:paraId="15A0CF8D">
      <w:pPr>
        <w:spacing w:line="340" w:lineRule="exact"/>
        <w:ind w:firstLine="480" w:firstLineChars="200"/>
        <w:contextualSpacing/>
        <w:jc w:val="left"/>
        <w:rPr>
          <w:rFonts w:ascii="宋体" w:cs="仿宋_GB2312"/>
          <w:color w:val="auto"/>
          <w:sz w:val="24"/>
          <w:highlight w:val="none"/>
        </w:rPr>
      </w:pPr>
      <w:r>
        <w:rPr>
          <w:rFonts w:hint="eastAsia" w:ascii="宋体" w:hAnsi="宋体" w:cs="仿宋_GB2312"/>
          <w:color w:val="auto"/>
          <w:sz w:val="24"/>
          <w:highlight w:val="none"/>
          <w:lang w:val="en-US" w:eastAsia="zh-CN"/>
        </w:rPr>
        <w:t>4</w:t>
      </w:r>
      <w:r>
        <w:rPr>
          <w:rFonts w:ascii="宋体" w:cs="仿宋_GB2312"/>
          <w:color w:val="auto"/>
          <w:sz w:val="24"/>
          <w:highlight w:val="none"/>
        </w:rPr>
        <w:t>.</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否则其响应文件按无效处理</w:t>
      </w:r>
      <w:r>
        <w:rPr>
          <w:rFonts w:hint="eastAsia" w:ascii="宋体" w:hAnsi="宋体"/>
          <w:b/>
          <w:color w:val="auto"/>
          <w:sz w:val="24"/>
          <w:highlight w:val="none"/>
        </w:rPr>
        <w:t>。（非联合体竞标的请忽略）</w:t>
      </w:r>
    </w:p>
    <w:p w14:paraId="5547090C">
      <w:pPr>
        <w:spacing w:line="340" w:lineRule="exact"/>
        <w:ind w:firstLine="480" w:firstLineChars="200"/>
        <w:contextualSpacing/>
        <w:jc w:val="left"/>
        <w:rPr>
          <w:rFonts w:ascii="宋体" w:cs="仿宋_GB2312"/>
          <w:color w:val="auto"/>
          <w:sz w:val="24"/>
          <w:highlight w:val="none"/>
        </w:rPr>
      </w:pPr>
      <w:r>
        <w:rPr>
          <w:rFonts w:hint="eastAsia" w:ascii="宋体" w:hAnsi="宋体" w:cs="仿宋_GB2312"/>
          <w:color w:val="auto"/>
          <w:sz w:val="24"/>
          <w:highlight w:val="none"/>
          <w:lang w:val="en-US" w:eastAsia="zh-CN"/>
        </w:rPr>
        <w:t>5</w:t>
      </w:r>
      <w:r>
        <w:rPr>
          <w:rFonts w:ascii="宋体" w:cs="仿宋_GB2312"/>
          <w:color w:val="auto"/>
          <w:sz w:val="24"/>
          <w:highlight w:val="none"/>
        </w:rPr>
        <w:t>.</w:t>
      </w:r>
      <w:r>
        <w:rPr>
          <w:rFonts w:hint="eastAsia" w:ascii="宋体" w:hAnsi="宋体" w:cs="仿宋_GB2312"/>
          <w:color w:val="auto"/>
          <w:sz w:val="24"/>
          <w:highlight w:val="none"/>
        </w:rPr>
        <w:t>如为联合体竞标，</w:t>
      </w:r>
      <w:r>
        <w:rPr>
          <w:rFonts w:hint="eastAsia" w:ascii="宋体" w:hAnsi="宋体"/>
          <w:color w:val="auto"/>
          <w:spacing w:val="-6"/>
          <w:sz w:val="24"/>
          <w:highlight w:val="none"/>
        </w:rPr>
        <w:t>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r>
        <w:rPr>
          <w:rFonts w:hint="eastAsia" w:ascii="宋体" w:hAnsi="宋体"/>
          <w:b/>
          <w:color w:val="auto"/>
          <w:sz w:val="24"/>
          <w:highlight w:val="none"/>
        </w:rPr>
        <w:t>。（非联合体竞标的请忽略）</w:t>
      </w:r>
    </w:p>
    <w:p w14:paraId="2132ED60">
      <w:pPr>
        <w:spacing w:line="340" w:lineRule="exact"/>
        <w:ind w:firstLine="480" w:firstLineChars="200"/>
        <w:contextualSpacing/>
        <w:jc w:val="left"/>
        <w:rPr>
          <w:rFonts w:ascii="宋体" w:cs="仿宋_GB2312"/>
          <w:color w:val="auto"/>
          <w:sz w:val="24"/>
          <w:highlight w:val="none"/>
        </w:rPr>
      </w:pPr>
    </w:p>
    <w:p w14:paraId="39C93173">
      <w:pPr>
        <w:spacing w:line="340" w:lineRule="exact"/>
        <w:ind w:firstLine="480" w:firstLineChars="200"/>
        <w:contextualSpacing/>
        <w:jc w:val="left"/>
        <w:rPr>
          <w:rFonts w:ascii="宋体" w:cs="仿宋_GB2312"/>
          <w:color w:val="auto"/>
          <w:sz w:val="24"/>
          <w:highlight w:val="none"/>
        </w:rPr>
      </w:pPr>
    </w:p>
    <w:p w14:paraId="767ADDBE">
      <w:pPr>
        <w:spacing w:line="360" w:lineRule="auto"/>
        <w:ind w:right="-817" w:rightChars="-389" w:firstLine="2640" w:firstLineChars="1100"/>
        <w:contextualSpacing/>
        <w:rPr>
          <w:rFonts w:asci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6299C17A">
      <w:pPr>
        <w:spacing w:line="360" w:lineRule="auto"/>
        <w:ind w:right="-817" w:rightChars="-389" w:firstLine="2640" w:firstLineChars="11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3FA03E1C">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017B9B62">
      <w:pPr>
        <w:spacing w:line="360" w:lineRule="auto"/>
        <w:ind w:right="-817" w:rightChars="-389"/>
        <w:contextualSpacing/>
        <w:rPr>
          <w:rFonts w:ascii="宋体" w:hAnsi="宋体" w:cs="仿宋_GB2312"/>
          <w:color w:val="auto"/>
          <w:sz w:val="24"/>
          <w:highlight w:val="none"/>
        </w:rPr>
      </w:pPr>
    </w:p>
    <w:p w14:paraId="68970016">
      <w:pPr>
        <w:spacing w:line="360" w:lineRule="auto"/>
        <w:ind w:right="420"/>
        <w:contextualSpacing/>
        <w:jc w:val="left"/>
        <w:rPr>
          <w:rFonts w:hint="eastAsia" w:ascii="宋体" w:hAnsi="宋体"/>
          <w:b/>
          <w:bCs/>
          <w:color w:val="auto"/>
          <w:sz w:val="32"/>
          <w:szCs w:val="32"/>
          <w:highlight w:val="none"/>
        </w:rPr>
      </w:pPr>
    </w:p>
    <w:p w14:paraId="7E049E98">
      <w:pPr>
        <w:spacing w:line="360" w:lineRule="auto"/>
        <w:ind w:right="420"/>
        <w:contextualSpacing/>
        <w:jc w:val="left"/>
        <w:rPr>
          <w:rFonts w:asci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12451C91">
      <w:pPr>
        <w:snapToGrid w:val="0"/>
        <w:spacing w:before="120" w:beforeLines="50" w:after="50" w:line="360" w:lineRule="auto"/>
        <w:jc w:val="left"/>
        <w:rPr>
          <w:rFonts w:ascii="宋体"/>
          <w:b/>
          <w:color w:val="auto"/>
          <w:sz w:val="32"/>
          <w:szCs w:val="32"/>
          <w:highlight w:val="none"/>
        </w:rPr>
      </w:pPr>
      <w:r>
        <w:rPr>
          <w:rFonts w:ascii="宋体" w:hAnsi="宋体"/>
          <w:b/>
          <w:color w:val="auto"/>
          <w:sz w:val="32"/>
          <w:szCs w:val="32"/>
          <w:highlight w:val="none"/>
        </w:rPr>
        <w:t>1.</w:t>
      </w:r>
      <w:r>
        <w:rPr>
          <w:rFonts w:hint="eastAsia" w:ascii="宋体" w:hAnsi="宋体"/>
          <w:b/>
          <w:color w:val="auto"/>
          <w:sz w:val="32"/>
          <w:szCs w:val="32"/>
          <w:highlight w:val="none"/>
        </w:rPr>
        <w:t>商务技术文件封面格式</w:t>
      </w:r>
    </w:p>
    <w:p w14:paraId="0065A28C">
      <w:pPr>
        <w:snapToGrid w:val="0"/>
        <w:spacing w:before="120" w:beforeLines="50" w:after="50"/>
        <w:rPr>
          <w:rFonts w:ascii="宋体"/>
          <w:bCs/>
          <w:color w:val="auto"/>
          <w:sz w:val="32"/>
          <w:szCs w:val="20"/>
          <w:highlight w:val="none"/>
        </w:rPr>
      </w:pPr>
    </w:p>
    <w:p w14:paraId="56198D5B">
      <w:pPr>
        <w:snapToGrid w:val="0"/>
        <w:spacing w:before="120" w:beforeLines="50" w:after="50"/>
        <w:jc w:val="center"/>
        <w:rPr>
          <w:rFonts w:ascii="宋体"/>
          <w:color w:val="auto"/>
          <w:sz w:val="24"/>
          <w:szCs w:val="20"/>
          <w:highlight w:val="none"/>
        </w:rPr>
      </w:pPr>
      <w:r>
        <w:rPr>
          <w:rFonts w:hint="eastAsia" w:ascii="宋体" w:hAnsi="宋体"/>
          <w:color w:val="auto"/>
          <w:sz w:val="44"/>
          <w:szCs w:val="44"/>
          <w:highlight w:val="none"/>
        </w:rPr>
        <w:t>电子响应文件</w:t>
      </w:r>
    </w:p>
    <w:p w14:paraId="2D50B441">
      <w:pPr>
        <w:snapToGrid w:val="0"/>
        <w:spacing w:before="120" w:beforeLines="50" w:after="50"/>
        <w:rPr>
          <w:rFonts w:ascii="宋体"/>
          <w:color w:val="auto"/>
          <w:sz w:val="24"/>
          <w:szCs w:val="20"/>
          <w:highlight w:val="none"/>
        </w:rPr>
      </w:pPr>
    </w:p>
    <w:p w14:paraId="0C1FDB76">
      <w:pPr>
        <w:snapToGrid w:val="0"/>
        <w:spacing w:before="120" w:beforeLines="50" w:after="50"/>
        <w:rPr>
          <w:rFonts w:ascii="宋体"/>
          <w:color w:val="auto"/>
          <w:sz w:val="24"/>
          <w:szCs w:val="20"/>
          <w:highlight w:val="none"/>
        </w:rPr>
      </w:pPr>
    </w:p>
    <w:p w14:paraId="3D32FA09">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商务技术文件</w:t>
      </w:r>
    </w:p>
    <w:p w14:paraId="67AEFFA3">
      <w:pPr>
        <w:snapToGrid w:val="0"/>
        <w:spacing w:before="120" w:beforeLines="50" w:after="50"/>
        <w:rPr>
          <w:rFonts w:ascii="宋体"/>
          <w:bCs/>
          <w:color w:val="auto"/>
          <w:sz w:val="24"/>
          <w:szCs w:val="20"/>
          <w:highlight w:val="none"/>
        </w:rPr>
      </w:pPr>
    </w:p>
    <w:p w14:paraId="3F91FE49">
      <w:pPr>
        <w:snapToGrid w:val="0"/>
        <w:spacing w:before="120" w:beforeLines="50" w:after="50"/>
        <w:rPr>
          <w:rFonts w:ascii="宋体"/>
          <w:bCs/>
          <w:color w:val="auto"/>
          <w:sz w:val="24"/>
          <w:szCs w:val="20"/>
          <w:highlight w:val="none"/>
        </w:rPr>
      </w:pPr>
    </w:p>
    <w:p w14:paraId="5ED509D7">
      <w:pPr>
        <w:snapToGrid w:val="0"/>
        <w:spacing w:before="120" w:beforeLines="50" w:after="50"/>
        <w:rPr>
          <w:rFonts w:ascii="宋体"/>
          <w:bCs/>
          <w:color w:val="auto"/>
          <w:sz w:val="24"/>
          <w:szCs w:val="20"/>
          <w:highlight w:val="none"/>
        </w:rPr>
      </w:pPr>
    </w:p>
    <w:p w14:paraId="2DE75659">
      <w:pPr>
        <w:snapToGrid w:val="0"/>
        <w:spacing w:before="120" w:beforeLines="50" w:after="50"/>
        <w:rPr>
          <w:rFonts w:ascii="宋体"/>
          <w:bCs/>
          <w:color w:val="auto"/>
          <w:sz w:val="24"/>
          <w:szCs w:val="20"/>
          <w:highlight w:val="none"/>
        </w:rPr>
      </w:pPr>
    </w:p>
    <w:p w14:paraId="1EE8549F">
      <w:pPr>
        <w:snapToGrid w:val="0"/>
        <w:spacing w:before="120" w:beforeLines="50" w:after="50"/>
        <w:rPr>
          <w:rFonts w:ascii="宋体"/>
          <w:bCs/>
          <w:color w:val="auto"/>
          <w:sz w:val="24"/>
          <w:szCs w:val="20"/>
          <w:highlight w:val="none"/>
        </w:rPr>
      </w:pPr>
    </w:p>
    <w:p w14:paraId="52032BC1">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项目名称：</w:t>
      </w:r>
    </w:p>
    <w:p w14:paraId="5EB27CB4">
      <w:pPr>
        <w:snapToGrid w:val="0"/>
        <w:spacing w:before="120" w:beforeLines="50" w:after="50"/>
        <w:ind w:firstLine="720" w:firstLineChars="225"/>
        <w:rPr>
          <w:rFonts w:ascii="宋体" w:cs="仿宋_GB2312"/>
          <w:bCs/>
          <w:color w:val="auto"/>
          <w:sz w:val="32"/>
          <w:szCs w:val="32"/>
          <w:highlight w:val="none"/>
        </w:rPr>
      </w:pPr>
    </w:p>
    <w:p w14:paraId="0066ED52">
      <w:pPr>
        <w:snapToGrid w:val="0"/>
        <w:spacing w:before="120" w:beforeLines="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项目编号：</w:t>
      </w:r>
    </w:p>
    <w:p w14:paraId="07AB13CC">
      <w:pPr>
        <w:snapToGrid w:val="0"/>
        <w:spacing w:before="120" w:beforeLines="50" w:after="50"/>
        <w:rPr>
          <w:rFonts w:ascii="宋体" w:cs="仿宋_GB2312"/>
          <w:bCs/>
          <w:color w:val="auto"/>
          <w:sz w:val="32"/>
          <w:szCs w:val="32"/>
          <w:highlight w:val="none"/>
        </w:rPr>
      </w:pPr>
    </w:p>
    <w:p w14:paraId="492324A5">
      <w:pPr>
        <w:snapToGrid w:val="0"/>
        <w:spacing w:before="120" w:beforeLines="50" w:after="50"/>
        <w:ind w:firstLine="720" w:firstLineChars="225"/>
        <w:rPr>
          <w:rFonts w:ascii="宋体" w:cs="仿宋_GB2312"/>
          <w:bCs/>
          <w:color w:val="auto"/>
          <w:sz w:val="32"/>
          <w:szCs w:val="32"/>
          <w:highlight w:val="none"/>
        </w:rPr>
      </w:pPr>
    </w:p>
    <w:p w14:paraId="6441A43F">
      <w:pPr>
        <w:pStyle w:val="6"/>
        <w:snapToGrid w:val="0"/>
        <w:spacing w:before="50" w:after="50"/>
        <w:ind w:firstLine="640" w:firstLineChars="200"/>
        <w:rPr>
          <w:rFonts w:asci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546FF65">
      <w:pPr>
        <w:pStyle w:val="6"/>
        <w:snapToGrid w:val="0"/>
        <w:spacing w:before="50" w:after="50"/>
        <w:ind w:firstLine="640" w:firstLineChars="200"/>
        <w:rPr>
          <w:rFonts w:ascii="宋体" w:cs="仿宋_GB2312"/>
          <w:bCs/>
          <w:color w:val="auto"/>
          <w:sz w:val="32"/>
          <w:szCs w:val="32"/>
          <w:highlight w:val="none"/>
        </w:rPr>
      </w:pPr>
    </w:p>
    <w:p w14:paraId="4FC09EDB">
      <w:pPr>
        <w:pStyle w:val="6"/>
        <w:snapToGrid w:val="0"/>
        <w:spacing w:before="50" w:after="50"/>
        <w:ind w:firstLine="720" w:firstLineChars="225"/>
        <w:rPr>
          <w:rFonts w:ascii="宋体" w:cs="仿宋_GB2312"/>
          <w:bCs/>
          <w:color w:val="auto"/>
          <w:sz w:val="32"/>
          <w:szCs w:val="32"/>
          <w:highlight w:val="none"/>
        </w:rPr>
      </w:pPr>
    </w:p>
    <w:p w14:paraId="2B9B173E">
      <w:pPr>
        <w:pStyle w:val="6"/>
        <w:snapToGrid w:val="0"/>
        <w:spacing w:before="50" w:after="50"/>
        <w:ind w:firstLine="0"/>
        <w:rPr>
          <w:rFonts w:ascii="宋体" w:cs="仿宋_GB2312"/>
          <w:bCs/>
          <w:color w:val="auto"/>
          <w:sz w:val="32"/>
          <w:szCs w:val="32"/>
          <w:highlight w:val="none"/>
        </w:rPr>
      </w:pPr>
    </w:p>
    <w:p w14:paraId="77D77DA3">
      <w:pPr>
        <w:pStyle w:val="6"/>
        <w:snapToGrid w:val="0"/>
        <w:spacing w:before="50" w:after="50"/>
        <w:ind w:firstLine="1280" w:firstLineChars="400"/>
        <w:rPr>
          <w:rFonts w:ascii="宋体" w:cs="仿宋_GB2312"/>
          <w:bCs/>
          <w:color w:val="auto"/>
          <w:sz w:val="32"/>
          <w:szCs w:val="32"/>
          <w:highlight w:val="none"/>
        </w:rPr>
      </w:pPr>
    </w:p>
    <w:p w14:paraId="20FBC76F">
      <w:pPr>
        <w:snapToGrid w:val="0"/>
        <w:spacing w:before="120" w:beforeLines="50" w:after="50"/>
        <w:jc w:val="center"/>
        <w:rPr>
          <w:rFonts w:ascii="宋体" w:cs="仿宋_GB2312"/>
          <w:color w:val="auto"/>
          <w:sz w:val="32"/>
          <w:szCs w:val="32"/>
          <w:highlight w:val="none"/>
        </w:rPr>
      </w:pPr>
      <w:r>
        <w:rPr>
          <w:rFonts w:hint="eastAsia" w:ascii="宋体" w:hAnsi="宋体" w:cs="仿宋_GB2312"/>
          <w:color w:val="auto"/>
          <w:sz w:val="32"/>
          <w:szCs w:val="32"/>
          <w:highlight w:val="none"/>
        </w:rPr>
        <w:t>年  月  日</w:t>
      </w:r>
    </w:p>
    <w:p w14:paraId="761EB27B">
      <w:pPr>
        <w:snapToGrid w:val="0"/>
        <w:spacing w:before="120" w:beforeLines="50" w:after="50" w:line="360" w:lineRule="auto"/>
        <w:ind w:left="142"/>
        <w:jc w:val="left"/>
        <w:rPr>
          <w:rFonts w:ascii="宋体"/>
          <w:b/>
          <w:bCs/>
          <w:color w:val="auto"/>
          <w:sz w:val="24"/>
          <w:highlight w:val="none"/>
        </w:rPr>
      </w:pPr>
      <w:r>
        <w:rPr>
          <w:rFonts w:ascii="宋体"/>
          <w:color w:val="auto"/>
          <w:sz w:val="24"/>
          <w:highlight w:val="none"/>
        </w:rPr>
        <w:br w:type="page"/>
      </w:r>
      <w:r>
        <w:rPr>
          <w:rFonts w:ascii="宋体" w:hAnsi="宋体"/>
          <w:b/>
          <w:bCs/>
          <w:color w:val="auto"/>
          <w:sz w:val="32"/>
          <w:szCs w:val="32"/>
          <w:highlight w:val="none"/>
        </w:rPr>
        <w:t>2.</w:t>
      </w:r>
      <w:r>
        <w:rPr>
          <w:rFonts w:hint="eastAsia" w:ascii="宋体" w:hAnsi="宋体"/>
          <w:b/>
          <w:bCs/>
          <w:color w:val="auto"/>
          <w:sz w:val="32"/>
          <w:szCs w:val="32"/>
          <w:highlight w:val="none"/>
        </w:rPr>
        <w:t>商务技术文件目录</w:t>
      </w:r>
    </w:p>
    <w:p w14:paraId="12B20BA0">
      <w:pPr>
        <w:snapToGrid w:val="0"/>
        <w:spacing w:before="120" w:beforeLines="50" w:after="50" w:line="360" w:lineRule="auto"/>
        <w:ind w:firstLine="640" w:firstLineChars="200"/>
        <w:rPr>
          <w:rFonts w:asci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5374C52D">
      <w:pPr>
        <w:spacing w:line="400" w:lineRule="exact"/>
        <w:rPr>
          <w:rFonts w:ascii="仿宋_GB2312" w:hAnsi="仿宋_GB2312" w:eastAsia="仿宋_GB2312" w:cs="仿宋_GB2312"/>
          <w:color w:val="auto"/>
          <w:sz w:val="32"/>
          <w:szCs w:val="32"/>
          <w:highlight w:val="none"/>
        </w:rPr>
      </w:pPr>
    </w:p>
    <w:p w14:paraId="41BD3733">
      <w:pPr>
        <w:spacing w:line="520" w:lineRule="exact"/>
        <w:jc w:val="center"/>
        <w:rPr>
          <w:rFonts w:ascii="仿宋_GB2312" w:hAnsi="仿宋_GB2312" w:eastAsia="仿宋_GB2312" w:cs="仿宋_GB2312"/>
          <w:color w:val="auto"/>
          <w:sz w:val="32"/>
          <w:szCs w:val="32"/>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12FB6FEE">
      <w:pPr>
        <w:spacing w:line="360" w:lineRule="auto"/>
        <w:ind w:firstLine="640" w:firstLineChars="200"/>
        <w:contextualSpacing/>
        <w:rPr>
          <w:rFonts w:ascii="仿宋_GB2312" w:hAnsi="仿宋_GB2312" w:eastAsia="仿宋_GB2312" w:cs="仿宋_GB2312"/>
          <w:color w:val="auto"/>
          <w:sz w:val="32"/>
          <w:szCs w:val="32"/>
          <w:highlight w:val="none"/>
        </w:rPr>
      </w:pPr>
    </w:p>
    <w:p w14:paraId="5301AD1D">
      <w:pPr>
        <w:spacing w:line="360" w:lineRule="auto"/>
        <w:ind w:firstLine="482" w:firstLineChars="200"/>
        <w:contextualSpacing/>
        <w:rPr>
          <w:rFonts w:asci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25B1F76">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不同供应商的响应文件由同一单位或者个人编制；</w:t>
      </w:r>
    </w:p>
    <w:p w14:paraId="7CD290E2">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不同供应商委托同一单位或者个人办理竞标事宜；</w:t>
      </w:r>
    </w:p>
    <w:p w14:paraId="350D35F3">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不同的供应商的响应文件载明的项目管理员为同一个人；</w:t>
      </w:r>
    </w:p>
    <w:p w14:paraId="56DB81D2">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不</w:t>
      </w:r>
      <w:r>
        <w:rPr>
          <w:rFonts w:hint="eastAsia" w:ascii="宋体" w:hAnsi="宋体" w:cs="仿宋_GB2312"/>
          <w:color w:val="auto"/>
          <w:spacing w:val="-6"/>
          <w:sz w:val="24"/>
          <w:highlight w:val="none"/>
        </w:rPr>
        <w:t>同供应商的响应文件异常一致或者竞标报价呈规律性差异；</w:t>
      </w:r>
    </w:p>
    <w:p w14:paraId="3E102743">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不同供应商的响应文件相互混装；</w:t>
      </w:r>
    </w:p>
    <w:p w14:paraId="0CBF043E">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6.</w:t>
      </w:r>
      <w:r>
        <w:rPr>
          <w:rFonts w:hint="eastAsia" w:ascii="宋体" w:hAnsi="宋体" w:cs="仿宋_GB2312"/>
          <w:color w:val="auto"/>
          <w:sz w:val="24"/>
          <w:highlight w:val="none"/>
        </w:rPr>
        <w:t>不同供应商的竞标保证金从同一单位或者个人账户转出。</w:t>
      </w:r>
    </w:p>
    <w:p w14:paraId="17127C44">
      <w:pPr>
        <w:spacing w:line="360" w:lineRule="auto"/>
        <w:ind w:firstLine="482" w:firstLineChars="200"/>
        <w:contextualSpacing/>
        <w:rPr>
          <w:rFonts w:asci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3B3609F4">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供应商直接或者间接从采购人或者采购代理机构处获得其他供应商的相关信息并修改其响应文件；</w:t>
      </w:r>
    </w:p>
    <w:p w14:paraId="2328B9E6">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供应商按照采购人或者采购代理机构的授意撤换、修改响应文件；</w:t>
      </w:r>
    </w:p>
    <w:p w14:paraId="6C706160">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供</w:t>
      </w:r>
      <w:r>
        <w:rPr>
          <w:rFonts w:hint="eastAsia" w:ascii="宋体" w:hAnsi="宋体" w:cs="仿宋_GB2312"/>
          <w:color w:val="auto"/>
          <w:spacing w:val="-6"/>
          <w:sz w:val="24"/>
          <w:highlight w:val="none"/>
        </w:rPr>
        <w:t>应商之间协商报价、技术方案等响应文件的实质性内容；</w:t>
      </w:r>
    </w:p>
    <w:p w14:paraId="2E54A240">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属于同一集团、协会、商会等组织成员的供应商按照该组织要求协同参加政府采购活动；</w:t>
      </w:r>
    </w:p>
    <w:p w14:paraId="7FE14D2F">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供应商之间事先约定一致抬高或者压低竞标报价，或者在竞争性谈判项目中事先约定轮流以高价位或者低价位成交，或者事先约定由某一特定供应商成交，然后再参加竞标；</w:t>
      </w:r>
    </w:p>
    <w:p w14:paraId="015AFF69">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6.</w:t>
      </w:r>
      <w:r>
        <w:rPr>
          <w:rFonts w:hint="eastAsia" w:ascii="宋体" w:hAnsi="宋体" w:cs="仿宋_GB2312"/>
          <w:color w:val="auto"/>
          <w:sz w:val="24"/>
          <w:highlight w:val="none"/>
        </w:rPr>
        <w:t>供应商之间商定部分供应商放弃参加政府采购活动或者放弃成交；</w:t>
      </w:r>
    </w:p>
    <w:p w14:paraId="1B051206">
      <w:pPr>
        <w:spacing w:line="360" w:lineRule="auto"/>
        <w:ind w:firstLine="480" w:firstLineChars="200"/>
        <w:contextualSpacing/>
        <w:rPr>
          <w:rFonts w:ascii="宋体" w:cs="仿宋_GB2312"/>
          <w:color w:val="auto"/>
          <w:sz w:val="24"/>
          <w:highlight w:val="none"/>
        </w:rPr>
      </w:pPr>
      <w:r>
        <w:rPr>
          <w:rFonts w:ascii="宋体" w:hAnsi="宋体" w:cs="仿宋_GB2312"/>
          <w:color w:val="auto"/>
          <w:sz w:val="24"/>
          <w:highlight w:val="none"/>
        </w:rPr>
        <w:t>7.</w:t>
      </w:r>
      <w:r>
        <w:rPr>
          <w:rFonts w:hint="eastAsia" w:ascii="宋体" w:hAnsi="宋体" w:cs="仿宋_GB2312"/>
          <w:color w:val="auto"/>
          <w:sz w:val="24"/>
          <w:highlight w:val="none"/>
        </w:rPr>
        <w:t>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2C913079">
      <w:pPr>
        <w:spacing w:line="360" w:lineRule="auto"/>
        <w:ind w:firstLine="480" w:firstLineChars="200"/>
        <w:contextualSpacing/>
        <w:rPr>
          <w:rFonts w:ascii="宋体" w:cs="仿宋_GB2312"/>
          <w:color w:val="auto"/>
          <w:sz w:val="24"/>
          <w:highlight w:val="none"/>
        </w:rPr>
      </w:pPr>
    </w:p>
    <w:p w14:paraId="58FD4B17">
      <w:pPr>
        <w:spacing w:line="360" w:lineRule="auto"/>
        <w:ind w:firstLine="482" w:firstLineChars="200"/>
        <w:contextualSpacing/>
        <w:rPr>
          <w:rFonts w:asci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08368B3C">
      <w:pPr>
        <w:spacing w:line="360" w:lineRule="auto"/>
        <w:ind w:firstLine="480" w:firstLineChars="200"/>
        <w:contextualSpacing/>
        <w:rPr>
          <w:rFonts w:ascii="宋体" w:cs="仿宋_GB2312"/>
          <w:color w:val="auto"/>
          <w:sz w:val="24"/>
          <w:highlight w:val="none"/>
        </w:rPr>
      </w:pPr>
    </w:p>
    <w:p w14:paraId="2F883EBC">
      <w:pPr>
        <w:spacing w:line="360" w:lineRule="auto"/>
        <w:contextualSpacing/>
        <w:rPr>
          <w:rFonts w:ascii="宋体" w:cs="仿宋_GB2312"/>
          <w:color w:val="auto"/>
          <w:sz w:val="24"/>
          <w:highlight w:val="none"/>
        </w:rPr>
      </w:pPr>
    </w:p>
    <w:p w14:paraId="18DB8625">
      <w:pPr>
        <w:spacing w:line="360" w:lineRule="auto"/>
        <w:ind w:firstLine="3600" w:firstLineChars="15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38B5F6BC">
      <w:pPr>
        <w:spacing w:line="360" w:lineRule="auto"/>
        <w:ind w:firstLine="480" w:firstLineChars="200"/>
        <w:contextualSpacing/>
        <w:jc w:val="center"/>
        <w:rPr>
          <w:rFonts w:ascii="宋体" w:cs="仿宋_GB2312"/>
          <w:color w:val="auto"/>
          <w:sz w:val="24"/>
          <w:highlight w:val="none"/>
        </w:rPr>
      </w:pPr>
      <w:r>
        <w:rPr>
          <w:rFonts w:hint="eastAsia" w:ascii="宋体" w:hAnsi="宋体" w:cs="仿宋_GB2312"/>
          <w:color w:val="auto"/>
          <w:sz w:val="24"/>
          <w:highlight w:val="none"/>
        </w:rPr>
        <w:t>年  月  日</w:t>
      </w:r>
    </w:p>
    <w:p w14:paraId="37C7541A">
      <w:pPr>
        <w:spacing w:line="360" w:lineRule="auto"/>
        <w:ind w:firstLine="640" w:firstLineChars="200"/>
        <w:contextualSpacing/>
        <w:jc w:val="center"/>
        <w:rPr>
          <w:rFonts w:ascii="宋体" w:cs="仿宋_GB2312"/>
          <w:color w:val="auto"/>
          <w:sz w:val="32"/>
          <w:szCs w:val="32"/>
          <w:highlight w:val="none"/>
        </w:rPr>
      </w:pPr>
    </w:p>
    <w:p w14:paraId="74F2400F">
      <w:pPr>
        <w:spacing w:before="240" w:beforeLines="100" w:after="120" w:afterLines="50" w:line="520" w:lineRule="exact"/>
        <w:ind w:left="540"/>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0C907EC1">
      <w:pPr>
        <w:spacing w:line="360" w:lineRule="auto"/>
        <w:ind w:left="540"/>
        <w:contextualSpacing/>
        <w:rPr>
          <w:rFonts w:ascii="仿宋_GB2312" w:hAnsi="仿宋_GB2312" w:eastAsia="仿宋_GB2312" w:cs="仿宋_GB2312"/>
          <w:color w:val="auto"/>
          <w:sz w:val="32"/>
          <w:szCs w:val="32"/>
          <w:highlight w:val="none"/>
        </w:rPr>
      </w:pPr>
    </w:p>
    <w:p w14:paraId="1E5B7CF8">
      <w:pPr>
        <w:spacing w:line="360" w:lineRule="auto"/>
        <w:ind w:left="540"/>
        <w:contextualSpacing/>
        <w:rPr>
          <w:rFonts w:ascii="宋体" w:cs="仿宋_GB2312"/>
          <w:color w:val="auto"/>
          <w:sz w:val="24"/>
          <w:highlight w:val="none"/>
          <w:u w:val="singl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36D5FB2E">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地址：</w:t>
      </w:r>
      <w:r>
        <w:rPr>
          <w:rFonts w:hint="eastAsia" w:ascii="宋体" w:hAnsi="宋体" w:cs="仿宋_GB2312"/>
          <w:color w:val="auto"/>
          <w:sz w:val="24"/>
          <w:highlight w:val="none"/>
          <w:u w:val="single"/>
        </w:rPr>
        <w:t xml:space="preserve">                </w:t>
      </w:r>
    </w:p>
    <w:p w14:paraId="4A11D952">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姓名：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性别：</w:t>
      </w:r>
      <w:r>
        <w:rPr>
          <w:rFonts w:hint="eastAsia" w:ascii="宋体" w:hAnsi="宋体" w:cs="仿宋_GB2312"/>
          <w:color w:val="auto"/>
          <w:sz w:val="24"/>
          <w:highlight w:val="none"/>
          <w:u w:val="single"/>
        </w:rPr>
        <w:t xml:space="preserve">                </w:t>
      </w:r>
    </w:p>
    <w:p w14:paraId="29CAEED0">
      <w:pPr>
        <w:spacing w:line="360" w:lineRule="auto"/>
        <w:ind w:left="540"/>
        <w:contextualSpacing/>
        <w:rPr>
          <w:rFonts w:ascii="宋体" w:cs="仿宋_GB2312"/>
          <w:color w:val="auto"/>
          <w:sz w:val="24"/>
          <w:highlight w:val="none"/>
          <w:u w:val="single"/>
        </w:rPr>
      </w:pPr>
      <w:r>
        <w:rPr>
          <w:rFonts w:hint="eastAsia" w:ascii="宋体" w:hAnsi="宋体" w:cs="仿宋_GB2312"/>
          <w:color w:val="auto"/>
          <w:sz w:val="24"/>
          <w:highlight w:val="none"/>
        </w:rPr>
        <w:t>年龄：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职务：</w:t>
      </w:r>
      <w:r>
        <w:rPr>
          <w:rFonts w:hint="eastAsia" w:ascii="宋体" w:hAnsi="宋体" w:cs="仿宋_GB2312"/>
          <w:color w:val="auto"/>
          <w:sz w:val="24"/>
          <w:highlight w:val="none"/>
          <w:u w:val="single"/>
        </w:rPr>
        <w:t xml:space="preserve">                </w:t>
      </w:r>
    </w:p>
    <w:p w14:paraId="69387B1A">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36D7709C">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0207D430">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特此证明。</w:t>
      </w:r>
    </w:p>
    <w:p w14:paraId="0163DBCE">
      <w:pPr>
        <w:spacing w:line="360" w:lineRule="auto"/>
        <w:ind w:left="540"/>
        <w:contextualSpacing/>
        <w:rPr>
          <w:rFonts w:ascii="宋体" w:cs="仿宋_GB2312"/>
          <w:color w:val="auto"/>
          <w:sz w:val="24"/>
          <w:highlight w:val="none"/>
        </w:rPr>
      </w:pPr>
    </w:p>
    <w:p w14:paraId="6EF42150">
      <w:pPr>
        <w:spacing w:line="360" w:lineRule="auto"/>
        <w:ind w:left="540"/>
        <w:contextualSpacing/>
        <w:rPr>
          <w:rFonts w:ascii="宋体" w:cs="仿宋_GB2312"/>
          <w:color w:val="auto"/>
          <w:sz w:val="24"/>
          <w:highlight w:val="none"/>
        </w:rPr>
      </w:pPr>
    </w:p>
    <w:p w14:paraId="26AEE2BC">
      <w:pPr>
        <w:spacing w:line="360" w:lineRule="auto"/>
        <w:ind w:left="540"/>
        <w:contextualSpacing/>
        <w:rPr>
          <w:rFonts w:ascii="宋体" w:cs="仿宋_GB2312"/>
          <w:color w:val="auto"/>
          <w:sz w:val="24"/>
          <w:highlight w:val="none"/>
        </w:rPr>
      </w:pPr>
    </w:p>
    <w:p w14:paraId="1E3D0384">
      <w:pPr>
        <w:spacing w:line="360" w:lineRule="auto"/>
        <w:ind w:left="540"/>
        <w:contextualSpacing/>
        <w:rPr>
          <w:rFonts w:asci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25BCA1CB">
      <w:pPr>
        <w:spacing w:line="360" w:lineRule="auto"/>
        <w:ind w:left="540"/>
        <w:contextualSpacing/>
        <w:jc w:val="right"/>
        <w:rPr>
          <w:rFonts w:ascii="宋体" w:cs="仿宋_GB2312"/>
          <w:color w:val="auto"/>
          <w:sz w:val="24"/>
          <w:highlight w:val="none"/>
        </w:rPr>
      </w:pPr>
    </w:p>
    <w:p w14:paraId="50979D1F">
      <w:pPr>
        <w:spacing w:line="360" w:lineRule="auto"/>
        <w:ind w:left="540"/>
        <w:contextualSpacing/>
        <w:jc w:val="right"/>
        <w:rPr>
          <w:rFonts w:ascii="宋体" w:cs="仿宋_GB2312"/>
          <w:color w:val="auto"/>
          <w:sz w:val="24"/>
          <w:highlight w:val="none"/>
        </w:rPr>
      </w:pPr>
      <w:r>
        <w:rPr>
          <w:rFonts w:hint="eastAsia" w:ascii="宋体" w:hAnsi="宋体" w:cs="仿宋_GB2312"/>
          <w:color w:val="auto"/>
          <w:sz w:val="24"/>
          <w:highlight w:val="none"/>
        </w:rPr>
        <w:t>供应商（电子签章）：</w:t>
      </w:r>
    </w:p>
    <w:p w14:paraId="637386D3">
      <w:pPr>
        <w:wordWrap w:val="0"/>
        <w:spacing w:line="360" w:lineRule="auto"/>
        <w:ind w:firstLine="4080" w:firstLineChars="1700"/>
        <w:contextualSpacing/>
        <w:jc w:val="right"/>
        <w:rPr>
          <w:rFonts w:ascii="宋体" w:cs="仿宋_GB2312"/>
          <w:color w:val="auto"/>
          <w:sz w:val="24"/>
          <w:highlight w:val="none"/>
        </w:rPr>
      </w:pPr>
      <w:r>
        <w:rPr>
          <w:rFonts w:hint="eastAsia" w:ascii="宋体" w:hAnsi="宋体" w:cs="仿宋_GB2312"/>
          <w:color w:val="auto"/>
          <w:sz w:val="24"/>
          <w:highlight w:val="none"/>
        </w:rPr>
        <w:t>年  月  日</w:t>
      </w:r>
    </w:p>
    <w:p w14:paraId="62084150">
      <w:pPr>
        <w:spacing w:line="360" w:lineRule="auto"/>
        <w:contextualSpacing/>
        <w:jc w:val="center"/>
        <w:rPr>
          <w:rFonts w:ascii="宋体" w:cs="仿宋_GB2312"/>
          <w:b/>
          <w:color w:val="auto"/>
          <w:sz w:val="24"/>
          <w:highlight w:val="none"/>
        </w:rPr>
      </w:pPr>
    </w:p>
    <w:p w14:paraId="71BE9325">
      <w:pPr>
        <w:spacing w:line="360" w:lineRule="auto"/>
        <w:contextualSpacing/>
        <w:jc w:val="left"/>
        <w:rPr>
          <w:rFonts w:asci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r>
        <w:rPr>
          <w:rFonts w:hint="eastAsia" w:ascii="宋体" w:hAnsi="宋体"/>
          <w:b/>
          <w:color w:val="auto"/>
          <w:sz w:val="24"/>
          <w:highlight w:val="none"/>
        </w:rPr>
        <w:t>（非联合体竞标的请忽略）。</w:t>
      </w:r>
    </w:p>
    <w:p w14:paraId="371FE0A9">
      <w:pPr>
        <w:adjustRightInd w:val="0"/>
        <w:snapToGrid w:val="0"/>
        <w:spacing w:line="300" w:lineRule="auto"/>
        <w:jc w:val="left"/>
        <w:rPr>
          <w:rFonts w:ascii="宋体"/>
          <w:b/>
          <w:color w:val="auto"/>
          <w:szCs w:val="21"/>
          <w:highlight w:val="none"/>
        </w:rPr>
      </w:pPr>
    </w:p>
    <w:p w14:paraId="5CFA94BA">
      <w:pPr>
        <w:spacing w:line="520" w:lineRule="exact"/>
        <w:jc w:val="center"/>
        <w:rPr>
          <w:rFonts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14287B8A">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（非联合体竞标格式）</w:t>
      </w:r>
    </w:p>
    <w:p w14:paraId="70181A0C">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67AC320C">
      <w:pPr>
        <w:spacing w:line="360" w:lineRule="auto"/>
        <w:contextualSpacing/>
        <w:rPr>
          <w:rFonts w:ascii="仿宋_GB2312" w:hAnsi="仿宋_GB2312" w:eastAsia="仿宋_GB2312" w:cs="仿宋_GB2312"/>
          <w:color w:val="auto"/>
          <w:sz w:val="32"/>
          <w:szCs w:val="32"/>
          <w:highlight w:val="none"/>
        </w:rPr>
      </w:pPr>
    </w:p>
    <w:p w14:paraId="5408E195">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73C2E831">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w:t>
      </w:r>
      <w:r>
        <w:rPr>
          <w:rFonts w:ascii="宋体" w:hAnsi="宋体" w:cs="仿宋_GB2312"/>
          <w:color w:val="auto"/>
          <w:sz w:val="24"/>
          <w:highlight w:val="none"/>
          <w:u w:val="single"/>
        </w:rPr>
        <w:t>/</w:t>
      </w:r>
      <w:r>
        <w:rPr>
          <w:rFonts w:hint="eastAsia" w:ascii="宋体" w:hAnsi="宋体" w:cs="仿宋_GB2312"/>
          <w:color w:val="auto"/>
          <w:sz w:val="24"/>
          <w:highlight w:val="none"/>
          <w:u w:val="single"/>
        </w:rPr>
        <w:t>□负责人</w:t>
      </w:r>
      <w:r>
        <w:rPr>
          <w:rFonts w:ascii="宋体" w:hAnsi="宋体" w:cs="仿宋_GB2312"/>
          <w:color w:val="auto"/>
          <w:sz w:val="24"/>
          <w:highlight w:val="none"/>
          <w:u w:val="single"/>
        </w:rPr>
        <w:t>/</w:t>
      </w:r>
      <w:r>
        <w:rPr>
          <w:rFonts w:hint="eastAsia" w:ascii="宋体" w:hAnsi="宋体" w:cs="仿宋_GB2312"/>
          <w:color w:val="auto"/>
          <w:sz w:val="24"/>
          <w:highlight w:val="none"/>
          <w:u w:val="single"/>
        </w:rPr>
        <w:t>□自然人本人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1752A28E">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5832D3B6">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30F0DAD0">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委托代理人无转委托权，特此委托。</w:t>
      </w:r>
    </w:p>
    <w:p w14:paraId="23073468">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66724143">
      <w:pPr>
        <w:spacing w:line="360" w:lineRule="auto"/>
        <w:contextualSpacing/>
        <w:rPr>
          <w:rFonts w:ascii="宋体" w:cs="仿宋_GB2312"/>
          <w:color w:val="auto"/>
          <w:sz w:val="24"/>
          <w:highlight w:val="none"/>
        </w:rPr>
      </w:pPr>
    </w:p>
    <w:p w14:paraId="483E8C1E">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w:t>
      </w:r>
    </w:p>
    <w:p w14:paraId="22924081">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法定代表人（签字或者盖章或者电子签名）：</w:t>
      </w:r>
    </w:p>
    <w:p w14:paraId="5FC15407">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委托代理人身份证号码：</w:t>
      </w:r>
    </w:p>
    <w:p w14:paraId="16C16F1B">
      <w:pPr>
        <w:spacing w:line="360" w:lineRule="auto"/>
        <w:contextualSpacing/>
        <w:rPr>
          <w:rFonts w:ascii="宋体" w:cs="仿宋_GB2312"/>
          <w:color w:val="auto"/>
          <w:sz w:val="24"/>
          <w:highlight w:val="none"/>
        </w:rPr>
      </w:pPr>
    </w:p>
    <w:p w14:paraId="15D01B21">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6BAD7CEE">
      <w:pPr>
        <w:spacing w:line="360" w:lineRule="auto"/>
        <w:ind w:firstLine="360" w:firstLineChars="150"/>
        <w:contextualSpacing/>
        <w:rPr>
          <w:rFonts w:ascii="宋体" w:cs="仿宋_GB2312"/>
          <w:color w:val="auto"/>
          <w:sz w:val="24"/>
          <w:highlight w:val="none"/>
        </w:rPr>
      </w:pPr>
      <w:r>
        <w:rPr>
          <w:rFonts w:hint="eastAsia" w:ascii="宋体" w:hAnsi="宋体" w:cs="仿宋_GB2312"/>
          <w:color w:val="auto"/>
          <w:sz w:val="24"/>
          <w:highlight w:val="none"/>
        </w:rPr>
        <w:t>年  月   日</w:t>
      </w:r>
    </w:p>
    <w:p w14:paraId="799E9C49">
      <w:pPr>
        <w:spacing w:line="360" w:lineRule="auto"/>
        <w:contextualSpacing/>
        <w:rPr>
          <w:rFonts w:ascii="宋体" w:cs="仿宋_GB2312"/>
          <w:color w:val="auto"/>
          <w:sz w:val="24"/>
          <w:highlight w:val="none"/>
        </w:rPr>
      </w:pPr>
    </w:p>
    <w:p w14:paraId="54DE9707">
      <w:pPr>
        <w:spacing w:line="340" w:lineRule="exact"/>
        <w:ind w:firstLine="480" w:firstLineChars="200"/>
        <w:jc w:val="left"/>
        <w:rPr>
          <w:rFonts w:ascii="宋体" w:cs="仿宋_GB2312"/>
          <w:color w:val="auto"/>
          <w:sz w:val="24"/>
          <w:highlight w:val="none"/>
        </w:rPr>
      </w:pPr>
      <w:r>
        <w:rPr>
          <w:rFonts w:hint="eastAsia" w:ascii="宋体" w:hAnsi="宋体" w:cs="仿宋_GB2312"/>
          <w:color w:val="auto"/>
          <w:sz w:val="24"/>
          <w:highlight w:val="none"/>
        </w:rPr>
        <w:t>注：</w:t>
      </w:r>
      <w:r>
        <w:rPr>
          <w:rFonts w:ascii="宋体" w:hAnsi="宋体" w:cs="仿宋_GB2312"/>
          <w:color w:val="auto"/>
          <w:sz w:val="24"/>
          <w:highlight w:val="none"/>
        </w:rPr>
        <w:t>1.</w:t>
      </w:r>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7A54C0C8">
      <w:pPr>
        <w:spacing w:line="360" w:lineRule="auto"/>
        <w:ind w:firstLine="480" w:firstLineChars="200"/>
        <w:contextualSpacing/>
        <w:jc w:val="left"/>
        <w:rPr>
          <w:rFonts w:asci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20749F4F">
      <w:pPr>
        <w:spacing w:line="360" w:lineRule="auto"/>
        <w:ind w:firstLine="420" w:firstLineChars="200"/>
        <w:contextualSpacing/>
        <w:jc w:val="left"/>
        <w:rPr>
          <w:rFonts w:ascii="仿宋_GB2312" w:hAnsi="仿宋_GB2312" w:eastAsia="仿宋_GB2312" w:cs="仿宋_GB2312"/>
          <w:color w:val="auto"/>
          <w:szCs w:val="21"/>
          <w:highlight w:val="none"/>
        </w:rPr>
      </w:pPr>
    </w:p>
    <w:p w14:paraId="35106DD8">
      <w:pPr>
        <w:spacing w:line="520" w:lineRule="exact"/>
        <w:contextualSpacing/>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5252D0A2">
      <w:pPr>
        <w:spacing w:line="520" w:lineRule="exact"/>
        <w:contextualSpacing/>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（联合体竞标格式，非联合体竞标的请忽略）</w:t>
      </w:r>
    </w:p>
    <w:p w14:paraId="4E1AB689">
      <w:pPr>
        <w:spacing w:line="520" w:lineRule="exact"/>
        <w:contextualSpacing/>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71D97DE2">
      <w:pPr>
        <w:spacing w:line="360" w:lineRule="auto"/>
        <w:contextualSpacing/>
        <w:rPr>
          <w:rFonts w:ascii="仿宋_GB2312" w:hAnsi="仿宋_GB2312" w:eastAsia="仿宋_GB2312" w:cs="仿宋_GB2312"/>
          <w:color w:val="auto"/>
          <w:sz w:val="32"/>
          <w:szCs w:val="32"/>
          <w:highlight w:val="none"/>
        </w:rPr>
      </w:pPr>
    </w:p>
    <w:p w14:paraId="3FBF3852">
      <w:pPr>
        <w:spacing w:line="360" w:lineRule="auto"/>
        <w:ind w:firstLine="480" w:firstLineChars="200"/>
        <w:contextualSpacing/>
        <w:jc w:val="left"/>
        <w:rPr>
          <w:rFonts w:ascii="宋体" w:cs="仿宋_GB2312"/>
          <w:color w:val="auto"/>
          <w:sz w:val="24"/>
          <w:highlight w:val="none"/>
        </w:rPr>
      </w:pPr>
      <w:r>
        <w:rPr>
          <w:rFonts w:hint="eastAsia" w:ascii="宋体" w:hAnsi="宋体" w:cs="仿宋_GB2312"/>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25E066F3">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2CDA44DB">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4C905176">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委托代理人无转委托权，特此委托。</w:t>
      </w:r>
    </w:p>
    <w:p w14:paraId="5791F5C8">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158ED24D">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232682E1">
      <w:pPr>
        <w:spacing w:line="360" w:lineRule="auto"/>
        <w:ind w:firstLine="3120" w:firstLineChars="1300"/>
        <w:contextualSpacing/>
        <w:rPr>
          <w:rFonts w:ascii="宋体" w:cs="仿宋_GB2312"/>
          <w:color w:val="auto"/>
          <w:sz w:val="24"/>
          <w:highlight w:val="none"/>
        </w:rPr>
      </w:pPr>
      <w:r>
        <w:rPr>
          <w:rFonts w:hint="eastAsia" w:ascii="宋体" w:hAnsi="宋体" w:cs="仿宋_GB2312"/>
          <w:color w:val="auto"/>
          <w:sz w:val="24"/>
          <w:highlight w:val="none"/>
        </w:rPr>
        <w:t>牵头人（电子签章）：</w:t>
      </w:r>
    </w:p>
    <w:p w14:paraId="1777C057">
      <w:pPr>
        <w:spacing w:line="360" w:lineRule="auto"/>
        <w:ind w:firstLine="3840" w:firstLineChars="1600"/>
        <w:contextualSpacing/>
        <w:rPr>
          <w:rFonts w:ascii="宋体" w:cs="仿宋_GB2312"/>
          <w:color w:val="auto"/>
          <w:sz w:val="24"/>
          <w:highlight w:val="none"/>
        </w:rPr>
      </w:pPr>
      <w:r>
        <w:rPr>
          <w:rFonts w:hint="eastAsia" w:ascii="宋体" w:hAnsi="宋体" w:cs="仿宋_GB2312"/>
          <w:color w:val="auto"/>
          <w:sz w:val="24"/>
          <w:highlight w:val="none"/>
        </w:rPr>
        <w:t>日期：  年  月  日</w:t>
      </w:r>
    </w:p>
    <w:p w14:paraId="681A91D6">
      <w:pPr>
        <w:spacing w:line="360" w:lineRule="auto"/>
        <w:contextualSpacing/>
        <w:rPr>
          <w:rFonts w:ascii="宋体" w:cs="仿宋_GB2312"/>
          <w:color w:val="auto"/>
          <w:sz w:val="24"/>
          <w:highlight w:val="none"/>
        </w:rPr>
      </w:pPr>
    </w:p>
    <w:p w14:paraId="5E599C7A">
      <w:pPr>
        <w:spacing w:line="360" w:lineRule="auto"/>
        <w:ind w:firstLine="3120" w:firstLineChars="1300"/>
        <w:contextualSpacing/>
        <w:rPr>
          <w:rFonts w:ascii="宋体" w:cs="仿宋_GB2312"/>
          <w:color w:val="auto"/>
          <w:sz w:val="24"/>
          <w:highlight w:val="none"/>
        </w:rPr>
      </w:pPr>
      <w:r>
        <w:rPr>
          <w:rFonts w:hint="eastAsia" w:ascii="宋体" w:hAnsi="宋体" w:cs="仿宋_GB2312"/>
          <w:color w:val="auto"/>
          <w:sz w:val="24"/>
          <w:highlight w:val="none"/>
        </w:rPr>
        <w:t>被授权人（签字或者电子签名）：</w:t>
      </w:r>
    </w:p>
    <w:p w14:paraId="2ED4D714">
      <w:pPr>
        <w:spacing w:line="360" w:lineRule="auto"/>
        <w:ind w:firstLine="3840" w:firstLineChars="1600"/>
        <w:contextualSpacing/>
        <w:rPr>
          <w:rFonts w:ascii="宋体" w:cs="仿宋_GB2312"/>
          <w:color w:val="auto"/>
          <w:sz w:val="24"/>
          <w:highlight w:val="none"/>
        </w:rPr>
      </w:pPr>
      <w:r>
        <w:rPr>
          <w:rFonts w:hint="eastAsia" w:ascii="宋体" w:hAnsi="宋体" w:cs="仿宋_GB2312"/>
          <w:color w:val="auto"/>
          <w:sz w:val="24"/>
          <w:highlight w:val="none"/>
        </w:rPr>
        <w:t>日期：  年  月  日</w:t>
      </w:r>
    </w:p>
    <w:p w14:paraId="364BDD2D">
      <w:pPr>
        <w:spacing w:line="360" w:lineRule="auto"/>
        <w:contextualSpacing/>
        <w:rPr>
          <w:rFonts w:ascii="宋体" w:cs="仿宋_GB2312"/>
          <w:color w:val="auto"/>
          <w:sz w:val="24"/>
          <w:highlight w:val="none"/>
        </w:rPr>
      </w:pPr>
    </w:p>
    <w:p w14:paraId="1770E90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w:t>
      </w:r>
    </w:p>
    <w:p w14:paraId="61A99287">
      <w:pPr>
        <w:spacing w:line="360" w:lineRule="auto"/>
        <w:contextualSpacing/>
        <w:rPr>
          <w:rFonts w:ascii="宋体" w:hAnsi="宋体" w:cs="仿宋_GB2312"/>
          <w:b/>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41673A15">
      <w:pPr>
        <w:spacing w:line="360" w:lineRule="auto"/>
        <w:contextualSpacing/>
        <w:rPr>
          <w:rFonts w:asci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302C06D4">
      <w:pPr>
        <w:spacing w:line="500" w:lineRule="exact"/>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商务要求响应承诺书格式</w:t>
      </w:r>
    </w:p>
    <w:p w14:paraId="240ECCA2">
      <w:pPr>
        <w:spacing w:line="500" w:lineRule="exact"/>
        <w:jc w:val="center"/>
        <w:rPr>
          <w:rFonts w:ascii="宋体"/>
          <w:b/>
          <w:i/>
          <w:color w:val="auto"/>
          <w:sz w:val="32"/>
          <w:szCs w:val="32"/>
          <w:highlight w:val="none"/>
        </w:rPr>
      </w:pPr>
    </w:p>
    <w:p w14:paraId="66CD1F9E">
      <w:pPr>
        <w:snapToGrid w:val="0"/>
        <w:spacing w:before="50" w:after="50" w:line="360" w:lineRule="auto"/>
        <w:rPr>
          <w:rFonts w:ascii="宋体" w:hAnsi="宋体" w:cs="仿宋_GB2312"/>
          <w:color w:val="auto"/>
          <w:sz w:val="24"/>
          <w:highlight w:val="none"/>
          <w:u w:val="single"/>
        </w:rPr>
      </w:pPr>
      <w:r>
        <w:rPr>
          <w:rFonts w:hint="eastAsia" w:ascii="宋体" w:hAnsi="宋体" w:cs="仿宋_GB2312"/>
          <w:color w:val="auto"/>
          <w:sz w:val="24"/>
          <w:highlight w:val="none"/>
        </w:rPr>
        <w:t>项目名称：</w:t>
      </w:r>
    </w:p>
    <w:p w14:paraId="6642D626">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项目编号：</w:t>
      </w:r>
    </w:p>
    <w:p w14:paraId="2D1E6345">
      <w:pPr>
        <w:snapToGrid w:val="0"/>
        <w:spacing w:before="50" w:after="50" w:line="360" w:lineRule="auto"/>
        <w:rPr>
          <w:rFonts w:ascii="宋体" w:hAnsi="宋体" w:cs="仿宋_GB2312"/>
          <w:color w:val="auto"/>
          <w:sz w:val="24"/>
          <w:highlight w:val="none"/>
          <w:u w:val="single"/>
        </w:rPr>
      </w:pPr>
      <w:r>
        <w:rPr>
          <w:rFonts w:hint="eastAsia" w:ascii="宋体" w:hAnsi="宋体" w:cs="仿宋_GB2312"/>
          <w:color w:val="auto"/>
          <w:sz w:val="24"/>
          <w:highlight w:val="none"/>
        </w:rPr>
        <w:t>所竞分标：</w:t>
      </w:r>
    </w:p>
    <w:tbl>
      <w:tblPr>
        <w:tblStyle w:val="25"/>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72"/>
      </w:tblGrid>
      <w:tr w14:paraId="383F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385" w:type="dxa"/>
            <w:tcBorders>
              <w:top w:val="single" w:color="auto" w:sz="4" w:space="0"/>
              <w:left w:val="single" w:color="auto" w:sz="4" w:space="0"/>
              <w:bottom w:val="single" w:color="auto" w:sz="4" w:space="0"/>
              <w:right w:val="single" w:color="auto" w:sz="4" w:space="0"/>
            </w:tcBorders>
            <w:vAlign w:val="center"/>
          </w:tcPr>
          <w:p w14:paraId="01D32463">
            <w:pPr>
              <w:spacing w:line="320" w:lineRule="exact"/>
              <w:jc w:val="center"/>
              <w:textAlignment w:val="center"/>
              <w:rPr>
                <w:rFonts w:ascii="宋体" w:hAnsi="宋体" w:cs="宋体"/>
                <w:bCs/>
                <w:color w:val="auto"/>
                <w:spacing w:val="-2"/>
                <w:sz w:val="24"/>
                <w:highlight w:val="none"/>
              </w:rPr>
            </w:pPr>
            <w:r>
              <w:rPr>
                <w:rFonts w:hint="eastAsia" w:ascii="宋体" w:hAnsi="宋体" w:cs="宋体"/>
                <w:bCs/>
                <w:color w:val="auto"/>
                <w:spacing w:val="-2"/>
                <w:sz w:val="24"/>
                <w:highlight w:val="none"/>
              </w:rPr>
              <w:t>条款</w:t>
            </w:r>
          </w:p>
        </w:tc>
        <w:tc>
          <w:tcPr>
            <w:tcW w:w="7472" w:type="dxa"/>
            <w:tcBorders>
              <w:top w:val="single" w:color="auto" w:sz="4" w:space="0"/>
              <w:left w:val="single" w:color="auto" w:sz="4" w:space="0"/>
              <w:bottom w:val="single" w:color="auto" w:sz="4" w:space="0"/>
              <w:right w:val="single" w:color="auto" w:sz="4" w:space="0"/>
            </w:tcBorders>
            <w:vAlign w:val="center"/>
          </w:tcPr>
          <w:p w14:paraId="1C27A709">
            <w:pPr>
              <w:spacing w:line="320" w:lineRule="exact"/>
              <w:jc w:val="center"/>
              <w:textAlignment w:val="center"/>
              <w:rPr>
                <w:rFonts w:ascii="宋体" w:hAnsi="宋体" w:cs="宋体"/>
                <w:bCs/>
                <w:color w:val="auto"/>
                <w:spacing w:val="-2"/>
                <w:sz w:val="24"/>
                <w:highlight w:val="none"/>
              </w:rPr>
            </w:pPr>
            <w:r>
              <w:rPr>
                <w:rFonts w:hint="eastAsia" w:ascii="宋体" w:hAnsi="宋体" w:cs="宋体"/>
                <w:bCs/>
                <w:color w:val="auto"/>
                <w:spacing w:val="-2"/>
                <w:sz w:val="24"/>
                <w:highlight w:val="none"/>
              </w:rPr>
              <w:t>对照第三章采购需求中的“商务要求”，供应商的详细商务响应情况</w:t>
            </w:r>
          </w:p>
        </w:tc>
      </w:tr>
      <w:tr w14:paraId="1A80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85" w:type="dxa"/>
            <w:tcBorders>
              <w:top w:val="single" w:color="auto" w:sz="4" w:space="0"/>
              <w:left w:val="single" w:color="auto" w:sz="4" w:space="0"/>
              <w:bottom w:val="single" w:color="auto" w:sz="4" w:space="0"/>
              <w:right w:val="single" w:color="auto" w:sz="4" w:space="0"/>
            </w:tcBorders>
            <w:vAlign w:val="center"/>
          </w:tcPr>
          <w:p w14:paraId="7FAFA09A">
            <w:pPr>
              <w:spacing w:line="340" w:lineRule="exact"/>
              <w:jc w:val="center"/>
              <w:rPr>
                <w:rFonts w:ascii="宋体" w:hAnsi="宋体"/>
                <w:b/>
                <w:color w:val="auto"/>
                <w:szCs w:val="21"/>
                <w:highlight w:val="none"/>
              </w:rPr>
            </w:pPr>
            <w:r>
              <w:rPr>
                <w:rFonts w:hint="eastAsia" w:ascii="宋体" w:hAnsi="宋体"/>
                <w:b/>
                <w:color w:val="auto"/>
                <w:highlight w:val="none"/>
              </w:rPr>
              <w:t>（一）</w:t>
            </w:r>
            <w:r>
              <w:rPr>
                <w:rFonts w:hint="eastAsia" w:ascii="宋体" w:hAnsi="宋体"/>
                <w:b/>
                <w:color w:val="auto"/>
                <w:spacing w:val="-2"/>
                <w:highlight w:val="none"/>
              </w:rPr>
              <w:t>售后服务要求</w:t>
            </w:r>
          </w:p>
        </w:tc>
        <w:tc>
          <w:tcPr>
            <w:tcW w:w="7472" w:type="dxa"/>
            <w:tcBorders>
              <w:top w:val="single" w:color="auto" w:sz="4" w:space="0"/>
              <w:left w:val="single" w:color="auto" w:sz="4" w:space="0"/>
              <w:bottom w:val="single" w:color="auto" w:sz="4" w:space="0"/>
              <w:right w:val="single" w:color="auto" w:sz="4" w:space="0"/>
            </w:tcBorders>
            <w:vAlign w:val="center"/>
          </w:tcPr>
          <w:p w14:paraId="0FB12910">
            <w:pPr>
              <w:spacing w:line="400" w:lineRule="exact"/>
              <w:rPr>
                <w:rFonts w:ascii="宋体" w:hAnsi="宋体"/>
                <w:color w:val="auto"/>
                <w:kern w:val="0"/>
                <w:sz w:val="24"/>
                <w:highlight w:val="none"/>
              </w:rPr>
            </w:pPr>
          </w:p>
        </w:tc>
      </w:tr>
      <w:tr w14:paraId="120A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85" w:type="dxa"/>
            <w:tcBorders>
              <w:top w:val="single" w:color="auto" w:sz="4" w:space="0"/>
              <w:left w:val="single" w:color="auto" w:sz="4" w:space="0"/>
              <w:bottom w:val="single" w:color="auto" w:sz="4" w:space="0"/>
              <w:right w:val="single" w:color="auto" w:sz="4" w:space="0"/>
            </w:tcBorders>
            <w:vAlign w:val="center"/>
          </w:tcPr>
          <w:p w14:paraId="611E34C3">
            <w:pPr>
              <w:spacing w:line="340" w:lineRule="exact"/>
              <w:jc w:val="center"/>
              <w:rPr>
                <w:rFonts w:ascii="宋体" w:hAnsi="宋体"/>
                <w:b/>
                <w:color w:val="auto"/>
                <w:szCs w:val="21"/>
                <w:highlight w:val="none"/>
              </w:rPr>
            </w:pPr>
            <w:r>
              <w:rPr>
                <w:rFonts w:hint="eastAsia" w:ascii="宋体" w:hAnsi="宋体"/>
                <w:b/>
                <w:color w:val="auto"/>
                <w:highlight w:val="none"/>
              </w:rPr>
              <w:t>（二）交付时间和地点</w:t>
            </w:r>
          </w:p>
        </w:tc>
        <w:tc>
          <w:tcPr>
            <w:tcW w:w="7472" w:type="dxa"/>
            <w:tcBorders>
              <w:top w:val="single" w:color="auto" w:sz="4" w:space="0"/>
              <w:left w:val="single" w:color="auto" w:sz="4" w:space="0"/>
              <w:bottom w:val="single" w:color="auto" w:sz="4" w:space="0"/>
              <w:right w:val="single" w:color="auto" w:sz="4" w:space="0"/>
            </w:tcBorders>
            <w:vAlign w:val="center"/>
          </w:tcPr>
          <w:p w14:paraId="5EDAFC39">
            <w:pPr>
              <w:spacing w:line="400" w:lineRule="exact"/>
              <w:rPr>
                <w:rFonts w:ascii="宋体" w:hAnsi="宋体"/>
                <w:color w:val="auto"/>
                <w:kern w:val="0"/>
                <w:sz w:val="24"/>
                <w:highlight w:val="none"/>
              </w:rPr>
            </w:pPr>
          </w:p>
        </w:tc>
      </w:tr>
      <w:tr w14:paraId="1195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85" w:type="dxa"/>
            <w:tcBorders>
              <w:top w:val="single" w:color="auto" w:sz="4" w:space="0"/>
              <w:left w:val="single" w:color="auto" w:sz="4" w:space="0"/>
              <w:bottom w:val="single" w:color="auto" w:sz="4" w:space="0"/>
              <w:right w:val="single" w:color="auto" w:sz="4" w:space="0"/>
            </w:tcBorders>
            <w:vAlign w:val="center"/>
          </w:tcPr>
          <w:p w14:paraId="4A0B4D66">
            <w:pPr>
              <w:spacing w:line="340" w:lineRule="exact"/>
              <w:jc w:val="center"/>
              <w:rPr>
                <w:rFonts w:ascii="宋体" w:hAnsi="宋体"/>
                <w:b/>
                <w:color w:val="auto"/>
                <w:szCs w:val="21"/>
                <w:highlight w:val="none"/>
              </w:rPr>
            </w:pPr>
            <w:r>
              <w:rPr>
                <w:rFonts w:hint="eastAsia" w:ascii="宋体" w:hAnsi="宋体"/>
                <w:b/>
                <w:color w:val="auto"/>
                <w:highlight w:val="none"/>
              </w:rPr>
              <w:t>（三）合同签订时间</w:t>
            </w:r>
          </w:p>
        </w:tc>
        <w:tc>
          <w:tcPr>
            <w:tcW w:w="7472" w:type="dxa"/>
            <w:tcBorders>
              <w:top w:val="single" w:color="auto" w:sz="4" w:space="0"/>
              <w:left w:val="single" w:color="auto" w:sz="4" w:space="0"/>
              <w:bottom w:val="single" w:color="auto" w:sz="4" w:space="0"/>
              <w:right w:val="single" w:color="auto" w:sz="4" w:space="0"/>
            </w:tcBorders>
            <w:vAlign w:val="center"/>
          </w:tcPr>
          <w:p w14:paraId="2EA52C01">
            <w:pPr>
              <w:spacing w:line="400" w:lineRule="exact"/>
              <w:rPr>
                <w:rFonts w:ascii="宋体" w:hAnsi="宋体"/>
                <w:color w:val="auto"/>
                <w:kern w:val="0"/>
                <w:sz w:val="24"/>
                <w:highlight w:val="none"/>
              </w:rPr>
            </w:pPr>
          </w:p>
        </w:tc>
      </w:tr>
      <w:tr w14:paraId="1B8E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85" w:type="dxa"/>
            <w:tcBorders>
              <w:top w:val="single" w:color="auto" w:sz="4" w:space="0"/>
              <w:left w:val="single" w:color="auto" w:sz="4" w:space="0"/>
              <w:bottom w:val="single" w:color="auto" w:sz="4" w:space="0"/>
              <w:right w:val="single" w:color="auto" w:sz="4" w:space="0"/>
            </w:tcBorders>
            <w:vAlign w:val="center"/>
          </w:tcPr>
          <w:p w14:paraId="410D732B">
            <w:pPr>
              <w:spacing w:line="340" w:lineRule="exact"/>
              <w:jc w:val="center"/>
              <w:rPr>
                <w:rFonts w:ascii="宋体" w:hAnsi="宋体"/>
                <w:b/>
                <w:color w:val="auto"/>
                <w:szCs w:val="21"/>
                <w:highlight w:val="none"/>
              </w:rPr>
            </w:pPr>
            <w:r>
              <w:rPr>
                <w:rFonts w:hint="eastAsia" w:ascii="宋体" w:hAnsi="宋体"/>
                <w:b/>
                <w:color w:val="auto"/>
                <w:highlight w:val="none"/>
              </w:rPr>
              <w:t>（四）付款方式</w:t>
            </w:r>
          </w:p>
        </w:tc>
        <w:tc>
          <w:tcPr>
            <w:tcW w:w="7472" w:type="dxa"/>
            <w:tcBorders>
              <w:top w:val="single" w:color="auto" w:sz="4" w:space="0"/>
              <w:left w:val="single" w:color="auto" w:sz="4" w:space="0"/>
              <w:bottom w:val="single" w:color="auto" w:sz="4" w:space="0"/>
              <w:right w:val="single" w:color="auto" w:sz="4" w:space="0"/>
            </w:tcBorders>
            <w:vAlign w:val="center"/>
          </w:tcPr>
          <w:p w14:paraId="3C080AAB">
            <w:pPr>
              <w:spacing w:line="400" w:lineRule="exact"/>
              <w:rPr>
                <w:rFonts w:ascii="宋体" w:hAnsi="宋体"/>
                <w:color w:val="auto"/>
                <w:kern w:val="0"/>
                <w:sz w:val="24"/>
                <w:highlight w:val="none"/>
              </w:rPr>
            </w:pPr>
          </w:p>
        </w:tc>
      </w:tr>
      <w:tr w14:paraId="4AC1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85" w:type="dxa"/>
            <w:tcBorders>
              <w:top w:val="single" w:color="auto" w:sz="4" w:space="0"/>
              <w:left w:val="single" w:color="auto" w:sz="4" w:space="0"/>
              <w:bottom w:val="single" w:color="auto" w:sz="4" w:space="0"/>
              <w:right w:val="single" w:color="auto" w:sz="4" w:space="0"/>
            </w:tcBorders>
            <w:vAlign w:val="center"/>
          </w:tcPr>
          <w:p w14:paraId="353B24E5">
            <w:pPr>
              <w:spacing w:line="340" w:lineRule="exact"/>
              <w:jc w:val="center"/>
              <w:rPr>
                <w:rFonts w:ascii="宋体" w:hAnsi="宋体"/>
                <w:b/>
                <w:color w:val="auto"/>
                <w:szCs w:val="21"/>
                <w:highlight w:val="none"/>
              </w:rPr>
            </w:pPr>
            <w:r>
              <w:rPr>
                <w:rFonts w:hint="eastAsia" w:ascii="宋体" w:hAnsi="宋体"/>
                <w:b/>
                <w:color w:val="auto"/>
                <w:highlight w:val="none"/>
              </w:rPr>
              <w:t>（五）包装和运输</w:t>
            </w:r>
          </w:p>
        </w:tc>
        <w:tc>
          <w:tcPr>
            <w:tcW w:w="7472" w:type="dxa"/>
            <w:tcBorders>
              <w:top w:val="single" w:color="auto" w:sz="4" w:space="0"/>
              <w:left w:val="single" w:color="auto" w:sz="4" w:space="0"/>
              <w:bottom w:val="single" w:color="auto" w:sz="4" w:space="0"/>
              <w:right w:val="single" w:color="auto" w:sz="4" w:space="0"/>
            </w:tcBorders>
            <w:vAlign w:val="center"/>
          </w:tcPr>
          <w:p w14:paraId="390332D1">
            <w:pPr>
              <w:spacing w:line="400" w:lineRule="exact"/>
              <w:rPr>
                <w:rFonts w:ascii="宋体" w:hAnsi="宋体"/>
                <w:color w:val="auto"/>
                <w:kern w:val="0"/>
                <w:sz w:val="24"/>
                <w:highlight w:val="none"/>
              </w:rPr>
            </w:pPr>
          </w:p>
        </w:tc>
      </w:tr>
      <w:tr w14:paraId="66ED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85" w:type="dxa"/>
            <w:tcBorders>
              <w:top w:val="single" w:color="auto" w:sz="4" w:space="0"/>
              <w:left w:val="single" w:color="auto" w:sz="4" w:space="0"/>
              <w:bottom w:val="single" w:color="auto" w:sz="4" w:space="0"/>
              <w:right w:val="single" w:color="auto" w:sz="4" w:space="0"/>
            </w:tcBorders>
            <w:vAlign w:val="center"/>
          </w:tcPr>
          <w:p w14:paraId="770C85F9">
            <w:pPr>
              <w:spacing w:line="340" w:lineRule="exact"/>
              <w:jc w:val="center"/>
              <w:rPr>
                <w:rFonts w:ascii="宋体" w:hAnsi="宋体"/>
                <w:b/>
                <w:color w:val="auto"/>
                <w:highlight w:val="none"/>
              </w:rPr>
            </w:pPr>
            <w:r>
              <w:rPr>
                <w:rFonts w:hint="eastAsia" w:ascii="宋体" w:hAnsi="宋体"/>
                <w:b/>
                <w:color w:val="auto"/>
                <w:highlight w:val="none"/>
              </w:rPr>
              <w:t>（六）保险</w:t>
            </w:r>
          </w:p>
        </w:tc>
        <w:tc>
          <w:tcPr>
            <w:tcW w:w="7472" w:type="dxa"/>
            <w:tcBorders>
              <w:top w:val="single" w:color="auto" w:sz="4" w:space="0"/>
              <w:left w:val="single" w:color="auto" w:sz="4" w:space="0"/>
              <w:bottom w:val="single" w:color="auto" w:sz="4" w:space="0"/>
              <w:right w:val="single" w:color="auto" w:sz="4" w:space="0"/>
            </w:tcBorders>
            <w:vAlign w:val="center"/>
          </w:tcPr>
          <w:p w14:paraId="367CA5B5">
            <w:pPr>
              <w:spacing w:line="400" w:lineRule="exact"/>
              <w:rPr>
                <w:rFonts w:ascii="宋体" w:hAnsi="宋体"/>
                <w:color w:val="auto"/>
                <w:kern w:val="0"/>
                <w:sz w:val="24"/>
                <w:highlight w:val="none"/>
              </w:rPr>
            </w:pPr>
          </w:p>
        </w:tc>
      </w:tr>
      <w:tr w14:paraId="0BF9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385" w:type="dxa"/>
            <w:tcBorders>
              <w:top w:val="single" w:color="auto" w:sz="4" w:space="0"/>
              <w:left w:val="single" w:color="auto" w:sz="4" w:space="0"/>
              <w:bottom w:val="single" w:color="auto" w:sz="4" w:space="0"/>
              <w:right w:val="single" w:color="auto" w:sz="4" w:space="0"/>
            </w:tcBorders>
            <w:vAlign w:val="center"/>
          </w:tcPr>
          <w:p w14:paraId="4DFD7588">
            <w:pPr>
              <w:spacing w:line="340" w:lineRule="exact"/>
              <w:jc w:val="center"/>
              <w:rPr>
                <w:rFonts w:ascii="宋体" w:hAnsi="宋体"/>
                <w:b/>
                <w:color w:val="auto"/>
                <w:highlight w:val="none"/>
              </w:rPr>
            </w:pPr>
            <w:r>
              <w:rPr>
                <w:rFonts w:hint="eastAsia" w:ascii="宋体" w:hAnsi="宋体"/>
                <w:b/>
                <w:color w:val="auto"/>
                <w:highlight w:val="none"/>
              </w:rPr>
              <w:t>（七）质量标准及验收标准</w:t>
            </w:r>
          </w:p>
        </w:tc>
        <w:tc>
          <w:tcPr>
            <w:tcW w:w="7472" w:type="dxa"/>
            <w:tcBorders>
              <w:top w:val="single" w:color="auto" w:sz="4" w:space="0"/>
              <w:left w:val="single" w:color="auto" w:sz="4" w:space="0"/>
              <w:bottom w:val="single" w:color="auto" w:sz="4" w:space="0"/>
              <w:right w:val="single" w:color="auto" w:sz="4" w:space="0"/>
            </w:tcBorders>
            <w:vAlign w:val="center"/>
          </w:tcPr>
          <w:p w14:paraId="0F92C0BF">
            <w:pPr>
              <w:spacing w:line="400" w:lineRule="exact"/>
              <w:rPr>
                <w:rFonts w:ascii="宋体" w:hAnsi="宋体"/>
                <w:color w:val="auto"/>
                <w:kern w:val="0"/>
                <w:sz w:val="24"/>
                <w:highlight w:val="none"/>
              </w:rPr>
            </w:pPr>
          </w:p>
        </w:tc>
      </w:tr>
    </w:tbl>
    <w:p w14:paraId="6B86AEC7">
      <w:pPr>
        <w:pStyle w:val="9"/>
        <w:spacing w:after="0" w:line="360" w:lineRule="auto"/>
        <w:contextualSpacing/>
        <w:rPr>
          <w:rFonts w:ascii="宋体" w:hAnsi="宋体"/>
          <w:color w:val="auto"/>
          <w:kern w:val="0"/>
          <w:sz w:val="24"/>
          <w:szCs w:val="24"/>
          <w:highlight w:val="none"/>
        </w:rPr>
      </w:pPr>
    </w:p>
    <w:p w14:paraId="28EBED00">
      <w:pPr>
        <w:pStyle w:val="9"/>
        <w:spacing w:after="0" w:line="360" w:lineRule="auto"/>
        <w:contextualSpacing/>
        <w:rPr>
          <w:rFonts w:ascii="宋体"/>
          <w:color w:val="auto"/>
          <w:kern w:val="0"/>
          <w:sz w:val="24"/>
          <w:szCs w:val="24"/>
          <w:highlight w:val="none"/>
        </w:rPr>
      </w:pPr>
      <w:r>
        <w:rPr>
          <w:rFonts w:hint="eastAsia" w:ascii="宋体" w:hAnsi="宋体"/>
          <w:color w:val="auto"/>
          <w:kern w:val="0"/>
          <w:sz w:val="24"/>
          <w:szCs w:val="24"/>
          <w:highlight w:val="none"/>
        </w:rPr>
        <w:t>注：应对照谈判文件“第三章采购需求”中的商务要求逐条明确响应承诺。</w:t>
      </w:r>
    </w:p>
    <w:p w14:paraId="7DEFD145">
      <w:pPr>
        <w:spacing w:line="360" w:lineRule="auto"/>
        <w:ind w:right="-817" w:rightChars="-389"/>
        <w:contextualSpacing/>
        <w:jc w:val="center"/>
        <w:rPr>
          <w:rFonts w:ascii="宋体" w:cs="仿宋_GB2312"/>
          <w:color w:val="auto"/>
          <w:sz w:val="24"/>
          <w:highlight w:val="none"/>
          <w:u w:val="single"/>
        </w:rPr>
      </w:pPr>
      <w:r>
        <w:rPr>
          <w:rFonts w:hint="eastAsia" w:ascii="宋体" w:hAnsi="宋体" w:cs="仿宋_GB2312"/>
          <w:color w:val="auto"/>
          <w:sz w:val="24"/>
          <w:highlight w:val="none"/>
        </w:rPr>
        <w:t>法定代表人或者委托代理人（签字或者电子签名）：</w:t>
      </w:r>
    </w:p>
    <w:p w14:paraId="743C2DB6">
      <w:pPr>
        <w:spacing w:line="360" w:lineRule="auto"/>
        <w:ind w:right="-817" w:rightChars="-389" w:firstLine="2880" w:firstLineChars="12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43B2A3D1">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374356C7">
      <w:pPr>
        <w:spacing w:line="360" w:lineRule="auto"/>
        <w:ind w:right="-817" w:rightChars="-389" w:firstLine="2880" w:firstLineChars="1200"/>
        <w:contextualSpacing/>
        <w:rPr>
          <w:rFonts w:ascii="宋体" w:hAnsi="宋体" w:cs="仿宋_GB2312"/>
          <w:color w:val="auto"/>
          <w:sz w:val="24"/>
          <w:highlight w:val="none"/>
        </w:rPr>
      </w:pPr>
    </w:p>
    <w:p w14:paraId="2D64DF92">
      <w:pPr>
        <w:spacing w:line="360" w:lineRule="auto"/>
        <w:ind w:right="-817" w:rightChars="-389" w:firstLine="2880" w:firstLineChars="1200"/>
        <w:contextualSpacing/>
        <w:rPr>
          <w:rFonts w:ascii="宋体" w:hAnsi="宋体" w:cs="仿宋_GB2312"/>
          <w:color w:val="auto"/>
          <w:sz w:val="24"/>
          <w:highlight w:val="none"/>
        </w:rPr>
      </w:pPr>
    </w:p>
    <w:p w14:paraId="11E19E43">
      <w:pPr>
        <w:spacing w:line="360" w:lineRule="auto"/>
        <w:ind w:right="-817" w:rightChars="-389" w:firstLine="2880" w:firstLineChars="1200"/>
        <w:contextualSpacing/>
        <w:rPr>
          <w:rFonts w:ascii="宋体" w:hAnsi="宋体" w:cs="仿宋_GB2312"/>
          <w:color w:val="auto"/>
          <w:sz w:val="24"/>
          <w:highlight w:val="none"/>
        </w:rPr>
      </w:pPr>
    </w:p>
    <w:p w14:paraId="178128FD">
      <w:pPr>
        <w:widowControl/>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技术要求响应承诺书</w:t>
      </w:r>
    </w:p>
    <w:p w14:paraId="510E31AC">
      <w:pPr>
        <w:snapToGrid w:val="0"/>
        <w:spacing w:before="50" w:after="50" w:line="360" w:lineRule="auto"/>
        <w:rPr>
          <w:rFonts w:ascii="宋体" w:hAnsi="宋体" w:cs="仿宋_GB2312"/>
          <w:color w:val="auto"/>
          <w:sz w:val="24"/>
          <w:highlight w:val="none"/>
          <w:u w:val="single"/>
        </w:rPr>
      </w:pPr>
      <w:r>
        <w:rPr>
          <w:rFonts w:hint="eastAsia" w:ascii="宋体" w:hAnsi="宋体" w:cs="仿宋_GB2312"/>
          <w:color w:val="auto"/>
          <w:sz w:val="24"/>
          <w:highlight w:val="none"/>
        </w:rPr>
        <w:t>项目名称：</w:t>
      </w:r>
    </w:p>
    <w:p w14:paraId="2894836E">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项目编号：</w:t>
      </w:r>
    </w:p>
    <w:p w14:paraId="6482D4AC">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所竞分标：</w:t>
      </w:r>
    </w:p>
    <w:tbl>
      <w:tblPr>
        <w:tblStyle w:val="25"/>
        <w:tblW w:w="8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52"/>
        <w:gridCol w:w="6029"/>
      </w:tblGrid>
      <w:tr w14:paraId="3E4F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0" w:type="dxa"/>
            <w:vAlign w:val="center"/>
          </w:tcPr>
          <w:p w14:paraId="0A25AFCB">
            <w:pPr>
              <w:snapToGrid w:val="0"/>
              <w:spacing w:before="50" w:after="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项号</w:t>
            </w:r>
          </w:p>
        </w:tc>
        <w:tc>
          <w:tcPr>
            <w:tcW w:w="1252" w:type="dxa"/>
            <w:vAlign w:val="center"/>
          </w:tcPr>
          <w:p w14:paraId="62D5A209">
            <w:pPr>
              <w:snapToGrid w:val="0"/>
              <w:spacing w:before="50" w:after="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标的名称</w:t>
            </w:r>
          </w:p>
        </w:tc>
        <w:tc>
          <w:tcPr>
            <w:tcW w:w="6029" w:type="dxa"/>
            <w:vAlign w:val="center"/>
          </w:tcPr>
          <w:p w14:paraId="38B62250">
            <w:pPr>
              <w:snapToGrid w:val="0"/>
              <w:spacing w:before="50" w:after="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对照第三章采购需求中的“技术要求”，供应商所竞标的的详细技术响应承诺情况</w:t>
            </w:r>
          </w:p>
        </w:tc>
      </w:tr>
      <w:tr w14:paraId="1D9A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40" w:type="dxa"/>
            <w:vAlign w:val="center"/>
          </w:tcPr>
          <w:p w14:paraId="002D92EC">
            <w:pPr>
              <w:spacing w:line="600" w:lineRule="exact"/>
              <w:jc w:val="center"/>
              <w:rPr>
                <w:rFonts w:ascii="宋体" w:hAnsi="Courier New"/>
                <w:color w:val="auto"/>
                <w:kern w:val="0"/>
                <w:sz w:val="24"/>
                <w:highlight w:val="none"/>
              </w:rPr>
            </w:pPr>
            <w:r>
              <w:rPr>
                <w:rFonts w:hint="eastAsia" w:ascii="宋体" w:hAnsi="Courier New"/>
                <w:color w:val="auto"/>
                <w:kern w:val="0"/>
                <w:sz w:val="24"/>
                <w:highlight w:val="none"/>
              </w:rPr>
              <w:t>1</w:t>
            </w:r>
          </w:p>
        </w:tc>
        <w:tc>
          <w:tcPr>
            <w:tcW w:w="1252" w:type="dxa"/>
            <w:vAlign w:val="center"/>
          </w:tcPr>
          <w:p w14:paraId="6F6A0687">
            <w:pPr>
              <w:spacing w:line="600" w:lineRule="exact"/>
              <w:jc w:val="center"/>
              <w:rPr>
                <w:rFonts w:ascii="宋体" w:hAnsi="Courier New"/>
                <w:color w:val="auto"/>
                <w:kern w:val="0"/>
                <w:sz w:val="24"/>
                <w:highlight w:val="none"/>
              </w:rPr>
            </w:pPr>
          </w:p>
        </w:tc>
        <w:tc>
          <w:tcPr>
            <w:tcW w:w="6029" w:type="dxa"/>
            <w:vAlign w:val="center"/>
          </w:tcPr>
          <w:p w14:paraId="51895BFC">
            <w:pPr>
              <w:spacing w:line="600" w:lineRule="exact"/>
              <w:jc w:val="center"/>
              <w:rPr>
                <w:rFonts w:ascii="宋体" w:hAnsi="Courier New"/>
                <w:color w:val="auto"/>
                <w:kern w:val="0"/>
                <w:sz w:val="24"/>
                <w:highlight w:val="none"/>
              </w:rPr>
            </w:pPr>
          </w:p>
        </w:tc>
      </w:tr>
      <w:tr w14:paraId="349B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40" w:type="dxa"/>
            <w:vAlign w:val="center"/>
          </w:tcPr>
          <w:p w14:paraId="51E562DC">
            <w:pPr>
              <w:spacing w:line="600" w:lineRule="exact"/>
              <w:jc w:val="center"/>
              <w:rPr>
                <w:rFonts w:ascii="宋体" w:hAnsi="Courier New"/>
                <w:color w:val="auto"/>
                <w:kern w:val="0"/>
                <w:sz w:val="24"/>
                <w:highlight w:val="none"/>
              </w:rPr>
            </w:pPr>
            <w:r>
              <w:rPr>
                <w:rFonts w:hint="eastAsia" w:ascii="宋体" w:hAnsi="Courier New"/>
                <w:color w:val="auto"/>
                <w:kern w:val="0"/>
                <w:sz w:val="24"/>
                <w:highlight w:val="none"/>
              </w:rPr>
              <w:t>2</w:t>
            </w:r>
          </w:p>
        </w:tc>
        <w:tc>
          <w:tcPr>
            <w:tcW w:w="1252" w:type="dxa"/>
            <w:vAlign w:val="center"/>
          </w:tcPr>
          <w:p w14:paraId="680E78F2">
            <w:pPr>
              <w:spacing w:line="600" w:lineRule="exact"/>
              <w:jc w:val="center"/>
              <w:rPr>
                <w:rFonts w:ascii="宋体" w:hAnsi="Courier New"/>
                <w:color w:val="auto"/>
                <w:kern w:val="0"/>
                <w:sz w:val="24"/>
                <w:highlight w:val="none"/>
              </w:rPr>
            </w:pPr>
          </w:p>
        </w:tc>
        <w:tc>
          <w:tcPr>
            <w:tcW w:w="6029" w:type="dxa"/>
            <w:vAlign w:val="center"/>
          </w:tcPr>
          <w:p w14:paraId="0E42D2C1">
            <w:pPr>
              <w:spacing w:line="600" w:lineRule="exact"/>
              <w:jc w:val="center"/>
              <w:rPr>
                <w:rFonts w:ascii="宋体" w:hAnsi="Courier New"/>
                <w:color w:val="auto"/>
                <w:kern w:val="0"/>
                <w:sz w:val="24"/>
                <w:highlight w:val="none"/>
              </w:rPr>
            </w:pPr>
          </w:p>
        </w:tc>
      </w:tr>
      <w:tr w14:paraId="0B5D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40" w:type="dxa"/>
            <w:vAlign w:val="center"/>
          </w:tcPr>
          <w:p w14:paraId="5CD5D218">
            <w:pPr>
              <w:spacing w:line="600" w:lineRule="exact"/>
              <w:jc w:val="center"/>
              <w:rPr>
                <w:rFonts w:ascii="宋体" w:hAnsi="Courier New"/>
                <w:color w:val="auto"/>
                <w:kern w:val="0"/>
                <w:sz w:val="24"/>
                <w:highlight w:val="none"/>
              </w:rPr>
            </w:pPr>
            <w:r>
              <w:rPr>
                <w:rFonts w:hint="eastAsia" w:ascii="宋体" w:hAnsi="Courier New"/>
                <w:color w:val="auto"/>
                <w:kern w:val="0"/>
                <w:sz w:val="24"/>
                <w:highlight w:val="none"/>
              </w:rPr>
              <w:t>3</w:t>
            </w:r>
          </w:p>
        </w:tc>
        <w:tc>
          <w:tcPr>
            <w:tcW w:w="1252" w:type="dxa"/>
            <w:vAlign w:val="center"/>
          </w:tcPr>
          <w:p w14:paraId="11E9CED8">
            <w:pPr>
              <w:spacing w:line="600" w:lineRule="exact"/>
              <w:jc w:val="center"/>
              <w:rPr>
                <w:rFonts w:ascii="宋体" w:hAnsi="Courier New"/>
                <w:color w:val="auto"/>
                <w:kern w:val="0"/>
                <w:sz w:val="24"/>
                <w:highlight w:val="none"/>
              </w:rPr>
            </w:pPr>
          </w:p>
        </w:tc>
        <w:tc>
          <w:tcPr>
            <w:tcW w:w="6029" w:type="dxa"/>
            <w:vAlign w:val="center"/>
          </w:tcPr>
          <w:p w14:paraId="51B0EC11">
            <w:pPr>
              <w:spacing w:line="600" w:lineRule="exact"/>
              <w:jc w:val="center"/>
              <w:rPr>
                <w:rFonts w:ascii="宋体" w:hAnsi="Courier New"/>
                <w:color w:val="auto"/>
                <w:kern w:val="0"/>
                <w:sz w:val="24"/>
                <w:highlight w:val="none"/>
              </w:rPr>
            </w:pPr>
          </w:p>
        </w:tc>
      </w:tr>
      <w:tr w14:paraId="0EEC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40" w:type="dxa"/>
            <w:vAlign w:val="center"/>
          </w:tcPr>
          <w:p w14:paraId="0DA713DF">
            <w:pPr>
              <w:spacing w:line="600" w:lineRule="exact"/>
              <w:jc w:val="center"/>
              <w:rPr>
                <w:rFonts w:ascii="宋体" w:hAnsi="Courier New"/>
                <w:color w:val="auto"/>
                <w:kern w:val="0"/>
                <w:sz w:val="24"/>
                <w:highlight w:val="none"/>
              </w:rPr>
            </w:pPr>
            <w:r>
              <w:rPr>
                <w:rFonts w:ascii="宋体" w:hAnsi="Courier New"/>
                <w:color w:val="auto"/>
                <w:kern w:val="0"/>
                <w:sz w:val="24"/>
                <w:highlight w:val="none"/>
              </w:rPr>
              <w:t>…</w:t>
            </w:r>
          </w:p>
        </w:tc>
        <w:tc>
          <w:tcPr>
            <w:tcW w:w="1252" w:type="dxa"/>
            <w:vAlign w:val="center"/>
          </w:tcPr>
          <w:p w14:paraId="5DB20E7A">
            <w:pPr>
              <w:spacing w:line="600" w:lineRule="exact"/>
              <w:jc w:val="center"/>
              <w:rPr>
                <w:rFonts w:ascii="宋体" w:hAnsi="Courier New"/>
                <w:color w:val="auto"/>
                <w:kern w:val="0"/>
                <w:sz w:val="24"/>
                <w:highlight w:val="none"/>
              </w:rPr>
            </w:pPr>
          </w:p>
        </w:tc>
        <w:tc>
          <w:tcPr>
            <w:tcW w:w="6029" w:type="dxa"/>
            <w:vAlign w:val="center"/>
          </w:tcPr>
          <w:p w14:paraId="12E24E91">
            <w:pPr>
              <w:spacing w:line="600" w:lineRule="exact"/>
              <w:jc w:val="center"/>
              <w:rPr>
                <w:rFonts w:ascii="宋体" w:hAnsi="Courier New"/>
                <w:color w:val="auto"/>
                <w:kern w:val="0"/>
                <w:sz w:val="24"/>
                <w:highlight w:val="none"/>
              </w:rPr>
            </w:pPr>
          </w:p>
        </w:tc>
      </w:tr>
    </w:tbl>
    <w:p w14:paraId="2CBD9760">
      <w:pPr>
        <w:spacing w:line="360" w:lineRule="auto"/>
        <w:contextualSpacing/>
        <w:rPr>
          <w:rFonts w:ascii="宋体" w:hAnsi="宋体" w:cs="仿宋_GB2312"/>
          <w:color w:val="auto"/>
          <w:kern w:val="0"/>
          <w:sz w:val="24"/>
          <w:highlight w:val="none"/>
        </w:rPr>
      </w:pPr>
    </w:p>
    <w:p w14:paraId="00650908">
      <w:pPr>
        <w:spacing w:line="360" w:lineRule="auto"/>
        <w:ind w:right="-817" w:rightChars="-389"/>
        <w:contextualSpacing/>
        <w:rPr>
          <w:rFonts w:ascii="宋体" w:hAnsi="宋体" w:cs="仿宋_GB2312"/>
          <w:color w:val="auto"/>
          <w:sz w:val="24"/>
          <w:highlight w:val="none"/>
        </w:rPr>
      </w:pPr>
      <w:r>
        <w:rPr>
          <w:rFonts w:hint="eastAsia" w:ascii="宋体" w:hAnsi="宋体" w:cs="仿宋_GB2312"/>
          <w:color w:val="auto"/>
          <w:sz w:val="24"/>
          <w:highlight w:val="none"/>
        </w:rPr>
        <w:t>注：应对照谈判文件“第三章采购需求”中的技术要求逐条实质性响应，并附上“技术要求”中要求必须提供的相关有效证明材料。</w:t>
      </w:r>
    </w:p>
    <w:p w14:paraId="3F183280">
      <w:pPr>
        <w:spacing w:line="360" w:lineRule="auto"/>
        <w:ind w:right="-817" w:rightChars="-389"/>
        <w:contextualSpacing/>
        <w:jc w:val="center"/>
        <w:rPr>
          <w:rFonts w:ascii="宋体" w:hAnsi="宋体" w:cs="仿宋_GB2312"/>
          <w:color w:val="auto"/>
          <w:sz w:val="24"/>
          <w:highlight w:val="none"/>
        </w:rPr>
      </w:pPr>
    </w:p>
    <w:p w14:paraId="1E5633FE">
      <w:pPr>
        <w:spacing w:line="360" w:lineRule="auto"/>
        <w:ind w:right="-817" w:rightChars="-389"/>
        <w:contextualSpacing/>
        <w:jc w:val="center"/>
        <w:rPr>
          <w:rFonts w:asci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6C1550D1">
      <w:pPr>
        <w:spacing w:line="360" w:lineRule="auto"/>
        <w:ind w:right="-817" w:rightChars="-389" w:firstLine="2880" w:firstLineChars="12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08CA4EF3">
      <w:pPr>
        <w:spacing w:line="360" w:lineRule="auto"/>
        <w:ind w:right="-817" w:rightChars="-389" w:firstLine="2880" w:firstLineChars="1200"/>
        <w:contextualSpacing/>
        <w:rPr>
          <w:rFonts w:ascii="宋体" w:cs="仿宋_GB2312"/>
          <w:color w:val="auto"/>
          <w:sz w:val="24"/>
          <w:highlight w:val="none"/>
        </w:rPr>
      </w:pPr>
      <w:r>
        <w:rPr>
          <w:rFonts w:hint="eastAsia" w:ascii="宋体" w:hAnsi="宋体" w:cs="仿宋_GB2312"/>
          <w:color w:val="auto"/>
          <w:sz w:val="24"/>
          <w:highlight w:val="none"/>
        </w:rPr>
        <w:t>日期：  年  月  日</w:t>
      </w:r>
    </w:p>
    <w:p w14:paraId="54437ED7">
      <w:pPr>
        <w:spacing w:line="360" w:lineRule="auto"/>
        <w:ind w:right="-817" w:rightChars="-389" w:firstLine="2880" w:firstLineChars="1200"/>
        <w:contextualSpacing/>
        <w:rPr>
          <w:rFonts w:ascii="宋体" w:cs="仿宋_GB2312"/>
          <w:color w:val="auto"/>
          <w:sz w:val="24"/>
          <w:highlight w:val="none"/>
        </w:rPr>
      </w:pPr>
    </w:p>
    <w:p w14:paraId="3C65F1A5">
      <w:pPr>
        <w:spacing w:line="360" w:lineRule="auto"/>
        <w:ind w:right="-817" w:rightChars="-389" w:firstLine="2880" w:firstLineChars="1200"/>
        <w:contextualSpacing/>
        <w:rPr>
          <w:rFonts w:ascii="宋体" w:cs="仿宋_GB2312"/>
          <w:color w:val="auto"/>
          <w:sz w:val="24"/>
          <w:highlight w:val="none"/>
        </w:rPr>
      </w:pPr>
    </w:p>
    <w:p w14:paraId="2DF4243B">
      <w:pPr>
        <w:spacing w:line="360" w:lineRule="auto"/>
        <w:ind w:right="-817" w:rightChars="-389" w:firstLine="2880" w:firstLineChars="1200"/>
        <w:contextualSpacing/>
        <w:rPr>
          <w:rFonts w:ascii="宋体" w:cs="仿宋_GB2312"/>
          <w:color w:val="auto"/>
          <w:sz w:val="24"/>
          <w:highlight w:val="none"/>
        </w:rPr>
      </w:pPr>
    </w:p>
    <w:p w14:paraId="0A1EA462">
      <w:pPr>
        <w:spacing w:line="360" w:lineRule="auto"/>
        <w:ind w:right="-817" w:rightChars="-389" w:firstLine="2880" w:firstLineChars="1200"/>
        <w:contextualSpacing/>
        <w:rPr>
          <w:rFonts w:ascii="宋体" w:cs="仿宋_GB2312"/>
          <w:color w:val="auto"/>
          <w:sz w:val="24"/>
          <w:highlight w:val="none"/>
        </w:rPr>
      </w:pPr>
    </w:p>
    <w:p w14:paraId="5494F8E0">
      <w:pPr>
        <w:spacing w:line="360" w:lineRule="auto"/>
        <w:ind w:right="-817" w:rightChars="-389" w:firstLine="2880" w:firstLineChars="1200"/>
        <w:contextualSpacing/>
        <w:rPr>
          <w:rFonts w:ascii="宋体" w:cs="仿宋_GB2312"/>
          <w:color w:val="auto"/>
          <w:sz w:val="24"/>
          <w:highlight w:val="none"/>
        </w:rPr>
      </w:pPr>
    </w:p>
    <w:p w14:paraId="721C88D5">
      <w:pPr>
        <w:spacing w:line="360" w:lineRule="auto"/>
        <w:ind w:right="-817" w:rightChars="-389" w:firstLine="2880" w:firstLineChars="1200"/>
        <w:contextualSpacing/>
        <w:rPr>
          <w:rFonts w:ascii="宋体" w:cs="仿宋_GB2312"/>
          <w:color w:val="auto"/>
          <w:sz w:val="24"/>
          <w:highlight w:val="none"/>
        </w:rPr>
      </w:pPr>
    </w:p>
    <w:p w14:paraId="4BBA3CF4">
      <w:pPr>
        <w:spacing w:line="360" w:lineRule="auto"/>
        <w:ind w:right="-817" w:rightChars="-389" w:firstLine="2880" w:firstLineChars="1200"/>
        <w:contextualSpacing/>
        <w:rPr>
          <w:rFonts w:ascii="宋体" w:cs="仿宋_GB2312"/>
          <w:color w:val="auto"/>
          <w:sz w:val="24"/>
          <w:highlight w:val="none"/>
        </w:rPr>
      </w:pPr>
    </w:p>
    <w:p w14:paraId="42C133EF">
      <w:pPr>
        <w:spacing w:line="360" w:lineRule="auto"/>
        <w:ind w:right="-817" w:rightChars="-389" w:firstLine="2880" w:firstLineChars="1200"/>
        <w:contextualSpacing/>
        <w:rPr>
          <w:rFonts w:ascii="宋体" w:cs="仿宋_GB2312"/>
          <w:color w:val="auto"/>
          <w:sz w:val="24"/>
          <w:highlight w:val="none"/>
        </w:rPr>
      </w:pPr>
    </w:p>
    <w:p w14:paraId="08F222C2">
      <w:pPr>
        <w:spacing w:line="360" w:lineRule="auto"/>
        <w:ind w:right="-817" w:rightChars="-389" w:firstLine="2880" w:firstLineChars="1200"/>
        <w:contextualSpacing/>
        <w:rPr>
          <w:rFonts w:ascii="宋体" w:cs="仿宋_GB2312"/>
          <w:color w:val="auto"/>
          <w:sz w:val="24"/>
          <w:highlight w:val="none"/>
        </w:rPr>
      </w:pPr>
    </w:p>
    <w:p w14:paraId="4C2C122A">
      <w:pPr>
        <w:spacing w:line="360" w:lineRule="auto"/>
        <w:ind w:right="-817" w:rightChars="-389" w:firstLine="2880" w:firstLineChars="1200"/>
        <w:contextualSpacing/>
        <w:rPr>
          <w:rFonts w:ascii="宋体" w:cs="仿宋_GB2312"/>
          <w:color w:val="auto"/>
          <w:sz w:val="24"/>
          <w:highlight w:val="none"/>
        </w:rPr>
      </w:pPr>
    </w:p>
    <w:p w14:paraId="51C1BD1C">
      <w:pPr>
        <w:widowControl/>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关于分标1技术要求的承诺函</w:t>
      </w:r>
    </w:p>
    <w:p w14:paraId="1080AB93">
      <w:pPr>
        <w:widowControl/>
        <w:jc w:val="center"/>
        <w:rPr>
          <w:rFonts w:ascii="方正小标宋简体" w:hAnsi="方正小标宋简体" w:eastAsia="方正小标宋简体" w:cs="方正小标宋简体"/>
          <w:bCs/>
          <w:color w:val="auto"/>
          <w:sz w:val="44"/>
          <w:szCs w:val="44"/>
          <w:highlight w:val="none"/>
        </w:rPr>
      </w:pPr>
    </w:p>
    <w:p w14:paraId="3342D60F">
      <w:pPr>
        <w:topLinePunct/>
        <w:autoSpaceDE w:val="0"/>
        <w:autoSpaceDN w:val="0"/>
        <w:adjustRightInd w:val="0"/>
        <w:snapToGrid w:val="0"/>
        <w:spacing w:line="400" w:lineRule="exact"/>
        <w:rPr>
          <w:color w:val="auto"/>
          <w:sz w:val="28"/>
          <w:szCs w:val="28"/>
          <w:highlight w:val="none"/>
        </w:rPr>
      </w:pPr>
      <w:r>
        <w:rPr>
          <w:color w:val="auto"/>
          <w:sz w:val="28"/>
          <w:szCs w:val="28"/>
          <w:highlight w:val="none"/>
        </w:rPr>
        <w:t>致</w:t>
      </w:r>
      <w:r>
        <w:rPr>
          <w:rFonts w:hint="eastAsia"/>
          <w:color w:val="auto"/>
          <w:sz w:val="28"/>
          <w:szCs w:val="28"/>
          <w:highlight w:val="none"/>
        </w:rPr>
        <w:t>：桂林水文中心</w:t>
      </w:r>
      <w:r>
        <w:rPr>
          <w:color w:val="auto"/>
          <w:sz w:val="28"/>
          <w:szCs w:val="28"/>
          <w:highlight w:val="none"/>
        </w:rPr>
        <w:t>：</w:t>
      </w:r>
    </w:p>
    <w:p w14:paraId="261AC502">
      <w:pPr>
        <w:spacing w:line="500" w:lineRule="exact"/>
        <w:ind w:firstLine="560" w:firstLineChars="200"/>
        <w:rPr>
          <w:rFonts w:ascii="宋体" w:hAnsi="宋体" w:cs="宋体"/>
          <w:color w:val="auto"/>
          <w:sz w:val="28"/>
          <w:szCs w:val="28"/>
          <w:highlight w:val="none"/>
        </w:rPr>
      </w:pPr>
      <w:r>
        <w:rPr>
          <w:rFonts w:hint="eastAsia"/>
          <w:color w:val="auto"/>
          <w:sz w:val="28"/>
          <w:szCs w:val="28"/>
          <w:highlight w:val="none"/>
        </w:rPr>
        <w:t>我单位参与广西大江大河水文监测系统建设工程（2021-2025年）桂林部分（仪器设备）（项目编号：GXZC2025-J1-002494-YZLZ）的竞争性谈判采购活动，</w:t>
      </w:r>
      <w:r>
        <w:rPr>
          <w:rFonts w:hint="eastAsia" w:ascii="宋体" w:hAnsi="宋体" w:cs="宋体"/>
          <w:color w:val="auto"/>
          <w:kern w:val="0"/>
          <w:sz w:val="28"/>
          <w:szCs w:val="28"/>
          <w:highlight w:val="none"/>
        </w:rPr>
        <w:t>我方</w:t>
      </w:r>
      <w:r>
        <w:rPr>
          <w:rFonts w:hint="eastAsia"/>
          <w:color w:val="auto"/>
          <w:sz w:val="28"/>
          <w:szCs w:val="28"/>
          <w:highlight w:val="none"/>
        </w:rPr>
        <w:t>对分标1技术要求作如下承</w:t>
      </w:r>
      <w:r>
        <w:rPr>
          <w:rFonts w:hint="eastAsia" w:ascii="宋体" w:hAnsi="宋体" w:cs="宋体"/>
          <w:color w:val="auto"/>
          <w:sz w:val="28"/>
          <w:szCs w:val="28"/>
          <w:highlight w:val="none"/>
        </w:rPr>
        <w:t>诺：</w:t>
      </w:r>
    </w:p>
    <w:p w14:paraId="6C04A31C">
      <w:pPr>
        <w:spacing w:line="500" w:lineRule="exact"/>
        <w:ind w:firstLine="560" w:firstLineChars="200"/>
        <w:rPr>
          <w:rFonts w:ascii="宋体" w:hAnsi="宋体" w:cs="宋体"/>
          <w:color w:val="auto"/>
          <w:sz w:val="28"/>
          <w:szCs w:val="28"/>
          <w:highlight w:val="none"/>
        </w:rPr>
      </w:pPr>
      <w:r>
        <w:rPr>
          <w:rFonts w:hint="eastAsia" w:ascii="宋体" w:hAnsi="宋体" w:cs="宋体"/>
          <w:color w:val="auto"/>
          <w:kern w:val="0"/>
          <w:sz w:val="28"/>
          <w:szCs w:val="28"/>
          <w:highlight w:val="none"/>
        </w:rPr>
        <w:t>1.</w:t>
      </w:r>
      <w:r>
        <w:rPr>
          <w:rFonts w:hint="eastAsia"/>
          <w:color w:val="auto"/>
          <w:sz w:val="28"/>
          <w:szCs w:val="28"/>
          <w:highlight w:val="none"/>
        </w:rPr>
        <w:t>所竞分标1第</w:t>
      </w:r>
      <w:r>
        <w:rPr>
          <w:rFonts w:hint="eastAsia" w:ascii="宋体" w:hAnsi="宋体" w:cs="宋体"/>
          <w:color w:val="auto"/>
          <w:sz w:val="28"/>
          <w:szCs w:val="28"/>
          <w:highlight w:val="none"/>
        </w:rPr>
        <w:t>6项号标的“视频水位识别系统”</w:t>
      </w:r>
    </w:p>
    <w:p w14:paraId="08F24AA8">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（1）监控图像、水文数据必须能与桂林水文桂林智慧水安综合管理平台（http://10.45.224.30:8091）及水文遥测信息管理系统（http://10.45.224.24:8808/）互联互通，实现水文数据在市级平台的集中汇聚、统一展示。</w:t>
      </w:r>
    </w:p>
    <w:p w14:paraId="5226CEA5">
      <w:pPr>
        <w:spacing w:line="500" w:lineRule="exact"/>
        <w:ind w:firstLine="560" w:firstLineChars="200"/>
        <w:rPr>
          <w:color w:val="auto"/>
          <w:sz w:val="28"/>
          <w:szCs w:val="28"/>
          <w:highlight w:val="none"/>
        </w:rPr>
      </w:pPr>
      <w:r>
        <w:rPr>
          <w:rFonts w:hint="eastAsia" w:ascii="宋体" w:hAnsi="宋体" w:cs="宋体"/>
          <w:color w:val="auto"/>
          <w:sz w:val="28"/>
          <w:szCs w:val="28"/>
          <w:highlight w:val="none"/>
        </w:rPr>
        <w:t>（2）提供</w:t>
      </w:r>
      <w:r>
        <w:rPr>
          <w:rFonts w:hint="eastAsia" w:ascii="宋体" w:hAnsi="宋体" w:cs="宋体"/>
          <w:color w:val="auto"/>
          <w:kern w:val="0"/>
          <w:sz w:val="28"/>
          <w:szCs w:val="28"/>
          <w:highlight w:val="none"/>
        </w:rPr>
        <w:t>标配</w:t>
      </w:r>
      <w:r>
        <w:rPr>
          <w:rFonts w:hint="eastAsia" w:ascii="宋体" w:hAnsi="宋体" w:cs="宋体"/>
          <w:bCs/>
          <w:color w:val="auto"/>
          <w:kern w:val="0"/>
          <w:sz w:val="28"/>
          <w:szCs w:val="28"/>
          <w:highlight w:val="none"/>
          <w:u w:val="single"/>
        </w:rPr>
        <w:t xml:space="preserve">     </w:t>
      </w:r>
      <w:r>
        <w:rPr>
          <w:rFonts w:hint="eastAsia" w:ascii="宋体" w:hAnsi="宋体" w:cs="宋体"/>
          <w:color w:val="auto"/>
          <w:kern w:val="0"/>
          <w:sz w:val="28"/>
          <w:szCs w:val="28"/>
          <w:highlight w:val="none"/>
        </w:rPr>
        <w:t>G通信卡，包含每月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G流量及</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年通信费。</w:t>
      </w:r>
    </w:p>
    <w:p w14:paraId="35D271F3">
      <w:pPr>
        <w:spacing w:line="5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r>
        <w:rPr>
          <w:rFonts w:hint="eastAsia" w:ascii="宋体" w:hAnsi="宋体" w:cs="宋体"/>
          <w:color w:val="auto"/>
          <w:sz w:val="28"/>
          <w:szCs w:val="28"/>
          <w:highlight w:val="none"/>
        </w:rPr>
        <w:t>第10项号标的“视频监控系统球型摄像机”</w:t>
      </w:r>
    </w:p>
    <w:p w14:paraId="656A413B">
      <w:pPr>
        <w:spacing w:line="50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（1）承诺监控图像、水文数据必须能与桂林水文桂林智慧水安综合管理平台（http://10.45.224.30:8091）进行互联互通，实现水文数据在市级平台的集中汇聚、统一展示；</w:t>
      </w:r>
    </w:p>
    <w:p w14:paraId="385558FD">
      <w:pPr>
        <w:spacing w:line="500" w:lineRule="exact"/>
        <w:ind w:firstLine="560" w:firstLineChars="200"/>
        <w:rPr>
          <w:color w:val="auto"/>
          <w:sz w:val="28"/>
          <w:szCs w:val="28"/>
          <w:highlight w:val="none"/>
        </w:rPr>
      </w:pPr>
      <w:r>
        <w:rPr>
          <w:rFonts w:hint="eastAsia" w:ascii="宋体" w:hAnsi="宋体" w:cs="宋体"/>
          <w:color w:val="auto"/>
          <w:sz w:val="28"/>
          <w:szCs w:val="28"/>
          <w:highlight w:val="none"/>
        </w:rPr>
        <w:t>（2）提供</w:t>
      </w:r>
      <w:r>
        <w:rPr>
          <w:rFonts w:hint="eastAsia" w:ascii="宋体" w:hAnsi="宋体" w:cs="宋体"/>
          <w:color w:val="auto"/>
          <w:kern w:val="0"/>
          <w:sz w:val="28"/>
          <w:szCs w:val="28"/>
          <w:highlight w:val="none"/>
        </w:rPr>
        <w:t>标配</w:t>
      </w:r>
      <w:r>
        <w:rPr>
          <w:rFonts w:hint="eastAsia" w:ascii="宋体" w:hAnsi="宋体" w:cs="宋体"/>
          <w:bCs/>
          <w:color w:val="auto"/>
          <w:kern w:val="0"/>
          <w:sz w:val="28"/>
          <w:szCs w:val="28"/>
          <w:highlight w:val="none"/>
          <w:u w:val="single"/>
        </w:rPr>
        <w:t xml:space="preserve">     </w:t>
      </w:r>
      <w:r>
        <w:rPr>
          <w:rFonts w:hint="eastAsia" w:ascii="宋体" w:hAnsi="宋体" w:cs="宋体"/>
          <w:color w:val="auto"/>
          <w:kern w:val="0"/>
          <w:sz w:val="28"/>
          <w:szCs w:val="28"/>
          <w:highlight w:val="none"/>
        </w:rPr>
        <w:t>G通信卡，包含每月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G流量及</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年通信费。</w:t>
      </w:r>
    </w:p>
    <w:p w14:paraId="3D43B29C">
      <w:pPr>
        <w:spacing w:line="360" w:lineRule="auto"/>
        <w:ind w:right="-817" w:rightChars="-389" w:firstLine="560" w:firstLineChars="200"/>
        <w:contextualSpacing/>
        <w:jc w:val="left"/>
        <w:rPr>
          <w:color w:val="auto"/>
          <w:sz w:val="28"/>
          <w:szCs w:val="28"/>
          <w:highlight w:val="none"/>
        </w:rPr>
      </w:pPr>
    </w:p>
    <w:p w14:paraId="6927D633">
      <w:pPr>
        <w:spacing w:line="360" w:lineRule="auto"/>
        <w:ind w:right="-817" w:rightChars="-389" w:firstLine="560" w:firstLineChars="200"/>
        <w:contextualSpacing/>
        <w:jc w:val="left"/>
        <w:rPr>
          <w:rFonts w:ascii="宋体" w:cs="仿宋_GB2312"/>
          <w:color w:val="auto"/>
          <w:sz w:val="24"/>
          <w:highlight w:val="none"/>
        </w:rPr>
      </w:pPr>
      <w:r>
        <w:rPr>
          <w:rFonts w:hint="eastAsia"/>
          <w:color w:val="auto"/>
          <w:sz w:val="28"/>
          <w:szCs w:val="28"/>
          <w:highlight w:val="none"/>
        </w:rPr>
        <w:t>特此承诺，并就所承诺的内容承担相应法律责任。</w:t>
      </w:r>
    </w:p>
    <w:p w14:paraId="38513FF7">
      <w:pPr>
        <w:spacing w:line="360" w:lineRule="auto"/>
        <w:ind w:right="-817" w:rightChars="-389"/>
        <w:contextualSpacing/>
        <w:jc w:val="center"/>
        <w:rPr>
          <w:rFonts w:asci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200FAD9D">
      <w:pPr>
        <w:spacing w:line="360" w:lineRule="auto"/>
        <w:ind w:right="-817" w:rightChars="-389" w:firstLine="2880" w:firstLineChars="12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1484336F">
      <w:pPr>
        <w:spacing w:line="360" w:lineRule="auto"/>
        <w:ind w:right="-817" w:rightChars="-389" w:firstLine="2880" w:firstLineChars="1200"/>
        <w:contextualSpacing/>
        <w:rPr>
          <w:rFonts w:ascii="宋体" w:cs="仿宋_GB2312"/>
          <w:color w:val="auto"/>
          <w:sz w:val="24"/>
          <w:highlight w:val="none"/>
        </w:rPr>
      </w:pPr>
      <w:r>
        <w:rPr>
          <w:rFonts w:hint="eastAsia" w:ascii="宋体" w:hAnsi="宋体" w:cs="仿宋_GB2312"/>
          <w:color w:val="auto"/>
          <w:sz w:val="24"/>
          <w:highlight w:val="none"/>
        </w:rPr>
        <w:t>日期：  年  月  日</w:t>
      </w:r>
    </w:p>
    <w:p w14:paraId="2EB5E32C">
      <w:pPr>
        <w:spacing w:line="360" w:lineRule="auto"/>
        <w:ind w:right="-817" w:rightChars="-389" w:firstLine="2880" w:firstLineChars="1200"/>
        <w:contextualSpacing/>
        <w:rPr>
          <w:rFonts w:ascii="宋体" w:cs="仿宋_GB2312"/>
          <w:color w:val="auto"/>
          <w:sz w:val="24"/>
          <w:highlight w:val="none"/>
        </w:rPr>
      </w:pPr>
    </w:p>
    <w:p w14:paraId="12D8CB28">
      <w:pPr>
        <w:spacing w:line="360" w:lineRule="auto"/>
        <w:ind w:right="-817" w:rightChars="-389" w:firstLine="2880" w:firstLineChars="1200"/>
        <w:contextualSpacing/>
        <w:rPr>
          <w:rFonts w:ascii="宋体" w:cs="仿宋_GB2312"/>
          <w:color w:val="auto"/>
          <w:sz w:val="24"/>
          <w:highlight w:val="none"/>
        </w:rPr>
      </w:pPr>
    </w:p>
    <w:p w14:paraId="21F66B8A">
      <w:pPr>
        <w:spacing w:line="360" w:lineRule="auto"/>
        <w:ind w:right="-817" w:rightChars="-389" w:firstLine="2880" w:firstLineChars="1200"/>
        <w:contextualSpacing/>
        <w:rPr>
          <w:rFonts w:ascii="宋体" w:cs="仿宋_GB2312"/>
          <w:color w:val="auto"/>
          <w:sz w:val="24"/>
          <w:highlight w:val="none"/>
        </w:rPr>
      </w:pPr>
    </w:p>
    <w:p w14:paraId="058854D8">
      <w:pPr>
        <w:spacing w:line="360" w:lineRule="auto"/>
        <w:ind w:right="-817" w:rightChars="-389" w:firstLine="2880" w:firstLineChars="1200"/>
        <w:contextualSpacing/>
        <w:rPr>
          <w:rFonts w:ascii="宋体" w:cs="仿宋_GB2312"/>
          <w:color w:val="auto"/>
          <w:sz w:val="24"/>
          <w:highlight w:val="none"/>
        </w:rPr>
      </w:pPr>
    </w:p>
    <w:p w14:paraId="5A2B8F6D">
      <w:pPr>
        <w:spacing w:line="360" w:lineRule="auto"/>
        <w:ind w:right="-817" w:rightChars="-389" w:firstLine="2880" w:firstLineChars="1200"/>
        <w:contextualSpacing/>
        <w:rPr>
          <w:rFonts w:ascii="宋体" w:cs="仿宋_GB2312"/>
          <w:color w:val="auto"/>
          <w:sz w:val="24"/>
          <w:highlight w:val="none"/>
        </w:rPr>
      </w:pPr>
    </w:p>
    <w:p w14:paraId="542A21D6">
      <w:pPr>
        <w:spacing w:line="360" w:lineRule="auto"/>
        <w:ind w:right="-817" w:rightChars="-389" w:firstLine="2880" w:firstLineChars="1200"/>
        <w:contextualSpacing/>
        <w:rPr>
          <w:rFonts w:ascii="宋体" w:cs="仿宋_GB2312"/>
          <w:color w:val="auto"/>
          <w:sz w:val="24"/>
          <w:highlight w:val="none"/>
        </w:rPr>
      </w:pPr>
    </w:p>
    <w:p w14:paraId="6F60F564">
      <w:pPr>
        <w:spacing w:line="360" w:lineRule="auto"/>
        <w:ind w:right="-817" w:rightChars="-389" w:firstLine="2880" w:firstLineChars="1200"/>
        <w:contextualSpacing/>
        <w:rPr>
          <w:rFonts w:ascii="宋体" w:cs="仿宋_GB2312"/>
          <w:color w:val="auto"/>
          <w:sz w:val="24"/>
          <w:highlight w:val="none"/>
        </w:rPr>
      </w:pPr>
    </w:p>
    <w:p w14:paraId="75B2F7AF">
      <w:pPr>
        <w:adjustRightInd w:val="0"/>
        <w:snapToGrid w:val="0"/>
        <w:spacing w:line="520" w:lineRule="exact"/>
        <w:jc w:val="center"/>
        <w:rPr>
          <w:rFonts w:asci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货物配置清单</w:t>
      </w:r>
    </w:p>
    <w:p w14:paraId="6DD4E63D">
      <w:pPr>
        <w:spacing w:line="300" w:lineRule="auto"/>
        <w:rPr>
          <w:rFonts w:ascii="宋体"/>
          <w:color w:val="auto"/>
          <w:szCs w:val="21"/>
          <w:highlight w:val="none"/>
        </w:rPr>
      </w:pPr>
    </w:p>
    <w:p w14:paraId="1B91A122">
      <w:pPr>
        <w:spacing w:line="360" w:lineRule="auto"/>
        <w:rPr>
          <w:rFonts w:ascii="宋体" w:cs="仿宋_GB2312"/>
          <w:color w:val="auto"/>
          <w:sz w:val="24"/>
          <w:highlight w:val="none"/>
        </w:rPr>
      </w:pPr>
      <w:r>
        <w:rPr>
          <w:rFonts w:hint="eastAsia" w:ascii="宋体" w:hAnsi="宋体" w:cs="仿宋_GB2312"/>
          <w:color w:val="auto"/>
          <w:sz w:val="24"/>
          <w:highlight w:val="none"/>
        </w:rPr>
        <w:t>项目编号：</w:t>
      </w:r>
    </w:p>
    <w:p w14:paraId="3CDF4947">
      <w:pPr>
        <w:spacing w:line="360" w:lineRule="auto"/>
        <w:rPr>
          <w:rFonts w:ascii="宋体" w:hAnsi="宋体" w:cs="仿宋_GB2312"/>
          <w:color w:val="auto"/>
          <w:sz w:val="24"/>
          <w:highlight w:val="none"/>
        </w:rPr>
      </w:pPr>
      <w:r>
        <w:rPr>
          <w:rFonts w:hint="eastAsia" w:ascii="宋体" w:hAnsi="宋体" w:cs="仿宋_GB2312"/>
          <w:color w:val="auto"/>
          <w:sz w:val="24"/>
          <w:highlight w:val="none"/>
        </w:rPr>
        <w:t>项目名称：</w:t>
      </w:r>
    </w:p>
    <w:p w14:paraId="5D0AFDE9">
      <w:pPr>
        <w:spacing w:line="360" w:lineRule="auto"/>
        <w:rPr>
          <w:rFonts w:ascii="宋体" w:hAnsi="宋体" w:cs="仿宋_GB2312"/>
          <w:color w:val="auto"/>
          <w:sz w:val="24"/>
          <w:highlight w:val="none"/>
        </w:rPr>
      </w:pPr>
      <w:r>
        <w:rPr>
          <w:rFonts w:hint="eastAsia" w:ascii="宋体" w:hAnsi="宋体" w:cs="仿宋_GB2312"/>
          <w:color w:val="auto"/>
          <w:sz w:val="24"/>
          <w:highlight w:val="none"/>
        </w:rPr>
        <w:t>所竞分标：</w:t>
      </w:r>
    </w:p>
    <w:tbl>
      <w:tblPr>
        <w:tblStyle w:val="25"/>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775"/>
        <w:gridCol w:w="834"/>
        <w:gridCol w:w="643"/>
        <w:gridCol w:w="1555"/>
        <w:gridCol w:w="1083"/>
        <w:gridCol w:w="641"/>
        <w:gridCol w:w="1302"/>
      </w:tblGrid>
      <w:tr w14:paraId="6E4FC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87" w:type="dxa"/>
            <w:tcBorders>
              <w:top w:val="single" w:color="auto" w:sz="4" w:space="0"/>
              <w:bottom w:val="single" w:color="auto" w:sz="4" w:space="0"/>
              <w:right w:val="single" w:color="auto" w:sz="4" w:space="0"/>
            </w:tcBorders>
            <w:vAlign w:val="center"/>
          </w:tcPr>
          <w:p w14:paraId="09BBBAAD">
            <w:pPr>
              <w:snapToGrid w:val="0"/>
              <w:spacing w:before="50" w:after="50"/>
              <w:jc w:val="center"/>
              <w:rPr>
                <w:rFonts w:ascii="宋体"/>
                <w:color w:val="auto"/>
                <w:sz w:val="24"/>
                <w:highlight w:val="none"/>
              </w:rPr>
            </w:pPr>
            <w:r>
              <w:rPr>
                <w:rFonts w:hint="eastAsia" w:ascii="宋体"/>
                <w:color w:val="auto"/>
                <w:sz w:val="24"/>
                <w:highlight w:val="none"/>
              </w:rPr>
              <w:t>项号</w:t>
            </w:r>
          </w:p>
        </w:tc>
        <w:tc>
          <w:tcPr>
            <w:tcW w:w="1775" w:type="dxa"/>
            <w:tcBorders>
              <w:top w:val="single" w:color="auto" w:sz="4" w:space="0"/>
              <w:bottom w:val="single" w:color="auto" w:sz="4" w:space="0"/>
              <w:right w:val="single" w:color="auto" w:sz="4" w:space="0"/>
            </w:tcBorders>
            <w:vAlign w:val="center"/>
          </w:tcPr>
          <w:p w14:paraId="01F528F6">
            <w:pPr>
              <w:snapToGrid w:val="0"/>
              <w:spacing w:before="50" w:after="50"/>
              <w:jc w:val="center"/>
              <w:rPr>
                <w:rFonts w:ascii="宋体" w:hAnsi="宋体"/>
                <w:color w:val="auto"/>
                <w:sz w:val="24"/>
                <w:highlight w:val="none"/>
              </w:rPr>
            </w:pPr>
            <w:r>
              <w:rPr>
                <w:rFonts w:hint="eastAsia" w:ascii="宋体" w:hAnsi="宋体"/>
                <w:color w:val="auto"/>
                <w:sz w:val="24"/>
                <w:highlight w:val="none"/>
              </w:rPr>
              <w:t>标的的名称</w:t>
            </w:r>
          </w:p>
        </w:tc>
        <w:tc>
          <w:tcPr>
            <w:tcW w:w="834" w:type="dxa"/>
            <w:tcBorders>
              <w:top w:val="single" w:color="auto" w:sz="4" w:space="0"/>
              <w:left w:val="single" w:color="auto" w:sz="4" w:space="0"/>
              <w:bottom w:val="single" w:color="auto" w:sz="4" w:space="0"/>
              <w:right w:val="single" w:color="auto" w:sz="4" w:space="0"/>
            </w:tcBorders>
            <w:vAlign w:val="center"/>
          </w:tcPr>
          <w:p w14:paraId="35311BFE">
            <w:pPr>
              <w:snapToGrid w:val="0"/>
              <w:spacing w:before="50" w:after="50"/>
              <w:jc w:val="center"/>
              <w:rPr>
                <w:rFonts w:ascii="宋体"/>
                <w:color w:val="auto"/>
                <w:sz w:val="24"/>
                <w:highlight w:val="none"/>
              </w:rPr>
            </w:pPr>
            <w:r>
              <w:rPr>
                <w:rFonts w:hint="eastAsia" w:ascii="宋体" w:hAnsi="宋体"/>
                <w:color w:val="auto"/>
                <w:sz w:val="24"/>
                <w:highlight w:val="none"/>
              </w:rPr>
              <w:t>数量及单位</w:t>
            </w:r>
          </w:p>
        </w:tc>
        <w:tc>
          <w:tcPr>
            <w:tcW w:w="643" w:type="dxa"/>
            <w:tcBorders>
              <w:top w:val="single" w:color="auto" w:sz="4" w:space="0"/>
              <w:left w:val="single" w:color="auto" w:sz="4" w:space="0"/>
              <w:bottom w:val="single" w:color="auto" w:sz="4" w:space="0"/>
              <w:right w:val="single" w:color="auto" w:sz="4" w:space="0"/>
            </w:tcBorders>
            <w:vAlign w:val="center"/>
          </w:tcPr>
          <w:p w14:paraId="380BA2B6">
            <w:pPr>
              <w:snapToGrid w:val="0"/>
              <w:spacing w:before="50" w:after="50"/>
              <w:jc w:val="center"/>
              <w:rPr>
                <w:rFonts w:ascii="宋体"/>
                <w:color w:val="auto"/>
                <w:sz w:val="24"/>
                <w:highlight w:val="none"/>
              </w:rPr>
            </w:pPr>
            <w:r>
              <w:rPr>
                <w:rFonts w:hint="eastAsia" w:ascii="宋体" w:hAnsi="宋体"/>
                <w:color w:val="auto"/>
                <w:sz w:val="24"/>
                <w:highlight w:val="none"/>
              </w:rPr>
              <w:t>品牌</w:t>
            </w:r>
          </w:p>
        </w:tc>
        <w:tc>
          <w:tcPr>
            <w:tcW w:w="1555" w:type="dxa"/>
            <w:tcBorders>
              <w:top w:val="single" w:color="auto" w:sz="4" w:space="0"/>
              <w:left w:val="single" w:color="auto" w:sz="4" w:space="0"/>
              <w:bottom w:val="single" w:color="auto" w:sz="4" w:space="0"/>
              <w:right w:val="single" w:color="auto" w:sz="4" w:space="0"/>
            </w:tcBorders>
            <w:vAlign w:val="center"/>
          </w:tcPr>
          <w:p w14:paraId="316DFCE1">
            <w:pPr>
              <w:snapToGrid w:val="0"/>
              <w:spacing w:before="50" w:after="50"/>
              <w:jc w:val="center"/>
              <w:rPr>
                <w:rFonts w:ascii="宋体"/>
                <w:color w:val="auto"/>
                <w:sz w:val="24"/>
                <w:highlight w:val="none"/>
              </w:rPr>
            </w:pPr>
            <w:r>
              <w:rPr>
                <w:rFonts w:hint="eastAsia" w:ascii="宋体" w:hAnsi="宋体"/>
                <w:color w:val="auto"/>
                <w:sz w:val="24"/>
                <w:highlight w:val="none"/>
              </w:rPr>
              <w:t>规格型号</w:t>
            </w:r>
          </w:p>
        </w:tc>
        <w:tc>
          <w:tcPr>
            <w:tcW w:w="1083" w:type="dxa"/>
            <w:tcBorders>
              <w:top w:val="single" w:color="auto" w:sz="4" w:space="0"/>
              <w:left w:val="single" w:color="auto" w:sz="4" w:space="0"/>
              <w:bottom w:val="single" w:color="auto" w:sz="4" w:space="0"/>
              <w:right w:val="single" w:color="auto" w:sz="4" w:space="0"/>
            </w:tcBorders>
            <w:vAlign w:val="center"/>
          </w:tcPr>
          <w:p w14:paraId="638B18A1">
            <w:pPr>
              <w:snapToGrid w:val="0"/>
              <w:spacing w:before="50" w:after="50"/>
              <w:jc w:val="center"/>
              <w:rPr>
                <w:rFonts w:ascii="宋体"/>
                <w:color w:val="auto"/>
                <w:sz w:val="24"/>
                <w:highlight w:val="none"/>
              </w:rPr>
            </w:pPr>
            <w:r>
              <w:rPr>
                <w:rFonts w:hint="eastAsia" w:ascii="宋体" w:hAnsi="宋体"/>
                <w:color w:val="auto"/>
                <w:sz w:val="24"/>
                <w:highlight w:val="none"/>
              </w:rPr>
              <w:t>生产厂家</w:t>
            </w:r>
          </w:p>
        </w:tc>
        <w:tc>
          <w:tcPr>
            <w:tcW w:w="641" w:type="dxa"/>
            <w:tcBorders>
              <w:top w:val="single" w:color="auto" w:sz="4" w:space="0"/>
              <w:left w:val="single" w:color="auto" w:sz="4" w:space="0"/>
              <w:bottom w:val="single" w:color="auto" w:sz="4" w:space="0"/>
              <w:right w:val="single" w:color="auto" w:sz="4" w:space="0"/>
            </w:tcBorders>
            <w:vAlign w:val="center"/>
          </w:tcPr>
          <w:p w14:paraId="6A3CD0F9">
            <w:pPr>
              <w:snapToGrid w:val="0"/>
              <w:spacing w:before="50" w:after="50"/>
              <w:jc w:val="center"/>
              <w:rPr>
                <w:rFonts w:ascii="宋体"/>
                <w:color w:val="auto"/>
                <w:sz w:val="24"/>
                <w:highlight w:val="none"/>
              </w:rPr>
            </w:pPr>
            <w:r>
              <w:rPr>
                <w:rFonts w:hint="eastAsia" w:ascii="宋体" w:hAnsi="宋体"/>
                <w:color w:val="auto"/>
                <w:sz w:val="24"/>
                <w:highlight w:val="none"/>
              </w:rPr>
              <w:t>原产地</w:t>
            </w:r>
          </w:p>
        </w:tc>
        <w:tc>
          <w:tcPr>
            <w:tcW w:w="1302" w:type="dxa"/>
            <w:tcBorders>
              <w:top w:val="single" w:color="auto" w:sz="4" w:space="0"/>
              <w:left w:val="single" w:color="auto" w:sz="4" w:space="0"/>
              <w:bottom w:val="single" w:color="auto" w:sz="4" w:space="0"/>
            </w:tcBorders>
            <w:vAlign w:val="center"/>
          </w:tcPr>
          <w:p w14:paraId="3A29BD4B">
            <w:pPr>
              <w:snapToGrid w:val="0"/>
              <w:spacing w:before="50" w:after="50"/>
              <w:jc w:val="center"/>
              <w:rPr>
                <w:rFonts w:ascii="宋体"/>
                <w:color w:val="auto"/>
                <w:sz w:val="24"/>
                <w:highlight w:val="none"/>
              </w:rPr>
            </w:pPr>
            <w:r>
              <w:rPr>
                <w:rFonts w:hint="eastAsia" w:ascii="宋体" w:hAnsi="宋体"/>
                <w:color w:val="auto"/>
                <w:sz w:val="24"/>
                <w:highlight w:val="none"/>
              </w:rPr>
              <w:t>参数性能、指标及配置</w:t>
            </w:r>
          </w:p>
        </w:tc>
      </w:tr>
      <w:tr w14:paraId="366D4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87" w:type="dxa"/>
            <w:tcBorders>
              <w:top w:val="single" w:color="auto" w:sz="4" w:space="0"/>
              <w:bottom w:val="single" w:color="auto" w:sz="4" w:space="0"/>
              <w:right w:val="single" w:color="auto" w:sz="4" w:space="0"/>
            </w:tcBorders>
            <w:vAlign w:val="center"/>
          </w:tcPr>
          <w:p w14:paraId="04D67A2D">
            <w:pPr>
              <w:snapToGrid w:val="0"/>
              <w:spacing w:before="50" w:after="50"/>
              <w:jc w:val="center"/>
              <w:rPr>
                <w:rFonts w:ascii="宋体"/>
                <w:color w:val="auto"/>
                <w:sz w:val="24"/>
                <w:highlight w:val="none"/>
              </w:rPr>
            </w:pPr>
            <w:r>
              <w:rPr>
                <w:rFonts w:hint="eastAsia" w:ascii="宋体"/>
                <w:color w:val="auto"/>
                <w:sz w:val="24"/>
                <w:highlight w:val="none"/>
              </w:rPr>
              <w:t>1</w:t>
            </w:r>
          </w:p>
        </w:tc>
        <w:tc>
          <w:tcPr>
            <w:tcW w:w="1775" w:type="dxa"/>
            <w:tcBorders>
              <w:top w:val="single" w:color="auto" w:sz="4" w:space="0"/>
              <w:bottom w:val="single" w:color="auto" w:sz="4" w:space="0"/>
              <w:right w:val="single" w:color="auto" w:sz="4" w:space="0"/>
            </w:tcBorders>
            <w:vAlign w:val="center"/>
          </w:tcPr>
          <w:p w14:paraId="3319C745">
            <w:pPr>
              <w:snapToGrid w:val="0"/>
              <w:spacing w:before="50" w:after="50"/>
              <w:jc w:val="center"/>
              <w:rPr>
                <w:rFonts w:ascii="宋体"/>
                <w:color w:val="auto"/>
                <w:sz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7EFE815F">
            <w:pPr>
              <w:snapToGrid w:val="0"/>
              <w:spacing w:before="50" w:after="50"/>
              <w:jc w:val="center"/>
              <w:rPr>
                <w:rFonts w:ascii="宋体"/>
                <w:color w:val="auto"/>
                <w:sz w:val="24"/>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04B61B84">
            <w:pPr>
              <w:snapToGrid w:val="0"/>
              <w:spacing w:before="50" w:after="50"/>
              <w:jc w:val="center"/>
              <w:rPr>
                <w:rFonts w:ascii="宋体"/>
                <w:color w:val="auto"/>
                <w:sz w:val="24"/>
                <w:highlight w:val="none"/>
              </w:rPr>
            </w:pPr>
          </w:p>
        </w:tc>
        <w:tc>
          <w:tcPr>
            <w:tcW w:w="1555" w:type="dxa"/>
            <w:tcBorders>
              <w:top w:val="single" w:color="auto" w:sz="4" w:space="0"/>
              <w:left w:val="single" w:color="auto" w:sz="4" w:space="0"/>
              <w:bottom w:val="single" w:color="auto" w:sz="4" w:space="0"/>
              <w:right w:val="single" w:color="auto" w:sz="4" w:space="0"/>
            </w:tcBorders>
            <w:vAlign w:val="center"/>
          </w:tcPr>
          <w:p w14:paraId="594A501F">
            <w:pPr>
              <w:snapToGrid w:val="0"/>
              <w:spacing w:before="50" w:after="50"/>
              <w:jc w:val="center"/>
              <w:rPr>
                <w:rFonts w:ascii="宋体"/>
                <w:color w:val="auto"/>
                <w:sz w:val="24"/>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12F0A5CF">
            <w:pPr>
              <w:snapToGrid w:val="0"/>
              <w:spacing w:before="50" w:after="50"/>
              <w:jc w:val="center"/>
              <w:rPr>
                <w:rFonts w:ascii="宋体"/>
                <w:color w:val="auto"/>
                <w:sz w:val="24"/>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3515A2EF">
            <w:pPr>
              <w:snapToGrid w:val="0"/>
              <w:spacing w:before="50" w:after="50"/>
              <w:jc w:val="center"/>
              <w:rPr>
                <w:rFonts w:ascii="宋体"/>
                <w:color w:val="auto"/>
                <w:sz w:val="24"/>
                <w:highlight w:val="none"/>
              </w:rPr>
            </w:pPr>
          </w:p>
        </w:tc>
        <w:tc>
          <w:tcPr>
            <w:tcW w:w="1302" w:type="dxa"/>
            <w:tcBorders>
              <w:top w:val="single" w:color="auto" w:sz="4" w:space="0"/>
              <w:left w:val="single" w:color="auto" w:sz="4" w:space="0"/>
              <w:bottom w:val="single" w:color="auto" w:sz="4" w:space="0"/>
            </w:tcBorders>
            <w:vAlign w:val="center"/>
          </w:tcPr>
          <w:p w14:paraId="1A186F29">
            <w:pPr>
              <w:snapToGrid w:val="0"/>
              <w:spacing w:before="50" w:after="50"/>
              <w:jc w:val="center"/>
              <w:rPr>
                <w:rFonts w:ascii="宋体"/>
                <w:color w:val="auto"/>
                <w:sz w:val="24"/>
                <w:highlight w:val="none"/>
              </w:rPr>
            </w:pPr>
          </w:p>
        </w:tc>
      </w:tr>
      <w:tr w14:paraId="2EFE4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87" w:type="dxa"/>
            <w:tcBorders>
              <w:top w:val="single" w:color="auto" w:sz="4" w:space="0"/>
              <w:bottom w:val="single" w:color="auto" w:sz="4" w:space="0"/>
              <w:right w:val="single" w:color="auto" w:sz="4" w:space="0"/>
            </w:tcBorders>
            <w:vAlign w:val="center"/>
          </w:tcPr>
          <w:p w14:paraId="18EB81BC">
            <w:pPr>
              <w:snapToGrid w:val="0"/>
              <w:spacing w:before="50" w:after="50"/>
              <w:jc w:val="center"/>
              <w:rPr>
                <w:rFonts w:ascii="宋体"/>
                <w:color w:val="auto"/>
                <w:sz w:val="24"/>
                <w:highlight w:val="none"/>
              </w:rPr>
            </w:pPr>
            <w:r>
              <w:rPr>
                <w:rFonts w:hint="eastAsia" w:ascii="宋体"/>
                <w:color w:val="auto"/>
                <w:sz w:val="24"/>
                <w:highlight w:val="none"/>
              </w:rPr>
              <w:t>2</w:t>
            </w:r>
          </w:p>
        </w:tc>
        <w:tc>
          <w:tcPr>
            <w:tcW w:w="1775" w:type="dxa"/>
            <w:tcBorders>
              <w:top w:val="single" w:color="auto" w:sz="4" w:space="0"/>
              <w:bottom w:val="single" w:color="auto" w:sz="4" w:space="0"/>
              <w:right w:val="single" w:color="auto" w:sz="4" w:space="0"/>
            </w:tcBorders>
            <w:vAlign w:val="center"/>
          </w:tcPr>
          <w:p w14:paraId="1DDCB8BB">
            <w:pPr>
              <w:snapToGrid w:val="0"/>
              <w:spacing w:before="50" w:after="50"/>
              <w:jc w:val="center"/>
              <w:rPr>
                <w:rFonts w:ascii="宋体"/>
                <w:color w:val="auto"/>
                <w:sz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7A79096">
            <w:pPr>
              <w:snapToGrid w:val="0"/>
              <w:spacing w:before="50" w:after="50"/>
              <w:jc w:val="center"/>
              <w:rPr>
                <w:rFonts w:ascii="宋体"/>
                <w:color w:val="auto"/>
                <w:sz w:val="24"/>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32629C3D">
            <w:pPr>
              <w:snapToGrid w:val="0"/>
              <w:spacing w:before="50" w:after="50"/>
              <w:jc w:val="center"/>
              <w:rPr>
                <w:rFonts w:ascii="宋体"/>
                <w:color w:val="auto"/>
                <w:sz w:val="24"/>
                <w:highlight w:val="none"/>
              </w:rPr>
            </w:pPr>
          </w:p>
        </w:tc>
        <w:tc>
          <w:tcPr>
            <w:tcW w:w="1555" w:type="dxa"/>
            <w:tcBorders>
              <w:top w:val="single" w:color="auto" w:sz="4" w:space="0"/>
              <w:left w:val="single" w:color="auto" w:sz="4" w:space="0"/>
              <w:bottom w:val="single" w:color="auto" w:sz="4" w:space="0"/>
              <w:right w:val="single" w:color="auto" w:sz="4" w:space="0"/>
            </w:tcBorders>
            <w:vAlign w:val="center"/>
          </w:tcPr>
          <w:p w14:paraId="0C10B085">
            <w:pPr>
              <w:snapToGrid w:val="0"/>
              <w:spacing w:before="50" w:after="50"/>
              <w:jc w:val="center"/>
              <w:rPr>
                <w:rFonts w:ascii="宋体"/>
                <w:color w:val="auto"/>
                <w:sz w:val="24"/>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7750A86B">
            <w:pPr>
              <w:snapToGrid w:val="0"/>
              <w:spacing w:before="50" w:after="50"/>
              <w:jc w:val="center"/>
              <w:rPr>
                <w:rFonts w:ascii="宋体"/>
                <w:color w:val="auto"/>
                <w:sz w:val="24"/>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6C5A035C">
            <w:pPr>
              <w:snapToGrid w:val="0"/>
              <w:spacing w:before="50" w:after="50"/>
              <w:jc w:val="center"/>
              <w:rPr>
                <w:rFonts w:ascii="宋体"/>
                <w:color w:val="auto"/>
                <w:sz w:val="24"/>
                <w:highlight w:val="none"/>
              </w:rPr>
            </w:pPr>
          </w:p>
        </w:tc>
        <w:tc>
          <w:tcPr>
            <w:tcW w:w="1302" w:type="dxa"/>
            <w:tcBorders>
              <w:top w:val="single" w:color="auto" w:sz="4" w:space="0"/>
              <w:left w:val="single" w:color="auto" w:sz="4" w:space="0"/>
              <w:bottom w:val="single" w:color="auto" w:sz="4" w:space="0"/>
            </w:tcBorders>
            <w:vAlign w:val="center"/>
          </w:tcPr>
          <w:p w14:paraId="543FCF3D">
            <w:pPr>
              <w:snapToGrid w:val="0"/>
              <w:spacing w:before="50" w:after="50"/>
              <w:jc w:val="center"/>
              <w:rPr>
                <w:rFonts w:ascii="宋体"/>
                <w:color w:val="auto"/>
                <w:sz w:val="24"/>
                <w:highlight w:val="none"/>
              </w:rPr>
            </w:pPr>
          </w:p>
        </w:tc>
      </w:tr>
      <w:tr w14:paraId="28C4B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87" w:type="dxa"/>
            <w:tcBorders>
              <w:top w:val="single" w:color="auto" w:sz="4" w:space="0"/>
              <w:bottom w:val="single" w:color="auto" w:sz="4" w:space="0"/>
              <w:right w:val="single" w:color="auto" w:sz="4" w:space="0"/>
            </w:tcBorders>
            <w:vAlign w:val="center"/>
          </w:tcPr>
          <w:p w14:paraId="6C64F3BC">
            <w:pPr>
              <w:snapToGrid w:val="0"/>
              <w:spacing w:before="50" w:after="50"/>
              <w:jc w:val="center"/>
              <w:rPr>
                <w:rFonts w:ascii="宋体"/>
                <w:color w:val="auto"/>
                <w:sz w:val="24"/>
                <w:highlight w:val="none"/>
              </w:rPr>
            </w:pPr>
            <w:r>
              <w:rPr>
                <w:rFonts w:ascii="宋体"/>
                <w:color w:val="auto"/>
                <w:sz w:val="24"/>
                <w:highlight w:val="none"/>
              </w:rPr>
              <w:t>……</w:t>
            </w:r>
          </w:p>
        </w:tc>
        <w:tc>
          <w:tcPr>
            <w:tcW w:w="1775" w:type="dxa"/>
            <w:tcBorders>
              <w:top w:val="single" w:color="auto" w:sz="4" w:space="0"/>
              <w:bottom w:val="single" w:color="auto" w:sz="4" w:space="0"/>
              <w:right w:val="single" w:color="auto" w:sz="4" w:space="0"/>
            </w:tcBorders>
            <w:vAlign w:val="center"/>
          </w:tcPr>
          <w:p w14:paraId="77E75992">
            <w:pPr>
              <w:snapToGrid w:val="0"/>
              <w:spacing w:before="50" w:after="50"/>
              <w:jc w:val="center"/>
              <w:rPr>
                <w:rFonts w:ascii="宋体"/>
                <w:color w:val="auto"/>
                <w:sz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016433FF">
            <w:pPr>
              <w:snapToGrid w:val="0"/>
              <w:spacing w:before="50" w:after="50"/>
              <w:jc w:val="center"/>
              <w:rPr>
                <w:rFonts w:ascii="宋体"/>
                <w:color w:val="auto"/>
                <w:sz w:val="24"/>
                <w:highlight w:val="none"/>
              </w:rPr>
            </w:pPr>
          </w:p>
        </w:tc>
        <w:tc>
          <w:tcPr>
            <w:tcW w:w="643" w:type="dxa"/>
            <w:tcBorders>
              <w:top w:val="single" w:color="auto" w:sz="4" w:space="0"/>
              <w:left w:val="single" w:color="auto" w:sz="4" w:space="0"/>
              <w:bottom w:val="single" w:color="auto" w:sz="4" w:space="0"/>
              <w:right w:val="single" w:color="auto" w:sz="4" w:space="0"/>
            </w:tcBorders>
            <w:vAlign w:val="center"/>
          </w:tcPr>
          <w:p w14:paraId="7C2B7E26">
            <w:pPr>
              <w:snapToGrid w:val="0"/>
              <w:spacing w:before="50" w:after="50"/>
              <w:jc w:val="center"/>
              <w:rPr>
                <w:rFonts w:ascii="宋体"/>
                <w:color w:val="auto"/>
                <w:sz w:val="24"/>
                <w:highlight w:val="none"/>
              </w:rPr>
            </w:pPr>
          </w:p>
        </w:tc>
        <w:tc>
          <w:tcPr>
            <w:tcW w:w="1555" w:type="dxa"/>
            <w:tcBorders>
              <w:top w:val="single" w:color="auto" w:sz="4" w:space="0"/>
              <w:left w:val="single" w:color="auto" w:sz="4" w:space="0"/>
              <w:bottom w:val="single" w:color="auto" w:sz="4" w:space="0"/>
              <w:right w:val="single" w:color="auto" w:sz="4" w:space="0"/>
            </w:tcBorders>
            <w:vAlign w:val="center"/>
          </w:tcPr>
          <w:p w14:paraId="2B9360B5">
            <w:pPr>
              <w:snapToGrid w:val="0"/>
              <w:spacing w:before="50" w:after="50"/>
              <w:jc w:val="center"/>
              <w:rPr>
                <w:rFonts w:ascii="宋体"/>
                <w:color w:val="auto"/>
                <w:sz w:val="24"/>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4FF1CA28">
            <w:pPr>
              <w:snapToGrid w:val="0"/>
              <w:spacing w:before="50" w:after="50"/>
              <w:jc w:val="center"/>
              <w:rPr>
                <w:rFonts w:ascii="宋体"/>
                <w:color w:val="auto"/>
                <w:sz w:val="24"/>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09E54889">
            <w:pPr>
              <w:snapToGrid w:val="0"/>
              <w:spacing w:before="50" w:after="50"/>
              <w:jc w:val="center"/>
              <w:rPr>
                <w:rFonts w:ascii="宋体"/>
                <w:color w:val="auto"/>
                <w:sz w:val="24"/>
                <w:highlight w:val="none"/>
              </w:rPr>
            </w:pPr>
          </w:p>
        </w:tc>
        <w:tc>
          <w:tcPr>
            <w:tcW w:w="1302" w:type="dxa"/>
            <w:tcBorders>
              <w:top w:val="single" w:color="auto" w:sz="4" w:space="0"/>
              <w:left w:val="single" w:color="auto" w:sz="4" w:space="0"/>
              <w:bottom w:val="single" w:color="auto" w:sz="4" w:space="0"/>
            </w:tcBorders>
            <w:vAlign w:val="center"/>
          </w:tcPr>
          <w:p w14:paraId="3C1C67BE">
            <w:pPr>
              <w:snapToGrid w:val="0"/>
              <w:spacing w:before="50" w:after="50"/>
              <w:jc w:val="center"/>
              <w:rPr>
                <w:rFonts w:ascii="宋体"/>
                <w:color w:val="auto"/>
                <w:sz w:val="24"/>
                <w:highlight w:val="none"/>
              </w:rPr>
            </w:pPr>
          </w:p>
        </w:tc>
      </w:tr>
    </w:tbl>
    <w:p w14:paraId="1CE5CDC8">
      <w:pPr>
        <w:spacing w:line="360" w:lineRule="auto"/>
        <w:contextualSpacing/>
        <w:rPr>
          <w:rFonts w:ascii="宋体" w:hAnsi="宋体"/>
          <w:color w:val="auto"/>
          <w:sz w:val="24"/>
          <w:highlight w:val="none"/>
        </w:rPr>
      </w:pPr>
    </w:p>
    <w:p w14:paraId="37142FFF">
      <w:pPr>
        <w:spacing w:line="360" w:lineRule="auto"/>
        <w:contextualSpacing/>
        <w:rPr>
          <w:rFonts w:ascii="宋体" w:cs="仿宋_GB2312"/>
          <w:color w:val="auto"/>
          <w:sz w:val="24"/>
          <w:highlight w:val="none"/>
        </w:rPr>
      </w:pPr>
      <w:r>
        <w:rPr>
          <w:rFonts w:hint="eastAsia" w:ascii="宋体" w:hAnsi="宋体"/>
          <w:b/>
          <w:bCs/>
          <w:color w:val="auto"/>
          <w:sz w:val="24"/>
          <w:highlight w:val="none"/>
        </w:rPr>
        <w:t>注：以上货物配置清单中“标的的名称、数量及单位、品牌、规格型号、生产厂家、原产地、参数性能、指标及配置”要求如实填写完整</w:t>
      </w:r>
      <w:r>
        <w:rPr>
          <w:rFonts w:hint="eastAsia" w:ascii="宋体" w:hAnsi="宋体"/>
          <w:b/>
          <w:color w:val="auto"/>
          <w:sz w:val="24"/>
          <w:highlight w:val="none"/>
        </w:rPr>
        <w:t>。</w:t>
      </w:r>
      <w:r>
        <w:rPr>
          <w:rFonts w:ascii="宋体" w:cs="仿宋_GB2312"/>
          <w:color w:val="auto"/>
          <w:sz w:val="24"/>
          <w:highlight w:val="none"/>
        </w:rPr>
        <w:tab/>
      </w:r>
    </w:p>
    <w:p w14:paraId="1C822846">
      <w:pPr>
        <w:adjustRightInd w:val="0"/>
        <w:spacing w:line="360" w:lineRule="auto"/>
        <w:contextualSpacing/>
        <w:jc w:val="left"/>
        <w:rPr>
          <w:rFonts w:ascii="宋体" w:cs="仿宋_GB2312"/>
          <w:color w:val="auto"/>
          <w:sz w:val="24"/>
          <w:highlight w:val="none"/>
        </w:rPr>
      </w:pPr>
    </w:p>
    <w:p w14:paraId="484FC8B7">
      <w:pPr>
        <w:adjustRightInd w:val="0"/>
        <w:spacing w:line="360" w:lineRule="auto"/>
        <w:contextualSpacing/>
        <w:jc w:val="left"/>
        <w:rPr>
          <w:rFonts w:ascii="宋体" w:cs="仿宋_GB2312"/>
          <w:color w:val="auto"/>
          <w:sz w:val="24"/>
          <w:highlight w:val="none"/>
        </w:rPr>
      </w:pPr>
    </w:p>
    <w:p w14:paraId="37D3F2AB">
      <w:pPr>
        <w:adjustRightInd w:val="0"/>
        <w:spacing w:line="360" w:lineRule="auto"/>
        <w:contextualSpacing/>
        <w:jc w:val="left"/>
        <w:rPr>
          <w:rFonts w:ascii="宋体" w:cs="仿宋_GB2312"/>
          <w:color w:val="auto"/>
          <w:sz w:val="24"/>
          <w:highlight w:val="none"/>
        </w:rPr>
      </w:pPr>
    </w:p>
    <w:p w14:paraId="591149F5">
      <w:pPr>
        <w:spacing w:line="360" w:lineRule="auto"/>
        <w:ind w:right="-817" w:rightChars="-389"/>
        <w:contextualSpacing/>
        <w:jc w:val="center"/>
        <w:rPr>
          <w:rFonts w:asci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074F32EB">
      <w:pPr>
        <w:spacing w:line="360" w:lineRule="auto"/>
        <w:ind w:right="-817" w:rightChars="-389" w:firstLine="2880" w:firstLineChars="1200"/>
        <w:contextualSpacing/>
        <w:rPr>
          <w:rFonts w:ascii="宋体" w:cs="仿宋_GB2312"/>
          <w:color w:val="auto"/>
          <w:sz w:val="24"/>
          <w:highlight w:val="none"/>
        </w:rPr>
      </w:pPr>
      <w:r>
        <w:rPr>
          <w:rFonts w:hint="eastAsia" w:ascii="宋体" w:hAnsi="宋体" w:cs="仿宋_GB2312"/>
          <w:color w:val="auto"/>
          <w:sz w:val="24"/>
          <w:highlight w:val="none"/>
        </w:rPr>
        <w:t>供应商（电子签章）：</w:t>
      </w:r>
    </w:p>
    <w:p w14:paraId="04611EF7">
      <w:pPr>
        <w:spacing w:line="360" w:lineRule="auto"/>
        <w:ind w:right="-817" w:rightChars="-389" w:firstLine="2880" w:firstLineChars="1200"/>
        <w:contextualSpacing/>
        <w:rPr>
          <w:rFonts w:ascii="宋体" w:cs="仿宋_GB2312"/>
          <w:color w:val="auto"/>
          <w:sz w:val="24"/>
          <w:highlight w:val="none"/>
        </w:rPr>
      </w:pPr>
      <w:r>
        <w:rPr>
          <w:rFonts w:hint="eastAsia" w:ascii="宋体" w:hAnsi="宋体" w:cs="仿宋_GB2312"/>
          <w:color w:val="auto"/>
          <w:sz w:val="24"/>
          <w:highlight w:val="none"/>
        </w:rPr>
        <w:t>日期：  年  月  日</w:t>
      </w:r>
    </w:p>
    <w:p w14:paraId="1CEDA90C">
      <w:pPr>
        <w:spacing w:line="360" w:lineRule="auto"/>
        <w:ind w:right="-817" w:rightChars="-389" w:firstLine="2880" w:firstLineChars="1200"/>
        <w:contextualSpacing/>
        <w:rPr>
          <w:rFonts w:ascii="宋体" w:cs="仿宋_GB2312"/>
          <w:color w:val="auto"/>
          <w:sz w:val="24"/>
          <w:highlight w:val="none"/>
        </w:rPr>
      </w:pPr>
    </w:p>
    <w:p w14:paraId="647AF77E">
      <w:pPr>
        <w:spacing w:line="360" w:lineRule="auto"/>
        <w:ind w:right="-817" w:rightChars="-389" w:firstLine="2880" w:firstLineChars="1200"/>
        <w:contextualSpacing/>
        <w:rPr>
          <w:rFonts w:ascii="宋体" w:cs="仿宋_GB2312"/>
          <w:color w:val="auto"/>
          <w:sz w:val="24"/>
          <w:highlight w:val="none"/>
        </w:rPr>
      </w:pPr>
    </w:p>
    <w:p w14:paraId="5C757736">
      <w:pPr>
        <w:spacing w:line="360" w:lineRule="auto"/>
        <w:ind w:right="-817" w:rightChars="-389" w:firstLine="2880" w:firstLineChars="1200"/>
        <w:contextualSpacing/>
        <w:rPr>
          <w:rFonts w:ascii="宋体" w:cs="仿宋_GB2312"/>
          <w:color w:val="auto"/>
          <w:sz w:val="24"/>
          <w:highlight w:val="none"/>
        </w:rPr>
      </w:pPr>
    </w:p>
    <w:p w14:paraId="216B35AD">
      <w:pPr>
        <w:spacing w:line="360" w:lineRule="auto"/>
        <w:ind w:right="-817" w:rightChars="-389" w:firstLine="2880" w:firstLineChars="1200"/>
        <w:contextualSpacing/>
        <w:rPr>
          <w:rFonts w:ascii="宋体" w:cs="仿宋_GB2312"/>
          <w:color w:val="auto"/>
          <w:sz w:val="24"/>
          <w:highlight w:val="none"/>
        </w:rPr>
      </w:pPr>
    </w:p>
    <w:p w14:paraId="28F6E645">
      <w:pPr>
        <w:spacing w:line="360" w:lineRule="auto"/>
        <w:ind w:right="-817" w:rightChars="-389" w:firstLine="2880" w:firstLineChars="1200"/>
        <w:contextualSpacing/>
        <w:rPr>
          <w:rFonts w:ascii="宋体" w:cs="仿宋_GB2312"/>
          <w:color w:val="auto"/>
          <w:sz w:val="24"/>
          <w:highlight w:val="none"/>
        </w:rPr>
      </w:pPr>
    </w:p>
    <w:p w14:paraId="22ECB64A">
      <w:pPr>
        <w:spacing w:line="360" w:lineRule="auto"/>
        <w:ind w:right="-817" w:rightChars="-389" w:firstLine="2880" w:firstLineChars="1200"/>
        <w:contextualSpacing/>
        <w:rPr>
          <w:rFonts w:ascii="宋体" w:cs="仿宋_GB2312"/>
          <w:color w:val="auto"/>
          <w:sz w:val="24"/>
          <w:highlight w:val="none"/>
        </w:rPr>
      </w:pPr>
    </w:p>
    <w:p w14:paraId="6E1A0AD3">
      <w:pPr>
        <w:spacing w:line="360" w:lineRule="auto"/>
        <w:ind w:right="-817" w:rightChars="-389" w:firstLine="3840" w:firstLineChars="1200"/>
        <w:contextualSpacing/>
        <w:rPr>
          <w:rFonts w:ascii="仿宋_GB2312" w:hAnsi="仿宋_GB2312" w:eastAsia="仿宋_GB2312" w:cs="仿宋_GB2312"/>
          <w:color w:val="auto"/>
          <w:sz w:val="32"/>
          <w:szCs w:val="32"/>
          <w:highlight w:val="none"/>
        </w:rPr>
      </w:pPr>
    </w:p>
    <w:p w14:paraId="781E279A">
      <w:pPr>
        <w:spacing w:line="300" w:lineRule="auto"/>
        <w:rPr>
          <w:rFonts w:ascii="宋体" w:hAnsi="宋体"/>
          <w:b/>
          <w:bCs/>
          <w:color w:val="auto"/>
          <w:sz w:val="24"/>
          <w:highlight w:val="none"/>
        </w:rPr>
      </w:pPr>
      <w:r>
        <w:rPr>
          <w:rFonts w:ascii="宋体"/>
          <w:b/>
          <w:bCs/>
          <w:color w:val="auto"/>
          <w:sz w:val="24"/>
          <w:highlight w:val="none"/>
        </w:rPr>
        <w:br w:type="page"/>
      </w:r>
      <w:r>
        <w:rPr>
          <w:rFonts w:hint="eastAsia" w:ascii="宋体" w:hAnsi="宋体"/>
          <w:b/>
          <w:bCs/>
          <w:color w:val="auto"/>
          <w:sz w:val="24"/>
          <w:highlight w:val="none"/>
        </w:rPr>
        <w:t>其他文书、文件格式</w:t>
      </w:r>
    </w:p>
    <w:p w14:paraId="37E22EF7">
      <w:pPr>
        <w:spacing w:line="300" w:lineRule="auto"/>
        <w:rPr>
          <w:rFonts w:ascii="宋体" w:hAnsi="宋体"/>
          <w:b/>
          <w:bCs/>
          <w:color w:val="auto"/>
          <w:sz w:val="24"/>
          <w:highlight w:val="none"/>
        </w:rPr>
      </w:pPr>
    </w:p>
    <w:p w14:paraId="7B30827C">
      <w:pPr>
        <w:spacing w:line="300" w:lineRule="auto"/>
        <w:rPr>
          <w:rFonts w:ascii="宋体" w:hAnsi="宋体"/>
          <w:b/>
          <w:bCs/>
          <w:color w:val="auto"/>
          <w:sz w:val="24"/>
          <w:highlight w:val="none"/>
        </w:rPr>
      </w:pPr>
      <w:r>
        <w:rPr>
          <w:rFonts w:hint="eastAsia" w:ascii="宋体" w:hAnsi="宋体" w:cs="仿宋_GB2312"/>
          <w:color w:val="auto"/>
          <w:sz w:val="24"/>
          <w:highlight w:val="none"/>
        </w:rPr>
        <w:t>所竞分标：</w:t>
      </w:r>
    </w:p>
    <w:p w14:paraId="0F0AB733">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bookmarkStart w:id="99" w:name="_Toc71365383"/>
      <w:bookmarkStart w:id="100" w:name="_Toc71366061"/>
      <w:r>
        <w:rPr>
          <w:rFonts w:hint="eastAsia" w:ascii="方正小标宋简体" w:hAnsi="方正小标宋简体" w:eastAsia="方正小标宋简体" w:cs="方正小标宋简体"/>
          <w:bCs/>
          <w:color w:val="auto"/>
          <w:sz w:val="44"/>
          <w:szCs w:val="44"/>
          <w:highlight w:val="none"/>
        </w:rPr>
        <w:t>中小企业声明函（货物）</w:t>
      </w:r>
      <w:bookmarkEnd w:id="99"/>
      <w:bookmarkEnd w:id="100"/>
    </w:p>
    <w:p w14:paraId="2922E596">
      <w:pPr>
        <w:rPr>
          <w:color w:val="auto"/>
          <w:highlight w:val="none"/>
        </w:rPr>
      </w:pPr>
    </w:p>
    <w:p w14:paraId="3ACE7EF7">
      <w:pPr>
        <w:pStyle w:val="10"/>
        <w:spacing w:after="0" w:line="360" w:lineRule="auto"/>
        <w:ind w:left="-426" w:right="142" w:firstLine="640"/>
        <w:contextualSpacing/>
        <w:rPr>
          <w:rFonts w:ascii="宋体"/>
          <w:color w:val="auto"/>
          <w:sz w:val="24"/>
          <w:highlight w:val="none"/>
        </w:rPr>
      </w:pPr>
      <w:r>
        <w:rPr>
          <w:rFonts w:hint="eastAsia" w:ascii="宋体" w:hAnsi="宋体"/>
          <w:color w:val="auto"/>
          <w:sz w:val="24"/>
          <w:highlight w:val="none"/>
        </w:rPr>
        <w:t>本公司（联合体）郑重声明，根据《政府采购促进中小企业发展管理办法》（财库﹝</w:t>
      </w:r>
      <w:r>
        <w:rPr>
          <w:rFonts w:ascii="宋体" w:hAnsi="宋体"/>
          <w:color w:val="auto"/>
          <w:sz w:val="24"/>
          <w:highlight w:val="none"/>
        </w:rPr>
        <w:t>2020</w:t>
      </w:r>
      <w:r>
        <w:rPr>
          <w:rFonts w:hint="eastAsia" w:ascii="宋体" w:hAnsi="宋体"/>
          <w:color w:val="auto"/>
          <w:sz w:val="24"/>
          <w:highlight w:val="none"/>
        </w:rPr>
        <w:t>﹞</w:t>
      </w:r>
      <w:r>
        <w:rPr>
          <w:rFonts w:ascii="宋体" w:hAnsi="宋体"/>
          <w:color w:val="auto"/>
          <w:sz w:val="24"/>
          <w:highlight w:val="none"/>
        </w:rPr>
        <w:t>46</w:t>
      </w:r>
      <w:r>
        <w:rPr>
          <w:rFonts w:hint="eastAsia" w:ascii="宋体" w:hAnsi="宋体"/>
          <w:color w:val="auto"/>
          <w:sz w:val="24"/>
          <w:highlight w:val="none"/>
        </w:rPr>
        <w:t>号）的规定，本公司（联合体）参加</w:t>
      </w:r>
      <w:r>
        <w:rPr>
          <w:rFonts w:hint="eastAsia" w:ascii="宋体" w:hAnsi="宋体"/>
          <w:color w:val="auto"/>
          <w:sz w:val="24"/>
          <w:highlight w:val="none"/>
          <w:u w:val="single"/>
        </w:rPr>
        <w:t>（单位名称）</w:t>
      </w:r>
      <w:r>
        <w:rPr>
          <w:rFonts w:hint="eastAsia" w:ascii="宋体" w:hAnsi="宋体"/>
          <w:color w:val="auto"/>
          <w:sz w:val="24"/>
          <w:highlight w:val="none"/>
        </w:rPr>
        <w:t>的</w:t>
      </w:r>
      <w:r>
        <w:rPr>
          <w:rFonts w:hint="eastAsia" w:ascii="宋体" w:hAnsi="宋体"/>
          <w:color w:val="auto"/>
          <w:sz w:val="24"/>
          <w:highlight w:val="none"/>
          <w:u w:val="single"/>
        </w:rPr>
        <w:t>（项目名称）</w:t>
      </w:r>
      <w:r>
        <w:rPr>
          <w:rFonts w:hint="eastAsia" w:ascii="宋体" w:hAnsi="宋体"/>
          <w:color w:val="auto"/>
          <w:sz w:val="24"/>
          <w:highlight w:val="none"/>
        </w:rPr>
        <w:t>采购活动，提供的货物全部由符合政策要求的中小企业制造。相关企业（含联合体中的中小企业、签订分包意向协议的中小企业）的具体情况如下：</w:t>
      </w:r>
    </w:p>
    <w:p w14:paraId="1EE98A8C">
      <w:pPr>
        <w:tabs>
          <w:tab w:val="left" w:pos="1384"/>
          <w:tab w:val="left" w:pos="4562"/>
          <w:tab w:val="left" w:pos="6803"/>
        </w:tabs>
        <w:spacing w:line="360" w:lineRule="auto"/>
        <w:ind w:left="-426" w:right="-58" w:firstLine="655"/>
        <w:contextualSpacing/>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行业；制造商为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0074D4E9">
      <w:pPr>
        <w:tabs>
          <w:tab w:val="left" w:pos="1065"/>
          <w:tab w:val="left" w:pos="6477"/>
        </w:tabs>
        <w:spacing w:line="360" w:lineRule="auto"/>
        <w:ind w:left="-426" w:right="-58" w:firstLine="655"/>
        <w:contextualSpacing/>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行业；制造商为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1D189D07">
      <w:pPr>
        <w:pStyle w:val="10"/>
        <w:spacing w:after="0" w:line="360" w:lineRule="auto"/>
        <w:ind w:left="142" w:right="142"/>
        <w:contextualSpacing/>
        <w:rPr>
          <w:rFonts w:ascii="宋体"/>
          <w:color w:val="auto"/>
          <w:sz w:val="24"/>
          <w:highlight w:val="none"/>
        </w:rPr>
      </w:pPr>
      <w:r>
        <w:rPr>
          <w:rFonts w:hint="eastAsia" w:ascii="宋体"/>
          <w:color w:val="auto"/>
          <w:sz w:val="24"/>
          <w:highlight w:val="none"/>
        </w:rPr>
        <w:t>……</w:t>
      </w:r>
    </w:p>
    <w:p w14:paraId="544CD9BA">
      <w:pPr>
        <w:pStyle w:val="10"/>
        <w:spacing w:after="0" w:line="360" w:lineRule="auto"/>
        <w:ind w:left="-405" w:leftChars="-193" w:right="142" w:firstLine="453" w:firstLineChars="189"/>
        <w:contextualSpacing/>
        <w:rPr>
          <w:rFonts w:asci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2349A527">
      <w:pPr>
        <w:pStyle w:val="10"/>
        <w:spacing w:after="0" w:line="360" w:lineRule="auto"/>
        <w:ind w:left="-426" w:right="142" w:firstLine="567"/>
        <w:contextualSpacing/>
        <w:rPr>
          <w:rFonts w:asci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5B518C9A">
      <w:pPr>
        <w:pStyle w:val="10"/>
        <w:spacing w:after="0" w:line="360" w:lineRule="auto"/>
        <w:ind w:left="3960" w:right="1808"/>
        <w:contextualSpacing/>
        <w:rPr>
          <w:rFonts w:ascii="宋体"/>
          <w:color w:val="auto"/>
          <w:sz w:val="24"/>
          <w:highlight w:val="none"/>
        </w:rPr>
      </w:pPr>
    </w:p>
    <w:p w14:paraId="628BDC11">
      <w:pPr>
        <w:pStyle w:val="10"/>
        <w:spacing w:after="0" w:line="360" w:lineRule="auto"/>
        <w:ind w:left="3960" w:right="1808"/>
        <w:contextualSpacing/>
        <w:rPr>
          <w:rFonts w:ascii="宋体"/>
          <w:color w:val="auto"/>
          <w:sz w:val="24"/>
          <w:highlight w:val="none"/>
        </w:rPr>
      </w:pPr>
      <w:r>
        <w:rPr>
          <w:rFonts w:hint="eastAsia" w:ascii="宋体" w:hAnsi="宋体"/>
          <w:color w:val="auto"/>
          <w:sz w:val="24"/>
          <w:highlight w:val="none"/>
        </w:rPr>
        <w:t>企业名称（电子签章）：</w:t>
      </w:r>
    </w:p>
    <w:p w14:paraId="2A865623">
      <w:pPr>
        <w:pStyle w:val="10"/>
        <w:spacing w:after="0" w:line="360" w:lineRule="auto"/>
        <w:ind w:left="3960" w:right="1808"/>
        <w:contextualSpacing/>
        <w:rPr>
          <w:rFonts w:ascii="宋体"/>
          <w:color w:val="auto"/>
          <w:sz w:val="24"/>
          <w:highlight w:val="none"/>
        </w:rPr>
      </w:pPr>
      <w:r>
        <w:rPr>
          <w:rFonts w:hint="eastAsia" w:ascii="宋体" w:hAnsi="宋体"/>
          <w:color w:val="auto"/>
          <w:sz w:val="24"/>
          <w:highlight w:val="none"/>
        </w:rPr>
        <w:t>日期：</w:t>
      </w:r>
    </w:p>
    <w:p w14:paraId="7EA34E02">
      <w:pPr>
        <w:pStyle w:val="10"/>
        <w:spacing w:after="0" w:line="360" w:lineRule="auto"/>
        <w:ind w:left="3960" w:right="1808"/>
        <w:contextualSpacing/>
        <w:rPr>
          <w:color w:val="auto"/>
          <w:highlight w:val="none"/>
        </w:rPr>
      </w:pPr>
    </w:p>
    <w:p w14:paraId="59F4A600">
      <w:pPr>
        <w:spacing w:line="360" w:lineRule="auto"/>
        <w:contextualSpacing/>
        <w:jc w:val="left"/>
        <w:rPr>
          <w:rFonts w:ascii="宋体" w:cs="仿宋_GB2312"/>
          <w:color w:val="auto"/>
          <w:sz w:val="24"/>
          <w:highlight w:val="none"/>
        </w:rPr>
      </w:pPr>
      <w:r>
        <w:rPr>
          <w:rFonts w:hint="eastAsia" w:ascii="宋体" w:hAnsi="宋体" w:cs="仿宋_GB2312"/>
          <w:color w:val="auto"/>
          <w:sz w:val="24"/>
          <w:highlight w:val="none"/>
        </w:rPr>
        <w:t>注：享受《政府采购促进中小企业发展管理办法》（财库〔</w:t>
      </w:r>
      <w:r>
        <w:rPr>
          <w:rFonts w:ascii="宋体" w:hAnsi="宋体" w:cs="仿宋_GB2312"/>
          <w:color w:val="auto"/>
          <w:sz w:val="24"/>
          <w:highlight w:val="none"/>
        </w:rPr>
        <w:t>2020</w:t>
      </w:r>
      <w:r>
        <w:rPr>
          <w:rFonts w:hint="eastAsia" w:ascii="宋体" w:hAnsi="宋体" w:cs="仿宋_GB2312"/>
          <w:color w:val="auto"/>
          <w:sz w:val="24"/>
          <w:highlight w:val="none"/>
        </w:rPr>
        <w:t>〕</w:t>
      </w:r>
      <w:r>
        <w:rPr>
          <w:rFonts w:ascii="宋体" w:hAnsi="宋体" w:cs="仿宋_GB2312"/>
          <w:color w:val="auto"/>
          <w:sz w:val="24"/>
          <w:highlight w:val="none"/>
        </w:rPr>
        <w:t>46</w:t>
      </w:r>
      <w:r>
        <w:rPr>
          <w:rFonts w:hint="eastAsia" w:ascii="宋体" w:hAnsi="宋体" w:cs="仿宋_GB2312"/>
          <w:color w:val="auto"/>
          <w:sz w:val="24"/>
          <w:highlight w:val="none"/>
        </w:rPr>
        <w:t>号）规定的中小企业扶持政策的，采购人、采购代理机构应当随成交结果公开成交供应商的《中小企业声明函》。从业人员、营业收入、资产总额填报上一年度数据，无上一年度数据的新成立企业可不填报。</w:t>
      </w:r>
    </w:p>
    <w:p w14:paraId="199130D5">
      <w:pPr>
        <w:spacing w:line="360" w:lineRule="auto"/>
        <w:contextualSpacing/>
        <w:jc w:val="center"/>
        <w:rPr>
          <w:rFonts w:ascii="仿宋_GB2312" w:hAnsi="仿宋_GB2312" w:eastAsia="仿宋_GB2312" w:cs="仿宋_GB2312"/>
          <w:color w:val="auto"/>
          <w:sz w:val="32"/>
          <w:szCs w:val="32"/>
          <w:highlight w:val="none"/>
        </w:rPr>
      </w:pPr>
      <w:r>
        <w:rPr>
          <w:rFonts w:asci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720B2541">
      <w:pPr>
        <w:spacing w:line="520" w:lineRule="exact"/>
        <w:rPr>
          <w:rFonts w:ascii="仿宋_GB2312" w:hAnsi="仿宋_GB2312" w:eastAsia="仿宋_GB2312" w:cs="仿宋_GB2312"/>
          <w:color w:val="auto"/>
          <w:sz w:val="32"/>
          <w:szCs w:val="32"/>
          <w:highlight w:val="none"/>
        </w:rPr>
      </w:pPr>
    </w:p>
    <w:p w14:paraId="30A13290">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本单位郑重声明，根据《财政部民政部中国残疾人联合会关于促进残疾人就业政府采购政策的通知》（财库〔</w:t>
      </w:r>
      <w:r>
        <w:rPr>
          <w:rFonts w:ascii="宋体" w:hAnsi="宋体" w:cs="仿宋_GB2312"/>
          <w:color w:val="auto"/>
          <w:sz w:val="24"/>
          <w:highlight w:val="none"/>
        </w:rPr>
        <w:t>2017</w:t>
      </w:r>
      <w:r>
        <w:rPr>
          <w:rFonts w:hint="eastAsia" w:ascii="宋体" w:hAnsi="宋体" w:cs="仿宋_GB2312"/>
          <w:color w:val="auto"/>
          <w:sz w:val="24"/>
          <w:highlight w:val="none"/>
        </w:rPr>
        <w:t>〕</w:t>
      </w:r>
      <w:r>
        <w:rPr>
          <w:rFonts w:ascii="宋体" w:hAnsi="宋体" w:cs="仿宋_GB2312"/>
          <w:color w:val="auto"/>
          <w:sz w:val="24"/>
          <w:highlight w:val="none"/>
        </w:rPr>
        <w:t>141</w:t>
      </w:r>
      <w:r>
        <w:rPr>
          <w:rFonts w:hint="eastAsia" w:ascii="宋体" w:hAnsi="宋体" w:cs="仿宋_GB2312"/>
          <w:color w:val="auto"/>
          <w:sz w:val="24"/>
          <w:highlight w:val="none"/>
        </w:rPr>
        <w:t>号）的规定，本单位为符合条件的残疾人福利性单位，且本单位参加单位的项目采购活动提供本单位制造的货物（由本单位承担工程</w:t>
      </w:r>
      <w:r>
        <w:rPr>
          <w:rFonts w:ascii="宋体" w:hAnsi="宋体" w:cs="仿宋_GB2312"/>
          <w:color w:val="auto"/>
          <w:sz w:val="24"/>
          <w:highlight w:val="none"/>
        </w:rPr>
        <w:t>/</w:t>
      </w:r>
      <w:r>
        <w:rPr>
          <w:rFonts w:hint="eastAsia" w:ascii="宋体" w:hAnsi="宋体" w:cs="仿宋_GB2312"/>
          <w:color w:val="auto"/>
          <w:sz w:val="24"/>
          <w:highlight w:val="none"/>
        </w:rPr>
        <w:t>提供服务），或者提供其他残疾人福利性单位制造的货物（不包括使用非残疾人福利性单位注册商标的货物）。</w:t>
      </w:r>
    </w:p>
    <w:p w14:paraId="331D9335">
      <w:pPr>
        <w:spacing w:line="360" w:lineRule="auto"/>
        <w:ind w:firstLine="480" w:firstLineChars="200"/>
        <w:contextualSpacing/>
        <w:rPr>
          <w:rFonts w:asci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10A52A61">
      <w:pPr>
        <w:spacing w:line="360" w:lineRule="auto"/>
        <w:contextualSpacing/>
        <w:rPr>
          <w:rFonts w:ascii="宋体" w:cs="仿宋_GB2312"/>
          <w:color w:val="auto"/>
          <w:sz w:val="24"/>
          <w:highlight w:val="none"/>
        </w:rPr>
      </w:pPr>
    </w:p>
    <w:p w14:paraId="2B5781B6">
      <w:pPr>
        <w:spacing w:line="360" w:lineRule="auto"/>
        <w:contextualSpacing/>
        <w:rPr>
          <w:rFonts w:ascii="宋体" w:cs="仿宋_GB2312"/>
          <w:color w:val="auto"/>
          <w:sz w:val="24"/>
          <w:highlight w:val="none"/>
        </w:rPr>
      </w:pPr>
    </w:p>
    <w:p w14:paraId="5717FEFA">
      <w:pPr>
        <w:spacing w:line="360" w:lineRule="auto"/>
        <w:contextualSpacing/>
        <w:rPr>
          <w:rFonts w:ascii="宋体" w:cs="仿宋_GB2312"/>
          <w:color w:val="auto"/>
          <w:sz w:val="24"/>
          <w:highlight w:val="none"/>
        </w:rPr>
      </w:pPr>
    </w:p>
    <w:p w14:paraId="4E9DB12F">
      <w:pPr>
        <w:spacing w:line="360" w:lineRule="auto"/>
        <w:ind w:firstLine="2400" w:firstLineChars="1000"/>
        <w:contextualSpacing/>
        <w:rPr>
          <w:rFonts w:ascii="宋体" w:cs="仿宋_GB2312"/>
          <w:color w:val="auto"/>
          <w:sz w:val="24"/>
          <w:highlight w:val="none"/>
        </w:rPr>
      </w:pPr>
      <w:r>
        <w:rPr>
          <w:rFonts w:hint="eastAsia" w:ascii="宋体" w:hAnsi="宋体" w:cs="仿宋_GB2312"/>
          <w:color w:val="auto"/>
          <w:sz w:val="24"/>
          <w:highlight w:val="none"/>
        </w:rPr>
        <w:t>单位名称（</w:t>
      </w:r>
      <w:r>
        <w:rPr>
          <w:rFonts w:hint="eastAsia" w:ascii="宋体" w:hAnsi="宋体"/>
          <w:color w:val="auto"/>
          <w:sz w:val="24"/>
          <w:highlight w:val="none"/>
        </w:rPr>
        <w:t>电子签章</w:t>
      </w:r>
      <w:r>
        <w:rPr>
          <w:rFonts w:hint="eastAsia" w:ascii="宋体" w:hAnsi="宋体" w:cs="仿宋_GB2312"/>
          <w:color w:val="auto"/>
          <w:sz w:val="24"/>
          <w:highlight w:val="none"/>
        </w:rPr>
        <w:t>）：</w:t>
      </w:r>
    </w:p>
    <w:p w14:paraId="12A3354A">
      <w:pPr>
        <w:spacing w:line="360" w:lineRule="auto"/>
        <w:ind w:firstLine="3600" w:firstLineChars="1500"/>
        <w:contextualSpacing/>
        <w:rPr>
          <w:rFonts w:ascii="宋体" w:cs="仿宋_GB2312"/>
          <w:color w:val="auto"/>
          <w:sz w:val="24"/>
          <w:highlight w:val="none"/>
        </w:rPr>
      </w:pPr>
      <w:r>
        <w:rPr>
          <w:rFonts w:hint="eastAsia" w:ascii="宋体" w:hAnsi="宋体" w:cs="仿宋_GB2312"/>
          <w:color w:val="auto"/>
          <w:sz w:val="24"/>
          <w:highlight w:val="none"/>
        </w:rPr>
        <w:t>日期：</w:t>
      </w:r>
    </w:p>
    <w:p w14:paraId="1A4009DD">
      <w:pPr>
        <w:spacing w:line="360" w:lineRule="auto"/>
        <w:contextualSpacing/>
        <w:rPr>
          <w:rFonts w:ascii="宋体" w:cs="仿宋_GB2312"/>
          <w:color w:val="auto"/>
          <w:sz w:val="24"/>
          <w:highlight w:val="none"/>
        </w:rPr>
      </w:pPr>
    </w:p>
    <w:p w14:paraId="25C71CAF">
      <w:pPr>
        <w:spacing w:line="360" w:lineRule="auto"/>
        <w:contextualSpacing/>
        <w:rPr>
          <w:rFonts w:ascii="宋体" w:cs="仿宋_GB2312"/>
          <w:color w:val="auto"/>
          <w:sz w:val="24"/>
          <w:highlight w:val="none"/>
        </w:rPr>
      </w:pPr>
    </w:p>
    <w:p w14:paraId="62A41E4B">
      <w:pPr>
        <w:spacing w:line="360" w:lineRule="auto"/>
        <w:contextualSpacing/>
        <w:rPr>
          <w:rFonts w:ascii="宋体" w:cs="仿宋_GB2312"/>
          <w:color w:val="auto"/>
          <w:sz w:val="24"/>
          <w:highlight w:val="none"/>
        </w:rPr>
      </w:pPr>
    </w:p>
    <w:p w14:paraId="4D2B1057">
      <w:pPr>
        <w:spacing w:line="360" w:lineRule="auto"/>
        <w:contextualSpacing/>
        <w:rPr>
          <w:rFonts w:asci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081EC56E">
      <w:pPr>
        <w:spacing w:line="360" w:lineRule="auto"/>
        <w:jc w:val="center"/>
        <w:rPr>
          <w:rFonts w:ascii="宋体"/>
          <w:b/>
          <w:bCs/>
          <w:color w:val="auto"/>
          <w:sz w:val="32"/>
          <w:szCs w:val="32"/>
          <w:highlight w:val="none"/>
        </w:rPr>
      </w:pPr>
      <w:r>
        <w:rPr>
          <w:rFonts w:ascii="宋体" w:cs="仿宋_GB2312"/>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质疑函（格式）</w:t>
      </w:r>
    </w:p>
    <w:p w14:paraId="1F88CF0D">
      <w:pPr>
        <w:spacing w:line="360" w:lineRule="auto"/>
        <w:jc w:val="center"/>
        <w:rPr>
          <w:rFonts w:ascii="宋体"/>
          <w:b/>
          <w:bCs/>
          <w:color w:val="auto"/>
          <w:sz w:val="32"/>
          <w:szCs w:val="32"/>
          <w:highlight w:val="none"/>
        </w:rPr>
      </w:pPr>
    </w:p>
    <w:p w14:paraId="5E7BE124">
      <w:pPr>
        <w:pStyle w:val="14"/>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5178FD7D">
      <w:pPr>
        <w:pStyle w:val="14"/>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p>
    <w:p w14:paraId="29A19554">
      <w:pPr>
        <w:pStyle w:val="14"/>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36EA8717">
      <w:pPr>
        <w:pStyle w:val="14"/>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5E4D5372">
      <w:pPr>
        <w:pStyle w:val="14"/>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5787314D">
      <w:pPr>
        <w:pStyle w:val="14"/>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787B3E98">
      <w:pPr>
        <w:pStyle w:val="14"/>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2B1D5571">
      <w:pPr>
        <w:pStyle w:val="14"/>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1F638C38">
      <w:pPr>
        <w:pStyle w:val="14"/>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490714B6">
      <w:pPr>
        <w:pStyle w:val="14"/>
        <w:spacing w:line="360" w:lineRule="auto"/>
        <w:ind w:left="25" w:leftChars="12" w:firstLine="472" w:firstLineChars="197"/>
        <w:contextualSpacing/>
        <w:rPr>
          <w:rFonts w:hAnsi="宋体"/>
          <w:color w:val="auto"/>
          <w:sz w:val="24"/>
          <w:szCs w:val="24"/>
          <w:highlight w:val="none"/>
          <w:u w:val="singl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r>
        <w:rPr>
          <w:rFonts w:hint="eastAsia" w:hAnsi="宋体" w:cs="仿宋_GB2312"/>
          <w:color w:val="auto"/>
          <w:sz w:val="24"/>
          <w:highlight w:val="none"/>
        </w:rPr>
        <w:t>所竞分标：</w:t>
      </w:r>
      <w:r>
        <w:rPr>
          <w:rFonts w:hint="eastAsia" w:hAnsi="宋体" w:cs="仿宋_GB2312"/>
          <w:color w:val="auto"/>
          <w:sz w:val="24"/>
          <w:highlight w:val="none"/>
          <w:u w:val="single"/>
        </w:rPr>
        <w:t xml:space="preserve">           </w:t>
      </w:r>
    </w:p>
    <w:p w14:paraId="2FB27830">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6CB99CC1">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r>
        <w:rPr>
          <w:rFonts w:hint="eastAsia" w:hAnsi="宋体"/>
          <w:bCs/>
          <w:color w:val="auto"/>
          <w:sz w:val="24"/>
          <w:szCs w:val="24"/>
          <w:highlight w:val="none"/>
          <w:u w:val="single"/>
        </w:rPr>
        <w:t xml:space="preserve">               </w:t>
      </w:r>
    </w:p>
    <w:p w14:paraId="27BF97B8">
      <w:pPr>
        <w:pStyle w:val="14"/>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□谈判文件获取日期：</w:t>
      </w:r>
      <w:r>
        <w:rPr>
          <w:rFonts w:hint="eastAsia" w:hAnsi="宋体"/>
          <w:bCs/>
          <w:color w:val="auto"/>
          <w:sz w:val="24"/>
          <w:szCs w:val="24"/>
          <w:highlight w:val="none"/>
          <w:u w:val="single"/>
        </w:rPr>
        <w:t xml:space="preserve">               </w:t>
      </w:r>
    </w:p>
    <w:p w14:paraId="7C2C2E34">
      <w:pPr>
        <w:pStyle w:val="14"/>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□采购过程</w:t>
      </w:r>
    </w:p>
    <w:p w14:paraId="45F58238">
      <w:pPr>
        <w:pStyle w:val="14"/>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□成交结果</w:t>
      </w:r>
    </w:p>
    <w:p w14:paraId="76916599">
      <w:pPr>
        <w:pStyle w:val="14"/>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42F394D2">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r>
        <w:rPr>
          <w:rFonts w:hAnsi="宋体"/>
          <w:color w:val="auto"/>
          <w:sz w:val="24"/>
          <w:szCs w:val="24"/>
          <w:highlight w:val="none"/>
        </w:rPr>
        <w:t>1</w:t>
      </w:r>
      <w:r>
        <w:rPr>
          <w:rFonts w:hint="eastAsia" w:hAnsi="宋体"/>
          <w:color w:val="auto"/>
          <w:sz w:val="24"/>
          <w:szCs w:val="24"/>
          <w:highlight w:val="none"/>
        </w:rPr>
        <w:t>：</w:t>
      </w:r>
      <w:r>
        <w:rPr>
          <w:rFonts w:hint="eastAsia" w:hAnsi="宋体"/>
          <w:bCs/>
          <w:color w:val="auto"/>
          <w:sz w:val="24"/>
          <w:szCs w:val="24"/>
          <w:highlight w:val="none"/>
          <w:u w:val="single"/>
        </w:rPr>
        <w:t xml:space="preserve">               </w:t>
      </w:r>
    </w:p>
    <w:p w14:paraId="15A1080B">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5DBE59F9">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r>
        <w:rPr>
          <w:rFonts w:hint="eastAsia" w:hAnsi="宋体"/>
          <w:bCs/>
          <w:color w:val="auto"/>
          <w:sz w:val="24"/>
          <w:szCs w:val="24"/>
          <w:highlight w:val="none"/>
          <w:u w:val="single"/>
        </w:rPr>
        <w:t xml:space="preserve">               </w:t>
      </w:r>
    </w:p>
    <w:p w14:paraId="6A8E8656">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r>
        <w:rPr>
          <w:rFonts w:hAnsi="宋体"/>
          <w:color w:val="auto"/>
          <w:sz w:val="24"/>
          <w:szCs w:val="24"/>
          <w:highlight w:val="none"/>
        </w:rPr>
        <w:t>2</w:t>
      </w:r>
      <w:r>
        <w:rPr>
          <w:rFonts w:hint="eastAsia" w:hAnsi="宋体"/>
          <w:color w:val="auto"/>
          <w:sz w:val="24"/>
          <w:szCs w:val="24"/>
          <w:highlight w:val="none"/>
        </w:rPr>
        <w:t>：</w:t>
      </w:r>
      <w:r>
        <w:rPr>
          <w:rFonts w:hint="eastAsia" w:hAnsi="宋体"/>
          <w:bCs/>
          <w:color w:val="auto"/>
          <w:sz w:val="24"/>
          <w:szCs w:val="24"/>
          <w:highlight w:val="none"/>
          <w:u w:val="single"/>
        </w:rPr>
        <w:t xml:space="preserve">               </w:t>
      </w:r>
    </w:p>
    <w:p w14:paraId="78C48C1F">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w:t>
      </w:r>
    </w:p>
    <w:p w14:paraId="27407D45">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r>
        <w:rPr>
          <w:rFonts w:hint="eastAsia" w:hAnsi="宋体"/>
          <w:bCs/>
          <w:color w:val="auto"/>
          <w:sz w:val="24"/>
          <w:szCs w:val="24"/>
          <w:highlight w:val="none"/>
          <w:u w:val="single"/>
        </w:rPr>
        <w:t xml:space="preserve">               </w:t>
      </w:r>
    </w:p>
    <w:p w14:paraId="70128B38">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1273C44E">
      <w:pPr>
        <w:pStyle w:val="14"/>
        <w:spacing w:line="360" w:lineRule="auto"/>
        <w:ind w:left="25" w:leftChars="12" w:firstLine="352" w:firstLineChars="147"/>
        <w:contextualSpacing/>
        <w:rPr>
          <w:rFonts w:hAnsi="宋体"/>
          <w:color w:val="auto"/>
          <w:sz w:val="24"/>
          <w:szCs w:val="24"/>
          <w:highlight w:val="none"/>
        </w:rPr>
      </w:pPr>
    </w:p>
    <w:p w14:paraId="7E3E999B">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4297D521">
      <w:pPr>
        <w:pStyle w:val="14"/>
        <w:spacing w:line="360" w:lineRule="auto"/>
        <w:ind w:left="25" w:leftChars="12" w:firstLine="352" w:firstLineChars="147"/>
        <w:contextualSpacing/>
        <w:rPr>
          <w:rFonts w:hAnsi="宋体"/>
          <w:color w:val="auto"/>
          <w:sz w:val="24"/>
          <w:szCs w:val="24"/>
          <w:highlight w:val="none"/>
        </w:rPr>
      </w:pPr>
    </w:p>
    <w:p w14:paraId="55D83CB6">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日期：</w:t>
      </w:r>
    </w:p>
    <w:p w14:paraId="639DF745">
      <w:pPr>
        <w:pStyle w:val="14"/>
        <w:spacing w:line="360" w:lineRule="auto"/>
        <w:contextualSpacing/>
        <w:rPr>
          <w:rFonts w:hAnsi="宋体"/>
          <w:b/>
          <w:color w:val="auto"/>
          <w:sz w:val="24"/>
          <w:szCs w:val="24"/>
          <w:highlight w:val="none"/>
        </w:rPr>
      </w:pPr>
    </w:p>
    <w:p w14:paraId="3E23F426">
      <w:pPr>
        <w:pStyle w:val="14"/>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045A26BB">
      <w:pPr>
        <w:pStyle w:val="14"/>
        <w:spacing w:line="360" w:lineRule="auto"/>
        <w:ind w:left="25" w:leftChars="12" w:firstLine="354" w:firstLineChars="147"/>
        <w:contextualSpacing/>
        <w:rPr>
          <w:rFonts w:hAnsi="宋体"/>
          <w:b/>
          <w:bCs/>
          <w:color w:val="auto"/>
          <w:sz w:val="24"/>
          <w:szCs w:val="24"/>
          <w:highlight w:val="none"/>
        </w:rPr>
      </w:pPr>
      <w:r>
        <w:rPr>
          <w:rFonts w:hAnsi="宋体"/>
          <w:b/>
          <w:color w:val="auto"/>
          <w:sz w:val="24"/>
          <w:szCs w:val="24"/>
          <w:highlight w:val="none"/>
        </w:rPr>
        <w:t>1.</w:t>
      </w:r>
      <w:r>
        <w:rPr>
          <w:rFonts w:hint="eastAsia" w:hAnsi="宋体"/>
          <w:b/>
          <w:color w:val="auto"/>
          <w:sz w:val="24"/>
          <w:szCs w:val="24"/>
          <w:highlight w:val="none"/>
        </w:rPr>
        <w:t>供应商提出质疑时，应提交质疑函和必要的证明材料</w:t>
      </w:r>
      <w:r>
        <w:rPr>
          <w:rFonts w:hint="eastAsia" w:hAnsi="宋体"/>
          <w:b/>
          <w:bCs/>
          <w:color w:val="auto"/>
          <w:sz w:val="24"/>
          <w:szCs w:val="24"/>
          <w:highlight w:val="none"/>
        </w:rPr>
        <w:t>。</w:t>
      </w:r>
    </w:p>
    <w:p w14:paraId="118C8E02">
      <w:pPr>
        <w:pStyle w:val="14"/>
        <w:spacing w:line="360" w:lineRule="auto"/>
        <w:ind w:left="25" w:leftChars="12" w:firstLine="354" w:firstLineChars="147"/>
        <w:contextualSpacing/>
        <w:rPr>
          <w:rFonts w:hAnsi="宋体"/>
          <w:b/>
          <w:color w:val="auto"/>
          <w:sz w:val="24"/>
          <w:szCs w:val="24"/>
          <w:highlight w:val="none"/>
        </w:rPr>
      </w:pPr>
      <w:r>
        <w:rPr>
          <w:rFonts w:hAnsi="宋体"/>
          <w:b/>
          <w:color w:val="auto"/>
          <w:sz w:val="24"/>
          <w:szCs w:val="24"/>
          <w:highlight w:val="none"/>
        </w:rPr>
        <w:t>2.</w:t>
      </w:r>
      <w:r>
        <w:rPr>
          <w:rFonts w:hint="eastAsia" w:hAnsi="宋体"/>
          <w:b/>
          <w:color w:val="auto"/>
          <w:sz w:val="24"/>
          <w:szCs w:val="24"/>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8308D6F">
      <w:pPr>
        <w:pStyle w:val="1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w:t>
      </w:r>
      <w:r>
        <w:rPr>
          <w:rFonts w:hAnsi="宋体"/>
          <w:b/>
          <w:color w:val="auto"/>
          <w:sz w:val="24"/>
          <w:szCs w:val="24"/>
          <w:highlight w:val="none"/>
        </w:rPr>
        <w:t>.</w:t>
      </w:r>
      <w:r>
        <w:rPr>
          <w:rFonts w:hint="eastAsia" w:hAnsi="宋体"/>
          <w:b/>
          <w:color w:val="auto"/>
          <w:sz w:val="24"/>
          <w:szCs w:val="24"/>
          <w:highlight w:val="none"/>
        </w:rPr>
        <w:t>质疑函的质疑事项应具体、明确，并有必要的事实依据和法律依据。</w:t>
      </w:r>
    </w:p>
    <w:p w14:paraId="59AEC9B1">
      <w:pPr>
        <w:pStyle w:val="1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w:t>
      </w:r>
      <w:r>
        <w:rPr>
          <w:rFonts w:hAnsi="宋体"/>
          <w:b/>
          <w:color w:val="auto"/>
          <w:sz w:val="24"/>
          <w:szCs w:val="24"/>
          <w:highlight w:val="none"/>
        </w:rPr>
        <w:t>.</w:t>
      </w:r>
      <w:r>
        <w:rPr>
          <w:rFonts w:hint="eastAsia" w:hAnsi="宋体"/>
          <w:b/>
          <w:color w:val="auto"/>
          <w:sz w:val="24"/>
          <w:szCs w:val="24"/>
          <w:highlight w:val="none"/>
        </w:rPr>
        <w:t>质疑函的质疑请求应与质疑事项相关。</w:t>
      </w:r>
    </w:p>
    <w:p w14:paraId="217C7A7F">
      <w:pPr>
        <w:pStyle w:val="14"/>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w:t>
      </w:r>
      <w:r>
        <w:rPr>
          <w:rFonts w:hAnsi="宋体"/>
          <w:b/>
          <w:color w:val="auto"/>
          <w:sz w:val="24"/>
          <w:szCs w:val="24"/>
          <w:highlight w:val="none"/>
        </w:rPr>
        <w:t>.</w:t>
      </w:r>
      <w:r>
        <w:rPr>
          <w:rFonts w:hint="eastAsia" w:hAnsi="宋体"/>
          <w:b/>
          <w:color w:val="auto"/>
          <w:sz w:val="24"/>
          <w:szCs w:val="24"/>
          <w:highlight w:val="none"/>
        </w:rPr>
        <w:t>质疑供应商为法人或者其他组织的，质疑函应由法定代表人、主要负责人，或者其授权代表签字或者盖章，并加盖公章。</w:t>
      </w:r>
    </w:p>
    <w:p w14:paraId="3F7422E4">
      <w:pPr>
        <w:pStyle w:val="14"/>
        <w:snapToGrid w:val="0"/>
        <w:rPr>
          <w:b/>
          <w:color w:val="auto"/>
          <w:sz w:val="24"/>
          <w:szCs w:val="24"/>
          <w:highlight w:val="none"/>
        </w:rPr>
      </w:pPr>
    </w:p>
    <w:p w14:paraId="656B6CFA">
      <w:pPr>
        <w:rPr>
          <w:color w:val="auto"/>
          <w:highlight w:val="none"/>
        </w:rPr>
      </w:pPr>
      <w:r>
        <w:rPr>
          <w:color w:val="auto"/>
          <w:highlight w:val="none"/>
        </w:rPr>
        <w:br w:type="page"/>
      </w:r>
    </w:p>
    <w:p w14:paraId="65409F17">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7B242140">
      <w:pPr>
        <w:pStyle w:val="1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341C83AB">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p>
    <w:p w14:paraId="44F414DB">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62D0F850">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w:t>
      </w:r>
      <w:r>
        <w:rPr>
          <w:rFonts w:hAnsi="宋体"/>
          <w:bCs/>
          <w:color w:val="auto"/>
          <w:sz w:val="24"/>
          <w:szCs w:val="24"/>
          <w:highlight w:val="none"/>
        </w:rPr>
        <w:t>/</w:t>
      </w:r>
      <w:r>
        <w:rPr>
          <w:rFonts w:hint="eastAsia" w:hAnsi="宋体"/>
          <w:bCs/>
          <w:color w:val="auto"/>
          <w:sz w:val="24"/>
          <w:szCs w:val="24"/>
          <w:highlight w:val="none"/>
        </w:rPr>
        <w:t>主要负责人：</w:t>
      </w:r>
      <w:r>
        <w:rPr>
          <w:rFonts w:hint="eastAsia" w:hAnsi="宋体"/>
          <w:bCs/>
          <w:color w:val="auto"/>
          <w:sz w:val="24"/>
          <w:szCs w:val="24"/>
          <w:highlight w:val="none"/>
          <w:u w:val="single"/>
        </w:rPr>
        <w:t xml:space="preserve">               </w:t>
      </w:r>
    </w:p>
    <w:p w14:paraId="05D2FE57">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0A740AF4">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20D4E0B9">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21BDE7E2">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0D75984E">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w:t>
      </w:r>
      <w:r>
        <w:rPr>
          <w:rFonts w:hAnsi="宋体"/>
          <w:bCs/>
          <w:color w:val="auto"/>
          <w:sz w:val="24"/>
          <w:szCs w:val="24"/>
          <w:highlight w:val="none"/>
        </w:rPr>
        <w:t>1</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3609B96">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5C3DAC9F">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45143597">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3358B5ED">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w:t>
      </w:r>
      <w:r>
        <w:rPr>
          <w:rFonts w:hAnsi="宋体"/>
          <w:bCs/>
          <w:color w:val="auto"/>
          <w:sz w:val="24"/>
          <w:szCs w:val="24"/>
          <w:highlight w:val="none"/>
        </w:rPr>
        <w:t>2</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D48174B">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w:t>
      </w:r>
    </w:p>
    <w:p w14:paraId="01B27C0E">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374DD677">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4029619C">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0E926801">
      <w:pPr>
        <w:pStyle w:val="1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21ACA909">
      <w:pPr>
        <w:pStyle w:val="1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77DD7A5C">
      <w:pPr>
        <w:pStyle w:val="14"/>
        <w:spacing w:line="360" w:lineRule="auto"/>
        <w:ind w:left="25" w:leftChars="12" w:firstLine="472" w:firstLineChars="197"/>
        <w:rPr>
          <w:rFonts w:hAnsi="宋体"/>
          <w:color w:val="auto"/>
          <w:sz w:val="24"/>
          <w:szCs w:val="24"/>
          <w:highlight w:val="none"/>
          <w:u w:val="singl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r>
        <w:rPr>
          <w:rFonts w:hint="eastAsia" w:hAnsi="宋体" w:cs="仿宋_GB2312"/>
          <w:color w:val="auto"/>
          <w:sz w:val="24"/>
          <w:highlight w:val="none"/>
        </w:rPr>
        <w:t>所竞分标：</w:t>
      </w:r>
      <w:r>
        <w:rPr>
          <w:rFonts w:hint="eastAsia" w:hAnsi="宋体" w:cs="仿宋_GB2312"/>
          <w:color w:val="auto"/>
          <w:sz w:val="24"/>
          <w:highlight w:val="none"/>
          <w:u w:val="single"/>
        </w:rPr>
        <w:t xml:space="preserve">              </w:t>
      </w:r>
    </w:p>
    <w:p w14:paraId="06AC0F31">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11CF7058">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5E159385">
      <w:pPr>
        <w:pStyle w:val="14"/>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w:t>
      </w:r>
      <w:r>
        <w:rPr>
          <w:rFonts w:hAnsi="宋体"/>
          <w:bCs/>
          <w:color w:val="auto"/>
          <w:sz w:val="24"/>
          <w:szCs w:val="24"/>
          <w:highlight w:val="none"/>
          <w:u w:val="single"/>
        </w:rPr>
        <w:t>/</w:t>
      </w:r>
      <w:r>
        <w:rPr>
          <w:rFonts w:hint="eastAsia" w:hAnsi="宋体"/>
          <w:bCs/>
          <w:color w:val="auto"/>
          <w:sz w:val="24"/>
          <w:szCs w:val="24"/>
          <w:highlight w:val="none"/>
          <w:u w:val="single"/>
        </w:rPr>
        <w:t>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7CC92DF4">
      <w:pPr>
        <w:pStyle w:val="14"/>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w:t>
      </w:r>
      <w:r>
        <w:rPr>
          <w:rFonts w:hAnsi="宋体"/>
          <w:bCs/>
          <w:color w:val="auto"/>
          <w:sz w:val="24"/>
          <w:szCs w:val="24"/>
          <w:highlight w:val="none"/>
          <w:u w:val="single"/>
        </w:rPr>
        <w:t>/</w:t>
      </w:r>
      <w:r>
        <w:rPr>
          <w:rFonts w:hint="eastAsia" w:hAnsi="宋体"/>
          <w:bCs/>
          <w:color w:val="auto"/>
          <w:sz w:val="24"/>
          <w:szCs w:val="24"/>
          <w:highlight w:val="none"/>
          <w:u w:val="single"/>
        </w:rPr>
        <w:t>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4CF4E546">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6A0C7D2D">
      <w:pPr>
        <w:pStyle w:val="14"/>
        <w:spacing w:line="360" w:lineRule="auto"/>
        <w:ind w:left="23" w:leftChars="11" w:firstLine="540" w:firstLineChars="225"/>
        <w:rPr>
          <w:rFonts w:hAnsi="宋体"/>
          <w:color w:val="auto"/>
          <w:sz w:val="24"/>
          <w:szCs w:val="24"/>
          <w:highlight w:val="none"/>
        </w:rPr>
      </w:pPr>
      <w:r>
        <w:rPr>
          <w:rFonts w:hint="eastAsia" w:hAnsi="宋体"/>
          <w:color w:val="auto"/>
          <w:sz w:val="24"/>
          <w:szCs w:val="24"/>
          <w:highlight w:val="none"/>
        </w:rPr>
        <w:t>投诉人于年月日，向提出质疑，质疑事项为：</w:t>
      </w:r>
      <w:r>
        <w:rPr>
          <w:rFonts w:hint="eastAsia" w:hAnsi="宋体"/>
          <w:bCs/>
          <w:color w:val="auto"/>
          <w:sz w:val="24"/>
          <w:szCs w:val="24"/>
          <w:highlight w:val="none"/>
          <w:u w:val="single"/>
        </w:rPr>
        <w:t xml:space="preserve">               </w:t>
      </w:r>
    </w:p>
    <w:p w14:paraId="7C2B23E0">
      <w:pPr>
        <w:pStyle w:val="14"/>
        <w:spacing w:line="360" w:lineRule="auto"/>
        <w:ind w:left="23" w:leftChars="11" w:firstLine="540" w:firstLineChars="225"/>
        <w:rPr>
          <w:rFonts w:hAnsi="宋体"/>
          <w:bCs/>
          <w:color w:val="auto"/>
          <w:sz w:val="24"/>
          <w:szCs w:val="24"/>
          <w:highlight w:val="none"/>
          <w:u w:val="single"/>
        </w:rPr>
      </w:pPr>
    </w:p>
    <w:p w14:paraId="1E0C443C">
      <w:pPr>
        <w:pStyle w:val="14"/>
        <w:spacing w:line="360" w:lineRule="auto"/>
        <w:ind w:left="23" w:leftChars="11" w:firstLine="540" w:firstLineChars="225"/>
        <w:rPr>
          <w:rFonts w:hAnsi="宋体"/>
          <w:bCs/>
          <w:color w:val="auto"/>
          <w:sz w:val="24"/>
          <w:szCs w:val="24"/>
          <w:highlight w:val="none"/>
          <w:u w:val="single"/>
        </w:rPr>
      </w:pPr>
    </w:p>
    <w:p w14:paraId="57A26F03">
      <w:pPr>
        <w:pStyle w:val="14"/>
        <w:spacing w:line="360" w:lineRule="auto"/>
        <w:ind w:left="23" w:leftChars="11" w:firstLine="540" w:firstLineChars="225"/>
        <w:rPr>
          <w:rFonts w:hAnsi="宋体"/>
          <w:color w:val="auto"/>
          <w:sz w:val="24"/>
          <w:szCs w:val="24"/>
          <w:highlight w:val="none"/>
        </w:rPr>
      </w:pPr>
      <w:r>
        <w:rPr>
          <w:rFonts w:hint="eastAsia" w:hAnsi="宋体"/>
          <w:bCs/>
          <w:color w:val="auto"/>
          <w:sz w:val="24"/>
          <w:szCs w:val="24"/>
          <w:highlight w:val="none"/>
          <w:u w:val="single"/>
        </w:rPr>
        <w:t>采购人</w:t>
      </w:r>
      <w:r>
        <w:rPr>
          <w:rFonts w:hAnsi="宋体"/>
          <w:bCs/>
          <w:color w:val="auto"/>
          <w:sz w:val="24"/>
          <w:szCs w:val="24"/>
          <w:highlight w:val="none"/>
          <w:u w:val="single"/>
        </w:rPr>
        <w:t>/</w:t>
      </w:r>
      <w:r>
        <w:rPr>
          <w:rFonts w:hint="eastAsia" w:hAnsi="宋体"/>
          <w:bCs/>
          <w:color w:val="auto"/>
          <w:sz w:val="24"/>
          <w:szCs w:val="24"/>
          <w:highlight w:val="none"/>
          <w:u w:val="single"/>
        </w:rPr>
        <w:t>代理机构</w:t>
      </w:r>
      <w:r>
        <w:rPr>
          <w:rFonts w:hint="eastAsia" w:hAnsi="宋体"/>
          <w:bCs/>
          <w:color w:val="auto"/>
          <w:sz w:val="24"/>
          <w:szCs w:val="24"/>
          <w:highlight w:val="none"/>
        </w:rPr>
        <w:t>于</w:t>
      </w:r>
      <w:r>
        <w:rPr>
          <w:rFonts w:hint="eastAsia" w:hAnsi="宋体"/>
          <w:bCs/>
          <w:color w:val="auto"/>
          <w:sz w:val="24"/>
          <w:szCs w:val="24"/>
          <w:highlight w:val="none"/>
          <w:u w:val="single"/>
        </w:rPr>
        <w:t xml:space="preserve">  </w:t>
      </w:r>
      <w:r>
        <w:rPr>
          <w:rFonts w:hint="eastAsia" w:hAnsi="宋体"/>
          <w:color w:val="auto"/>
          <w:sz w:val="24"/>
          <w:szCs w:val="24"/>
          <w:highlight w:val="none"/>
        </w:rPr>
        <w:t>年</w:t>
      </w:r>
      <w:r>
        <w:rPr>
          <w:rFonts w:hint="eastAsia" w:hAnsi="宋体"/>
          <w:bCs/>
          <w:color w:val="auto"/>
          <w:sz w:val="24"/>
          <w:szCs w:val="24"/>
          <w:highlight w:val="none"/>
          <w:u w:val="single"/>
        </w:rPr>
        <w:t xml:space="preserve">  </w:t>
      </w:r>
      <w:r>
        <w:rPr>
          <w:rFonts w:hint="eastAsia" w:hAnsi="宋体"/>
          <w:color w:val="auto"/>
          <w:sz w:val="24"/>
          <w:szCs w:val="24"/>
          <w:highlight w:val="none"/>
        </w:rPr>
        <w:t>月</w:t>
      </w:r>
      <w:r>
        <w:rPr>
          <w:rFonts w:hint="eastAsia" w:hAnsi="宋体"/>
          <w:bCs/>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就质疑事项作出了答复</w:t>
      </w:r>
      <w:r>
        <w:rPr>
          <w:rFonts w:hAnsi="宋体"/>
          <w:bCs/>
          <w:color w:val="auto"/>
          <w:sz w:val="24"/>
          <w:szCs w:val="24"/>
          <w:highlight w:val="none"/>
        </w:rPr>
        <w:t>/</w:t>
      </w:r>
      <w:r>
        <w:rPr>
          <w:rFonts w:hint="eastAsia" w:hAnsi="宋体"/>
          <w:bCs/>
          <w:color w:val="auto"/>
          <w:sz w:val="24"/>
          <w:szCs w:val="24"/>
          <w:highlight w:val="none"/>
        </w:rPr>
        <w:t>没有在法定期限内作出答复。</w:t>
      </w:r>
    </w:p>
    <w:p w14:paraId="0D89AF4B">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7616849E">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w:t>
      </w:r>
      <w:r>
        <w:rPr>
          <w:rFonts w:hAnsi="宋体"/>
          <w:color w:val="auto"/>
          <w:sz w:val="24"/>
          <w:szCs w:val="24"/>
          <w:highlight w:val="none"/>
        </w:rPr>
        <w:t>1</w:t>
      </w:r>
      <w:r>
        <w:rPr>
          <w:rFonts w:hint="eastAsia" w:hAnsi="宋体"/>
          <w:color w:val="auto"/>
          <w:sz w:val="24"/>
          <w:szCs w:val="24"/>
          <w:highlight w:val="none"/>
        </w:rPr>
        <w:t>：</w:t>
      </w:r>
      <w:r>
        <w:rPr>
          <w:rFonts w:hint="eastAsia" w:hAnsi="宋体"/>
          <w:bCs/>
          <w:color w:val="auto"/>
          <w:sz w:val="24"/>
          <w:szCs w:val="24"/>
          <w:highlight w:val="none"/>
          <w:u w:val="single"/>
        </w:rPr>
        <w:t xml:space="preserve">               </w:t>
      </w:r>
    </w:p>
    <w:p w14:paraId="58EAA053">
      <w:pPr>
        <w:pStyle w:val="14"/>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bCs/>
          <w:color w:val="auto"/>
          <w:sz w:val="24"/>
          <w:szCs w:val="24"/>
          <w:highlight w:val="none"/>
          <w:u w:val="single"/>
        </w:rPr>
        <w:t xml:space="preserve">               </w:t>
      </w:r>
    </w:p>
    <w:p w14:paraId="3C1584F7">
      <w:pPr>
        <w:pStyle w:val="14"/>
        <w:spacing w:line="360" w:lineRule="auto"/>
        <w:ind w:left="25" w:leftChars="12" w:firstLine="472" w:firstLineChars="197"/>
        <w:rPr>
          <w:rFonts w:hAnsi="宋体"/>
          <w:color w:val="auto"/>
          <w:sz w:val="24"/>
          <w:szCs w:val="24"/>
          <w:highlight w:val="none"/>
        </w:rPr>
      </w:pPr>
    </w:p>
    <w:p w14:paraId="209AD864">
      <w:pPr>
        <w:pStyle w:val="14"/>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bCs/>
          <w:color w:val="auto"/>
          <w:sz w:val="24"/>
          <w:szCs w:val="24"/>
          <w:highlight w:val="none"/>
          <w:u w:val="single"/>
        </w:rPr>
        <w:t xml:space="preserve">               </w:t>
      </w:r>
    </w:p>
    <w:p w14:paraId="6F6C33F1">
      <w:pPr>
        <w:pStyle w:val="14"/>
        <w:spacing w:line="360" w:lineRule="auto"/>
        <w:ind w:left="25" w:leftChars="12" w:firstLine="352" w:firstLineChars="147"/>
        <w:rPr>
          <w:rFonts w:hAnsi="宋体"/>
          <w:bCs/>
          <w:color w:val="auto"/>
          <w:sz w:val="24"/>
          <w:szCs w:val="24"/>
          <w:highlight w:val="none"/>
          <w:u w:val="single"/>
        </w:rPr>
      </w:pPr>
    </w:p>
    <w:p w14:paraId="2511868F">
      <w:pPr>
        <w:pStyle w:val="14"/>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投诉事项</w:t>
      </w:r>
      <w:r>
        <w:rPr>
          <w:rFonts w:hAnsi="宋体"/>
          <w:color w:val="auto"/>
          <w:sz w:val="24"/>
          <w:szCs w:val="24"/>
          <w:highlight w:val="none"/>
        </w:rPr>
        <w:t xml:space="preserve">2 </w:t>
      </w:r>
      <w:r>
        <w:rPr>
          <w:rFonts w:hint="eastAsia" w:hAnsi="宋体"/>
          <w:color w:val="auto"/>
          <w:sz w:val="24"/>
          <w:szCs w:val="24"/>
          <w:highlight w:val="none"/>
        </w:rPr>
        <w:t>：</w:t>
      </w:r>
      <w:r>
        <w:rPr>
          <w:rFonts w:hint="eastAsia" w:hAnsi="宋体"/>
          <w:bCs/>
          <w:color w:val="auto"/>
          <w:sz w:val="24"/>
          <w:szCs w:val="24"/>
          <w:highlight w:val="none"/>
          <w:u w:val="single"/>
        </w:rPr>
        <w:t xml:space="preserve">               </w:t>
      </w:r>
    </w:p>
    <w:p w14:paraId="2C63E5E8">
      <w:pPr>
        <w:pStyle w:val="14"/>
        <w:spacing w:line="360" w:lineRule="auto"/>
        <w:ind w:left="25" w:leftChars="12" w:firstLine="472" w:firstLineChars="197"/>
        <w:rPr>
          <w:rFonts w:hAnsi="宋体"/>
          <w:bCs/>
          <w:color w:val="auto"/>
          <w:sz w:val="24"/>
          <w:szCs w:val="24"/>
          <w:highlight w:val="none"/>
        </w:rPr>
      </w:pPr>
      <w:r>
        <w:rPr>
          <w:rFonts w:hint="eastAsia" w:hAnsi="宋体"/>
          <w:bCs/>
          <w:color w:val="auto"/>
          <w:sz w:val="24"/>
          <w:szCs w:val="24"/>
          <w:highlight w:val="none"/>
        </w:rPr>
        <w:t>……</w:t>
      </w:r>
    </w:p>
    <w:p w14:paraId="0F77B37A">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7E2CF9A7">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14:paraId="1E726D90">
      <w:pPr>
        <w:pStyle w:val="14"/>
        <w:spacing w:line="360" w:lineRule="auto"/>
        <w:ind w:left="25" w:leftChars="12" w:firstLine="352" w:firstLineChars="147"/>
        <w:rPr>
          <w:rFonts w:hAnsi="宋体"/>
          <w:color w:val="auto"/>
          <w:sz w:val="24"/>
          <w:szCs w:val="24"/>
          <w:highlight w:val="none"/>
        </w:rPr>
      </w:pPr>
    </w:p>
    <w:p w14:paraId="26E1E463">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430370D9">
      <w:pPr>
        <w:pStyle w:val="14"/>
        <w:spacing w:line="360" w:lineRule="auto"/>
        <w:ind w:left="25" w:leftChars="12" w:firstLine="352" w:firstLineChars="147"/>
        <w:rPr>
          <w:rFonts w:hAnsi="宋体"/>
          <w:color w:val="auto"/>
          <w:sz w:val="24"/>
          <w:szCs w:val="24"/>
          <w:highlight w:val="none"/>
        </w:rPr>
      </w:pPr>
    </w:p>
    <w:p w14:paraId="760D0839">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6D017947">
      <w:pPr>
        <w:pStyle w:val="14"/>
        <w:spacing w:line="360" w:lineRule="auto"/>
        <w:ind w:left="25" w:leftChars="12" w:firstLine="472" w:firstLineChars="197"/>
        <w:rPr>
          <w:rFonts w:hAnsi="宋体"/>
          <w:color w:val="auto"/>
          <w:sz w:val="24"/>
          <w:szCs w:val="24"/>
          <w:highlight w:val="none"/>
        </w:rPr>
      </w:pPr>
    </w:p>
    <w:p w14:paraId="6C967B52">
      <w:pPr>
        <w:pStyle w:val="14"/>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6405F398">
      <w:pPr>
        <w:pStyle w:val="14"/>
        <w:spacing w:line="360" w:lineRule="auto"/>
        <w:ind w:left="25" w:leftChars="12" w:firstLine="354" w:firstLineChars="147"/>
        <w:rPr>
          <w:rFonts w:hAnsi="宋体"/>
          <w:b/>
          <w:bCs/>
          <w:color w:val="auto"/>
          <w:sz w:val="24"/>
          <w:szCs w:val="24"/>
          <w:highlight w:val="none"/>
        </w:rPr>
      </w:pPr>
      <w:r>
        <w:rPr>
          <w:rFonts w:hAnsi="宋体"/>
          <w:b/>
          <w:color w:val="auto"/>
          <w:sz w:val="24"/>
          <w:szCs w:val="24"/>
          <w:highlight w:val="none"/>
        </w:rPr>
        <w:t>1.</w:t>
      </w:r>
      <w:r>
        <w:rPr>
          <w:rFonts w:hint="eastAsia" w:hAnsi="宋体"/>
          <w:b/>
          <w:color w:val="auto"/>
          <w:sz w:val="24"/>
          <w:szCs w:val="24"/>
          <w:highlight w:val="none"/>
        </w:rPr>
        <w:t>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535F0355">
      <w:pPr>
        <w:pStyle w:val="14"/>
        <w:spacing w:line="360" w:lineRule="auto"/>
        <w:ind w:left="25" w:leftChars="12" w:firstLine="354" w:firstLineChars="147"/>
        <w:rPr>
          <w:rFonts w:hAnsi="宋体"/>
          <w:b/>
          <w:color w:val="auto"/>
          <w:sz w:val="24"/>
          <w:szCs w:val="24"/>
          <w:highlight w:val="none"/>
        </w:rPr>
      </w:pPr>
      <w:r>
        <w:rPr>
          <w:rFonts w:hAnsi="宋体"/>
          <w:b/>
          <w:color w:val="auto"/>
          <w:sz w:val="24"/>
          <w:szCs w:val="24"/>
          <w:highlight w:val="none"/>
        </w:rPr>
        <w:t>2.</w:t>
      </w:r>
      <w:r>
        <w:rPr>
          <w:rFonts w:hint="eastAsia" w:hAnsi="宋体"/>
          <w:b/>
          <w:color w:val="auto"/>
          <w:sz w:val="24"/>
          <w:szCs w:val="24"/>
          <w:highlight w:val="none"/>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7F0FAA0B">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w:t>
      </w:r>
      <w:r>
        <w:rPr>
          <w:rFonts w:hAnsi="宋体"/>
          <w:b/>
          <w:color w:val="auto"/>
          <w:sz w:val="24"/>
          <w:szCs w:val="24"/>
          <w:highlight w:val="none"/>
        </w:rPr>
        <w:t>.</w:t>
      </w:r>
      <w:r>
        <w:rPr>
          <w:rFonts w:hint="eastAsia" w:hAnsi="宋体"/>
          <w:b/>
          <w:color w:val="auto"/>
          <w:sz w:val="24"/>
          <w:szCs w:val="24"/>
          <w:highlight w:val="none"/>
        </w:rPr>
        <w:t>投诉书应简要列明质疑事项，质疑函、质疑答复等作为附件材料提供。</w:t>
      </w:r>
    </w:p>
    <w:p w14:paraId="16FB63DB">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w:t>
      </w:r>
      <w:r>
        <w:rPr>
          <w:rFonts w:hAnsi="宋体"/>
          <w:b/>
          <w:color w:val="auto"/>
          <w:sz w:val="24"/>
          <w:szCs w:val="24"/>
          <w:highlight w:val="none"/>
        </w:rPr>
        <w:t>.</w:t>
      </w:r>
      <w:r>
        <w:rPr>
          <w:rFonts w:hint="eastAsia" w:hAnsi="宋体"/>
          <w:b/>
          <w:color w:val="auto"/>
          <w:sz w:val="24"/>
          <w:szCs w:val="24"/>
          <w:highlight w:val="none"/>
        </w:rPr>
        <w:t>投诉书的投诉事项应具体、明确，并有必要的事实依据和法律依据。</w:t>
      </w:r>
    </w:p>
    <w:p w14:paraId="453285C6">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w:t>
      </w:r>
      <w:r>
        <w:rPr>
          <w:rFonts w:hAnsi="宋体"/>
          <w:b/>
          <w:color w:val="auto"/>
          <w:sz w:val="24"/>
          <w:szCs w:val="24"/>
          <w:highlight w:val="none"/>
        </w:rPr>
        <w:t>.</w:t>
      </w:r>
      <w:r>
        <w:rPr>
          <w:rFonts w:hint="eastAsia" w:hAnsi="宋体"/>
          <w:b/>
          <w:color w:val="auto"/>
          <w:sz w:val="24"/>
          <w:szCs w:val="24"/>
          <w:highlight w:val="none"/>
        </w:rPr>
        <w:t>投诉书的投诉请求应与投诉事项相关。</w:t>
      </w:r>
    </w:p>
    <w:p w14:paraId="3E42E621">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6</w:t>
      </w:r>
      <w:r>
        <w:rPr>
          <w:rFonts w:hAnsi="宋体"/>
          <w:b/>
          <w:color w:val="auto"/>
          <w:sz w:val="24"/>
          <w:szCs w:val="24"/>
          <w:highlight w:val="none"/>
        </w:rPr>
        <w:t>.</w:t>
      </w:r>
      <w:r>
        <w:rPr>
          <w:rFonts w:hint="eastAsia" w:hAnsi="宋体"/>
          <w:b/>
          <w:color w:val="auto"/>
          <w:sz w:val="24"/>
          <w:szCs w:val="24"/>
          <w:highlight w:val="none"/>
        </w:rPr>
        <w:t>投诉人为法人或者其他组织的，投诉书应由法定代表人、主要负责人，或者其授权代表签字或者盖章，并加盖公章。</w:t>
      </w:r>
    </w:p>
    <w:p w14:paraId="27835ABA">
      <w:pPr>
        <w:pStyle w:val="14"/>
        <w:spacing w:line="360" w:lineRule="auto"/>
        <w:ind w:left="25" w:leftChars="12" w:firstLine="294" w:firstLineChars="147"/>
        <w:jc w:val="center"/>
        <w:rPr>
          <w:rFonts w:ascii="仿宋" w:hAnsi="仿宋" w:eastAsia="仿宋" w:cs="宋体"/>
          <w:color w:val="auto"/>
          <w:sz w:val="32"/>
          <w:szCs w:val="32"/>
          <w:highlight w:val="none"/>
        </w:rPr>
      </w:pPr>
      <w:r>
        <w:rPr>
          <w:color w:val="auto"/>
          <w:highlight w:val="none"/>
        </w:rPr>
        <w:br w:type="page"/>
      </w:r>
      <w:bookmarkStart w:id="101" w:name="_Toc74322013"/>
      <w:r>
        <w:rPr>
          <w:rFonts w:hint="eastAsia" w:hAnsi="宋体" w:cs="宋体"/>
          <w:b/>
          <w:bCs/>
          <w:color w:val="auto"/>
          <w:sz w:val="32"/>
          <w:szCs w:val="32"/>
          <w:highlight w:val="none"/>
        </w:rPr>
        <w:t>广西壮族自治区政府采购项目合同验收书（格式）</w:t>
      </w:r>
    </w:p>
    <w:p w14:paraId="753C6A22">
      <w:pPr>
        <w:widowControl/>
        <w:shd w:val="clear" w:color="auto" w:fill="FFFFFF"/>
        <w:spacing w:line="480" w:lineRule="atLeast"/>
        <w:jc w:val="center"/>
        <w:rPr>
          <w:rFonts w:ascii="仿宋" w:hAnsi="仿宋" w:eastAsia="仿宋" w:cs="宋体"/>
          <w:color w:val="auto"/>
          <w:kern w:val="0"/>
          <w:sz w:val="32"/>
          <w:szCs w:val="32"/>
          <w:highlight w:val="none"/>
        </w:rPr>
      </w:pPr>
    </w:p>
    <w:p w14:paraId="29C08F04">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项目名称</w:t>
      </w:r>
      <w:r>
        <w:rPr>
          <w:rFonts w:hint="eastAsia" w:ascii="仿宋" w:hAnsi="仿宋" w:eastAsia="仿宋" w:cs="宋体"/>
          <w:color w:val="auto"/>
          <w:kern w:val="0"/>
          <w:szCs w:val="21"/>
          <w:highlight w:val="none"/>
        </w:rPr>
        <w:t>）政府采购项目成交供应商（</w:t>
      </w:r>
      <w:r>
        <w:rPr>
          <w:rFonts w:hint="eastAsia" w:ascii="仿宋" w:hAnsi="仿宋" w:eastAsia="仿宋" w:cs="宋体"/>
          <w:color w:val="auto"/>
          <w:kern w:val="0"/>
          <w:szCs w:val="21"/>
          <w:highlight w:val="none"/>
          <w:u w:val="single"/>
        </w:rPr>
        <w:t>公司名称</w:t>
      </w:r>
      <w:r>
        <w:rPr>
          <w:rFonts w:hint="eastAsia" w:ascii="仿宋" w:hAnsi="仿宋" w:eastAsia="仿宋" w:cs="宋体"/>
          <w:color w:val="auto"/>
          <w:kern w:val="0"/>
          <w:szCs w:val="21"/>
          <w:highlight w:val="none"/>
        </w:rPr>
        <w:t>）提供的货物（或者工程、服务）进行了验收，验收情况如下：</w:t>
      </w:r>
    </w:p>
    <w:tbl>
      <w:tblPr>
        <w:tblStyle w:val="25"/>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D175B0A">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5B3B5F3F">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hint="eastAsia"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0FC1E914">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w:t>
            </w:r>
            <w:r>
              <w:rPr>
                <w:rFonts w:hint="eastAsia" w:ascii="Verdana" w:hAnsi="Verdana" w:cs="宋体"/>
                <w:color w:val="auto"/>
                <w:kern w:val="0"/>
                <w:szCs w:val="21"/>
                <w:highlight w:val="none"/>
              </w:rPr>
              <w:t>自行验收</w:t>
            </w:r>
            <w:r>
              <w:rPr>
                <w:rFonts w:ascii="Verdana" w:hAnsi="Verdana" w:cs="宋体"/>
                <w:color w:val="auto"/>
                <w:kern w:val="0"/>
                <w:szCs w:val="21"/>
                <w:highlight w:val="none"/>
              </w:rPr>
              <w:t xml:space="preserve"> □</w:t>
            </w:r>
            <w:r>
              <w:rPr>
                <w:rFonts w:hint="eastAsia" w:ascii="Verdana" w:hAnsi="Verdana" w:cs="宋体"/>
                <w:color w:val="auto"/>
                <w:kern w:val="0"/>
                <w:szCs w:val="21"/>
                <w:highlight w:val="none"/>
              </w:rPr>
              <w:t>委托验收</w:t>
            </w:r>
          </w:p>
        </w:tc>
      </w:tr>
      <w:tr w14:paraId="1FAEE078">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240C6002">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09CBEA3F">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6EE62B3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0F15670E">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431F37DD">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金额</w:t>
            </w:r>
          </w:p>
        </w:tc>
      </w:tr>
      <w:tr w14:paraId="01E3DFE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2E62481">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213123A">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50AEF8BC">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38930F1">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212775EE">
            <w:pPr>
              <w:widowControl/>
              <w:spacing w:before="100" w:beforeAutospacing="1" w:after="100" w:afterAutospacing="1" w:line="240" w:lineRule="atLeast"/>
              <w:jc w:val="center"/>
              <w:rPr>
                <w:rFonts w:ascii="Verdana" w:hAnsi="Verdana" w:cs="宋体"/>
                <w:color w:val="auto"/>
                <w:kern w:val="0"/>
                <w:szCs w:val="21"/>
                <w:highlight w:val="none"/>
              </w:rPr>
            </w:pPr>
          </w:p>
        </w:tc>
      </w:tr>
      <w:tr w14:paraId="4778BDF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E11CD2E">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BF927E5">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107C3FEE">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9AD48BC">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7CBFB69">
            <w:pPr>
              <w:widowControl/>
              <w:spacing w:before="100" w:beforeAutospacing="1" w:after="100" w:afterAutospacing="1" w:line="240" w:lineRule="atLeast"/>
              <w:jc w:val="center"/>
              <w:rPr>
                <w:rFonts w:ascii="Verdana" w:hAnsi="Verdana" w:cs="宋体"/>
                <w:color w:val="auto"/>
                <w:kern w:val="0"/>
                <w:szCs w:val="21"/>
                <w:highlight w:val="none"/>
              </w:rPr>
            </w:pPr>
          </w:p>
        </w:tc>
      </w:tr>
      <w:tr w14:paraId="42B6E2D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E1B955F">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33E6104">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B1C818A">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FA24F9E">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0D551FA">
            <w:pPr>
              <w:widowControl/>
              <w:spacing w:before="100" w:beforeAutospacing="1" w:after="100" w:afterAutospacing="1" w:line="240" w:lineRule="atLeast"/>
              <w:jc w:val="center"/>
              <w:rPr>
                <w:rFonts w:ascii="Verdana" w:hAnsi="Verdana" w:cs="宋体"/>
                <w:color w:val="auto"/>
                <w:kern w:val="0"/>
                <w:szCs w:val="21"/>
                <w:highlight w:val="none"/>
              </w:rPr>
            </w:pPr>
          </w:p>
        </w:tc>
      </w:tr>
      <w:tr w14:paraId="5A677BA3">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7D288DFE">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hint="eastAsia" w:ascii="Verdana" w:hAnsi="Verdana"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14:paraId="17DC4535">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857C683">
            <w:pPr>
              <w:widowControl/>
              <w:spacing w:before="100" w:beforeAutospacing="1" w:after="100" w:afterAutospacing="1" w:line="240" w:lineRule="atLeast"/>
              <w:jc w:val="center"/>
              <w:rPr>
                <w:rFonts w:ascii="Verdana" w:hAnsi="Verdana" w:cs="宋体"/>
                <w:color w:val="auto"/>
                <w:kern w:val="0"/>
                <w:szCs w:val="21"/>
                <w:highlight w:val="none"/>
              </w:rPr>
            </w:pPr>
          </w:p>
        </w:tc>
      </w:tr>
      <w:tr w14:paraId="25CACD6A">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4EFEF35B">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合计大写金额：仟佰拾万仟佰拾元</w:t>
            </w:r>
          </w:p>
        </w:tc>
      </w:tr>
      <w:tr w14:paraId="38FF6A0E">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70372FCD">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hint="eastAsia"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1031B294">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5D9C88D8">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hint="eastAsia"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593A9F55">
            <w:pPr>
              <w:widowControl/>
              <w:spacing w:before="100" w:beforeAutospacing="1" w:after="100" w:afterAutospacing="1" w:line="240" w:lineRule="atLeast"/>
              <w:jc w:val="center"/>
              <w:rPr>
                <w:rFonts w:ascii="Verdana" w:hAnsi="Verdana" w:cs="宋体"/>
                <w:color w:val="auto"/>
                <w:kern w:val="0"/>
                <w:szCs w:val="21"/>
                <w:highlight w:val="none"/>
              </w:rPr>
            </w:pPr>
          </w:p>
        </w:tc>
      </w:tr>
      <w:tr w14:paraId="01CA1DF5">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39945D53">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0BCD0283">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52E60865">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5DDCFC5B">
            <w:pPr>
              <w:widowControl/>
              <w:spacing w:before="100" w:beforeAutospacing="1" w:after="100" w:afterAutospacing="1" w:line="240" w:lineRule="atLeast"/>
              <w:jc w:val="center"/>
              <w:rPr>
                <w:rFonts w:ascii="Verdana" w:hAnsi="Verdana" w:cs="宋体"/>
                <w:color w:val="auto"/>
                <w:kern w:val="0"/>
                <w:szCs w:val="21"/>
                <w:highlight w:val="none"/>
              </w:rPr>
            </w:pPr>
          </w:p>
        </w:tc>
      </w:tr>
      <w:tr w14:paraId="72693812">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EBECE3">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2EB92BE">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应按采购合同、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7594C03A">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98FB75">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0CF38728">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验收结论性意见：</w:t>
            </w:r>
          </w:p>
        </w:tc>
      </w:tr>
      <w:tr w14:paraId="53590216">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669F61D6">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0B7936D2">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有异议的意见和说明理由：</w:t>
            </w:r>
          </w:p>
          <w:p w14:paraId="4438D53B">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签字：</w:t>
            </w:r>
          </w:p>
        </w:tc>
      </w:tr>
      <w:tr w14:paraId="7E123B73">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B1F50A">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验收小组成员签字：</w:t>
            </w:r>
          </w:p>
        </w:tc>
      </w:tr>
      <w:tr w14:paraId="0B88D406">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7F9B2C">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监督人员或者其他相关人员签字：</w:t>
            </w:r>
          </w:p>
          <w:p w14:paraId="6670AC24">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hint="eastAsia" w:ascii="Verdana" w:hAnsi="Verdana" w:cs="宋体"/>
                <w:color w:val="auto"/>
                <w:kern w:val="0"/>
                <w:szCs w:val="21"/>
                <w:highlight w:val="none"/>
              </w:rPr>
              <w:t>或者受邀机构的意见（盖章）：</w:t>
            </w:r>
          </w:p>
        </w:tc>
      </w:tr>
      <w:tr w14:paraId="4FD950EC">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1B3A8FB9">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成交供应商负责人签字或者盖章：</w:t>
            </w:r>
          </w:p>
          <w:p w14:paraId="30A85FC2">
            <w:pPr>
              <w:widowControl/>
              <w:spacing w:before="100" w:beforeAutospacing="1" w:after="100" w:afterAutospacing="1" w:line="320" w:lineRule="atLeast"/>
              <w:jc w:val="left"/>
              <w:rPr>
                <w:rFonts w:ascii="Verdana" w:hAnsi="Verdana" w:cs="宋体"/>
                <w:color w:val="auto"/>
                <w:kern w:val="0"/>
                <w:szCs w:val="21"/>
                <w:highlight w:val="none"/>
              </w:rPr>
            </w:pPr>
          </w:p>
          <w:p w14:paraId="466E6E1E">
            <w:pPr>
              <w:widowControl/>
              <w:spacing w:before="100" w:beforeAutospacing="1" w:after="100" w:afterAutospacing="1" w:line="320" w:lineRule="atLeast"/>
              <w:jc w:val="left"/>
              <w:rPr>
                <w:rFonts w:ascii="Verdana" w:hAnsi="Verdana" w:cs="宋体"/>
                <w:color w:val="auto"/>
                <w:kern w:val="0"/>
                <w:szCs w:val="21"/>
                <w:highlight w:val="none"/>
              </w:rPr>
            </w:pPr>
            <w:r>
              <w:rPr>
                <w:rFonts w:hint="eastAsia" w:ascii="Verdana" w:hAnsi="Verdana"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15834A2B">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采购人或者受托机构的意见（盖章）：</w:t>
            </w:r>
          </w:p>
          <w:p w14:paraId="68C12238">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544AACF0">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hint="eastAsia" w:ascii="Verdana" w:hAnsi="Verdana" w:cs="宋体"/>
                <w:color w:val="auto"/>
                <w:kern w:val="0"/>
                <w:szCs w:val="21"/>
                <w:highlight w:val="none"/>
              </w:rPr>
              <w:t>联系电话：  年  月  日</w:t>
            </w:r>
          </w:p>
        </w:tc>
      </w:tr>
    </w:tbl>
    <w:p w14:paraId="5F02507D">
      <w:pPr>
        <w:spacing w:line="360" w:lineRule="auto"/>
        <w:ind w:left="25" w:leftChars="12" w:firstLine="354" w:firstLineChars="147"/>
        <w:rPr>
          <w:rFonts w:ascii="宋体" w:hAnsi="宋体"/>
          <w:b/>
          <w:color w:val="auto"/>
          <w:kern w:val="0"/>
          <w:sz w:val="24"/>
          <w:highlight w:val="none"/>
        </w:rPr>
      </w:pPr>
    </w:p>
    <w:p w14:paraId="76D6B4AE">
      <w:pPr>
        <w:jc w:val="center"/>
        <w:rPr>
          <w:rFonts w:ascii="宋体" w:hAnsi="宋体" w:cs="宋体"/>
          <w:b/>
          <w:bCs/>
          <w:color w:val="auto"/>
          <w:sz w:val="32"/>
          <w:szCs w:val="32"/>
          <w:highlight w:val="none"/>
        </w:rPr>
      </w:pPr>
      <w:r>
        <w:rPr>
          <w:rFonts w:hAnsi="宋体"/>
          <w:b/>
          <w:color w:val="auto"/>
          <w:sz w:val="24"/>
          <w:highlight w:val="none"/>
        </w:rPr>
        <w:br w:type="page"/>
      </w:r>
    </w:p>
    <w:bookmarkEnd w:id="101"/>
    <w:p w14:paraId="25DE7F48">
      <w:pPr>
        <w:pStyle w:val="2"/>
        <w:spacing w:before="0" w:after="0"/>
        <w:jc w:val="center"/>
        <w:rPr>
          <w:color w:val="auto"/>
          <w:highlight w:val="none"/>
        </w:rPr>
      </w:pPr>
      <w:bookmarkStart w:id="102" w:name="_Toc137109010"/>
      <w:r>
        <w:rPr>
          <w:rFonts w:hint="eastAsia"/>
          <w:color w:val="auto"/>
          <w:highlight w:val="none"/>
        </w:rPr>
        <w:t>第六章  合同文本</w:t>
      </w:r>
      <w:bookmarkEnd w:id="102"/>
    </w:p>
    <w:p w14:paraId="63C5C199">
      <w:pPr>
        <w:keepNext/>
        <w:keepLines/>
        <w:spacing w:line="400" w:lineRule="exact"/>
        <w:jc w:val="center"/>
        <w:outlineLvl w:val="0"/>
        <w:rPr>
          <w:rFonts w:ascii="宋体" w:hAnsi="宋体"/>
          <w:b/>
          <w:bCs/>
          <w:color w:val="auto"/>
          <w:sz w:val="32"/>
          <w:szCs w:val="44"/>
          <w:highlight w:val="none"/>
        </w:rPr>
      </w:pPr>
      <w:bookmarkStart w:id="103" w:name="_Toc137109011"/>
      <w:r>
        <w:rPr>
          <w:rFonts w:hint="eastAsia" w:ascii="宋体" w:hAnsi="宋体"/>
          <w:b/>
          <w:bCs/>
          <w:color w:val="auto"/>
          <w:sz w:val="32"/>
          <w:szCs w:val="44"/>
          <w:highlight w:val="none"/>
        </w:rPr>
        <w:t>《广西壮族自治区政府采购合同》文本</w:t>
      </w:r>
      <w:bookmarkEnd w:id="103"/>
    </w:p>
    <w:p w14:paraId="34A0FF9F">
      <w:pPr>
        <w:snapToGrid w:val="0"/>
        <w:spacing w:line="400" w:lineRule="exact"/>
        <w:ind w:right="480" w:firstLine="5250" w:firstLineChars="2500"/>
        <w:rPr>
          <w:rFonts w:ascii="宋体" w:hAnsi="宋体" w:cs="宋体"/>
          <w:bCs/>
          <w:color w:val="auto"/>
          <w:szCs w:val="21"/>
          <w:highlight w:val="none"/>
          <w:u w:val="single"/>
        </w:rPr>
      </w:pPr>
      <w:r>
        <w:rPr>
          <w:rFonts w:hint="eastAsia" w:ascii="宋体" w:hAnsi="宋体" w:cs="宋体"/>
          <w:bCs/>
          <w:color w:val="auto"/>
          <w:szCs w:val="21"/>
          <w:highlight w:val="none"/>
        </w:rPr>
        <w:t>合同编号：</w:t>
      </w:r>
    </w:p>
    <w:p w14:paraId="1F7B45F7">
      <w:pPr>
        <w:snapToGrid w:val="0"/>
        <w:spacing w:line="400" w:lineRule="exact"/>
        <w:rPr>
          <w:rFonts w:ascii="宋体" w:hAnsi="宋体" w:cs="宋体"/>
          <w:color w:val="auto"/>
          <w:szCs w:val="21"/>
          <w:highlight w:val="none"/>
        </w:rPr>
      </w:pPr>
    </w:p>
    <w:p w14:paraId="5737C7FB">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采购人（甲方）：</w:t>
      </w:r>
      <w:r>
        <w:rPr>
          <w:rFonts w:hint="eastAsia" w:ascii="宋体" w:hAnsi="宋体" w:cs="宋体"/>
          <w:color w:val="auto"/>
          <w:sz w:val="24"/>
          <w:highlight w:val="none"/>
          <w:u w:val="single"/>
        </w:rPr>
        <w:t xml:space="preserve">桂林水文中心 </w:t>
      </w:r>
      <w:r>
        <w:rPr>
          <w:rFonts w:hint="eastAsia" w:ascii="宋体" w:hAnsi="宋体" w:cs="宋体"/>
          <w:color w:val="auto"/>
          <w:sz w:val="24"/>
          <w:highlight w:val="none"/>
        </w:rPr>
        <w:t xml:space="preserve">    采购计划号：</w:t>
      </w:r>
      <w:r>
        <w:rPr>
          <w:rFonts w:hint="eastAsia" w:ascii="宋体" w:hAnsi="宋体" w:cs="宋体"/>
          <w:color w:val="auto"/>
          <w:sz w:val="24"/>
          <w:highlight w:val="none"/>
          <w:u w:val="single"/>
        </w:rPr>
        <w:t xml:space="preserve">               </w:t>
      </w:r>
    </w:p>
    <w:p w14:paraId="11FFCB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供应商（乙方）：</w:t>
      </w:r>
      <w:r>
        <w:rPr>
          <w:rFonts w:hint="eastAsia" w:ascii="宋体" w:hAnsi="宋体" w:cs="宋体"/>
          <w:color w:val="auto"/>
          <w:sz w:val="24"/>
          <w:highlight w:val="none"/>
          <w:u w:val="single"/>
        </w:rPr>
        <w:t xml:space="preserve">               </w:t>
      </w:r>
    </w:p>
    <w:p w14:paraId="1D27A1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广西大江大河水文监测系统建设工程（2021-2025年）桂林部分（仪器设备）</w:t>
      </w:r>
    </w:p>
    <w:p w14:paraId="14779C08">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GXZC2025-J1-002494-YZLZ</w:t>
      </w:r>
    </w:p>
    <w:p w14:paraId="4BA98EDC">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签订地点：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签订时间：</w:t>
      </w:r>
      <w:r>
        <w:rPr>
          <w:rFonts w:hint="eastAsia" w:ascii="宋体" w:hAnsi="宋体" w:cs="宋体"/>
          <w:color w:val="auto"/>
          <w:sz w:val="24"/>
          <w:highlight w:val="none"/>
          <w:u w:val="single"/>
        </w:rPr>
        <w:t xml:space="preserve">               </w:t>
      </w:r>
    </w:p>
    <w:p w14:paraId="42DA71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本合同为中小企业预留合同：（否）</w:t>
      </w:r>
    </w:p>
    <w:p w14:paraId="513B64F5">
      <w:pPr>
        <w:spacing w:line="36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根据《中华人民共和国政府采购法》、《中华人民共和国民法典》等法律、法规规定，按照竞争性谈判文件规定条款和成交供应商承诺，甲乙双方签订本合同。</w:t>
      </w:r>
    </w:p>
    <w:p w14:paraId="6E9CEDFB">
      <w:pPr>
        <w:spacing w:line="36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第一条　合同标的及价款</w:t>
      </w:r>
    </w:p>
    <w:p w14:paraId="1562B45E">
      <w:pPr>
        <w:spacing w:line="36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1．供货一览表</w:t>
      </w:r>
    </w:p>
    <w:p w14:paraId="06AE2922">
      <w:pPr>
        <w:spacing w:line="360" w:lineRule="exact"/>
        <w:jc w:val="left"/>
        <w:rPr>
          <w:rFonts w:cs="宋体" w:asciiTheme="minorEastAsia" w:hAnsiTheme="minorEastAsia" w:eastAsiaTheme="minorEastAsia"/>
          <w:color w:val="auto"/>
          <w:kern w:val="0"/>
          <w:szCs w:val="21"/>
          <w:highlight w:val="none"/>
          <w:u w:val="single"/>
        </w:rPr>
      </w:pPr>
      <w:r>
        <w:rPr>
          <w:rFonts w:hint="eastAsia" w:cs="宋体" w:asciiTheme="minorEastAsia" w:hAnsiTheme="minorEastAsia" w:eastAsiaTheme="minorEastAsia"/>
          <w:color w:val="auto"/>
          <w:kern w:val="0"/>
          <w:szCs w:val="21"/>
          <w:highlight w:val="none"/>
        </w:rPr>
        <w:t>分标</w:t>
      </w:r>
      <w:r>
        <w:rPr>
          <w:rFonts w:hint="eastAsia" w:cs="宋体" w:asciiTheme="minorEastAsia" w:hAnsiTheme="minorEastAsia" w:eastAsiaTheme="minorEastAsia"/>
          <w:color w:val="auto"/>
          <w:kern w:val="0"/>
          <w:szCs w:val="21"/>
          <w:highlight w:val="none"/>
          <w:u w:val="single"/>
        </w:rPr>
        <w:t xml:space="preserve">    </w:t>
      </w:r>
    </w:p>
    <w:tbl>
      <w:tblPr>
        <w:tblStyle w:val="25"/>
        <w:tblW w:w="967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385"/>
        <w:gridCol w:w="674"/>
        <w:gridCol w:w="744"/>
        <w:gridCol w:w="1134"/>
        <w:gridCol w:w="1276"/>
        <w:gridCol w:w="708"/>
        <w:gridCol w:w="709"/>
        <w:gridCol w:w="1016"/>
        <w:gridCol w:w="1535"/>
      </w:tblGrid>
      <w:tr w14:paraId="1D71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94" w:type="dxa"/>
            <w:tcBorders>
              <w:top w:val="single" w:color="auto" w:sz="4" w:space="0"/>
              <w:left w:val="single" w:color="auto" w:sz="4" w:space="0"/>
              <w:bottom w:val="single" w:color="auto" w:sz="4" w:space="0"/>
              <w:right w:val="single" w:color="auto" w:sz="4" w:space="0"/>
            </w:tcBorders>
            <w:vAlign w:val="center"/>
          </w:tcPr>
          <w:p w14:paraId="626CAC8E">
            <w:pPr>
              <w:spacing w:line="36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项号</w:t>
            </w:r>
          </w:p>
        </w:tc>
        <w:tc>
          <w:tcPr>
            <w:tcW w:w="1385" w:type="dxa"/>
            <w:tcBorders>
              <w:top w:val="single" w:color="auto" w:sz="4" w:space="0"/>
              <w:left w:val="single" w:color="auto" w:sz="4" w:space="0"/>
              <w:bottom w:val="single" w:color="auto" w:sz="4" w:space="0"/>
              <w:right w:val="single" w:color="auto" w:sz="4" w:space="0"/>
            </w:tcBorders>
            <w:vAlign w:val="center"/>
          </w:tcPr>
          <w:p w14:paraId="7E24AE0E">
            <w:pPr>
              <w:spacing w:line="36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货物名称</w:t>
            </w:r>
          </w:p>
        </w:tc>
        <w:tc>
          <w:tcPr>
            <w:tcW w:w="674" w:type="dxa"/>
            <w:tcBorders>
              <w:top w:val="single" w:color="auto" w:sz="4" w:space="0"/>
              <w:left w:val="single" w:color="auto" w:sz="4" w:space="0"/>
              <w:bottom w:val="single" w:color="auto" w:sz="4" w:space="0"/>
              <w:right w:val="single" w:color="auto" w:sz="4" w:space="0"/>
            </w:tcBorders>
            <w:vAlign w:val="center"/>
          </w:tcPr>
          <w:p w14:paraId="6036538F">
            <w:pPr>
              <w:spacing w:line="36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厂家</w:t>
            </w:r>
          </w:p>
        </w:tc>
        <w:tc>
          <w:tcPr>
            <w:tcW w:w="744" w:type="dxa"/>
            <w:tcBorders>
              <w:top w:val="single" w:color="auto" w:sz="4" w:space="0"/>
              <w:left w:val="single" w:color="auto" w:sz="4" w:space="0"/>
              <w:bottom w:val="single" w:color="auto" w:sz="4" w:space="0"/>
              <w:right w:val="single" w:color="auto" w:sz="4" w:space="0"/>
            </w:tcBorders>
            <w:vAlign w:val="center"/>
          </w:tcPr>
          <w:p w14:paraId="1F30742F">
            <w:pPr>
              <w:spacing w:line="36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品牌</w:t>
            </w:r>
          </w:p>
        </w:tc>
        <w:tc>
          <w:tcPr>
            <w:tcW w:w="1134" w:type="dxa"/>
            <w:tcBorders>
              <w:top w:val="single" w:color="auto" w:sz="4" w:space="0"/>
              <w:left w:val="single" w:color="auto" w:sz="4" w:space="0"/>
              <w:bottom w:val="single" w:color="auto" w:sz="4" w:space="0"/>
              <w:right w:val="single" w:color="auto" w:sz="4" w:space="0"/>
            </w:tcBorders>
            <w:vAlign w:val="center"/>
          </w:tcPr>
          <w:p w14:paraId="20E603BF">
            <w:pPr>
              <w:spacing w:line="36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14:paraId="332A739B">
            <w:pPr>
              <w:spacing w:line="36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技术参数</w:t>
            </w:r>
          </w:p>
        </w:tc>
        <w:tc>
          <w:tcPr>
            <w:tcW w:w="708" w:type="dxa"/>
            <w:tcBorders>
              <w:top w:val="single" w:color="auto" w:sz="4" w:space="0"/>
              <w:left w:val="single" w:color="auto" w:sz="4" w:space="0"/>
              <w:bottom w:val="single" w:color="auto" w:sz="4" w:space="0"/>
              <w:right w:val="single" w:color="auto" w:sz="4" w:space="0"/>
            </w:tcBorders>
            <w:vAlign w:val="center"/>
          </w:tcPr>
          <w:p w14:paraId="7EA1C424">
            <w:pPr>
              <w:spacing w:line="36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数量</w:t>
            </w:r>
          </w:p>
          <w:p w14:paraId="1EEE9A2F">
            <w:pPr>
              <w:spacing w:line="36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①</w:t>
            </w:r>
          </w:p>
        </w:tc>
        <w:tc>
          <w:tcPr>
            <w:tcW w:w="709" w:type="dxa"/>
            <w:tcBorders>
              <w:top w:val="single" w:color="auto" w:sz="4" w:space="0"/>
              <w:left w:val="single" w:color="auto" w:sz="4" w:space="0"/>
              <w:bottom w:val="single" w:color="auto" w:sz="4" w:space="0"/>
              <w:right w:val="single" w:color="auto" w:sz="4" w:space="0"/>
            </w:tcBorders>
            <w:vAlign w:val="center"/>
          </w:tcPr>
          <w:p w14:paraId="429DAF5A">
            <w:pPr>
              <w:spacing w:line="36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单位</w:t>
            </w:r>
          </w:p>
        </w:tc>
        <w:tc>
          <w:tcPr>
            <w:tcW w:w="1016" w:type="dxa"/>
            <w:tcBorders>
              <w:top w:val="single" w:color="auto" w:sz="4" w:space="0"/>
              <w:left w:val="single" w:color="auto" w:sz="4" w:space="0"/>
              <w:bottom w:val="single" w:color="auto" w:sz="4" w:space="0"/>
              <w:right w:val="single" w:color="auto" w:sz="4" w:space="0"/>
            </w:tcBorders>
            <w:vAlign w:val="center"/>
          </w:tcPr>
          <w:p w14:paraId="365CE4F7">
            <w:pPr>
              <w:spacing w:line="36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单价（元）</w:t>
            </w:r>
          </w:p>
          <w:p w14:paraId="24C8A655">
            <w:pPr>
              <w:spacing w:line="36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②</w:t>
            </w:r>
          </w:p>
        </w:tc>
        <w:tc>
          <w:tcPr>
            <w:tcW w:w="1535" w:type="dxa"/>
            <w:tcBorders>
              <w:top w:val="single" w:color="auto" w:sz="4" w:space="0"/>
              <w:left w:val="single" w:color="auto" w:sz="4" w:space="0"/>
              <w:bottom w:val="single" w:color="auto" w:sz="4" w:space="0"/>
              <w:right w:val="single" w:color="auto" w:sz="4" w:space="0"/>
            </w:tcBorders>
            <w:vAlign w:val="center"/>
          </w:tcPr>
          <w:p w14:paraId="40A1D31C">
            <w:pPr>
              <w:spacing w:line="36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单项合计金额（元）</w:t>
            </w:r>
          </w:p>
          <w:p w14:paraId="1B2CB6E9">
            <w:pPr>
              <w:spacing w:line="36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③＝①×②</w:t>
            </w:r>
          </w:p>
        </w:tc>
      </w:tr>
      <w:tr w14:paraId="3112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94" w:type="dxa"/>
            <w:tcBorders>
              <w:top w:val="single" w:color="auto" w:sz="4" w:space="0"/>
              <w:left w:val="single" w:color="auto" w:sz="4" w:space="0"/>
              <w:bottom w:val="single" w:color="auto" w:sz="4" w:space="0"/>
              <w:right w:val="single" w:color="auto" w:sz="4" w:space="0"/>
            </w:tcBorders>
            <w:vAlign w:val="center"/>
          </w:tcPr>
          <w:p w14:paraId="30A0D38C">
            <w:pPr>
              <w:spacing w:line="36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1385" w:type="dxa"/>
            <w:tcBorders>
              <w:top w:val="single" w:color="auto" w:sz="4" w:space="0"/>
              <w:left w:val="single" w:color="auto" w:sz="4" w:space="0"/>
              <w:bottom w:val="single" w:color="auto" w:sz="4" w:space="0"/>
              <w:right w:val="single" w:color="auto" w:sz="4" w:space="0"/>
            </w:tcBorders>
            <w:vAlign w:val="center"/>
          </w:tcPr>
          <w:p w14:paraId="24E05D34">
            <w:pPr>
              <w:spacing w:line="360" w:lineRule="exact"/>
              <w:jc w:val="left"/>
              <w:rPr>
                <w:rFonts w:cs="宋体" w:asciiTheme="minorEastAsia" w:hAnsiTheme="minorEastAsia" w:eastAsiaTheme="minorEastAsia"/>
                <w:color w:val="auto"/>
                <w:kern w:val="0"/>
                <w:szCs w:val="21"/>
                <w:highlight w:val="none"/>
              </w:rPr>
            </w:pPr>
          </w:p>
        </w:tc>
        <w:tc>
          <w:tcPr>
            <w:tcW w:w="674" w:type="dxa"/>
            <w:tcBorders>
              <w:top w:val="single" w:color="auto" w:sz="4" w:space="0"/>
              <w:left w:val="single" w:color="auto" w:sz="4" w:space="0"/>
              <w:bottom w:val="single" w:color="auto" w:sz="4" w:space="0"/>
              <w:right w:val="single" w:color="auto" w:sz="4" w:space="0"/>
            </w:tcBorders>
            <w:vAlign w:val="center"/>
          </w:tcPr>
          <w:p w14:paraId="4E646856">
            <w:pPr>
              <w:spacing w:line="360" w:lineRule="exact"/>
              <w:jc w:val="left"/>
              <w:rPr>
                <w:rFonts w:cs="宋体" w:asciiTheme="minorEastAsia" w:hAnsiTheme="minorEastAsia" w:eastAsiaTheme="minorEastAsia"/>
                <w:color w:val="auto"/>
                <w:kern w:val="0"/>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7D0379EA">
            <w:pPr>
              <w:spacing w:line="360" w:lineRule="exact"/>
              <w:jc w:val="left"/>
              <w:rPr>
                <w:rFonts w:cs="宋体" w:asciiTheme="minorEastAsia" w:hAnsiTheme="minorEastAsia" w:eastAsiaTheme="minorEastAsia"/>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968FB93">
            <w:pPr>
              <w:spacing w:line="360" w:lineRule="exact"/>
              <w:jc w:val="left"/>
              <w:rPr>
                <w:rFonts w:cs="宋体" w:asciiTheme="minorEastAsia" w:hAnsiTheme="minorEastAsia" w:eastAsiaTheme="minorEastAsia"/>
                <w:color w:val="auto"/>
                <w:kern w:val="0"/>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B87E9BB">
            <w:pPr>
              <w:spacing w:line="360" w:lineRule="exact"/>
              <w:jc w:val="left"/>
              <w:rPr>
                <w:rFonts w:cs="宋体" w:asciiTheme="minorEastAsia" w:hAnsiTheme="minorEastAsia" w:eastAsiaTheme="minorEastAsia"/>
                <w:color w:val="auto"/>
                <w:kern w:val="0"/>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81E6EAB">
            <w:pPr>
              <w:spacing w:line="360" w:lineRule="exact"/>
              <w:jc w:val="left"/>
              <w:rPr>
                <w:rFonts w:cs="宋体" w:asciiTheme="minorEastAsia" w:hAnsiTheme="minorEastAsia" w:eastAsiaTheme="minorEastAsia"/>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28877C0">
            <w:pPr>
              <w:spacing w:line="360" w:lineRule="exact"/>
              <w:jc w:val="left"/>
              <w:rPr>
                <w:rFonts w:cs="宋体" w:asciiTheme="minorEastAsia" w:hAnsiTheme="minorEastAsia" w:eastAsiaTheme="minorEastAsia"/>
                <w:color w:val="auto"/>
                <w:kern w:val="0"/>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14:paraId="5866F497">
            <w:pPr>
              <w:spacing w:line="360" w:lineRule="exact"/>
              <w:jc w:val="left"/>
              <w:rPr>
                <w:rFonts w:cs="宋体" w:asciiTheme="minorEastAsia" w:hAnsiTheme="minorEastAsia" w:eastAsiaTheme="minorEastAsia"/>
                <w:color w:val="auto"/>
                <w:kern w:val="0"/>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14:paraId="00C217A8">
            <w:pPr>
              <w:spacing w:line="360" w:lineRule="exact"/>
              <w:jc w:val="left"/>
              <w:rPr>
                <w:rFonts w:cs="宋体" w:asciiTheme="minorEastAsia" w:hAnsiTheme="minorEastAsia" w:eastAsiaTheme="minorEastAsia"/>
                <w:color w:val="auto"/>
                <w:kern w:val="0"/>
                <w:szCs w:val="21"/>
                <w:highlight w:val="none"/>
              </w:rPr>
            </w:pPr>
          </w:p>
        </w:tc>
      </w:tr>
      <w:tr w14:paraId="17E1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94" w:type="dxa"/>
            <w:tcBorders>
              <w:top w:val="single" w:color="auto" w:sz="4" w:space="0"/>
              <w:left w:val="single" w:color="auto" w:sz="4" w:space="0"/>
              <w:bottom w:val="single" w:color="auto" w:sz="4" w:space="0"/>
              <w:right w:val="single" w:color="auto" w:sz="4" w:space="0"/>
            </w:tcBorders>
            <w:vAlign w:val="center"/>
          </w:tcPr>
          <w:p w14:paraId="21DB2EEA">
            <w:pPr>
              <w:spacing w:line="36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p>
        </w:tc>
        <w:tc>
          <w:tcPr>
            <w:tcW w:w="1385" w:type="dxa"/>
            <w:tcBorders>
              <w:top w:val="single" w:color="auto" w:sz="4" w:space="0"/>
              <w:left w:val="single" w:color="auto" w:sz="4" w:space="0"/>
              <w:bottom w:val="single" w:color="auto" w:sz="4" w:space="0"/>
              <w:right w:val="single" w:color="auto" w:sz="4" w:space="0"/>
            </w:tcBorders>
            <w:vAlign w:val="center"/>
          </w:tcPr>
          <w:p w14:paraId="70A37D84">
            <w:pPr>
              <w:spacing w:line="360" w:lineRule="exact"/>
              <w:jc w:val="left"/>
              <w:rPr>
                <w:rFonts w:cs="宋体" w:asciiTheme="minorEastAsia" w:hAnsiTheme="minorEastAsia" w:eastAsiaTheme="minorEastAsia"/>
                <w:color w:val="auto"/>
                <w:kern w:val="0"/>
                <w:szCs w:val="21"/>
                <w:highlight w:val="none"/>
              </w:rPr>
            </w:pPr>
          </w:p>
        </w:tc>
        <w:tc>
          <w:tcPr>
            <w:tcW w:w="674" w:type="dxa"/>
            <w:tcBorders>
              <w:top w:val="single" w:color="auto" w:sz="4" w:space="0"/>
              <w:left w:val="single" w:color="auto" w:sz="4" w:space="0"/>
              <w:bottom w:val="single" w:color="auto" w:sz="4" w:space="0"/>
              <w:right w:val="single" w:color="auto" w:sz="4" w:space="0"/>
            </w:tcBorders>
            <w:vAlign w:val="center"/>
          </w:tcPr>
          <w:p w14:paraId="4B13237B">
            <w:pPr>
              <w:spacing w:line="360" w:lineRule="exact"/>
              <w:jc w:val="left"/>
              <w:rPr>
                <w:rFonts w:cs="宋体" w:asciiTheme="minorEastAsia" w:hAnsiTheme="minorEastAsia" w:eastAsiaTheme="minorEastAsia"/>
                <w:color w:val="auto"/>
                <w:kern w:val="0"/>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384504EB">
            <w:pPr>
              <w:spacing w:line="360" w:lineRule="exact"/>
              <w:jc w:val="left"/>
              <w:rPr>
                <w:rFonts w:cs="宋体" w:asciiTheme="minorEastAsia" w:hAnsiTheme="minorEastAsia" w:eastAsiaTheme="minorEastAsia"/>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ADA800A">
            <w:pPr>
              <w:spacing w:line="360" w:lineRule="exact"/>
              <w:jc w:val="left"/>
              <w:rPr>
                <w:rFonts w:cs="宋体" w:asciiTheme="minorEastAsia" w:hAnsiTheme="minorEastAsia" w:eastAsiaTheme="minorEastAsia"/>
                <w:color w:val="auto"/>
                <w:kern w:val="0"/>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B6EE337">
            <w:pPr>
              <w:spacing w:line="360" w:lineRule="exact"/>
              <w:jc w:val="left"/>
              <w:rPr>
                <w:rFonts w:cs="宋体" w:asciiTheme="minorEastAsia" w:hAnsiTheme="minorEastAsia" w:eastAsiaTheme="minorEastAsia"/>
                <w:color w:val="auto"/>
                <w:kern w:val="0"/>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80F77D1">
            <w:pPr>
              <w:spacing w:line="360" w:lineRule="exact"/>
              <w:jc w:val="left"/>
              <w:rPr>
                <w:rFonts w:cs="宋体" w:asciiTheme="minorEastAsia" w:hAnsiTheme="minorEastAsia" w:eastAsiaTheme="minorEastAsia"/>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47467A9">
            <w:pPr>
              <w:spacing w:line="360" w:lineRule="exact"/>
              <w:jc w:val="left"/>
              <w:rPr>
                <w:rFonts w:cs="宋体" w:asciiTheme="minorEastAsia" w:hAnsiTheme="minorEastAsia" w:eastAsiaTheme="minorEastAsia"/>
                <w:color w:val="auto"/>
                <w:kern w:val="0"/>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14:paraId="30B9BD53">
            <w:pPr>
              <w:spacing w:line="360" w:lineRule="exact"/>
              <w:jc w:val="left"/>
              <w:rPr>
                <w:rFonts w:cs="宋体" w:asciiTheme="minorEastAsia" w:hAnsiTheme="minorEastAsia" w:eastAsiaTheme="minorEastAsia"/>
                <w:color w:val="auto"/>
                <w:kern w:val="0"/>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14:paraId="60A0E79A">
            <w:pPr>
              <w:spacing w:line="360" w:lineRule="exact"/>
              <w:jc w:val="left"/>
              <w:rPr>
                <w:rFonts w:cs="宋体" w:asciiTheme="minorEastAsia" w:hAnsiTheme="minorEastAsia" w:eastAsiaTheme="minorEastAsia"/>
                <w:color w:val="auto"/>
                <w:kern w:val="0"/>
                <w:szCs w:val="21"/>
                <w:highlight w:val="none"/>
              </w:rPr>
            </w:pPr>
          </w:p>
        </w:tc>
      </w:tr>
      <w:tr w14:paraId="6D2E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94" w:type="dxa"/>
            <w:tcBorders>
              <w:top w:val="single" w:color="auto" w:sz="4" w:space="0"/>
              <w:left w:val="single" w:color="auto" w:sz="4" w:space="0"/>
              <w:bottom w:val="single" w:color="auto" w:sz="4" w:space="0"/>
              <w:right w:val="single" w:color="auto" w:sz="4" w:space="0"/>
            </w:tcBorders>
            <w:vAlign w:val="center"/>
          </w:tcPr>
          <w:p w14:paraId="4F4BFCEC">
            <w:pPr>
              <w:spacing w:line="360" w:lineRule="exact"/>
              <w:jc w:val="lef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w:t>
            </w:r>
          </w:p>
        </w:tc>
        <w:tc>
          <w:tcPr>
            <w:tcW w:w="1385" w:type="dxa"/>
            <w:tcBorders>
              <w:top w:val="single" w:color="auto" w:sz="4" w:space="0"/>
              <w:left w:val="single" w:color="auto" w:sz="4" w:space="0"/>
              <w:bottom w:val="single" w:color="auto" w:sz="4" w:space="0"/>
              <w:right w:val="single" w:color="auto" w:sz="4" w:space="0"/>
            </w:tcBorders>
            <w:vAlign w:val="center"/>
          </w:tcPr>
          <w:p w14:paraId="3132CBBE">
            <w:pPr>
              <w:spacing w:line="360" w:lineRule="exact"/>
              <w:jc w:val="left"/>
              <w:rPr>
                <w:rFonts w:cs="宋体" w:asciiTheme="minorEastAsia" w:hAnsiTheme="minorEastAsia" w:eastAsiaTheme="minorEastAsia"/>
                <w:color w:val="auto"/>
                <w:kern w:val="0"/>
                <w:szCs w:val="21"/>
                <w:highlight w:val="none"/>
              </w:rPr>
            </w:pPr>
          </w:p>
        </w:tc>
        <w:tc>
          <w:tcPr>
            <w:tcW w:w="674" w:type="dxa"/>
            <w:tcBorders>
              <w:top w:val="single" w:color="auto" w:sz="4" w:space="0"/>
              <w:left w:val="single" w:color="auto" w:sz="4" w:space="0"/>
              <w:bottom w:val="single" w:color="auto" w:sz="4" w:space="0"/>
              <w:right w:val="single" w:color="auto" w:sz="4" w:space="0"/>
            </w:tcBorders>
            <w:vAlign w:val="center"/>
          </w:tcPr>
          <w:p w14:paraId="04BF01FB">
            <w:pPr>
              <w:spacing w:line="360" w:lineRule="exact"/>
              <w:jc w:val="left"/>
              <w:rPr>
                <w:rFonts w:cs="宋体" w:asciiTheme="minorEastAsia" w:hAnsiTheme="minorEastAsia" w:eastAsiaTheme="minorEastAsia"/>
                <w:color w:val="auto"/>
                <w:kern w:val="0"/>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2EBBB860">
            <w:pPr>
              <w:spacing w:line="360" w:lineRule="exact"/>
              <w:jc w:val="left"/>
              <w:rPr>
                <w:rFonts w:cs="宋体" w:asciiTheme="minorEastAsia" w:hAnsiTheme="minorEastAsia" w:eastAsiaTheme="minorEastAsia"/>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9D0B92">
            <w:pPr>
              <w:spacing w:line="360" w:lineRule="exact"/>
              <w:jc w:val="left"/>
              <w:rPr>
                <w:rFonts w:cs="宋体" w:asciiTheme="minorEastAsia" w:hAnsiTheme="minorEastAsia" w:eastAsiaTheme="minorEastAsia"/>
                <w:color w:val="auto"/>
                <w:kern w:val="0"/>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DD1D1EF">
            <w:pPr>
              <w:spacing w:line="360" w:lineRule="exact"/>
              <w:jc w:val="left"/>
              <w:rPr>
                <w:rFonts w:cs="宋体" w:asciiTheme="minorEastAsia" w:hAnsiTheme="minorEastAsia" w:eastAsiaTheme="minorEastAsia"/>
                <w:color w:val="auto"/>
                <w:kern w:val="0"/>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56F74E6">
            <w:pPr>
              <w:spacing w:line="360" w:lineRule="exact"/>
              <w:jc w:val="left"/>
              <w:rPr>
                <w:rFonts w:cs="宋体" w:asciiTheme="minorEastAsia" w:hAnsiTheme="minorEastAsia" w:eastAsiaTheme="minorEastAsia"/>
                <w:color w:val="auto"/>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FE4626F">
            <w:pPr>
              <w:spacing w:line="360" w:lineRule="exact"/>
              <w:jc w:val="left"/>
              <w:rPr>
                <w:rFonts w:cs="宋体" w:asciiTheme="minorEastAsia" w:hAnsiTheme="minorEastAsia" w:eastAsiaTheme="minorEastAsia"/>
                <w:color w:val="auto"/>
                <w:kern w:val="0"/>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14:paraId="57A13615">
            <w:pPr>
              <w:spacing w:line="360" w:lineRule="exact"/>
              <w:jc w:val="left"/>
              <w:rPr>
                <w:rFonts w:cs="宋体" w:asciiTheme="minorEastAsia" w:hAnsiTheme="minorEastAsia" w:eastAsiaTheme="minorEastAsia"/>
                <w:color w:val="auto"/>
                <w:kern w:val="0"/>
                <w:szCs w:val="21"/>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14:paraId="5EA4A3D6">
            <w:pPr>
              <w:spacing w:line="360" w:lineRule="exact"/>
              <w:jc w:val="left"/>
              <w:rPr>
                <w:rFonts w:cs="宋体" w:asciiTheme="minorEastAsia" w:hAnsiTheme="minorEastAsia" w:eastAsiaTheme="minorEastAsia"/>
                <w:color w:val="auto"/>
                <w:kern w:val="0"/>
                <w:szCs w:val="21"/>
                <w:highlight w:val="none"/>
              </w:rPr>
            </w:pPr>
          </w:p>
        </w:tc>
      </w:tr>
      <w:tr w14:paraId="4CA8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675" w:type="dxa"/>
            <w:gridSpan w:val="10"/>
            <w:tcBorders>
              <w:top w:val="single" w:color="auto" w:sz="4" w:space="0"/>
              <w:left w:val="single" w:color="auto" w:sz="4" w:space="0"/>
              <w:bottom w:val="single" w:color="auto" w:sz="4" w:space="0"/>
              <w:right w:val="single" w:color="auto" w:sz="4" w:space="0"/>
            </w:tcBorders>
            <w:vAlign w:val="center"/>
          </w:tcPr>
          <w:p w14:paraId="1F3EF0CD">
            <w:pPr>
              <w:spacing w:line="36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竞标报价（合计金额）大写：</w:t>
            </w:r>
            <w:r>
              <w:rPr>
                <w:rFonts w:hint="eastAsia" w:cs="宋体" w:asciiTheme="minorEastAsia" w:hAnsiTheme="minorEastAsia" w:eastAsiaTheme="minorEastAsia"/>
                <w:color w:val="auto"/>
                <w:kern w:val="0"/>
                <w:szCs w:val="21"/>
                <w:highlight w:val="none"/>
                <w:u w:val="single"/>
              </w:rPr>
              <w:t xml:space="preserve">                  人民币（¥               </w:t>
            </w:r>
            <w:r>
              <w:rPr>
                <w:rFonts w:hint="eastAsia" w:cs="宋体" w:asciiTheme="minorEastAsia" w:hAnsiTheme="minorEastAsia" w:eastAsiaTheme="minorEastAsia"/>
                <w:color w:val="auto"/>
                <w:kern w:val="0"/>
                <w:szCs w:val="21"/>
                <w:highlight w:val="none"/>
              </w:rPr>
              <w:t>）</w:t>
            </w:r>
          </w:p>
        </w:tc>
      </w:tr>
    </w:tbl>
    <w:p w14:paraId="7E8167C5">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合同价款：合同价款是履行合同的最终价格，应当包含标的价款、标准附件、备品备件、专用工具、辅材、安装调试、包装、运输、装卸、保险费、各类税费、产品检测、检验费、验收费、售后服务、技术培训费（包括但不限于场地费、教材费用等）、技术资料、涉及的人工、差参与竞标以及其他与本项目有关的未列明的一切费用。</w:t>
      </w:r>
    </w:p>
    <w:p w14:paraId="4576E7ED">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第二条　质量保证</w:t>
      </w:r>
    </w:p>
    <w:p w14:paraId="7DAC5692">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1.乙方所提供的产品名称、商标品牌、生产厂家、规格型号、技术参数等质量必须与采购文件规定及响应文件承诺相一致。乙方提供的节能和环保产品必须是列入政府采购品目清单的产品。</w:t>
      </w:r>
    </w:p>
    <w:p w14:paraId="57821952">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2.乙方所提供的货物必须是</w:t>
      </w:r>
      <w:r>
        <w:rPr>
          <w:rFonts w:hint="eastAsia" w:ascii="宋体" w:hAnsi="宋体"/>
          <w:color w:val="auto"/>
          <w:szCs w:val="21"/>
          <w:highlight w:val="none"/>
        </w:rPr>
        <w:t>原装正品、</w:t>
      </w:r>
      <w:r>
        <w:rPr>
          <w:rFonts w:hint="eastAsia" w:ascii="宋体" w:hAnsi="宋体" w:cs="宋体"/>
          <w:color w:val="auto"/>
          <w:szCs w:val="21"/>
          <w:highlight w:val="none"/>
        </w:rPr>
        <w:t>全新完好无破损、</w:t>
      </w:r>
      <w:r>
        <w:rPr>
          <w:rFonts w:hint="eastAsia" w:ascii="宋体" w:hAnsi="宋体"/>
          <w:color w:val="auto"/>
          <w:szCs w:val="21"/>
          <w:highlight w:val="none"/>
        </w:rPr>
        <w:t>符合国家有关质量标准</w:t>
      </w:r>
      <w:r>
        <w:rPr>
          <w:rFonts w:hint="eastAsia" w:ascii="宋体" w:hAnsi="宋体" w:cs="宋体"/>
          <w:color w:val="auto"/>
          <w:szCs w:val="21"/>
          <w:highlight w:val="none"/>
        </w:rPr>
        <w:t>及制造厂家合格产品的出厂质量标准</w:t>
      </w:r>
      <w:r>
        <w:rPr>
          <w:rFonts w:hint="eastAsia" w:cs="宋体" w:asciiTheme="minorEastAsia" w:hAnsiTheme="minorEastAsia" w:eastAsiaTheme="minorEastAsia"/>
          <w:color w:val="auto"/>
          <w:kern w:val="0"/>
          <w:szCs w:val="21"/>
          <w:highlight w:val="none"/>
        </w:rPr>
        <w:t>，且在正常安装、使用和保养条件下，其使用寿命期内各项指标均达到采购文件规定或响应文件承诺的质量要求。</w:t>
      </w:r>
    </w:p>
    <w:p w14:paraId="3512496A">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第三条　权利保证</w:t>
      </w:r>
    </w:p>
    <w:p w14:paraId="19972D32">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1.乙方应保证所提供货物在使用时不会侵犯任何第三方的专利权、商标权、工业设计权或其他权利。</w:t>
      </w:r>
    </w:p>
    <w:p w14:paraId="57AD87CB">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2.乙方应按采购文件规定或响应文件承诺的时间向甲方提供使用货物的有关技术资料。</w:t>
      </w:r>
    </w:p>
    <w:p w14:paraId="373F4C2A">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259C3CC">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4.乙方保证将要交付的货物的所有权完全属于乙方且无任何抵押、质押、查封等产权瑕疵。</w:t>
      </w:r>
    </w:p>
    <w:p w14:paraId="18B9291A">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第四条　货物包装、发运及运输</w:t>
      </w:r>
    </w:p>
    <w:p w14:paraId="126A8292">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1.乙方提供的货物均应按采购文件规定或响应文件承诺的要求的包装材料、包装标准、包装方式进行包装，每一包装单元内应附详细的装箱单和质量合格证。</w:t>
      </w:r>
    </w:p>
    <w:p w14:paraId="1B1FD064">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 乙方应在货物发运前对其进行满足运输距离、防潮、防震、防锈和防破损装卸等要求包装，以保证货物安全运达甲方指定地点。</w:t>
      </w:r>
    </w:p>
    <w:p w14:paraId="2E8A4C65">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 乙方在货物发运手续办理完毕后二十四小时内或货到甲方四十八小时前通知甲方，以准备接货。</w:t>
      </w:r>
    </w:p>
    <w:p w14:paraId="0AA17DC9">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 货物在交付甲方前发生的风险均由乙方负责。</w:t>
      </w:r>
    </w:p>
    <w:p w14:paraId="7063393F">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 使用说明书、质量检验证明书、随配附件和工具以及清单一并附于货物内。</w:t>
      </w:r>
    </w:p>
    <w:p w14:paraId="29980CB1">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6.货物的运输方式：</w:t>
      </w:r>
      <w:r>
        <w:rPr>
          <w:rFonts w:hint="eastAsia" w:cs="宋体" w:asciiTheme="minorEastAsia" w:hAnsiTheme="minorEastAsia" w:eastAsiaTheme="minorEastAsia"/>
          <w:color w:val="auto"/>
          <w:kern w:val="0"/>
          <w:szCs w:val="21"/>
          <w:highlight w:val="none"/>
          <w:u w:val="single"/>
        </w:rPr>
        <w:t>不限</w:t>
      </w:r>
      <w:r>
        <w:rPr>
          <w:rFonts w:hint="eastAsia" w:cs="宋体" w:asciiTheme="minorEastAsia" w:hAnsiTheme="minorEastAsia" w:eastAsiaTheme="minorEastAsia"/>
          <w:color w:val="auto"/>
          <w:kern w:val="0"/>
          <w:szCs w:val="21"/>
          <w:highlight w:val="none"/>
        </w:rPr>
        <w:t>。</w:t>
      </w:r>
    </w:p>
    <w:p w14:paraId="492B9DDE">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7.乙方负责货物运输，货物运输合理损耗及计算方法：由乙方自负。</w:t>
      </w:r>
    </w:p>
    <w:p w14:paraId="29543700">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8. 货物在规定的交付期限内由乙方送达甲方指定的地点视为交付，乙方同时需通知甲方货物已送达。</w:t>
      </w:r>
    </w:p>
    <w:p w14:paraId="1ECEBD50">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第五条　交付</w:t>
      </w:r>
    </w:p>
    <w:p w14:paraId="7C417662">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1．交货期：按乙方响应文件承诺执行（不低于采购要求的交货期）。交付地点：广西桂林市甲方指定地点。</w:t>
      </w:r>
    </w:p>
    <w:p w14:paraId="76678303">
      <w:pPr>
        <w:spacing w:line="340" w:lineRule="exact"/>
        <w:ind w:firstLine="420" w:firstLineChars="200"/>
        <w:jc w:val="left"/>
        <w:rPr>
          <w:rFonts w:cs="宋体" w:asciiTheme="minorEastAsia" w:hAnsiTheme="minorEastAsia" w:eastAsiaTheme="minorEastAsia"/>
          <w:color w:val="auto"/>
          <w:spacing w:val="-4"/>
          <w:kern w:val="0"/>
          <w:szCs w:val="21"/>
          <w:highlight w:val="none"/>
        </w:rPr>
      </w:pPr>
      <w:r>
        <w:rPr>
          <w:rFonts w:hint="eastAsia"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spacing w:val="-4"/>
          <w:kern w:val="0"/>
          <w:szCs w:val="21"/>
          <w:highlight w:val="none"/>
        </w:rPr>
        <w:t>乙方提供不符合采购文件规定或响应文件承诺的和本合同规定的货物，甲方有权拒绝接受。</w:t>
      </w:r>
    </w:p>
    <w:p w14:paraId="7C19FC34">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3．乙方应将所提供货物的装箱清单、用户手册、原厂保修卡、随机资料、工具和备品、备件等交付给甲方，货物属于进口产品的，供货时应同时附上中文使用说明书，如有缺失应及时补齐，否则视为逾期交货。</w:t>
      </w:r>
    </w:p>
    <w:p w14:paraId="0BED494F">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 乙方交货前应对产品作出全面检查和对验收文件进行整理，并列出清单，作为甲方收货验收和使用的技术条件依据，检验的结果应随货物交甲方。</w:t>
      </w:r>
    </w:p>
    <w:p w14:paraId="29221D43">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第六条　安装和培训</w:t>
      </w:r>
    </w:p>
    <w:p w14:paraId="1CC96AB5">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1．甲方应提供必要安装条件（如场地、电源、水源等）。</w:t>
      </w:r>
    </w:p>
    <w:p w14:paraId="760F73A6">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2．乙方负责甲方有关人员的培训。培训时间、地点：甲方指定地点。</w:t>
      </w:r>
    </w:p>
    <w:p w14:paraId="49D49599">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第七条  售后服务、保修期</w:t>
      </w:r>
    </w:p>
    <w:p w14:paraId="7B7BF6CE">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1．乙方应按照国家有关法律法规和“三包”规定以及响应文件承诺为甲方提供售后服务（不低于采购要求的售后服务）。</w:t>
      </w:r>
    </w:p>
    <w:p w14:paraId="5DB83013">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2．货物保修期：按乙方响应文件中承诺的不少于采购要求的保修期限。</w:t>
      </w:r>
    </w:p>
    <w:p w14:paraId="7E1930D3">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3.如在使用过程中发生问题，乙方在接到甲方通知后在按乙方响应文件中承诺的不超过招标要求的响应时间</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rPr>
        <w:t>小时内到达甲方现场处理。</w:t>
      </w:r>
    </w:p>
    <w:p w14:paraId="27730C62">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4.在保修期内，乙方应对货物出现的质量及安全问题负责处理解决并承担一切费用。</w:t>
      </w:r>
    </w:p>
    <w:p w14:paraId="03AEDDA7">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第八条　付款方式</w:t>
      </w:r>
    </w:p>
    <w:p w14:paraId="6679FF2C">
      <w:pPr>
        <w:spacing w:line="34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1.第一次付款：签订合同后10个工作日内支付合同金额的50%款项；</w:t>
      </w:r>
    </w:p>
    <w:p w14:paraId="713F1AF7">
      <w:pPr>
        <w:spacing w:line="34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2.第二次付款：设备到货并安装调试完毕后支付合同金额30%款项；</w:t>
      </w:r>
    </w:p>
    <w:p w14:paraId="1CFA69B9">
      <w:pPr>
        <w:spacing w:line="34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3.第三次付款：所有设备及相应存档资料经甲方验收合格后一次性支付剩余合同款项。</w:t>
      </w:r>
    </w:p>
    <w:p w14:paraId="4DB69893">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 xml:space="preserve">注：乙方在约定付款时间内提出付款申请，报监理单位或甲方审核，同时提供正式发票给甲方。项目符合支付条件，甲方收到付款申请及发票后10个工作日内无息支付相应款项。        </w:t>
      </w:r>
    </w:p>
    <w:p w14:paraId="71082C58">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第九条　履约保证金</w:t>
      </w:r>
    </w:p>
    <w:p w14:paraId="619A3037">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按成交金额的5%收取（如乙方为中小企业的，按成交金额的2%收取）。</w:t>
      </w:r>
    </w:p>
    <w:p w14:paraId="73389EBF">
      <w:pPr>
        <w:spacing w:line="340" w:lineRule="exact"/>
        <w:ind w:firstLine="420" w:firstLineChars="200"/>
        <w:contextualSpacing/>
        <w:rPr>
          <w:rFonts w:cs="宋体" w:asciiTheme="minorEastAsia" w:hAnsiTheme="minorEastAsia" w:eastAsiaTheme="minorEastAsia"/>
          <w:color w:val="auto"/>
          <w:kern w:val="0"/>
          <w:szCs w:val="21"/>
          <w:highlight w:val="none"/>
        </w:rPr>
      </w:pPr>
      <w:r>
        <w:rPr>
          <w:rFonts w:hint="eastAsia" w:ascii="宋体" w:hAnsi="宋体" w:cs="宋体"/>
          <w:color w:val="auto"/>
          <w:szCs w:val="21"/>
          <w:highlight w:val="none"/>
        </w:rPr>
        <w:t>履约保证金提交时限、方式：</w:t>
      </w:r>
      <w:r>
        <w:rPr>
          <w:rFonts w:hint="eastAsia" w:asciiTheme="minorEastAsia" w:hAnsiTheme="minorEastAsia" w:eastAsiaTheme="minorEastAsia"/>
          <w:color w:val="auto"/>
          <w:szCs w:val="21"/>
          <w:highlight w:val="none"/>
        </w:rPr>
        <w:t>乙方必须在成交通知书发出后25日内且在签订合同前以银行转账、支票、汇票、本票或者金融、担保机构出具的保函（包含电子保函）等非现金方式向甲方交纳履约保证金，否则，不予签订合同。</w:t>
      </w:r>
    </w:p>
    <w:p w14:paraId="5E2EED63">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履约保证金退付方式、时间及条件：</w:t>
      </w:r>
      <w:r>
        <w:rPr>
          <w:color w:val="auto"/>
          <w:highlight w:val="none"/>
        </w:rPr>
        <w:t>在</w:t>
      </w:r>
      <w:r>
        <w:rPr>
          <w:rFonts w:hint="eastAsia"/>
          <w:color w:val="auto"/>
          <w:highlight w:val="none"/>
        </w:rPr>
        <w:t>乙方</w:t>
      </w:r>
      <w:r>
        <w:rPr>
          <w:color w:val="auto"/>
          <w:highlight w:val="none"/>
        </w:rPr>
        <w:t>履行完合同约定的权利义务（包括</w:t>
      </w:r>
      <w:r>
        <w:rPr>
          <w:rFonts w:hint="eastAsia"/>
          <w:color w:val="auto"/>
          <w:highlight w:val="none"/>
        </w:rPr>
        <w:t>保修</w:t>
      </w:r>
      <w:r>
        <w:rPr>
          <w:color w:val="auto"/>
          <w:highlight w:val="none"/>
        </w:rPr>
        <w:t>服务等）事项后7个工作日内</w:t>
      </w:r>
      <w:r>
        <w:rPr>
          <w:rFonts w:hint="eastAsia"/>
          <w:color w:val="auto"/>
          <w:highlight w:val="none"/>
        </w:rPr>
        <w:t>，</w:t>
      </w:r>
      <w:r>
        <w:rPr>
          <w:rFonts w:hint="eastAsia" w:cs="宋体" w:asciiTheme="minorEastAsia" w:hAnsiTheme="minorEastAsia" w:eastAsiaTheme="minorEastAsia"/>
          <w:color w:val="auto"/>
          <w:kern w:val="0"/>
          <w:szCs w:val="21"/>
          <w:highlight w:val="none"/>
        </w:rPr>
        <w:t>由乙方向履约保证金收取单位提供《广西壮族自治区政府采购项目合同验收书》和履约保证金交纳凭证，履约保证金收取单位在收到合格材料后5个工作日内办理退还手续（不计利息）。</w:t>
      </w:r>
    </w:p>
    <w:p w14:paraId="4955CD4D">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履约保证金指定账户：开户名称：桂林水文中心；开户银行：中国农业银行股份有限公司桂林城西支行；银行账号：20-205501040000515。</w:t>
      </w:r>
    </w:p>
    <w:p w14:paraId="7BB1D0BF">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第十条  税费</w:t>
      </w:r>
    </w:p>
    <w:p w14:paraId="6FA21E0E">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本合同执行中相关的一切税费均由乙方负担。</w:t>
      </w:r>
    </w:p>
    <w:p w14:paraId="3967E3DD">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第十一条  调试和验收</w:t>
      </w:r>
    </w:p>
    <w:p w14:paraId="619D7AF6">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乙方在采购文件规定的交货期内派遣专业人员完成所有设备的安装、调试，并提供完备的技术或服务资料、装箱单和合格证等。安装调试完毕后，甲方将现场根据谈判文件要求、响应文件承诺及国家相关标准对成交产品进行逐项验收，乙方必须予以配合，在测试或试运行期间如出现问题应给予及时解决，并保证设备的正常运行或工作。验收合格后由甲方签署确认验收合格文件，验收不合格的，甲方有权终止合同执行并全部退货，</w:t>
      </w:r>
      <w:r>
        <w:rPr>
          <w:rFonts w:hint="eastAsia" w:asciiTheme="minorEastAsia" w:hAnsiTheme="minorEastAsia" w:eastAsiaTheme="minorEastAsia"/>
          <w:color w:val="auto"/>
          <w:szCs w:val="21"/>
          <w:highlight w:val="none"/>
        </w:rPr>
        <w:t>甲方已支付的费用乙方必须在7个工作日内进行退还，</w:t>
      </w:r>
      <w:r>
        <w:rPr>
          <w:rFonts w:hint="eastAsia" w:cs="宋体" w:asciiTheme="minorEastAsia" w:hAnsiTheme="minorEastAsia" w:eastAsiaTheme="minorEastAsia"/>
          <w:color w:val="auto"/>
          <w:kern w:val="0"/>
          <w:szCs w:val="21"/>
          <w:highlight w:val="none"/>
        </w:rPr>
        <w:t>同时报相关监督管理部门处理，由此造成甲方经济损失的由乙方负责承担全部赔偿责任。</w:t>
      </w:r>
    </w:p>
    <w:p w14:paraId="71831BDC">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2.验收过程中所产生的一切费用均由乙方承担，乙方在竞标报价时已综合考虑相关费用。</w:t>
      </w:r>
    </w:p>
    <w:p w14:paraId="4DD0C7B9">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3.由于乙方的原因造成甲方不能按时验收合格并正常使用的，由此造成的损失由乙方承担。</w:t>
      </w:r>
    </w:p>
    <w:p w14:paraId="5D8AE756">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4.甲方对乙方提供的货物在使用前进行调试时，乙方需负责安装并培训甲方的使用操作人员，并协助甲方一起调试，直到符合技术要求，甲方才做最终验收。</w:t>
      </w:r>
    </w:p>
    <w:p w14:paraId="34D9B3FF">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5.甲方对验收有异议的，在验收后五个工作日内以书面形式向乙方提出，乙方应自收到甲方书面异议后10日内及时予以解决。</w:t>
      </w:r>
    </w:p>
    <w:p w14:paraId="1EDB0ABE">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6.项目验收时，因货物质量问题发生争议的，应邀请国家认可的质量检测机构对货物质量进行鉴定。</w:t>
      </w:r>
    </w:p>
    <w:p w14:paraId="5437CAFA">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7.对技术复杂的货物，甲方应请国家认可的专业检测机构参与初步验收及最终验收，并由其出具质量检测报告。</w:t>
      </w:r>
    </w:p>
    <w:p w14:paraId="7B72BC3F">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8.甲方逾期不验收的，乙方可视同验收合格。由于乙方的原因造成甲方不能按时验收合格并正常使用的，由此造成的损失由乙方承担。</w:t>
      </w:r>
    </w:p>
    <w:p w14:paraId="7BACBE82">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9.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D158AB9">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10.分标1：</w:t>
      </w:r>
    </w:p>
    <w:p w14:paraId="2E779AAC">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供货时，乙方必须向甲方提供所竞第7项“供电系统（柜式）”、第8项“供电系统（杆式）”产品中的“太阳能专用胶体蓄电池”以及第20项“300AH磷酸铁锂电池”的原厂供货证明文件（加盖厂家公章），否则，不予验收。</w:t>
      </w:r>
    </w:p>
    <w:p w14:paraId="3D758C8E">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供货时，乙方必须向甲方提供所竞第6项“视频水位识别系统”、第10项“视频监控系统球型摄像机”、第19项号产品“智能一体化遥测终端机”生产厂家针对本分标产品出具的授权书原件、保修及售后服务承诺函原件，否则，不予验收。</w:t>
      </w:r>
    </w:p>
    <w:p w14:paraId="619DF5C8">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第十二条　违约责任</w:t>
      </w:r>
    </w:p>
    <w:p w14:paraId="03EADD77">
      <w:pPr>
        <w:spacing w:line="340" w:lineRule="exact"/>
        <w:ind w:firstLine="420" w:firstLineChars="200"/>
        <w:jc w:val="left"/>
        <w:rPr>
          <w:color w:val="auto"/>
          <w:highlight w:val="none"/>
        </w:rPr>
      </w:pPr>
      <w:r>
        <w:rPr>
          <w:rFonts w:hint="eastAsia"/>
          <w:color w:val="auto"/>
          <w:highlight w:val="none"/>
        </w:rPr>
        <w:t>1. 乙方于签订采购合同后</w:t>
      </w:r>
      <w:r>
        <w:rPr>
          <w:rFonts w:hint="eastAsia" w:ascii="宋体" w:hAnsi="宋体"/>
          <w:color w:val="auto"/>
          <w:szCs w:val="21"/>
          <w:highlight w:val="none"/>
        </w:rPr>
        <w:t>且在第一次付款前</w:t>
      </w:r>
      <w:r>
        <w:rPr>
          <w:rFonts w:hint="eastAsia"/>
          <w:color w:val="auto"/>
          <w:highlight w:val="none"/>
        </w:rPr>
        <w:t>向甲方提供第三章“采购需求”“技术要求”中要求提供由国家认可的第三方检测机构出具的合格有效的检测报告原件进行核查，如乙方不能提供以上检测报告的或提供的检测报告不符合竞争性谈判文件的技术需求及要求的，按乙方违约处理，甲方有权终止采购合同。乙方承担所有责任和费用，甲方保留进一步追究责任的权利。</w:t>
      </w:r>
    </w:p>
    <w:p w14:paraId="643ECF9B">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2.乙方所提供的产品名称、生产厂家、品牌、规格型号、技术参数等不符合响应文件承诺或质量不合格的，应及时更换，更换不及时的按逾期交货处罚；因质量问题甲方不同意接收的或特殊情况甲方同意接收的，乙方应向甲方支付违约货款额 5%违约金并赔偿甲方经济损失。                                       </w:t>
      </w:r>
    </w:p>
    <w:p w14:paraId="58AF620C">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3．乙方提供的货物如侵犯了第三方合法权益而引发的任何纠纷或诉讼，均由乙方负责交涉并承担全部责任。</w:t>
      </w:r>
    </w:p>
    <w:p w14:paraId="5B51400C">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4．因包装、运输引起的货物损坏，按质量不合格处罚。</w:t>
      </w:r>
    </w:p>
    <w:p w14:paraId="5712F675">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甲方无故延期接收货物、乙方逾期交货的，每天向对方偿付违约货款额3‰违约金，但违约金累计不得超过违约货款额5%，超过七天对方有权解除合同，违约方承担因此给对方造成的经济损失；甲方延期付货款的，每天向乙方偿付延期货款额3‰滞纳金，但滞纳金累计不得超过延期货款额5%。</w:t>
      </w:r>
    </w:p>
    <w:p w14:paraId="0D85C824">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6．乙方未按本合同和响应文件中规定的服务承诺提供售后服务的，乙方应按本合同合计金额 5%向甲方支付违约金。</w:t>
      </w:r>
    </w:p>
    <w:p w14:paraId="605BB430">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7．乙方提供的货物在质量保证期内，因设计、工艺或材料的缺陷和其他质量原因造成的问题，由乙方负责，费用从质量保证金中扣除，不足另补。</w:t>
      </w:r>
    </w:p>
    <w:p w14:paraId="391C8E99">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8．其它违约行为按违约货款额5%收取违约金并赔偿经济损失。</w:t>
      </w:r>
    </w:p>
    <w:p w14:paraId="17975269">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第十三条  不可抗力事件处理</w:t>
      </w:r>
    </w:p>
    <w:p w14:paraId="23413CEB">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 在合同有效期内，任何一方因不可抗力事件导致不能履行合同，则合同履行期可延长，其延长期与不可抗力影响期相同。</w:t>
      </w:r>
    </w:p>
    <w:p w14:paraId="18CAD4BF">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 不可抗力事件发生后，应立即通知对方，并寄送有关权威机构出具的证明。</w:t>
      </w:r>
    </w:p>
    <w:p w14:paraId="385060E7">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 不可抗力事件延续一百二十天以上，双方应通过友好协商，确定是否继续履行合同。</w:t>
      </w:r>
    </w:p>
    <w:p w14:paraId="7EA25CA0">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第十四条  合同争议解决</w:t>
      </w:r>
    </w:p>
    <w:p w14:paraId="35C856BE">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1．因货物质量问题发生争议的，应邀请国家认可的质量检测机构对货物质量进行鉴定。货物符合标准的，鉴定费由甲方承担；货物不符合标准的，鉴定费由乙方承担。</w:t>
      </w:r>
    </w:p>
    <w:p w14:paraId="61B49129">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2．因履行本合同引起的或与本合同有关的争议，甲乙双方应首先通过友好协商解决，如果协商不能解决，可向甲方所在地人民法院提起诉讼。</w:t>
      </w:r>
    </w:p>
    <w:p w14:paraId="6731BF70">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3．诉讼期间，本合同继续履行。</w:t>
      </w:r>
    </w:p>
    <w:p w14:paraId="7A8A1AF4">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第十五条  诉讼</w:t>
      </w:r>
    </w:p>
    <w:p w14:paraId="1F38F8BB">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双方在执行合同中所发生的一切争议，应通过协商解决。如协商不能解决，可向仲裁委员会申请仲裁或向人民法院提起诉讼。</w:t>
      </w:r>
    </w:p>
    <w:p w14:paraId="67AADB99">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第十六条  合同生效及其他</w:t>
      </w:r>
    </w:p>
    <w:p w14:paraId="20B7693B">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1.合同经双方法定代表人（负责人/自然人）或委托代理人签字并加盖单位公章后生效（委托代理人签字的需后附法定代表人授权委托书，格式自拟）。</w:t>
      </w:r>
    </w:p>
    <w:p w14:paraId="374CBE72">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2.合同执行中涉及采购资金和采购内容修改或补充的，须签书面补充协议报财政部门备案，并作为主合同不可分割的一部分。</w:t>
      </w:r>
    </w:p>
    <w:p w14:paraId="1632F63B">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3.本合同未尽事宜，遵照《中华人民共和国民法典》有关条文执行。</w:t>
      </w:r>
    </w:p>
    <w:p w14:paraId="3C1CEE9B">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第十七条　合同的变更、终止与转让</w:t>
      </w:r>
    </w:p>
    <w:p w14:paraId="3CFA7A7D">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1．除《中华人民共和国政府采购法》第五十条规定的情形外，本合同一经签订，甲乙双方不得擅自变更、中止或终止。</w:t>
      </w:r>
    </w:p>
    <w:p w14:paraId="7039E081">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2．乙方不得擅自转让其应履行的合同义务。</w:t>
      </w:r>
    </w:p>
    <w:p w14:paraId="77669F8F">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第十八条　签订本合同依据</w:t>
      </w:r>
    </w:p>
    <w:p w14:paraId="370423F7">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1.成交通知书；</w:t>
      </w:r>
    </w:p>
    <w:p w14:paraId="34E48DAD">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2.乙方的竞标报价表；</w:t>
      </w:r>
    </w:p>
    <w:p w14:paraId="3F1C029C">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3.乙方的商务要求响应承诺书；</w:t>
      </w:r>
    </w:p>
    <w:p w14:paraId="309CEF91">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4.乙方的技术要求响应承诺书；</w:t>
      </w:r>
    </w:p>
    <w:p w14:paraId="0F9F5FCD">
      <w:pPr>
        <w:spacing w:line="34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5.乙方的响应文件等其他合同文件。</w:t>
      </w:r>
    </w:p>
    <w:p w14:paraId="702AF1F1">
      <w:pPr>
        <w:spacing w:line="340" w:lineRule="exact"/>
        <w:ind w:firstLine="420" w:firstLineChars="200"/>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第十九条　本合同一式四份，具有同等法律效力，甲方两份、乙方一份、采购代理机构一份（可根据需要另增加）。</w:t>
      </w:r>
    </w:p>
    <w:tbl>
      <w:tblPr>
        <w:tblStyle w:val="25"/>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6BED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4516" w:type="dxa"/>
            <w:vAlign w:val="center"/>
          </w:tcPr>
          <w:p w14:paraId="3A90ACC7">
            <w:pPr>
              <w:snapToGrid w:val="0"/>
              <w:rPr>
                <w:rFonts w:ascii="宋体" w:hAnsi="宋体"/>
                <w:color w:val="auto"/>
                <w:sz w:val="24"/>
                <w:highlight w:val="none"/>
              </w:rPr>
            </w:pPr>
            <w:r>
              <w:rPr>
                <w:rFonts w:hint="eastAsia" w:ascii="宋体" w:hAnsi="宋体"/>
                <w:color w:val="auto"/>
                <w:sz w:val="24"/>
                <w:highlight w:val="none"/>
              </w:rPr>
              <w:t>甲方（章）  年   月   日</w:t>
            </w:r>
          </w:p>
        </w:tc>
        <w:tc>
          <w:tcPr>
            <w:tcW w:w="4517" w:type="dxa"/>
            <w:vAlign w:val="center"/>
          </w:tcPr>
          <w:p w14:paraId="5B411C71">
            <w:pPr>
              <w:snapToGrid w:val="0"/>
              <w:rPr>
                <w:rFonts w:ascii="宋体" w:hAnsi="宋体"/>
                <w:color w:val="auto"/>
                <w:sz w:val="24"/>
                <w:highlight w:val="none"/>
              </w:rPr>
            </w:pPr>
            <w:r>
              <w:rPr>
                <w:rFonts w:hint="eastAsia" w:ascii="宋体" w:hAnsi="宋体"/>
                <w:color w:val="auto"/>
                <w:sz w:val="24"/>
                <w:highlight w:val="none"/>
              </w:rPr>
              <w:t>乙方（章）   年   月   日</w:t>
            </w:r>
          </w:p>
        </w:tc>
      </w:tr>
      <w:tr w14:paraId="12EB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16" w:type="dxa"/>
            <w:vAlign w:val="center"/>
          </w:tcPr>
          <w:p w14:paraId="7F13A29F">
            <w:pPr>
              <w:snapToGrid w:val="0"/>
              <w:rPr>
                <w:rFonts w:ascii="宋体" w:hAnsi="宋体"/>
                <w:color w:val="auto"/>
                <w:sz w:val="24"/>
                <w:highlight w:val="none"/>
              </w:rPr>
            </w:pPr>
            <w:r>
              <w:rPr>
                <w:rFonts w:hint="eastAsia" w:ascii="宋体" w:hAnsi="宋体"/>
                <w:color w:val="auto"/>
                <w:sz w:val="24"/>
                <w:highlight w:val="none"/>
              </w:rPr>
              <w:t>单位地址：</w:t>
            </w:r>
          </w:p>
        </w:tc>
        <w:tc>
          <w:tcPr>
            <w:tcW w:w="4517" w:type="dxa"/>
            <w:vAlign w:val="center"/>
          </w:tcPr>
          <w:p w14:paraId="2F52B4B5">
            <w:pPr>
              <w:snapToGrid w:val="0"/>
              <w:rPr>
                <w:rFonts w:ascii="宋体" w:hAnsi="宋体"/>
                <w:color w:val="auto"/>
                <w:sz w:val="24"/>
                <w:highlight w:val="none"/>
              </w:rPr>
            </w:pPr>
            <w:r>
              <w:rPr>
                <w:rFonts w:hint="eastAsia" w:ascii="宋体" w:hAnsi="宋体"/>
                <w:color w:val="auto"/>
                <w:sz w:val="24"/>
                <w:highlight w:val="none"/>
              </w:rPr>
              <w:t>单位地址：</w:t>
            </w:r>
          </w:p>
        </w:tc>
      </w:tr>
      <w:tr w14:paraId="410A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16" w:type="dxa"/>
            <w:vAlign w:val="center"/>
          </w:tcPr>
          <w:p w14:paraId="6B3B98D6">
            <w:pPr>
              <w:snapToGrid w:val="0"/>
              <w:rPr>
                <w:rFonts w:ascii="宋体" w:hAnsi="宋体"/>
                <w:color w:val="auto"/>
                <w:sz w:val="24"/>
                <w:highlight w:val="none"/>
              </w:rPr>
            </w:pPr>
            <w:r>
              <w:rPr>
                <w:rFonts w:hint="eastAsia" w:ascii="宋体" w:hAnsi="宋体"/>
                <w:color w:val="auto"/>
                <w:sz w:val="24"/>
                <w:highlight w:val="none"/>
              </w:rPr>
              <w:t>法定代表人或者委托代理人：</w:t>
            </w:r>
          </w:p>
        </w:tc>
        <w:tc>
          <w:tcPr>
            <w:tcW w:w="4517" w:type="dxa"/>
            <w:vAlign w:val="center"/>
          </w:tcPr>
          <w:p w14:paraId="68633590">
            <w:pPr>
              <w:snapToGrid w:val="0"/>
              <w:rPr>
                <w:rFonts w:ascii="宋体" w:hAnsi="宋体"/>
                <w:color w:val="auto"/>
                <w:sz w:val="24"/>
                <w:highlight w:val="none"/>
              </w:rPr>
            </w:pPr>
            <w:r>
              <w:rPr>
                <w:rFonts w:hint="eastAsia" w:ascii="宋体" w:hAnsi="宋体"/>
                <w:color w:val="auto"/>
                <w:sz w:val="24"/>
                <w:highlight w:val="none"/>
              </w:rPr>
              <w:t>法定代表人或者委托代理人：</w:t>
            </w:r>
          </w:p>
        </w:tc>
      </w:tr>
      <w:tr w14:paraId="2BCB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16" w:type="dxa"/>
            <w:vAlign w:val="center"/>
          </w:tcPr>
          <w:p w14:paraId="5421A37E">
            <w:pPr>
              <w:snapToGrid w:val="0"/>
              <w:rPr>
                <w:rFonts w:ascii="宋体" w:hAnsi="宋体"/>
                <w:color w:val="auto"/>
                <w:sz w:val="24"/>
                <w:highlight w:val="none"/>
              </w:rPr>
            </w:pPr>
            <w:r>
              <w:rPr>
                <w:rFonts w:hint="eastAsia" w:ascii="宋体" w:hAnsi="宋体"/>
                <w:color w:val="auto"/>
                <w:sz w:val="24"/>
                <w:highlight w:val="none"/>
              </w:rPr>
              <w:t>电话：</w:t>
            </w:r>
          </w:p>
        </w:tc>
        <w:tc>
          <w:tcPr>
            <w:tcW w:w="4517" w:type="dxa"/>
            <w:vAlign w:val="center"/>
          </w:tcPr>
          <w:p w14:paraId="2989F011">
            <w:pPr>
              <w:snapToGrid w:val="0"/>
              <w:rPr>
                <w:rFonts w:ascii="宋体" w:hAnsi="宋体"/>
                <w:color w:val="auto"/>
                <w:sz w:val="24"/>
                <w:highlight w:val="none"/>
              </w:rPr>
            </w:pPr>
            <w:r>
              <w:rPr>
                <w:rFonts w:hint="eastAsia" w:ascii="宋体" w:hAnsi="宋体"/>
                <w:color w:val="auto"/>
                <w:sz w:val="24"/>
                <w:highlight w:val="none"/>
              </w:rPr>
              <w:t>电话：</w:t>
            </w:r>
          </w:p>
        </w:tc>
      </w:tr>
      <w:tr w14:paraId="0353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16" w:type="dxa"/>
            <w:vAlign w:val="center"/>
          </w:tcPr>
          <w:p w14:paraId="3A0AE2DD">
            <w:pPr>
              <w:snapToGrid w:val="0"/>
              <w:rPr>
                <w:rFonts w:ascii="宋体" w:hAnsi="宋体"/>
                <w:color w:val="auto"/>
                <w:sz w:val="24"/>
                <w:highlight w:val="none"/>
              </w:rPr>
            </w:pPr>
            <w:r>
              <w:rPr>
                <w:rFonts w:hint="eastAsia" w:ascii="宋体" w:hAnsi="宋体"/>
                <w:color w:val="auto"/>
                <w:sz w:val="24"/>
                <w:highlight w:val="none"/>
              </w:rPr>
              <w:t>电子邮箱：</w:t>
            </w:r>
          </w:p>
        </w:tc>
        <w:tc>
          <w:tcPr>
            <w:tcW w:w="4517" w:type="dxa"/>
            <w:vAlign w:val="center"/>
          </w:tcPr>
          <w:p w14:paraId="4EADF9C6">
            <w:pPr>
              <w:snapToGrid w:val="0"/>
              <w:rPr>
                <w:rFonts w:ascii="宋体" w:hAnsi="宋体"/>
                <w:color w:val="auto"/>
                <w:sz w:val="24"/>
                <w:highlight w:val="none"/>
              </w:rPr>
            </w:pPr>
            <w:r>
              <w:rPr>
                <w:rFonts w:hint="eastAsia" w:ascii="宋体" w:hAnsi="宋体"/>
                <w:color w:val="auto"/>
                <w:sz w:val="24"/>
                <w:highlight w:val="none"/>
              </w:rPr>
              <w:t>电子邮箱：</w:t>
            </w:r>
          </w:p>
        </w:tc>
      </w:tr>
      <w:tr w14:paraId="4F8A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16" w:type="dxa"/>
            <w:vAlign w:val="center"/>
          </w:tcPr>
          <w:p w14:paraId="465DF989">
            <w:pPr>
              <w:snapToGrid w:val="0"/>
              <w:rPr>
                <w:rFonts w:ascii="宋体" w:hAnsi="宋体"/>
                <w:color w:val="auto"/>
                <w:sz w:val="24"/>
                <w:highlight w:val="none"/>
              </w:rPr>
            </w:pPr>
            <w:r>
              <w:rPr>
                <w:rFonts w:hint="eastAsia" w:ascii="宋体" w:hAnsi="宋体"/>
                <w:color w:val="auto"/>
                <w:sz w:val="24"/>
                <w:highlight w:val="none"/>
              </w:rPr>
              <w:t>开户银行：</w:t>
            </w:r>
          </w:p>
        </w:tc>
        <w:tc>
          <w:tcPr>
            <w:tcW w:w="4517" w:type="dxa"/>
            <w:vAlign w:val="center"/>
          </w:tcPr>
          <w:p w14:paraId="1E3AC455">
            <w:pPr>
              <w:snapToGrid w:val="0"/>
              <w:rPr>
                <w:rFonts w:ascii="宋体" w:hAnsi="宋体"/>
                <w:color w:val="auto"/>
                <w:sz w:val="24"/>
                <w:highlight w:val="none"/>
              </w:rPr>
            </w:pPr>
            <w:r>
              <w:rPr>
                <w:rFonts w:hint="eastAsia" w:ascii="宋体" w:hAnsi="宋体"/>
                <w:color w:val="auto"/>
                <w:sz w:val="24"/>
                <w:highlight w:val="none"/>
              </w:rPr>
              <w:t>开户银行：</w:t>
            </w:r>
          </w:p>
        </w:tc>
      </w:tr>
      <w:tr w14:paraId="5F6D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16" w:type="dxa"/>
            <w:vAlign w:val="center"/>
          </w:tcPr>
          <w:p w14:paraId="1531C456">
            <w:pPr>
              <w:snapToGrid w:val="0"/>
              <w:rPr>
                <w:rFonts w:ascii="宋体" w:hAnsi="宋体"/>
                <w:color w:val="auto"/>
                <w:sz w:val="24"/>
                <w:highlight w:val="none"/>
              </w:rPr>
            </w:pPr>
            <w:r>
              <w:rPr>
                <w:rFonts w:hint="eastAsia" w:ascii="宋体" w:hAnsi="宋体"/>
                <w:color w:val="auto"/>
                <w:sz w:val="24"/>
                <w:highlight w:val="none"/>
              </w:rPr>
              <w:t>账号：</w:t>
            </w:r>
          </w:p>
        </w:tc>
        <w:tc>
          <w:tcPr>
            <w:tcW w:w="4517" w:type="dxa"/>
            <w:vAlign w:val="center"/>
          </w:tcPr>
          <w:p w14:paraId="3145D79B">
            <w:pPr>
              <w:snapToGrid w:val="0"/>
              <w:rPr>
                <w:rFonts w:ascii="宋体" w:hAnsi="宋体"/>
                <w:color w:val="auto"/>
                <w:sz w:val="24"/>
                <w:highlight w:val="none"/>
              </w:rPr>
            </w:pPr>
            <w:r>
              <w:rPr>
                <w:rFonts w:hint="eastAsia" w:ascii="宋体" w:hAnsi="宋体"/>
                <w:color w:val="auto"/>
                <w:sz w:val="24"/>
                <w:highlight w:val="none"/>
              </w:rPr>
              <w:t>账号：</w:t>
            </w:r>
          </w:p>
        </w:tc>
      </w:tr>
      <w:tr w14:paraId="55EF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16" w:type="dxa"/>
            <w:vAlign w:val="center"/>
          </w:tcPr>
          <w:p w14:paraId="7AE1B489">
            <w:pPr>
              <w:snapToGrid w:val="0"/>
              <w:rPr>
                <w:rFonts w:ascii="宋体" w:hAnsi="宋体"/>
                <w:color w:val="auto"/>
                <w:sz w:val="24"/>
                <w:highlight w:val="none"/>
              </w:rPr>
            </w:pPr>
            <w:r>
              <w:rPr>
                <w:rFonts w:hint="eastAsia" w:ascii="宋体" w:hAnsi="宋体"/>
                <w:color w:val="auto"/>
                <w:sz w:val="24"/>
                <w:highlight w:val="none"/>
              </w:rPr>
              <w:t>邮政编码：</w:t>
            </w:r>
          </w:p>
        </w:tc>
        <w:tc>
          <w:tcPr>
            <w:tcW w:w="4517" w:type="dxa"/>
            <w:vAlign w:val="center"/>
          </w:tcPr>
          <w:p w14:paraId="3FD7D412">
            <w:pPr>
              <w:snapToGrid w:val="0"/>
              <w:rPr>
                <w:rFonts w:ascii="宋体" w:hAnsi="宋体"/>
                <w:color w:val="auto"/>
                <w:sz w:val="24"/>
                <w:highlight w:val="none"/>
              </w:rPr>
            </w:pPr>
            <w:r>
              <w:rPr>
                <w:rFonts w:hint="eastAsia" w:ascii="宋体" w:hAnsi="宋体"/>
                <w:color w:val="auto"/>
                <w:sz w:val="24"/>
                <w:highlight w:val="none"/>
              </w:rPr>
              <w:t>邮政编码：</w:t>
            </w:r>
          </w:p>
        </w:tc>
      </w:tr>
    </w:tbl>
    <w:p w14:paraId="619CB541">
      <w:pPr>
        <w:snapToGrid w:val="0"/>
        <w:spacing w:line="360" w:lineRule="auto"/>
        <w:rPr>
          <w:rFonts w:ascii="宋体"/>
          <w:bCs/>
          <w:color w:val="auto"/>
          <w:sz w:val="24"/>
          <w:highlight w:val="none"/>
        </w:rPr>
      </w:pPr>
    </w:p>
    <w:sectPr>
      <w:headerReference r:id="rId9" w:type="first"/>
      <w:footerReference r:id="rId10" w:type="first"/>
      <w:headerReference r:id="rId7" w:type="default"/>
      <w:headerReference r:id="rId8" w:type="even"/>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B4E0FC-0B69-470F-8939-19A248C2C798}"/>
  </w:font>
  <w:font w:name="Courier New">
    <w:panose1 w:val="02070309020205020404"/>
    <w:charset w:val="01"/>
    <w:family w:val="modern"/>
    <w:pitch w:val="default"/>
    <w:sig w:usb0="E0002AFF" w:usb1="C0007843" w:usb2="00000009" w:usb3="00000000" w:csb0="400001FF" w:csb1="FFFF0000"/>
    <w:embedRegular r:id="rId2" w:fontKey="{0229E2EE-E40A-4695-9EF1-3074752992D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2CD1A410-E08B-447D-BC0B-7D7B8CC7BF5D}"/>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4" w:fontKey="{924307D3-11B8-45C3-A8A0-DDDDA7D85B74}"/>
  </w:font>
  <w:font w:name="华文新魏">
    <w:panose1 w:val="02010800040101010101"/>
    <w:charset w:val="86"/>
    <w:family w:val="auto"/>
    <w:pitch w:val="default"/>
    <w:sig w:usb0="00000001" w:usb1="080F0000" w:usb2="00000000" w:usb3="00000000" w:csb0="00040000" w:csb1="00000000"/>
    <w:embedRegular r:id="rId5" w:fontKey="{1653D058-1F58-450E-B58B-297AF06C0F06}"/>
  </w:font>
  <w:font w:name="仿宋">
    <w:panose1 w:val="02010609060101010101"/>
    <w:charset w:val="86"/>
    <w:family w:val="modern"/>
    <w:pitch w:val="default"/>
    <w:sig w:usb0="800002BF" w:usb1="38CF7CFA" w:usb2="00000016" w:usb3="00000000" w:csb0="00040001" w:csb1="00000000"/>
    <w:embedRegular r:id="rId6" w:fontKey="{9B0AE3C2-EE0E-4DB4-AB32-6D4100C2C2FE}"/>
  </w:font>
  <w:font w:name="MS Mincho">
    <w:panose1 w:val="02020609040205080304"/>
    <w:charset w:val="80"/>
    <w:family w:val="roman"/>
    <w:pitch w:val="default"/>
    <w:sig w:usb0="E00002FF" w:usb1="6AC7FDFB" w:usb2="00000012" w:usb3="00000000" w:csb0="4002009F" w:csb1="DFD70000"/>
    <w:embedRegular r:id="rId7" w:fontKey="{6B50FD7E-CE60-48A6-9E2C-94831DD051E9}"/>
  </w:font>
  <w:font w:name="Verdana">
    <w:panose1 w:val="020B0604030504040204"/>
    <w:charset w:val="00"/>
    <w:family w:val="swiss"/>
    <w:pitch w:val="default"/>
    <w:sig w:usb0="A10006FF" w:usb1="4000205B" w:usb2="00000010" w:usb3="00000000" w:csb0="2000019F" w:csb1="00000000"/>
    <w:embedRegular r:id="rId8" w:fontKey="{3F4ABC78-4CF5-47A9-922D-83A02368D6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E7743">
    <w:pPr>
      <w:pStyle w:val="17"/>
      <w:jc w:val="center"/>
    </w:pPr>
    <w:r>
      <w:fldChar w:fldCharType="begin"/>
    </w:r>
    <w:r>
      <w:instrText xml:space="preserve"> PAGE   \* MERGEFORMAT </w:instrText>
    </w:r>
    <w:r>
      <w:fldChar w:fldCharType="separate"/>
    </w:r>
    <w:r>
      <w:rPr>
        <w:lang w:val="zh-CN"/>
      </w:rPr>
      <w:t>85</w:t>
    </w:r>
    <w:r>
      <w:rPr>
        <w:lang w:val="zh-CN"/>
      </w:rPr>
      <w:fldChar w:fldCharType="end"/>
    </w:r>
  </w:p>
  <w:p w14:paraId="72E239B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F249">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37EB904E">
                          <w:pPr>
                            <w:pStyle w:val="1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ql5uc8A&#10;AAAFAQAADwAAAAAAAAABACAAAAAiAAAAZHJzL2Rvd25yZXYueG1sUEsBAhQAFAAAAAgAh07iQNdP&#10;YtLvAQAA4gMAAA4AAAAAAAAAAQAgAAAAHgEAAGRycy9lMm9Eb2MueG1sUEsFBgAAAAAGAAYAWQEA&#10;AH8FAAAAAA==&#10;">
              <v:fill on="f" focussize="0,0"/>
              <v:stroke on="f"/>
              <v:imagedata o:title=""/>
              <o:lock v:ext="edit" aspectratio="f"/>
              <v:textbox inset="0mm,0mm,0mm,0mm" style="mso-fit-shape-to-text:t;">
                <w:txbxContent>
                  <w:p w14:paraId="37EB904E">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150E2">
    <w:pPr>
      <w:pStyle w:val="19"/>
      <w:pBdr>
        <w:bottom w:val="none" w:color="auto" w:sz="0" w:space="0"/>
      </w:pBdr>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541645" cy="4460240"/>
          <wp:effectExtent l="0" t="0" r="1905" b="16510"/>
          <wp:wrapNone/>
          <wp:docPr id="4" name="WordPictureWatermark279589049" descr="7~WSSC5A17YNC}~AT53OV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79589049" descr="7~WSSC5A17YNC}~AT53OVPX"/>
                  <pic:cNvPicPr>
                    <a:picLocks noChangeAspect="1"/>
                  </pic:cNvPicPr>
                </pic:nvPicPr>
                <pic:blipFill>
                  <a:blip r:embed="rId1">
                    <a:lum bright="70001" contrast="-70000"/>
                  </a:blip>
                  <a:stretch>
                    <a:fillRect/>
                  </a:stretch>
                </pic:blipFill>
                <pic:spPr>
                  <a:xfrm>
                    <a:off x="0" y="0"/>
                    <a:ext cx="5541645" cy="44602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46B4A">
    <w:pPr>
      <w:pStyle w:val="19"/>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541645" cy="4460240"/>
          <wp:effectExtent l="0" t="0" r="1905" b="16510"/>
          <wp:wrapNone/>
          <wp:docPr id="3" name="WordPictureWatermark279589048" descr="7~WSSC5A17YNC}~AT53OV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79589048" descr="7~WSSC5A17YNC}~AT53OVPX"/>
                  <pic:cNvPicPr>
                    <a:picLocks noChangeAspect="1"/>
                  </pic:cNvPicPr>
                </pic:nvPicPr>
                <pic:blipFill>
                  <a:blip r:embed="rId1">
                    <a:lum bright="70001" contrast="-70000"/>
                  </a:blip>
                  <a:stretch>
                    <a:fillRect/>
                  </a:stretch>
                </pic:blipFill>
                <pic:spPr>
                  <a:xfrm>
                    <a:off x="0" y="0"/>
                    <a:ext cx="5541645" cy="446024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5189">
    <w:pPr>
      <w:pStyle w:val="19"/>
      <w:pBdr>
        <w:bottom w:val="none" w:color="auto" w:sz="0" w:space="0"/>
      </w:pBdr>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541645" cy="4460240"/>
          <wp:effectExtent l="0" t="0" r="1905" b="16510"/>
          <wp:wrapNone/>
          <wp:docPr id="2" name="WordPictureWatermark279589047" descr="7~WSSC5A17YNC}~AT53OV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79589047" descr="7~WSSC5A17YNC}~AT53OVPX"/>
                  <pic:cNvPicPr>
                    <a:picLocks noChangeAspect="1"/>
                  </pic:cNvPicPr>
                </pic:nvPicPr>
                <pic:blipFill>
                  <a:blip r:embed="rId1">
                    <a:lum bright="70001" contrast="-70000"/>
                  </a:blip>
                  <a:stretch>
                    <a:fillRect/>
                  </a:stretch>
                </pic:blipFill>
                <pic:spPr>
                  <a:xfrm>
                    <a:off x="0" y="0"/>
                    <a:ext cx="5541645" cy="446024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C82B">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5541645" cy="4460240"/>
          <wp:effectExtent l="0" t="0" r="1905" b="16510"/>
          <wp:wrapNone/>
          <wp:docPr id="7" name="WordPictureWatermark279589052" descr="7~WSSC5A17YNC}~AT53OV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79589052" descr="7~WSSC5A17YNC}~AT53OVPX"/>
                  <pic:cNvPicPr>
                    <a:picLocks noChangeAspect="1"/>
                  </pic:cNvPicPr>
                </pic:nvPicPr>
                <pic:blipFill>
                  <a:blip r:embed="rId1">
                    <a:lum bright="70001" contrast="-70000"/>
                  </a:blip>
                  <a:stretch>
                    <a:fillRect/>
                  </a:stretch>
                </pic:blipFill>
                <pic:spPr>
                  <a:xfrm>
                    <a:off x="0" y="0"/>
                    <a:ext cx="5541645" cy="446024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23AAA">
    <w:pPr>
      <w:pStyle w:val="19"/>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541645" cy="4460240"/>
          <wp:effectExtent l="0" t="0" r="1905" b="16510"/>
          <wp:wrapNone/>
          <wp:docPr id="6" name="WordPictureWatermark279589051" descr="7~WSSC5A17YNC}~AT53OV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79589051" descr="7~WSSC5A17YNC}~AT53OVPX"/>
                  <pic:cNvPicPr>
                    <a:picLocks noChangeAspect="1"/>
                  </pic:cNvPicPr>
                </pic:nvPicPr>
                <pic:blipFill>
                  <a:blip r:embed="rId1">
                    <a:lum bright="70001" contrast="-70000"/>
                  </a:blip>
                  <a:stretch>
                    <a:fillRect/>
                  </a:stretch>
                </pic:blipFill>
                <pic:spPr>
                  <a:xfrm>
                    <a:off x="0" y="0"/>
                    <a:ext cx="5541645" cy="446024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0C546">
    <w:pPr>
      <w:pStyle w:val="19"/>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541645" cy="4460240"/>
          <wp:effectExtent l="0" t="0" r="1905" b="16510"/>
          <wp:wrapNone/>
          <wp:docPr id="5" name="WordPictureWatermark279589050" descr="7~WSSC5A17YNC}~AT53OV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79589050" descr="7~WSSC5A17YNC}~AT53OVPX"/>
                  <pic:cNvPicPr>
                    <a:picLocks noChangeAspect="1"/>
                  </pic:cNvPicPr>
                </pic:nvPicPr>
                <pic:blipFill>
                  <a:blip r:embed="rId1">
                    <a:lum bright="70001" contrast="-70000"/>
                  </a:blip>
                  <a:stretch>
                    <a:fillRect/>
                  </a:stretch>
                </pic:blipFill>
                <pic:spPr>
                  <a:xfrm>
                    <a:off x="0" y="0"/>
                    <a:ext cx="5541645" cy="44602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CC5B1"/>
    <w:multiLevelType w:val="singleLevel"/>
    <w:tmpl w:val="95CCC5B1"/>
    <w:lvl w:ilvl="0" w:tentative="0">
      <w:start w:val="1"/>
      <w:numFmt w:val="decimal"/>
      <w:suff w:val="nothing"/>
      <w:lvlText w:val="%1."/>
      <w:lvlJc w:val="left"/>
      <w:pPr>
        <w:ind w:left="425" w:hanging="425"/>
      </w:pPr>
      <w:rPr>
        <w:rFonts w:hint="default"/>
      </w:rPr>
    </w:lvl>
  </w:abstractNum>
  <w:abstractNum w:abstractNumId="1">
    <w:nsid w:val="9F86BAD5"/>
    <w:multiLevelType w:val="singleLevel"/>
    <w:tmpl w:val="9F86BAD5"/>
    <w:lvl w:ilvl="0" w:tentative="0">
      <w:start w:val="1"/>
      <w:numFmt w:val="decimal"/>
      <w:suff w:val="nothing"/>
      <w:lvlText w:val="%1."/>
      <w:lvlJc w:val="left"/>
      <w:pPr>
        <w:ind w:left="425" w:hanging="425"/>
      </w:pPr>
      <w:rPr>
        <w:rFonts w:hint="default"/>
      </w:rPr>
    </w:lvl>
  </w:abstractNum>
  <w:abstractNum w:abstractNumId="2">
    <w:nsid w:val="D540CE9C"/>
    <w:multiLevelType w:val="singleLevel"/>
    <w:tmpl w:val="D540CE9C"/>
    <w:lvl w:ilvl="0" w:tentative="0">
      <w:start w:val="1"/>
      <w:numFmt w:val="decimal"/>
      <w:suff w:val="nothing"/>
      <w:lvlText w:val="%1."/>
      <w:lvlJc w:val="left"/>
      <w:pPr>
        <w:ind w:left="425" w:hanging="425"/>
      </w:pPr>
      <w:rPr>
        <w:rFonts w:hint="default"/>
      </w:rPr>
    </w:lvl>
  </w:abstractNum>
  <w:abstractNum w:abstractNumId="3">
    <w:nsid w:val="0A67631A"/>
    <w:multiLevelType w:val="singleLevel"/>
    <w:tmpl w:val="0A67631A"/>
    <w:lvl w:ilvl="0" w:tentative="0">
      <w:start w:val="1"/>
      <w:numFmt w:val="chineseCounting"/>
      <w:suff w:val="nothing"/>
      <w:lvlText w:val="%1、"/>
      <w:lvlJc w:val="left"/>
      <w:pPr>
        <w:ind w:left="0" w:firstLine="420"/>
      </w:pPr>
      <w:rPr>
        <w:rFonts w:hint="eastAsia"/>
      </w:rPr>
    </w:lvl>
  </w:abstractNum>
  <w:abstractNum w:abstractNumId="4">
    <w:nsid w:val="7B637149"/>
    <w:multiLevelType w:val="singleLevel"/>
    <w:tmpl w:val="7B637149"/>
    <w:lvl w:ilvl="0" w:tentative="0">
      <w:start w:val="1"/>
      <w:numFmt w:val="decimal"/>
      <w:suff w:val="nothing"/>
      <w:lvlText w:val="%1."/>
      <w:lvlJc w:val="left"/>
      <w:pPr>
        <w:ind w:left="425" w:hanging="425"/>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ZGIxNmM0YzExYmExYWU4YTViNDQwYzY3NzJmOTgifQ=="/>
  </w:docVars>
  <w:rsids>
    <w:rsidRoot w:val="00F34B14"/>
    <w:rsid w:val="00000672"/>
    <w:rsid w:val="000010AF"/>
    <w:rsid w:val="000016CB"/>
    <w:rsid w:val="00001799"/>
    <w:rsid w:val="00001BEA"/>
    <w:rsid w:val="00002416"/>
    <w:rsid w:val="00002D29"/>
    <w:rsid w:val="000033DB"/>
    <w:rsid w:val="00003E31"/>
    <w:rsid w:val="000040C5"/>
    <w:rsid w:val="00004514"/>
    <w:rsid w:val="00004756"/>
    <w:rsid w:val="00004A8A"/>
    <w:rsid w:val="00005E55"/>
    <w:rsid w:val="00005FDF"/>
    <w:rsid w:val="00006586"/>
    <w:rsid w:val="000065B1"/>
    <w:rsid w:val="000067F6"/>
    <w:rsid w:val="00006AAA"/>
    <w:rsid w:val="00007BD9"/>
    <w:rsid w:val="00010AC7"/>
    <w:rsid w:val="00010D39"/>
    <w:rsid w:val="000112BB"/>
    <w:rsid w:val="0001149B"/>
    <w:rsid w:val="0001166B"/>
    <w:rsid w:val="0001172C"/>
    <w:rsid w:val="00012854"/>
    <w:rsid w:val="00012EA6"/>
    <w:rsid w:val="000136EB"/>
    <w:rsid w:val="000139DC"/>
    <w:rsid w:val="00013D8C"/>
    <w:rsid w:val="00013DFE"/>
    <w:rsid w:val="000141EA"/>
    <w:rsid w:val="00014385"/>
    <w:rsid w:val="0001468C"/>
    <w:rsid w:val="00014B02"/>
    <w:rsid w:val="00016395"/>
    <w:rsid w:val="000166C4"/>
    <w:rsid w:val="0001677B"/>
    <w:rsid w:val="00016960"/>
    <w:rsid w:val="00017396"/>
    <w:rsid w:val="000177DB"/>
    <w:rsid w:val="0002001A"/>
    <w:rsid w:val="00020227"/>
    <w:rsid w:val="000203E4"/>
    <w:rsid w:val="00020455"/>
    <w:rsid w:val="000207FE"/>
    <w:rsid w:val="000226BE"/>
    <w:rsid w:val="00022731"/>
    <w:rsid w:val="00022792"/>
    <w:rsid w:val="00022A58"/>
    <w:rsid w:val="00022EFE"/>
    <w:rsid w:val="0002392D"/>
    <w:rsid w:val="00024421"/>
    <w:rsid w:val="00024B43"/>
    <w:rsid w:val="00025382"/>
    <w:rsid w:val="00025636"/>
    <w:rsid w:val="00025E36"/>
    <w:rsid w:val="00026627"/>
    <w:rsid w:val="00026886"/>
    <w:rsid w:val="00030496"/>
    <w:rsid w:val="000307DF"/>
    <w:rsid w:val="00030B1D"/>
    <w:rsid w:val="000316AB"/>
    <w:rsid w:val="00031785"/>
    <w:rsid w:val="0003201C"/>
    <w:rsid w:val="000323F3"/>
    <w:rsid w:val="000329A1"/>
    <w:rsid w:val="000329E0"/>
    <w:rsid w:val="000333A0"/>
    <w:rsid w:val="000335A7"/>
    <w:rsid w:val="0003363B"/>
    <w:rsid w:val="000345D7"/>
    <w:rsid w:val="00034CB3"/>
    <w:rsid w:val="000352E9"/>
    <w:rsid w:val="00035872"/>
    <w:rsid w:val="000364A7"/>
    <w:rsid w:val="00036A07"/>
    <w:rsid w:val="00036E33"/>
    <w:rsid w:val="000372B9"/>
    <w:rsid w:val="00037717"/>
    <w:rsid w:val="00037E2D"/>
    <w:rsid w:val="000402DB"/>
    <w:rsid w:val="00040571"/>
    <w:rsid w:val="0004156E"/>
    <w:rsid w:val="00041597"/>
    <w:rsid w:val="0004440C"/>
    <w:rsid w:val="00044527"/>
    <w:rsid w:val="00044D55"/>
    <w:rsid w:val="00045880"/>
    <w:rsid w:val="000462CB"/>
    <w:rsid w:val="00046AC8"/>
    <w:rsid w:val="00046B5E"/>
    <w:rsid w:val="0004783A"/>
    <w:rsid w:val="000478B0"/>
    <w:rsid w:val="000509D9"/>
    <w:rsid w:val="00053E2D"/>
    <w:rsid w:val="000552A6"/>
    <w:rsid w:val="000557F2"/>
    <w:rsid w:val="00055D41"/>
    <w:rsid w:val="000561A2"/>
    <w:rsid w:val="00056E90"/>
    <w:rsid w:val="00057CEC"/>
    <w:rsid w:val="00057D8A"/>
    <w:rsid w:val="00060203"/>
    <w:rsid w:val="0006075C"/>
    <w:rsid w:val="00060DCE"/>
    <w:rsid w:val="000610A9"/>
    <w:rsid w:val="00061382"/>
    <w:rsid w:val="000623B4"/>
    <w:rsid w:val="000633B5"/>
    <w:rsid w:val="000634A7"/>
    <w:rsid w:val="00063E31"/>
    <w:rsid w:val="00063E85"/>
    <w:rsid w:val="00063F81"/>
    <w:rsid w:val="00064847"/>
    <w:rsid w:val="0006484B"/>
    <w:rsid w:val="00065BBC"/>
    <w:rsid w:val="00066149"/>
    <w:rsid w:val="000673E2"/>
    <w:rsid w:val="000677E8"/>
    <w:rsid w:val="0007073B"/>
    <w:rsid w:val="000707F0"/>
    <w:rsid w:val="000711E4"/>
    <w:rsid w:val="00072402"/>
    <w:rsid w:val="00072AED"/>
    <w:rsid w:val="00073F47"/>
    <w:rsid w:val="00075B7E"/>
    <w:rsid w:val="000765D0"/>
    <w:rsid w:val="0007692D"/>
    <w:rsid w:val="00077C70"/>
    <w:rsid w:val="0008051D"/>
    <w:rsid w:val="00080B57"/>
    <w:rsid w:val="00080E63"/>
    <w:rsid w:val="000817D1"/>
    <w:rsid w:val="00081BA3"/>
    <w:rsid w:val="00081D2E"/>
    <w:rsid w:val="0008267B"/>
    <w:rsid w:val="00082D02"/>
    <w:rsid w:val="000838D9"/>
    <w:rsid w:val="00083B91"/>
    <w:rsid w:val="00084765"/>
    <w:rsid w:val="00084C27"/>
    <w:rsid w:val="0008520B"/>
    <w:rsid w:val="00085A72"/>
    <w:rsid w:val="00085DFA"/>
    <w:rsid w:val="000871B8"/>
    <w:rsid w:val="00087DB6"/>
    <w:rsid w:val="00090065"/>
    <w:rsid w:val="00090639"/>
    <w:rsid w:val="000913BE"/>
    <w:rsid w:val="000918F8"/>
    <w:rsid w:val="00092442"/>
    <w:rsid w:val="0009299D"/>
    <w:rsid w:val="00094632"/>
    <w:rsid w:val="00094960"/>
    <w:rsid w:val="000953A1"/>
    <w:rsid w:val="0009552B"/>
    <w:rsid w:val="0009588E"/>
    <w:rsid w:val="000959EE"/>
    <w:rsid w:val="00095B2F"/>
    <w:rsid w:val="00095B51"/>
    <w:rsid w:val="00096B33"/>
    <w:rsid w:val="00096F66"/>
    <w:rsid w:val="00097DA0"/>
    <w:rsid w:val="000A0B7F"/>
    <w:rsid w:val="000A0D6B"/>
    <w:rsid w:val="000A0EEE"/>
    <w:rsid w:val="000A112B"/>
    <w:rsid w:val="000A1389"/>
    <w:rsid w:val="000A166E"/>
    <w:rsid w:val="000A17D0"/>
    <w:rsid w:val="000A2B0E"/>
    <w:rsid w:val="000A2E4D"/>
    <w:rsid w:val="000A398F"/>
    <w:rsid w:val="000A3FBE"/>
    <w:rsid w:val="000A460B"/>
    <w:rsid w:val="000A4AEE"/>
    <w:rsid w:val="000A509C"/>
    <w:rsid w:val="000A6007"/>
    <w:rsid w:val="000A65A6"/>
    <w:rsid w:val="000A7275"/>
    <w:rsid w:val="000A7A12"/>
    <w:rsid w:val="000A7AD8"/>
    <w:rsid w:val="000A7CA5"/>
    <w:rsid w:val="000B039A"/>
    <w:rsid w:val="000B1801"/>
    <w:rsid w:val="000B197E"/>
    <w:rsid w:val="000B19B3"/>
    <w:rsid w:val="000B1B86"/>
    <w:rsid w:val="000B1D0C"/>
    <w:rsid w:val="000B24D9"/>
    <w:rsid w:val="000B2D03"/>
    <w:rsid w:val="000B353C"/>
    <w:rsid w:val="000B3815"/>
    <w:rsid w:val="000B3C05"/>
    <w:rsid w:val="000B3C7B"/>
    <w:rsid w:val="000B6C95"/>
    <w:rsid w:val="000B7A06"/>
    <w:rsid w:val="000C0893"/>
    <w:rsid w:val="000C0C58"/>
    <w:rsid w:val="000C134B"/>
    <w:rsid w:val="000C1679"/>
    <w:rsid w:val="000C2898"/>
    <w:rsid w:val="000C2F89"/>
    <w:rsid w:val="000C3232"/>
    <w:rsid w:val="000C3775"/>
    <w:rsid w:val="000C435F"/>
    <w:rsid w:val="000C4635"/>
    <w:rsid w:val="000C548E"/>
    <w:rsid w:val="000C56EF"/>
    <w:rsid w:val="000C576D"/>
    <w:rsid w:val="000C6DE4"/>
    <w:rsid w:val="000D01EB"/>
    <w:rsid w:val="000D02D5"/>
    <w:rsid w:val="000D056E"/>
    <w:rsid w:val="000D0675"/>
    <w:rsid w:val="000D0A89"/>
    <w:rsid w:val="000D0CA1"/>
    <w:rsid w:val="000D1389"/>
    <w:rsid w:val="000D1798"/>
    <w:rsid w:val="000D1A2A"/>
    <w:rsid w:val="000D2626"/>
    <w:rsid w:val="000D4A06"/>
    <w:rsid w:val="000D5172"/>
    <w:rsid w:val="000D54D4"/>
    <w:rsid w:val="000D68B8"/>
    <w:rsid w:val="000D73DD"/>
    <w:rsid w:val="000D7981"/>
    <w:rsid w:val="000D7D9B"/>
    <w:rsid w:val="000E18E2"/>
    <w:rsid w:val="000E1D91"/>
    <w:rsid w:val="000E28AB"/>
    <w:rsid w:val="000E2E3E"/>
    <w:rsid w:val="000E2F7D"/>
    <w:rsid w:val="000E33C5"/>
    <w:rsid w:val="000E3583"/>
    <w:rsid w:val="000E3AF0"/>
    <w:rsid w:val="000E3D53"/>
    <w:rsid w:val="000E4E04"/>
    <w:rsid w:val="000E5116"/>
    <w:rsid w:val="000E5711"/>
    <w:rsid w:val="000E6E77"/>
    <w:rsid w:val="000E6EC9"/>
    <w:rsid w:val="000E70B4"/>
    <w:rsid w:val="000E740E"/>
    <w:rsid w:val="000F06F9"/>
    <w:rsid w:val="000F119F"/>
    <w:rsid w:val="000F2680"/>
    <w:rsid w:val="000F29AA"/>
    <w:rsid w:val="000F3281"/>
    <w:rsid w:val="000F3733"/>
    <w:rsid w:val="000F4D88"/>
    <w:rsid w:val="000F5B1B"/>
    <w:rsid w:val="000F64AA"/>
    <w:rsid w:val="000F7AF4"/>
    <w:rsid w:val="000F7C33"/>
    <w:rsid w:val="000F7F0C"/>
    <w:rsid w:val="00100246"/>
    <w:rsid w:val="001004D6"/>
    <w:rsid w:val="00100618"/>
    <w:rsid w:val="00100D90"/>
    <w:rsid w:val="00102A42"/>
    <w:rsid w:val="00103816"/>
    <w:rsid w:val="00103918"/>
    <w:rsid w:val="00104324"/>
    <w:rsid w:val="00104889"/>
    <w:rsid w:val="00104897"/>
    <w:rsid w:val="00104EDE"/>
    <w:rsid w:val="00104F34"/>
    <w:rsid w:val="001050F7"/>
    <w:rsid w:val="00105372"/>
    <w:rsid w:val="001065FA"/>
    <w:rsid w:val="00106BEE"/>
    <w:rsid w:val="00106F23"/>
    <w:rsid w:val="0011056C"/>
    <w:rsid w:val="00110AC5"/>
    <w:rsid w:val="001124FE"/>
    <w:rsid w:val="001128CA"/>
    <w:rsid w:val="00113134"/>
    <w:rsid w:val="001136F1"/>
    <w:rsid w:val="00113AC0"/>
    <w:rsid w:val="00113E75"/>
    <w:rsid w:val="001141F4"/>
    <w:rsid w:val="00114851"/>
    <w:rsid w:val="00115B91"/>
    <w:rsid w:val="00115E11"/>
    <w:rsid w:val="00115F56"/>
    <w:rsid w:val="00117CBD"/>
    <w:rsid w:val="0012006A"/>
    <w:rsid w:val="00120990"/>
    <w:rsid w:val="001217B5"/>
    <w:rsid w:val="00121979"/>
    <w:rsid w:val="00122064"/>
    <w:rsid w:val="00123AC8"/>
    <w:rsid w:val="00124504"/>
    <w:rsid w:val="001248FE"/>
    <w:rsid w:val="00124CA2"/>
    <w:rsid w:val="00125004"/>
    <w:rsid w:val="001263B8"/>
    <w:rsid w:val="00126763"/>
    <w:rsid w:val="001300D6"/>
    <w:rsid w:val="00130217"/>
    <w:rsid w:val="00130783"/>
    <w:rsid w:val="001312CB"/>
    <w:rsid w:val="00131B75"/>
    <w:rsid w:val="0013261A"/>
    <w:rsid w:val="00132A95"/>
    <w:rsid w:val="00132B47"/>
    <w:rsid w:val="00132E64"/>
    <w:rsid w:val="00133C22"/>
    <w:rsid w:val="001351CB"/>
    <w:rsid w:val="001359A2"/>
    <w:rsid w:val="00135E37"/>
    <w:rsid w:val="00136020"/>
    <w:rsid w:val="0013632E"/>
    <w:rsid w:val="00136445"/>
    <w:rsid w:val="001364C0"/>
    <w:rsid w:val="00136A2E"/>
    <w:rsid w:val="00136D08"/>
    <w:rsid w:val="00140132"/>
    <w:rsid w:val="00140F72"/>
    <w:rsid w:val="00141C9C"/>
    <w:rsid w:val="00142137"/>
    <w:rsid w:val="0014229F"/>
    <w:rsid w:val="001434BE"/>
    <w:rsid w:val="0014479F"/>
    <w:rsid w:val="001452B4"/>
    <w:rsid w:val="0014550E"/>
    <w:rsid w:val="00145D0F"/>
    <w:rsid w:val="00146EC6"/>
    <w:rsid w:val="0014755F"/>
    <w:rsid w:val="001478D2"/>
    <w:rsid w:val="00147A48"/>
    <w:rsid w:val="001507EE"/>
    <w:rsid w:val="00150AF2"/>
    <w:rsid w:val="00150CC9"/>
    <w:rsid w:val="00151063"/>
    <w:rsid w:val="001514DB"/>
    <w:rsid w:val="0015158F"/>
    <w:rsid w:val="001515DA"/>
    <w:rsid w:val="00151618"/>
    <w:rsid w:val="0015228D"/>
    <w:rsid w:val="00152A87"/>
    <w:rsid w:val="001536D8"/>
    <w:rsid w:val="001537BE"/>
    <w:rsid w:val="001542D5"/>
    <w:rsid w:val="00154486"/>
    <w:rsid w:val="001562E7"/>
    <w:rsid w:val="00156D0E"/>
    <w:rsid w:val="00157B5F"/>
    <w:rsid w:val="0016086E"/>
    <w:rsid w:val="00160CF1"/>
    <w:rsid w:val="00160D0C"/>
    <w:rsid w:val="00161172"/>
    <w:rsid w:val="0016139E"/>
    <w:rsid w:val="00161B55"/>
    <w:rsid w:val="00161E65"/>
    <w:rsid w:val="00162241"/>
    <w:rsid w:val="00162597"/>
    <w:rsid w:val="001629AF"/>
    <w:rsid w:val="0016428A"/>
    <w:rsid w:val="001647C9"/>
    <w:rsid w:val="0016565A"/>
    <w:rsid w:val="001661A3"/>
    <w:rsid w:val="001668A0"/>
    <w:rsid w:val="00166F53"/>
    <w:rsid w:val="0016782B"/>
    <w:rsid w:val="00167F7A"/>
    <w:rsid w:val="001700CF"/>
    <w:rsid w:val="001713FA"/>
    <w:rsid w:val="00171EB1"/>
    <w:rsid w:val="00171FA9"/>
    <w:rsid w:val="00172A93"/>
    <w:rsid w:val="00173256"/>
    <w:rsid w:val="001733E1"/>
    <w:rsid w:val="00173EEE"/>
    <w:rsid w:val="00173F74"/>
    <w:rsid w:val="00175086"/>
    <w:rsid w:val="00175427"/>
    <w:rsid w:val="00175BA6"/>
    <w:rsid w:val="00175D06"/>
    <w:rsid w:val="00176CA7"/>
    <w:rsid w:val="00176CD5"/>
    <w:rsid w:val="001778C5"/>
    <w:rsid w:val="00177B0E"/>
    <w:rsid w:val="00177E56"/>
    <w:rsid w:val="00177F0A"/>
    <w:rsid w:val="00180669"/>
    <w:rsid w:val="00180814"/>
    <w:rsid w:val="001814A4"/>
    <w:rsid w:val="00182B6B"/>
    <w:rsid w:val="00183088"/>
    <w:rsid w:val="00183728"/>
    <w:rsid w:val="00183C87"/>
    <w:rsid w:val="00184269"/>
    <w:rsid w:val="00184C1D"/>
    <w:rsid w:val="00185617"/>
    <w:rsid w:val="0018574E"/>
    <w:rsid w:val="00185842"/>
    <w:rsid w:val="00185BF2"/>
    <w:rsid w:val="001868FB"/>
    <w:rsid w:val="0018797E"/>
    <w:rsid w:val="00190F2A"/>
    <w:rsid w:val="0019171E"/>
    <w:rsid w:val="0019220F"/>
    <w:rsid w:val="001928B1"/>
    <w:rsid w:val="001933D1"/>
    <w:rsid w:val="0019359E"/>
    <w:rsid w:val="0019372F"/>
    <w:rsid w:val="00194C6E"/>
    <w:rsid w:val="00194ED5"/>
    <w:rsid w:val="00195424"/>
    <w:rsid w:val="001955FF"/>
    <w:rsid w:val="0019777F"/>
    <w:rsid w:val="00197EDD"/>
    <w:rsid w:val="001A02B3"/>
    <w:rsid w:val="001A04BB"/>
    <w:rsid w:val="001A08D0"/>
    <w:rsid w:val="001A14B1"/>
    <w:rsid w:val="001A1B39"/>
    <w:rsid w:val="001A1E04"/>
    <w:rsid w:val="001A22F3"/>
    <w:rsid w:val="001A2492"/>
    <w:rsid w:val="001A26F2"/>
    <w:rsid w:val="001A2845"/>
    <w:rsid w:val="001A2E69"/>
    <w:rsid w:val="001A3377"/>
    <w:rsid w:val="001A3C34"/>
    <w:rsid w:val="001A3EDE"/>
    <w:rsid w:val="001A4222"/>
    <w:rsid w:val="001A441D"/>
    <w:rsid w:val="001A50EA"/>
    <w:rsid w:val="001A54AC"/>
    <w:rsid w:val="001A5AB8"/>
    <w:rsid w:val="001A5E24"/>
    <w:rsid w:val="001A6D8B"/>
    <w:rsid w:val="001B0734"/>
    <w:rsid w:val="001B079E"/>
    <w:rsid w:val="001B0CDA"/>
    <w:rsid w:val="001B0E26"/>
    <w:rsid w:val="001B125A"/>
    <w:rsid w:val="001B1E05"/>
    <w:rsid w:val="001B1EBA"/>
    <w:rsid w:val="001B2142"/>
    <w:rsid w:val="001B25B2"/>
    <w:rsid w:val="001B26CF"/>
    <w:rsid w:val="001B2F2B"/>
    <w:rsid w:val="001B327A"/>
    <w:rsid w:val="001B35DE"/>
    <w:rsid w:val="001B3A13"/>
    <w:rsid w:val="001B59FF"/>
    <w:rsid w:val="001B636D"/>
    <w:rsid w:val="001B65D7"/>
    <w:rsid w:val="001B6752"/>
    <w:rsid w:val="001B6768"/>
    <w:rsid w:val="001B6F1F"/>
    <w:rsid w:val="001B70A1"/>
    <w:rsid w:val="001B7ECC"/>
    <w:rsid w:val="001B7F1E"/>
    <w:rsid w:val="001C112A"/>
    <w:rsid w:val="001C163C"/>
    <w:rsid w:val="001C1AED"/>
    <w:rsid w:val="001C25A7"/>
    <w:rsid w:val="001C2A28"/>
    <w:rsid w:val="001C2F67"/>
    <w:rsid w:val="001C318C"/>
    <w:rsid w:val="001C31E4"/>
    <w:rsid w:val="001C4287"/>
    <w:rsid w:val="001C4479"/>
    <w:rsid w:val="001C5C7F"/>
    <w:rsid w:val="001C76B7"/>
    <w:rsid w:val="001C76FB"/>
    <w:rsid w:val="001C795A"/>
    <w:rsid w:val="001C7B14"/>
    <w:rsid w:val="001D2246"/>
    <w:rsid w:val="001D2764"/>
    <w:rsid w:val="001D279A"/>
    <w:rsid w:val="001D2D83"/>
    <w:rsid w:val="001D3697"/>
    <w:rsid w:val="001D3B3E"/>
    <w:rsid w:val="001D4720"/>
    <w:rsid w:val="001D49CB"/>
    <w:rsid w:val="001D51DE"/>
    <w:rsid w:val="001D52E9"/>
    <w:rsid w:val="001D540E"/>
    <w:rsid w:val="001D58A1"/>
    <w:rsid w:val="001D5A8A"/>
    <w:rsid w:val="001D626E"/>
    <w:rsid w:val="001D6524"/>
    <w:rsid w:val="001D709B"/>
    <w:rsid w:val="001D735E"/>
    <w:rsid w:val="001D73C8"/>
    <w:rsid w:val="001D74D4"/>
    <w:rsid w:val="001D7E1F"/>
    <w:rsid w:val="001E02DA"/>
    <w:rsid w:val="001E03CC"/>
    <w:rsid w:val="001E0756"/>
    <w:rsid w:val="001E09C1"/>
    <w:rsid w:val="001E0A8D"/>
    <w:rsid w:val="001E0FFB"/>
    <w:rsid w:val="001E129E"/>
    <w:rsid w:val="001E2B9F"/>
    <w:rsid w:val="001E37AA"/>
    <w:rsid w:val="001E413E"/>
    <w:rsid w:val="001E4A8D"/>
    <w:rsid w:val="001E5365"/>
    <w:rsid w:val="001E57C0"/>
    <w:rsid w:val="001E5A94"/>
    <w:rsid w:val="001E619E"/>
    <w:rsid w:val="001E6399"/>
    <w:rsid w:val="001E73EC"/>
    <w:rsid w:val="001E7648"/>
    <w:rsid w:val="001F127B"/>
    <w:rsid w:val="001F2A2E"/>
    <w:rsid w:val="001F2E3D"/>
    <w:rsid w:val="001F3330"/>
    <w:rsid w:val="001F3B72"/>
    <w:rsid w:val="001F3C63"/>
    <w:rsid w:val="001F41D8"/>
    <w:rsid w:val="001F4460"/>
    <w:rsid w:val="001F55D5"/>
    <w:rsid w:val="001F5DAF"/>
    <w:rsid w:val="001F5E8C"/>
    <w:rsid w:val="001F637C"/>
    <w:rsid w:val="001F67E7"/>
    <w:rsid w:val="001F6869"/>
    <w:rsid w:val="001F6AB8"/>
    <w:rsid w:val="001F6B6C"/>
    <w:rsid w:val="001F6C4E"/>
    <w:rsid w:val="001F711A"/>
    <w:rsid w:val="001F75B0"/>
    <w:rsid w:val="001F7686"/>
    <w:rsid w:val="00200CE5"/>
    <w:rsid w:val="002014DB"/>
    <w:rsid w:val="00201E12"/>
    <w:rsid w:val="0020208D"/>
    <w:rsid w:val="002026F9"/>
    <w:rsid w:val="00202751"/>
    <w:rsid w:val="00202C53"/>
    <w:rsid w:val="002031E2"/>
    <w:rsid w:val="002033B5"/>
    <w:rsid w:val="0020382C"/>
    <w:rsid w:val="00203CB0"/>
    <w:rsid w:val="0020437A"/>
    <w:rsid w:val="00204B5F"/>
    <w:rsid w:val="00204FEE"/>
    <w:rsid w:val="0020532C"/>
    <w:rsid w:val="00205D23"/>
    <w:rsid w:val="002077BB"/>
    <w:rsid w:val="0021064F"/>
    <w:rsid w:val="00210E60"/>
    <w:rsid w:val="00211046"/>
    <w:rsid w:val="00211207"/>
    <w:rsid w:val="002114C7"/>
    <w:rsid w:val="002118F3"/>
    <w:rsid w:val="00212174"/>
    <w:rsid w:val="0021248A"/>
    <w:rsid w:val="00212756"/>
    <w:rsid w:val="00212797"/>
    <w:rsid w:val="0021302C"/>
    <w:rsid w:val="00213045"/>
    <w:rsid w:val="00213073"/>
    <w:rsid w:val="00213483"/>
    <w:rsid w:val="0021360E"/>
    <w:rsid w:val="00213B1C"/>
    <w:rsid w:val="00214202"/>
    <w:rsid w:val="002146F3"/>
    <w:rsid w:val="002148E3"/>
    <w:rsid w:val="00214B97"/>
    <w:rsid w:val="00215028"/>
    <w:rsid w:val="00215373"/>
    <w:rsid w:val="0021552D"/>
    <w:rsid w:val="002156AE"/>
    <w:rsid w:val="00215EE8"/>
    <w:rsid w:val="00217020"/>
    <w:rsid w:val="00217861"/>
    <w:rsid w:val="00217D22"/>
    <w:rsid w:val="00217F54"/>
    <w:rsid w:val="002204C9"/>
    <w:rsid w:val="0022054D"/>
    <w:rsid w:val="00220F8F"/>
    <w:rsid w:val="002213E8"/>
    <w:rsid w:val="00222463"/>
    <w:rsid w:val="00222700"/>
    <w:rsid w:val="0022274D"/>
    <w:rsid w:val="0022290A"/>
    <w:rsid w:val="00224DE1"/>
    <w:rsid w:val="00225664"/>
    <w:rsid w:val="002262AF"/>
    <w:rsid w:val="002269DC"/>
    <w:rsid w:val="002271D2"/>
    <w:rsid w:val="00227BBA"/>
    <w:rsid w:val="00227F2D"/>
    <w:rsid w:val="00230310"/>
    <w:rsid w:val="0023089D"/>
    <w:rsid w:val="00230F58"/>
    <w:rsid w:val="00231851"/>
    <w:rsid w:val="002319FB"/>
    <w:rsid w:val="00231B89"/>
    <w:rsid w:val="0023261C"/>
    <w:rsid w:val="0023358F"/>
    <w:rsid w:val="002355BE"/>
    <w:rsid w:val="00236DE9"/>
    <w:rsid w:val="00237D5A"/>
    <w:rsid w:val="00237EA9"/>
    <w:rsid w:val="0024023A"/>
    <w:rsid w:val="00241300"/>
    <w:rsid w:val="00241D3C"/>
    <w:rsid w:val="0024274D"/>
    <w:rsid w:val="00243704"/>
    <w:rsid w:val="002439AB"/>
    <w:rsid w:val="00243BFE"/>
    <w:rsid w:val="0024468C"/>
    <w:rsid w:val="00244A28"/>
    <w:rsid w:val="002450D5"/>
    <w:rsid w:val="00245587"/>
    <w:rsid w:val="00245BFB"/>
    <w:rsid w:val="00245F2B"/>
    <w:rsid w:val="00246F95"/>
    <w:rsid w:val="00247F3A"/>
    <w:rsid w:val="00250122"/>
    <w:rsid w:val="00250723"/>
    <w:rsid w:val="00250755"/>
    <w:rsid w:val="00250AE3"/>
    <w:rsid w:val="002517DA"/>
    <w:rsid w:val="00251C4A"/>
    <w:rsid w:val="0025271C"/>
    <w:rsid w:val="00252858"/>
    <w:rsid w:val="00252A91"/>
    <w:rsid w:val="002533CD"/>
    <w:rsid w:val="002537F9"/>
    <w:rsid w:val="002544C1"/>
    <w:rsid w:val="00254E13"/>
    <w:rsid w:val="00254EAB"/>
    <w:rsid w:val="002553AE"/>
    <w:rsid w:val="002554D8"/>
    <w:rsid w:val="002554FC"/>
    <w:rsid w:val="002557AF"/>
    <w:rsid w:val="00255DD5"/>
    <w:rsid w:val="002561FA"/>
    <w:rsid w:val="00256474"/>
    <w:rsid w:val="002566B1"/>
    <w:rsid w:val="0025703B"/>
    <w:rsid w:val="002575E3"/>
    <w:rsid w:val="002603C1"/>
    <w:rsid w:val="002609A1"/>
    <w:rsid w:val="00260A3D"/>
    <w:rsid w:val="00260F92"/>
    <w:rsid w:val="002612B1"/>
    <w:rsid w:val="002632DC"/>
    <w:rsid w:val="00263404"/>
    <w:rsid w:val="00263E54"/>
    <w:rsid w:val="00264125"/>
    <w:rsid w:val="0026514B"/>
    <w:rsid w:val="00266165"/>
    <w:rsid w:val="00266790"/>
    <w:rsid w:val="0027125E"/>
    <w:rsid w:val="00271767"/>
    <w:rsid w:val="00272219"/>
    <w:rsid w:val="00272293"/>
    <w:rsid w:val="002723C8"/>
    <w:rsid w:val="00272676"/>
    <w:rsid w:val="00272DCE"/>
    <w:rsid w:val="00272FDD"/>
    <w:rsid w:val="0027309A"/>
    <w:rsid w:val="00273CBE"/>
    <w:rsid w:val="00274122"/>
    <w:rsid w:val="00275448"/>
    <w:rsid w:val="00275963"/>
    <w:rsid w:val="002759E0"/>
    <w:rsid w:val="00275C14"/>
    <w:rsid w:val="00277441"/>
    <w:rsid w:val="002802D7"/>
    <w:rsid w:val="0028232C"/>
    <w:rsid w:val="002827F1"/>
    <w:rsid w:val="00282A52"/>
    <w:rsid w:val="00282C87"/>
    <w:rsid w:val="00282DCE"/>
    <w:rsid w:val="00282EC3"/>
    <w:rsid w:val="002835B0"/>
    <w:rsid w:val="0028407E"/>
    <w:rsid w:val="0028410F"/>
    <w:rsid w:val="0028454D"/>
    <w:rsid w:val="00284CD4"/>
    <w:rsid w:val="00284D06"/>
    <w:rsid w:val="00285E8A"/>
    <w:rsid w:val="00286603"/>
    <w:rsid w:val="00286A98"/>
    <w:rsid w:val="00286FB5"/>
    <w:rsid w:val="00287763"/>
    <w:rsid w:val="00290089"/>
    <w:rsid w:val="00290606"/>
    <w:rsid w:val="00290B85"/>
    <w:rsid w:val="00290F9D"/>
    <w:rsid w:val="00291285"/>
    <w:rsid w:val="002918A7"/>
    <w:rsid w:val="00291D6D"/>
    <w:rsid w:val="00291FF1"/>
    <w:rsid w:val="002923F6"/>
    <w:rsid w:val="00293361"/>
    <w:rsid w:val="00293437"/>
    <w:rsid w:val="00293770"/>
    <w:rsid w:val="00293CFA"/>
    <w:rsid w:val="00294154"/>
    <w:rsid w:val="00295287"/>
    <w:rsid w:val="002952B1"/>
    <w:rsid w:val="00295D11"/>
    <w:rsid w:val="00295D41"/>
    <w:rsid w:val="00295FA0"/>
    <w:rsid w:val="0029683E"/>
    <w:rsid w:val="00297A7A"/>
    <w:rsid w:val="002A07ED"/>
    <w:rsid w:val="002A09A3"/>
    <w:rsid w:val="002A0C3A"/>
    <w:rsid w:val="002A1130"/>
    <w:rsid w:val="002A14D3"/>
    <w:rsid w:val="002A1880"/>
    <w:rsid w:val="002A1D47"/>
    <w:rsid w:val="002A23B7"/>
    <w:rsid w:val="002A3A57"/>
    <w:rsid w:val="002A44CA"/>
    <w:rsid w:val="002A4AB0"/>
    <w:rsid w:val="002A6D22"/>
    <w:rsid w:val="002A6DC2"/>
    <w:rsid w:val="002A6DEF"/>
    <w:rsid w:val="002A7411"/>
    <w:rsid w:val="002A7C24"/>
    <w:rsid w:val="002B00C7"/>
    <w:rsid w:val="002B013E"/>
    <w:rsid w:val="002B058D"/>
    <w:rsid w:val="002B0C16"/>
    <w:rsid w:val="002B11C9"/>
    <w:rsid w:val="002B169E"/>
    <w:rsid w:val="002B199F"/>
    <w:rsid w:val="002B2621"/>
    <w:rsid w:val="002B2AC5"/>
    <w:rsid w:val="002B2DFD"/>
    <w:rsid w:val="002B3528"/>
    <w:rsid w:val="002B3539"/>
    <w:rsid w:val="002B3654"/>
    <w:rsid w:val="002B3B2B"/>
    <w:rsid w:val="002B4B23"/>
    <w:rsid w:val="002B4CFA"/>
    <w:rsid w:val="002B5296"/>
    <w:rsid w:val="002B5570"/>
    <w:rsid w:val="002B5873"/>
    <w:rsid w:val="002B6D17"/>
    <w:rsid w:val="002B70E9"/>
    <w:rsid w:val="002B7691"/>
    <w:rsid w:val="002B798C"/>
    <w:rsid w:val="002C0C1C"/>
    <w:rsid w:val="002C184E"/>
    <w:rsid w:val="002C2227"/>
    <w:rsid w:val="002C29C1"/>
    <w:rsid w:val="002C41B2"/>
    <w:rsid w:val="002C4AAC"/>
    <w:rsid w:val="002C4D63"/>
    <w:rsid w:val="002C5118"/>
    <w:rsid w:val="002C54C2"/>
    <w:rsid w:val="002C58F6"/>
    <w:rsid w:val="002C5D34"/>
    <w:rsid w:val="002C5EA7"/>
    <w:rsid w:val="002C660E"/>
    <w:rsid w:val="002C661A"/>
    <w:rsid w:val="002C730C"/>
    <w:rsid w:val="002D0262"/>
    <w:rsid w:val="002D0829"/>
    <w:rsid w:val="002D0AF5"/>
    <w:rsid w:val="002D0E86"/>
    <w:rsid w:val="002D138C"/>
    <w:rsid w:val="002D1C54"/>
    <w:rsid w:val="002D2231"/>
    <w:rsid w:val="002D2402"/>
    <w:rsid w:val="002D25FC"/>
    <w:rsid w:val="002D318B"/>
    <w:rsid w:val="002D3380"/>
    <w:rsid w:val="002D36B9"/>
    <w:rsid w:val="002D4099"/>
    <w:rsid w:val="002D40A9"/>
    <w:rsid w:val="002D4925"/>
    <w:rsid w:val="002D4AC6"/>
    <w:rsid w:val="002D5C7B"/>
    <w:rsid w:val="002D5EAF"/>
    <w:rsid w:val="002D6DFC"/>
    <w:rsid w:val="002D7648"/>
    <w:rsid w:val="002D7909"/>
    <w:rsid w:val="002D7E56"/>
    <w:rsid w:val="002D7F2C"/>
    <w:rsid w:val="002E04DA"/>
    <w:rsid w:val="002E0E34"/>
    <w:rsid w:val="002E109C"/>
    <w:rsid w:val="002E115E"/>
    <w:rsid w:val="002E17AE"/>
    <w:rsid w:val="002E193E"/>
    <w:rsid w:val="002E1D76"/>
    <w:rsid w:val="002E243C"/>
    <w:rsid w:val="002E24CB"/>
    <w:rsid w:val="002E26C4"/>
    <w:rsid w:val="002E26FF"/>
    <w:rsid w:val="002E2A81"/>
    <w:rsid w:val="002E31BE"/>
    <w:rsid w:val="002E48F6"/>
    <w:rsid w:val="002E4B37"/>
    <w:rsid w:val="002E4BF9"/>
    <w:rsid w:val="002E6523"/>
    <w:rsid w:val="002E6F5B"/>
    <w:rsid w:val="002E71F3"/>
    <w:rsid w:val="002F0050"/>
    <w:rsid w:val="002F0222"/>
    <w:rsid w:val="002F0631"/>
    <w:rsid w:val="002F0F56"/>
    <w:rsid w:val="002F16DD"/>
    <w:rsid w:val="002F199D"/>
    <w:rsid w:val="002F23B2"/>
    <w:rsid w:val="002F2AC5"/>
    <w:rsid w:val="002F2CC7"/>
    <w:rsid w:val="002F4084"/>
    <w:rsid w:val="002F4672"/>
    <w:rsid w:val="002F4A08"/>
    <w:rsid w:val="002F4ADB"/>
    <w:rsid w:val="002F50E5"/>
    <w:rsid w:val="002F531E"/>
    <w:rsid w:val="002F5ACC"/>
    <w:rsid w:val="002F64FA"/>
    <w:rsid w:val="002F6C2C"/>
    <w:rsid w:val="002F6E11"/>
    <w:rsid w:val="002F704B"/>
    <w:rsid w:val="002F70A6"/>
    <w:rsid w:val="002F72C3"/>
    <w:rsid w:val="002F74F2"/>
    <w:rsid w:val="002F768C"/>
    <w:rsid w:val="002F7D1E"/>
    <w:rsid w:val="0030003C"/>
    <w:rsid w:val="00300F92"/>
    <w:rsid w:val="00301839"/>
    <w:rsid w:val="00301C21"/>
    <w:rsid w:val="00302089"/>
    <w:rsid w:val="003025FE"/>
    <w:rsid w:val="00302929"/>
    <w:rsid w:val="00302F0F"/>
    <w:rsid w:val="00303243"/>
    <w:rsid w:val="00303730"/>
    <w:rsid w:val="00303920"/>
    <w:rsid w:val="00303BCC"/>
    <w:rsid w:val="00303D71"/>
    <w:rsid w:val="00303F2B"/>
    <w:rsid w:val="00303F8D"/>
    <w:rsid w:val="00304541"/>
    <w:rsid w:val="00304580"/>
    <w:rsid w:val="00304830"/>
    <w:rsid w:val="00305665"/>
    <w:rsid w:val="0030586A"/>
    <w:rsid w:val="00305AFA"/>
    <w:rsid w:val="003061D7"/>
    <w:rsid w:val="003074C5"/>
    <w:rsid w:val="00307889"/>
    <w:rsid w:val="00307A3C"/>
    <w:rsid w:val="00307FA4"/>
    <w:rsid w:val="00310AA1"/>
    <w:rsid w:val="00310CC1"/>
    <w:rsid w:val="0031202C"/>
    <w:rsid w:val="00312CC3"/>
    <w:rsid w:val="00313026"/>
    <w:rsid w:val="00313300"/>
    <w:rsid w:val="003138B6"/>
    <w:rsid w:val="00313EFD"/>
    <w:rsid w:val="0031421F"/>
    <w:rsid w:val="00314B31"/>
    <w:rsid w:val="00314B36"/>
    <w:rsid w:val="00315158"/>
    <w:rsid w:val="00315346"/>
    <w:rsid w:val="00315A65"/>
    <w:rsid w:val="0031610C"/>
    <w:rsid w:val="00316CEC"/>
    <w:rsid w:val="00317BA7"/>
    <w:rsid w:val="00320BE2"/>
    <w:rsid w:val="00320CE0"/>
    <w:rsid w:val="00321886"/>
    <w:rsid w:val="00321902"/>
    <w:rsid w:val="003219F0"/>
    <w:rsid w:val="003224A9"/>
    <w:rsid w:val="00322F03"/>
    <w:rsid w:val="003235DE"/>
    <w:rsid w:val="00323694"/>
    <w:rsid w:val="00323CB4"/>
    <w:rsid w:val="003241E8"/>
    <w:rsid w:val="00324D63"/>
    <w:rsid w:val="003255AF"/>
    <w:rsid w:val="003256EB"/>
    <w:rsid w:val="003259DB"/>
    <w:rsid w:val="00327C7D"/>
    <w:rsid w:val="00331060"/>
    <w:rsid w:val="0033139D"/>
    <w:rsid w:val="00331557"/>
    <w:rsid w:val="00331A48"/>
    <w:rsid w:val="003330C9"/>
    <w:rsid w:val="003333D2"/>
    <w:rsid w:val="0033351F"/>
    <w:rsid w:val="0033364C"/>
    <w:rsid w:val="00333A63"/>
    <w:rsid w:val="00334290"/>
    <w:rsid w:val="00334415"/>
    <w:rsid w:val="00334DD3"/>
    <w:rsid w:val="00334F92"/>
    <w:rsid w:val="003353E8"/>
    <w:rsid w:val="003356F4"/>
    <w:rsid w:val="0033691E"/>
    <w:rsid w:val="003369FB"/>
    <w:rsid w:val="00336CCB"/>
    <w:rsid w:val="00336CED"/>
    <w:rsid w:val="0033745F"/>
    <w:rsid w:val="00337631"/>
    <w:rsid w:val="00337BDE"/>
    <w:rsid w:val="00337F44"/>
    <w:rsid w:val="0034108F"/>
    <w:rsid w:val="003411D1"/>
    <w:rsid w:val="003416BA"/>
    <w:rsid w:val="00341BD6"/>
    <w:rsid w:val="00342335"/>
    <w:rsid w:val="0034244A"/>
    <w:rsid w:val="003428F1"/>
    <w:rsid w:val="00342A8A"/>
    <w:rsid w:val="00342F99"/>
    <w:rsid w:val="00343EF6"/>
    <w:rsid w:val="00344109"/>
    <w:rsid w:val="0034442A"/>
    <w:rsid w:val="003446D0"/>
    <w:rsid w:val="00344726"/>
    <w:rsid w:val="00344B43"/>
    <w:rsid w:val="00344F05"/>
    <w:rsid w:val="00344F5A"/>
    <w:rsid w:val="003450A1"/>
    <w:rsid w:val="003454A4"/>
    <w:rsid w:val="0034571A"/>
    <w:rsid w:val="00345BC7"/>
    <w:rsid w:val="00346594"/>
    <w:rsid w:val="00347BD2"/>
    <w:rsid w:val="00350E6C"/>
    <w:rsid w:val="00351685"/>
    <w:rsid w:val="003518A6"/>
    <w:rsid w:val="00351CB0"/>
    <w:rsid w:val="00351E7F"/>
    <w:rsid w:val="00352512"/>
    <w:rsid w:val="00352953"/>
    <w:rsid w:val="003532FA"/>
    <w:rsid w:val="00353E6C"/>
    <w:rsid w:val="00354062"/>
    <w:rsid w:val="003555DF"/>
    <w:rsid w:val="00355C0D"/>
    <w:rsid w:val="003566A9"/>
    <w:rsid w:val="00356988"/>
    <w:rsid w:val="00356B20"/>
    <w:rsid w:val="00356E94"/>
    <w:rsid w:val="00357128"/>
    <w:rsid w:val="0035755E"/>
    <w:rsid w:val="0035774C"/>
    <w:rsid w:val="00357A80"/>
    <w:rsid w:val="0036028E"/>
    <w:rsid w:val="00361783"/>
    <w:rsid w:val="00361B8B"/>
    <w:rsid w:val="00361B95"/>
    <w:rsid w:val="00362439"/>
    <w:rsid w:val="00362847"/>
    <w:rsid w:val="00363562"/>
    <w:rsid w:val="00363F39"/>
    <w:rsid w:val="003640BF"/>
    <w:rsid w:val="00364A17"/>
    <w:rsid w:val="00364AB0"/>
    <w:rsid w:val="00365D99"/>
    <w:rsid w:val="003667B0"/>
    <w:rsid w:val="003667DD"/>
    <w:rsid w:val="00366B48"/>
    <w:rsid w:val="00366F84"/>
    <w:rsid w:val="0036755A"/>
    <w:rsid w:val="00367764"/>
    <w:rsid w:val="00367CC2"/>
    <w:rsid w:val="00370316"/>
    <w:rsid w:val="00370DC7"/>
    <w:rsid w:val="0037156C"/>
    <w:rsid w:val="00371CBD"/>
    <w:rsid w:val="0037307E"/>
    <w:rsid w:val="0037328C"/>
    <w:rsid w:val="0037393D"/>
    <w:rsid w:val="00373B6D"/>
    <w:rsid w:val="00373CBE"/>
    <w:rsid w:val="003740CC"/>
    <w:rsid w:val="0037435E"/>
    <w:rsid w:val="00374E79"/>
    <w:rsid w:val="00375388"/>
    <w:rsid w:val="00375EF2"/>
    <w:rsid w:val="00375F4F"/>
    <w:rsid w:val="00375FB9"/>
    <w:rsid w:val="0037605F"/>
    <w:rsid w:val="00376851"/>
    <w:rsid w:val="00376FA2"/>
    <w:rsid w:val="003771C9"/>
    <w:rsid w:val="003773D4"/>
    <w:rsid w:val="00377A3B"/>
    <w:rsid w:val="00377E3C"/>
    <w:rsid w:val="0038072A"/>
    <w:rsid w:val="00380BBE"/>
    <w:rsid w:val="00381775"/>
    <w:rsid w:val="00381AE8"/>
    <w:rsid w:val="00381D70"/>
    <w:rsid w:val="00382128"/>
    <w:rsid w:val="0038235E"/>
    <w:rsid w:val="003829D0"/>
    <w:rsid w:val="00382FBA"/>
    <w:rsid w:val="0038444F"/>
    <w:rsid w:val="00384E83"/>
    <w:rsid w:val="00385333"/>
    <w:rsid w:val="00387051"/>
    <w:rsid w:val="00387712"/>
    <w:rsid w:val="00387ECF"/>
    <w:rsid w:val="0039021B"/>
    <w:rsid w:val="00390429"/>
    <w:rsid w:val="0039044F"/>
    <w:rsid w:val="0039272E"/>
    <w:rsid w:val="00392A7A"/>
    <w:rsid w:val="0039327C"/>
    <w:rsid w:val="00393307"/>
    <w:rsid w:val="003933A2"/>
    <w:rsid w:val="0039366C"/>
    <w:rsid w:val="003938F3"/>
    <w:rsid w:val="00393EC8"/>
    <w:rsid w:val="00394653"/>
    <w:rsid w:val="00394BC6"/>
    <w:rsid w:val="0039530C"/>
    <w:rsid w:val="00395E42"/>
    <w:rsid w:val="00396052"/>
    <w:rsid w:val="00396A2D"/>
    <w:rsid w:val="00396FC3"/>
    <w:rsid w:val="00397065"/>
    <w:rsid w:val="003972E4"/>
    <w:rsid w:val="003A091B"/>
    <w:rsid w:val="003A0B61"/>
    <w:rsid w:val="003A1554"/>
    <w:rsid w:val="003A1901"/>
    <w:rsid w:val="003A1A94"/>
    <w:rsid w:val="003A204E"/>
    <w:rsid w:val="003A21B9"/>
    <w:rsid w:val="003A2D25"/>
    <w:rsid w:val="003A3834"/>
    <w:rsid w:val="003A39B2"/>
    <w:rsid w:val="003A4DA4"/>
    <w:rsid w:val="003A4DDB"/>
    <w:rsid w:val="003A5911"/>
    <w:rsid w:val="003A60E7"/>
    <w:rsid w:val="003A6150"/>
    <w:rsid w:val="003A6E03"/>
    <w:rsid w:val="003A78B8"/>
    <w:rsid w:val="003A7EA3"/>
    <w:rsid w:val="003B04AB"/>
    <w:rsid w:val="003B0A88"/>
    <w:rsid w:val="003B0B6A"/>
    <w:rsid w:val="003B0F79"/>
    <w:rsid w:val="003B1483"/>
    <w:rsid w:val="003B1CFD"/>
    <w:rsid w:val="003B29CF"/>
    <w:rsid w:val="003B3192"/>
    <w:rsid w:val="003B41B5"/>
    <w:rsid w:val="003B54DF"/>
    <w:rsid w:val="003B5F96"/>
    <w:rsid w:val="003B6659"/>
    <w:rsid w:val="003B71A8"/>
    <w:rsid w:val="003B7733"/>
    <w:rsid w:val="003B7C70"/>
    <w:rsid w:val="003C0166"/>
    <w:rsid w:val="003C023D"/>
    <w:rsid w:val="003C17B4"/>
    <w:rsid w:val="003C350C"/>
    <w:rsid w:val="003C3903"/>
    <w:rsid w:val="003C3BA0"/>
    <w:rsid w:val="003C4580"/>
    <w:rsid w:val="003C52D8"/>
    <w:rsid w:val="003C5C5E"/>
    <w:rsid w:val="003C622D"/>
    <w:rsid w:val="003C6746"/>
    <w:rsid w:val="003C6DB0"/>
    <w:rsid w:val="003C7133"/>
    <w:rsid w:val="003C7555"/>
    <w:rsid w:val="003C7898"/>
    <w:rsid w:val="003C7D21"/>
    <w:rsid w:val="003D010A"/>
    <w:rsid w:val="003D0EE1"/>
    <w:rsid w:val="003D0FF5"/>
    <w:rsid w:val="003D2330"/>
    <w:rsid w:val="003D2D1B"/>
    <w:rsid w:val="003D30AB"/>
    <w:rsid w:val="003D3537"/>
    <w:rsid w:val="003D3D94"/>
    <w:rsid w:val="003D44B6"/>
    <w:rsid w:val="003D48C7"/>
    <w:rsid w:val="003D4B26"/>
    <w:rsid w:val="003D4C08"/>
    <w:rsid w:val="003D5114"/>
    <w:rsid w:val="003D51ED"/>
    <w:rsid w:val="003D5815"/>
    <w:rsid w:val="003D5A61"/>
    <w:rsid w:val="003D5C02"/>
    <w:rsid w:val="003D5DED"/>
    <w:rsid w:val="003D5FD6"/>
    <w:rsid w:val="003D6718"/>
    <w:rsid w:val="003D77D1"/>
    <w:rsid w:val="003D7CE8"/>
    <w:rsid w:val="003E1032"/>
    <w:rsid w:val="003E1904"/>
    <w:rsid w:val="003E285E"/>
    <w:rsid w:val="003E2ECC"/>
    <w:rsid w:val="003E301E"/>
    <w:rsid w:val="003E3300"/>
    <w:rsid w:val="003E65AC"/>
    <w:rsid w:val="003E6E24"/>
    <w:rsid w:val="003E72B9"/>
    <w:rsid w:val="003E7812"/>
    <w:rsid w:val="003E7D5F"/>
    <w:rsid w:val="003E7ED4"/>
    <w:rsid w:val="003F0E52"/>
    <w:rsid w:val="003F0EF2"/>
    <w:rsid w:val="003F0F6B"/>
    <w:rsid w:val="003F1F40"/>
    <w:rsid w:val="003F1FE3"/>
    <w:rsid w:val="003F2BDA"/>
    <w:rsid w:val="003F3790"/>
    <w:rsid w:val="003F3865"/>
    <w:rsid w:val="003F3A0A"/>
    <w:rsid w:val="003F4632"/>
    <w:rsid w:val="003F47BA"/>
    <w:rsid w:val="003F4C14"/>
    <w:rsid w:val="003F57F9"/>
    <w:rsid w:val="003F5AE7"/>
    <w:rsid w:val="003F6617"/>
    <w:rsid w:val="0040059B"/>
    <w:rsid w:val="004009D3"/>
    <w:rsid w:val="004011F5"/>
    <w:rsid w:val="0040170D"/>
    <w:rsid w:val="00401FD5"/>
    <w:rsid w:val="00402332"/>
    <w:rsid w:val="004025C2"/>
    <w:rsid w:val="00403CA9"/>
    <w:rsid w:val="00403E55"/>
    <w:rsid w:val="00403FF1"/>
    <w:rsid w:val="00404532"/>
    <w:rsid w:val="00404681"/>
    <w:rsid w:val="0040496D"/>
    <w:rsid w:val="00405010"/>
    <w:rsid w:val="004050F1"/>
    <w:rsid w:val="0040591D"/>
    <w:rsid w:val="0040595A"/>
    <w:rsid w:val="00406923"/>
    <w:rsid w:val="0040713A"/>
    <w:rsid w:val="00407478"/>
    <w:rsid w:val="0040763D"/>
    <w:rsid w:val="00407746"/>
    <w:rsid w:val="004105B0"/>
    <w:rsid w:val="00410624"/>
    <w:rsid w:val="00410EC5"/>
    <w:rsid w:val="0041250F"/>
    <w:rsid w:val="00412B18"/>
    <w:rsid w:val="004133A8"/>
    <w:rsid w:val="00413616"/>
    <w:rsid w:val="00413821"/>
    <w:rsid w:val="00413BA2"/>
    <w:rsid w:val="00413D43"/>
    <w:rsid w:val="00413FE3"/>
    <w:rsid w:val="004141A3"/>
    <w:rsid w:val="00414764"/>
    <w:rsid w:val="00414909"/>
    <w:rsid w:val="00415E66"/>
    <w:rsid w:val="00415EE7"/>
    <w:rsid w:val="00416112"/>
    <w:rsid w:val="0041659D"/>
    <w:rsid w:val="00416DF0"/>
    <w:rsid w:val="00417219"/>
    <w:rsid w:val="00417AE0"/>
    <w:rsid w:val="00417BAA"/>
    <w:rsid w:val="00420175"/>
    <w:rsid w:val="004201C3"/>
    <w:rsid w:val="004202F4"/>
    <w:rsid w:val="00420BA9"/>
    <w:rsid w:val="00420D7A"/>
    <w:rsid w:val="00421667"/>
    <w:rsid w:val="004223DE"/>
    <w:rsid w:val="0042293E"/>
    <w:rsid w:val="00422A10"/>
    <w:rsid w:val="004234B0"/>
    <w:rsid w:val="00423D86"/>
    <w:rsid w:val="00423E50"/>
    <w:rsid w:val="00424D17"/>
    <w:rsid w:val="00425DFD"/>
    <w:rsid w:val="004263A3"/>
    <w:rsid w:val="004267B1"/>
    <w:rsid w:val="00426CCE"/>
    <w:rsid w:val="00427713"/>
    <w:rsid w:val="00427CCC"/>
    <w:rsid w:val="0043013A"/>
    <w:rsid w:val="00430421"/>
    <w:rsid w:val="00430B4F"/>
    <w:rsid w:val="004314B1"/>
    <w:rsid w:val="004317A9"/>
    <w:rsid w:val="00431E65"/>
    <w:rsid w:val="00431F71"/>
    <w:rsid w:val="00432589"/>
    <w:rsid w:val="004328AE"/>
    <w:rsid w:val="00432A90"/>
    <w:rsid w:val="00432A94"/>
    <w:rsid w:val="0043366D"/>
    <w:rsid w:val="00433827"/>
    <w:rsid w:val="004360C8"/>
    <w:rsid w:val="004365DE"/>
    <w:rsid w:val="004367A7"/>
    <w:rsid w:val="00436D2A"/>
    <w:rsid w:val="004372C2"/>
    <w:rsid w:val="0044006B"/>
    <w:rsid w:val="0044033F"/>
    <w:rsid w:val="00440630"/>
    <w:rsid w:val="00441123"/>
    <w:rsid w:val="0044167E"/>
    <w:rsid w:val="00442095"/>
    <w:rsid w:val="00442965"/>
    <w:rsid w:val="00443D16"/>
    <w:rsid w:val="00444157"/>
    <w:rsid w:val="0044417C"/>
    <w:rsid w:val="00444762"/>
    <w:rsid w:val="00444DB3"/>
    <w:rsid w:val="004452B9"/>
    <w:rsid w:val="004454A4"/>
    <w:rsid w:val="00445A2F"/>
    <w:rsid w:val="00446328"/>
    <w:rsid w:val="00446341"/>
    <w:rsid w:val="00446648"/>
    <w:rsid w:val="0044684E"/>
    <w:rsid w:val="004479CA"/>
    <w:rsid w:val="00447C71"/>
    <w:rsid w:val="004503A4"/>
    <w:rsid w:val="00450555"/>
    <w:rsid w:val="00450DC6"/>
    <w:rsid w:val="004516A5"/>
    <w:rsid w:val="00451810"/>
    <w:rsid w:val="00451FE8"/>
    <w:rsid w:val="00452179"/>
    <w:rsid w:val="004522E3"/>
    <w:rsid w:val="0045257B"/>
    <w:rsid w:val="0045290E"/>
    <w:rsid w:val="00452E99"/>
    <w:rsid w:val="0045326B"/>
    <w:rsid w:val="004534A5"/>
    <w:rsid w:val="004535AE"/>
    <w:rsid w:val="0045379D"/>
    <w:rsid w:val="00453C42"/>
    <w:rsid w:val="0045463A"/>
    <w:rsid w:val="00454AC9"/>
    <w:rsid w:val="00454E26"/>
    <w:rsid w:val="004554A3"/>
    <w:rsid w:val="00455A6E"/>
    <w:rsid w:val="00456758"/>
    <w:rsid w:val="004569CD"/>
    <w:rsid w:val="004578EB"/>
    <w:rsid w:val="00460303"/>
    <w:rsid w:val="004605F7"/>
    <w:rsid w:val="00460697"/>
    <w:rsid w:val="00462593"/>
    <w:rsid w:val="00463ECF"/>
    <w:rsid w:val="00464676"/>
    <w:rsid w:val="00464EE4"/>
    <w:rsid w:val="004650EE"/>
    <w:rsid w:val="00465EEF"/>
    <w:rsid w:val="00466599"/>
    <w:rsid w:val="00466B12"/>
    <w:rsid w:val="00466D03"/>
    <w:rsid w:val="0046711B"/>
    <w:rsid w:val="00467312"/>
    <w:rsid w:val="00470538"/>
    <w:rsid w:val="00471156"/>
    <w:rsid w:val="00471332"/>
    <w:rsid w:val="00472429"/>
    <w:rsid w:val="004724A0"/>
    <w:rsid w:val="004725E5"/>
    <w:rsid w:val="004726FE"/>
    <w:rsid w:val="00472751"/>
    <w:rsid w:val="00472ED1"/>
    <w:rsid w:val="00473128"/>
    <w:rsid w:val="004735F0"/>
    <w:rsid w:val="004746B2"/>
    <w:rsid w:val="00475078"/>
    <w:rsid w:val="004751C9"/>
    <w:rsid w:val="00475226"/>
    <w:rsid w:val="004759E0"/>
    <w:rsid w:val="00475B92"/>
    <w:rsid w:val="00476374"/>
    <w:rsid w:val="00476526"/>
    <w:rsid w:val="004765F3"/>
    <w:rsid w:val="00476859"/>
    <w:rsid w:val="004779A0"/>
    <w:rsid w:val="004808E3"/>
    <w:rsid w:val="00481016"/>
    <w:rsid w:val="0048107A"/>
    <w:rsid w:val="004814D3"/>
    <w:rsid w:val="0048204C"/>
    <w:rsid w:val="004821BB"/>
    <w:rsid w:val="00482233"/>
    <w:rsid w:val="0048261A"/>
    <w:rsid w:val="004826FE"/>
    <w:rsid w:val="004827D5"/>
    <w:rsid w:val="00482938"/>
    <w:rsid w:val="004830C9"/>
    <w:rsid w:val="00483347"/>
    <w:rsid w:val="00483887"/>
    <w:rsid w:val="00483E2E"/>
    <w:rsid w:val="0048475B"/>
    <w:rsid w:val="00484B69"/>
    <w:rsid w:val="00485406"/>
    <w:rsid w:val="00485526"/>
    <w:rsid w:val="0048571C"/>
    <w:rsid w:val="0048590F"/>
    <w:rsid w:val="00486774"/>
    <w:rsid w:val="004867A5"/>
    <w:rsid w:val="00486D60"/>
    <w:rsid w:val="00487C87"/>
    <w:rsid w:val="00490BB8"/>
    <w:rsid w:val="00490F37"/>
    <w:rsid w:val="0049124E"/>
    <w:rsid w:val="004913E1"/>
    <w:rsid w:val="00492A25"/>
    <w:rsid w:val="004931A1"/>
    <w:rsid w:val="00493F28"/>
    <w:rsid w:val="00493F37"/>
    <w:rsid w:val="0049474A"/>
    <w:rsid w:val="004955B2"/>
    <w:rsid w:val="004961EA"/>
    <w:rsid w:val="00496350"/>
    <w:rsid w:val="0049640B"/>
    <w:rsid w:val="00496F91"/>
    <w:rsid w:val="004970AB"/>
    <w:rsid w:val="00497274"/>
    <w:rsid w:val="004972B6"/>
    <w:rsid w:val="00497708"/>
    <w:rsid w:val="0049797C"/>
    <w:rsid w:val="00497C2C"/>
    <w:rsid w:val="00497DF5"/>
    <w:rsid w:val="00497E9D"/>
    <w:rsid w:val="004A0347"/>
    <w:rsid w:val="004A0585"/>
    <w:rsid w:val="004A07AC"/>
    <w:rsid w:val="004A1405"/>
    <w:rsid w:val="004A1A39"/>
    <w:rsid w:val="004A1FC6"/>
    <w:rsid w:val="004A3BD8"/>
    <w:rsid w:val="004A3C03"/>
    <w:rsid w:val="004A3DB7"/>
    <w:rsid w:val="004A3FB3"/>
    <w:rsid w:val="004A5088"/>
    <w:rsid w:val="004A5255"/>
    <w:rsid w:val="004A5B59"/>
    <w:rsid w:val="004A5E8B"/>
    <w:rsid w:val="004A6097"/>
    <w:rsid w:val="004A6CB0"/>
    <w:rsid w:val="004A70FF"/>
    <w:rsid w:val="004A7CCC"/>
    <w:rsid w:val="004A7DC7"/>
    <w:rsid w:val="004B00B9"/>
    <w:rsid w:val="004B0F25"/>
    <w:rsid w:val="004B1B84"/>
    <w:rsid w:val="004B29AC"/>
    <w:rsid w:val="004B2C12"/>
    <w:rsid w:val="004B3059"/>
    <w:rsid w:val="004B35DF"/>
    <w:rsid w:val="004B3627"/>
    <w:rsid w:val="004B3F3A"/>
    <w:rsid w:val="004B46EC"/>
    <w:rsid w:val="004B4779"/>
    <w:rsid w:val="004B4922"/>
    <w:rsid w:val="004B57DF"/>
    <w:rsid w:val="004B5CB2"/>
    <w:rsid w:val="004B7248"/>
    <w:rsid w:val="004C03A0"/>
    <w:rsid w:val="004C04AB"/>
    <w:rsid w:val="004C096B"/>
    <w:rsid w:val="004C178D"/>
    <w:rsid w:val="004C1970"/>
    <w:rsid w:val="004C2138"/>
    <w:rsid w:val="004C2280"/>
    <w:rsid w:val="004C262D"/>
    <w:rsid w:val="004C2ED0"/>
    <w:rsid w:val="004C32D4"/>
    <w:rsid w:val="004C390A"/>
    <w:rsid w:val="004C3940"/>
    <w:rsid w:val="004C45F1"/>
    <w:rsid w:val="004C4F1A"/>
    <w:rsid w:val="004C51FD"/>
    <w:rsid w:val="004C534B"/>
    <w:rsid w:val="004C65A8"/>
    <w:rsid w:val="004C6F74"/>
    <w:rsid w:val="004C786C"/>
    <w:rsid w:val="004C7963"/>
    <w:rsid w:val="004C7E42"/>
    <w:rsid w:val="004D114E"/>
    <w:rsid w:val="004D2F63"/>
    <w:rsid w:val="004D35BA"/>
    <w:rsid w:val="004D3E01"/>
    <w:rsid w:val="004D4095"/>
    <w:rsid w:val="004D4701"/>
    <w:rsid w:val="004D47C7"/>
    <w:rsid w:val="004D4836"/>
    <w:rsid w:val="004D57AF"/>
    <w:rsid w:val="004D618D"/>
    <w:rsid w:val="004D62A9"/>
    <w:rsid w:val="004D6AEE"/>
    <w:rsid w:val="004D6FC3"/>
    <w:rsid w:val="004D7476"/>
    <w:rsid w:val="004D7DBD"/>
    <w:rsid w:val="004E0306"/>
    <w:rsid w:val="004E0572"/>
    <w:rsid w:val="004E1B27"/>
    <w:rsid w:val="004E2568"/>
    <w:rsid w:val="004E25A8"/>
    <w:rsid w:val="004E2AA0"/>
    <w:rsid w:val="004E3724"/>
    <w:rsid w:val="004E3930"/>
    <w:rsid w:val="004E3ED9"/>
    <w:rsid w:val="004E4484"/>
    <w:rsid w:val="004E448E"/>
    <w:rsid w:val="004E5866"/>
    <w:rsid w:val="004E5D94"/>
    <w:rsid w:val="004E5DB1"/>
    <w:rsid w:val="004E6097"/>
    <w:rsid w:val="004E61EF"/>
    <w:rsid w:val="004E6772"/>
    <w:rsid w:val="004E6C95"/>
    <w:rsid w:val="004E76A7"/>
    <w:rsid w:val="004E7736"/>
    <w:rsid w:val="004E7B03"/>
    <w:rsid w:val="004F0064"/>
    <w:rsid w:val="004F06AC"/>
    <w:rsid w:val="004F12EB"/>
    <w:rsid w:val="004F1AE6"/>
    <w:rsid w:val="004F243F"/>
    <w:rsid w:val="004F3740"/>
    <w:rsid w:val="004F3BED"/>
    <w:rsid w:val="004F3E0C"/>
    <w:rsid w:val="004F44FB"/>
    <w:rsid w:val="004F46E5"/>
    <w:rsid w:val="004F6A2D"/>
    <w:rsid w:val="004F6DA8"/>
    <w:rsid w:val="004F7160"/>
    <w:rsid w:val="00500258"/>
    <w:rsid w:val="00500DBD"/>
    <w:rsid w:val="0050175E"/>
    <w:rsid w:val="00501A99"/>
    <w:rsid w:val="00502022"/>
    <w:rsid w:val="00502375"/>
    <w:rsid w:val="005024FA"/>
    <w:rsid w:val="00503180"/>
    <w:rsid w:val="005039F3"/>
    <w:rsid w:val="00503DC3"/>
    <w:rsid w:val="0050417C"/>
    <w:rsid w:val="00504CC0"/>
    <w:rsid w:val="00504D14"/>
    <w:rsid w:val="00505450"/>
    <w:rsid w:val="005072AC"/>
    <w:rsid w:val="00507411"/>
    <w:rsid w:val="005079B5"/>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1721D"/>
    <w:rsid w:val="00517648"/>
    <w:rsid w:val="00517A62"/>
    <w:rsid w:val="005210F7"/>
    <w:rsid w:val="00521753"/>
    <w:rsid w:val="005218CF"/>
    <w:rsid w:val="00521A44"/>
    <w:rsid w:val="00521D16"/>
    <w:rsid w:val="005221DE"/>
    <w:rsid w:val="005222BE"/>
    <w:rsid w:val="005224EE"/>
    <w:rsid w:val="00522E9C"/>
    <w:rsid w:val="00522F89"/>
    <w:rsid w:val="0052379E"/>
    <w:rsid w:val="00523AC9"/>
    <w:rsid w:val="00523BB1"/>
    <w:rsid w:val="0052451A"/>
    <w:rsid w:val="00524737"/>
    <w:rsid w:val="00524758"/>
    <w:rsid w:val="00525132"/>
    <w:rsid w:val="00525161"/>
    <w:rsid w:val="00525B81"/>
    <w:rsid w:val="00526265"/>
    <w:rsid w:val="0052652D"/>
    <w:rsid w:val="0052655D"/>
    <w:rsid w:val="005265E0"/>
    <w:rsid w:val="00526BC3"/>
    <w:rsid w:val="00527C25"/>
    <w:rsid w:val="00530F9E"/>
    <w:rsid w:val="0053274E"/>
    <w:rsid w:val="00532DE9"/>
    <w:rsid w:val="0053358A"/>
    <w:rsid w:val="005336CD"/>
    <w:rsid w:val="00533A89"/>
    <w:rsid w:val="005341D9"/>
    <w:rsid w:val="00534668"/>
    <w:rsid w:val="00534DDD"/>
    <w:rsid w:val="00535291"/>
    <w:rsid w:val="0053553B"/>
    <w:rsid w:val="00535A94"/>
    <w:rsid w:val="00536636"/>
    <w:rsid w:val="00537874"/>
    <w:rsid w:val="00540204"/>
    <w:rsid w:val="00540578"/>
    <w:rsid w:val="005407D2"/>
    <w:rsid w:val="00540808"/>
    <w:rsid w:val="0054080E"/>
    <w:rsid w:val="00540869"/>
    <w:rsid w:val="00540EA1"/>
    <w:rsid w:val="00541449"/>
    <w:rsid w:val="00541F62"/>
    <w:rsid w:val="00542427"/>
    <w:rsid w:val="00542AD8"/>
    <w:rsid w:val="0054358E"/>
    <w:rsid w:val="00543865"/>
    <w:rsid w:val="00543AF4"/>
    <w:rsid w:val="0054414E"/>
    <w:rsid w:val="00544191"/>
    <w:rsid w:val="005447BA"/>
    <w:rsid w:val="00544A2C"/>
    <w:rsid w:val="00544F39"/>
    <w:rsid w:val="0054515D"/>
    <w:rsid w:val="00545BA0"/>
    <w:rsid w:val="00546FB2"/>
    <w:rsid w:val="00547EFB"/>
    <w:rsid w:val="00550378"/>
    <w:rsid w:val="005503AF"/>
    <w:rsid w:val="00550499"/>
    <w:rsid w:val="00550ACB"/>
    <w:rsid w:val="00551473"/>
    <w:rsid w:val="00552563"/>
    <w:rsid w:val="00552582"/>
    <w:rsid w:val="005531DF"/>
    <w:rsid w:val="00553874"/>
    <w:rsid w:val="00553ACC"/>
    <w:rsid w:val="00553B48"/>
    <w:rsid w:val="00554196"/>
    <w:rsid w:val="00554AD8"/>
    <w:rsid w:val="00554F78"/>
    <w:rsid w:val="005556A5"/>
    <w:rsid w:val="005557DC"/>
    <w:rsid w:val="00556BF7"/>
    <w:rsid w:val="00556BFD"/>
    <w:rsid w:val="00556CE5"/>
    <w:rsid w:val="00557F1A"/>
    <w:rsid w:val="0056059D"/>
    <w:rsid w:val="00561980"/>
    <w:rsid w:val="00562149"/>
    <w:rsid w:val="00562242"/>
    <w:rsid w:val="005630D8"/>
    <w:rsid w:val="00563FFD"/>
    <w:rsid w:val="005649DB"/>
    <w:rsid w:val="00565855"/>
    <w:rsid w:val="005668EC"/>
    <w:rsid w:val="00566F01"/>
    <w:rsid w:val="005677CE"/>
    <w:rsid w:val="00567B5D"/>
    <w:rsid w:val="00567EA3"/>
    <w:rsid w:val="00570CD6"/>
    <w:rsid w:val="0057121C"/>
    <w:rsid w:val="0057161B"/>
    <w:rsid w:val="0057188B"/>
    <w:rsid w:val="0057298A"/>
    <w:rsid w:val="00573733"/>
    <w:rsid w:val="00574554"/>
    <w:rsid w:val="0057470C"/>
    <w:rsid w:val="00575152"/>
    <w:rsid w:val="00575EDA"/>
    <w:rsid w:val="00575FE7"/>
    <w:rsid w:val="00576089"/>
    <w:rsid w:val="005764B1"/>
    <w:rsid w:val="00576A56"/>
    <w:rsid w:val="00576D06"/>
    <w:rsid w:val="005779E4"/>
    <w:rsid w:val="0058034C"/>
    <w:rsid w:val="00580AC5"/>
    <w:rsid w:val="00580EB3"/>
    <w:rsid w:val="00581A2A"/>
    <w:rsid w:val="0058289C"/>
    <w:rsid w:val="00582976"/>
    <w:rsid w:val="00582C35"/>
    <w:rsid w:val="00582DC6"/>
    <w:rsid w:val="005836C7"/>
    <w:rsid w:val="00583896"/>
    <w:rsid w:val="00583E30"/>
    <w:rsid w:val="0058408E"/>
    <w:rsid w:val="00584DC2"/>
    <w:rsid w:val="00585374"/>
    <w:rsid w:val="00585696"/>
    <w:rsid w:val="00586F3C"/>
    <w:rsid w:val="00587DBE"/>
    <w:rsid w:val="00590B77"/>
    <w:rsid w:val="00590E86"/>
    <w:rsid w:val="005913A3"/>
    <w:rsid w:val="005918DB"/>
    <w:rsid w:val="00591DCD"/>
    <w:rsid w:val="00591E6C"/>
    <w:rsid w:val="00592908"/>
    <w:rsid w:val="00592F34"/>
    <w:rsid w:val="00593E6A"/>
    <w:rsid w:val="00594A7B"/>
    <w:rsid w:val="00594AFA"/>
    <w:rsid w:val="00595532"/>
    <w:rsid w:val="0059580E"/>
    <w:rsid w:val="00596A6F"/>
    <w:rsid w:val="00596B8E"/>
    <w:rsid w:val="005976E1"/>
    <w:rsid w:val="00597913"/>
    <w:rsid w:val="005A0541"/>
    <w:rsid w:val="005A1219"/>
    <w:rsid w:val="005A1525"/>
    <w:rsid w:val="005A1843"/>
    <w:rsid w:val="005A1EC3"/>
    <w:rsid w:val="005A252B"/>
    <w:rsid w:val="005A2535"/>
    <w:rsid w:val="005A2A71"/>
    <w:rsid w:val="005A300C"/>
    <w:rsid w:val="005A3204"/>
    <w:rsid w:val="005A3341"/>
    <w:rsid w:val="005A3A89"/>
    <w:rsid w:val="005A3FA1"/>
    <w:rsid w:val="005A40B9"/>
    <w:rsid w:val="005A4501"/>
    <w:rsid w:val="005A46EC"/>
    <w:rsid w:val="005A4847"/>
    <w:rsid w:val="005A494F"/>
    <w:rsid w:val="005A58D6"/>
    <w:rsid w:val="005A598C"/>
    <w:rsid w:val="005B0160"/>
    <w:rsid w:val="005B0185"/>
    <w:rsid w:val="005B04A7"/>
    <w:rsid w:val="005B07EC"/>
    <w:rsid w:val="005B09D8"/>
    <w:rsid w:val="005B120C"/>
    <w:rsid w:val="005B143E"/>
    <w:rsid w:val="005B24F3"/>
    <w:rsid w:val="005B2B11"/>
    <w:rsid w:val="005B2E00"/>
    <w:rsid w:val="005B370E"/>
    <w:rsid w:val="005B4DA3"/>
    <w:rsid w:val="005B5BEE"/>
    <w:rsid w:val="005B77D2"/>
    <w:rsid w:val="005B7860"/>
    <w:rsid w:val="005C019B"/>
    <w:rsid w:val="005C0932"/>
    <w:rsid w:val="005C144E"/>
    <w:rsid w:val="005C14A8"/>
    <w:rsid w:val="005C1927"/>
    <w:rsid w:val="005C1EB1"/>
    <w:rsid w:val="005C2C6C"/>
    <w:rsid w:val="005C30F5"/>
    <w:rsid w:val="005C357E"/>
    <w:rsid w:val="005C3951"/>
    <w:rsid w:val="005C51A5"/>
    <w:rsid w:val="005C557A"/>
    <w:rsid w:val="005C61DD"/>
    <w:rsid w:val="005C6438"/>
    <w:rsid w:val="005C695B"/>
    <w:rsid w:val="005C6B8B"/>
    <w:rsid w:val="005C711B"/>
    <w:rsid w:val="005C7776"/>
    <w:rsid w:val="005C794B"/>
    <w:rsid w:val="005C7A13"/>
    <w:rsid w:val="005C7F6D"/>
    <w:rsid w:val="005D02E3"/>
    <w:rsid w:val="005D0310"/>
    <w:rsid w:val="005D039C"/>
    <w:rsid w:val="005D107A"/>
    <w:rsid w:val="005D1F34"/>
    <w:rsid w:val="005D2124"/>
    <w:rsid w:val="005D2529"/>
    <w:rsid w:val="005D2C1F"/>
    <w:rsid w:val="005D349D"/>
    <w:rsid w:val="005D34B2"/>
    <w:rsid w:val="005D3B54"/>
    <w:rsid w:val="005D404C"/>
    <w:rsid w:val="005D40CD"/>
    <w:rsid w:val="005D4B4E"/>
    <w:rsid w:val="005D516A"/>
    <w:rsid w:val="005D63FC"/>
    <w:rsid w:val="005D65EB"/>
    <w:rsid w:val="005D6B59"/>
    <w:rsid w:val="005D7037"/>
    <w:rsid w:val="005D7541"/>
    <w:rsid w:val="005E03E4"/>
    <w:rsid w:val="005E0454"/>
    <w:rsid w:val="005E1413"/>
    <w:rsid w:val="005E156B"/>
    <w:rsid w:val="005E171D"/>
    <w:rsid w:val="005E34C2"/>
    <w:rsid w:val="005E3530"/>
    <w:rsid w:val="005E35C6"/>
    <w:rsid w:val="005E3E1F"/>
    <w:rsid w:val="005E5B01"/>
    <w:rsid w:val="005E5F83"/>
    <w:rsid w:val="005E6DB6"/>
    <w:rsid w:val="005E7933"/>
    <w:rsid w:val="005E7947"/>
    <w:rsid w:val="005E7E0B"/>
    <w:rsid w:val="005F009E"/>
    <w:rsid w:val="005F079C"/>
    <w:rsid w:val="005F0A88"/>
    <w:rsid w:val="005F0CA5"/>
    <w:rsid w:val="005F0DF1"/>
    <w:rsid w:val="005F1516"/>
    <w:rsid w:val="005F229E"/>
    <w:rsid w:val="005F2564"/>
    <w:rsid w:val="005F2FEF"/>
    <w:rsid w:val="005F3822"/>
    <w:rsid w:val="005F3E0B"/>
    <w:rsid w:val="005F3E6E"/>
    <w:rsid w:val="005F4D16"/>
    <w:rsid w:val="005F4E52"/>
    <w:rsid w:val="005F550F"/>
    <w:rsid w:val="005F5590"/>
    <w:rsid w:val="005F5967"/>
    <w:rsid w:val="005F5B55"/>
    <w:rsid w:val="005F6A62"/>
    <w:rsid w:val="005F77C8"/>
    <w:rsid w:val="0060058E"/>
    <w:rsid w:val="00600B40"/>
    <w:rsid w:val="00601043"/>
    <w:rsid w:val="006015C1"/>
    <w:rsid w:val="00602740"/>
    <w:rsid w:val="00602A3C"/>
    <w:rsid w:val="0060353A"/>
    <w:rsid w:val="00603BE3"/>
    <w:rsid w:val="00603EFD"/>
    <w:rsid w:val="006041DF"/>
    <w:rsid w:val="006045FF"/>
    <w:rsid w:val="00604680"/>
    <w:rsid w:val="0060475B"/>
    <w:rsid w:val="00604BFA"/>
    <w:rsid w:val="00604DA6"/>
    <w:rsid w:val="00604FB6"/>
    <w:rsid w:val="00605387"/>
    <w:rsid w:val="006054F2"/>
    <w:rsid w:val="00605A98"/>
    <w:rsid w:val="00606302"/>
    <w:rsid w:val="006072EF"/>
    <w:rsid w:val="006076FD"/>
    <w:rsid w:val="00607BA3"/>
    <w:rsid w:val="0061143F"/>
    <w:rsid w:val="006114D8"/>
    <w:rsid w:val="00611585"/>
    <w:rsid w:val="00611B17"/>
    <w:rsid w:val="00611ECB"/>
    <w:rsid w:val="00612931"/>
    <w:rsid w:val="00613431"/>
    <w:rsid w:val="00613601"/>
    <w:rsid w:val="00613791"/>
    <w:rsid w:val="00613AAB"/>
    <w:rsid w:val="00614505"/>
    <w:rsid w:val="006148C7"/>
    <w:rsid w:val="006150D6"/>
    <w:rsid w:val="00615769"/>
    <w:rsid w:val="0061798B"/>
    <w:rsid w:val="00617B7A"/>
    <w:rsid w:val="00617EEE"/>
    <w:rsid w:val="00620096"/>
    <w:rsid w:val="00620321"/>
    <w:rsid w:val="00620A2A"/>
    <w:rsid w:val="006210FE"/>
    <w:rsid w:val="00622811"/>
    <w:rsid w:val="00622894"/>
    <w:rsid w:val="00622BB7"/>
    <w:rsid w:val="00622DDA"/>
    <w:rsid w:val="00622ED7"/>
    <w:rsid w:val="00622F3B"/>
    <w:rsid w:val="00623389"/>
    <w:rsid w:val="0062352A"/>
    <w:rsid w:val="00624177"/>
    <w:rsid w:val="0062432E"/>
    <w:rsid w:val="00624798"/>
    <w:rsid w:val="006252EF"/>
    <w:rsid w:val="006254BC"/>
    <w:rsid w:val="00625E45"/>
    <w:rsid w:val="006265C4"/>
    <w:rsid w:val="00627383"/>
    <w:rsid w:val="00627733"/>
    <w:rsid w:val="00627B6F"/>
    <w:rsid w:val="00627F33"/>
    <w:rsid w:val="006301BB"/>
    <w:rsid w:val="00631674"/>
    <w:rsid w:val="00632605"/>
    <w:rsid w:val="0063321F"/>
    <w:rsid w:val="00633F8D"/>
    <w:rsid w:val="006341EF"/>
    <w:rsid w:val="00634BED"/>
    <w:rsid w:val="00634ED5"/>
    <w:rsid w:val="00635A4A"/>
    <w:rsid w:val="00635B16"/>
    <w:rsid w:val="00635EFD"/>
    <w:rsid w:val="00635FB9"/>
    <w:rsid w:val="00636148"/>
    <w:rsid w:val="00636FAF"/>
    <w:rsid w:val="00637774"/>
    <w:rsid w:val="0064024C"/>
    <w:rsid w:val="00640291"/>
    <w:rsid w:val="00640ADB"/>
    <w:rsid w:val="00641FAC"/>
    <w:rsid w:val="00642AF6"/>
    <w:rsid w:val="006432A5"/>
    <w:rsid w:val="00643664"/>
    <w:rsid w:val="00643B0D"/>
    <w:rsid w:val="00643CAA"/>
    <w:rsid w:val="00644C93"/>
    <w:rsid w:val="00646D5F"/>
    <w:rsid w:val="00650FD0"/>
    <w:rsid w:val="00652137"/>
    <w:rsid w:val="00652680"/>
    <w:rsid w:val="00652A09"/>
    <w:rsid w:val="00652A1B"/>
    <w:rsid w:val="00652F1E"/>
    <w:rsid w:val="006530A1"/>
    <w:rsid w:val="00653CDE"/>
    <w:rsid w:val="006540B4"/>
    <w:rsid w:val="00655043"/>
    <w:rsid w:val="0065628C"/>
    <w:rsid w:val="0065636A"/>
    <w:rsid w:val="00656C3C"/>
    <w:rsid w:val="00657003"/>
    <w:rsid w:val="00657126"/>
    <w:rsid w:val="006572C1"/>
    <w:rsid w:val="00657930"/>
    <w:rsid w:val="00657C75"/>
    <w:rsid w:val="00660238"/>
    <w:rsid w:val="006602EF"/>
    <w:rsid w:val="00660F41"/>
    <w:rsid w:val="00661222"/>
    <w:rsid w:val="00661277"/>
    <w:rsid w:val="006616FE"/>
    <w:rsid w:val="006619D1"/>
    <w:rsid w:val="0066266D"/>
    <w:rsid w:val="00662FFC"/>
    <w:rsid w:val="00663F5B"/>
    <w:rsid w:val="00663FEA"/>
    <w:rsid w:val="00664253"/>
    <w:rsid w:val="006647AE"/>
    <w:rsid w:val="00664803"/>
    <w:rsid w:val="006661A4"/>
    <w:rsid w:val="006662CF"/>
    <w:rsid w:val="006666C3"/>
    <w:rsid w:val="00666EF7"/>
    <w:rsid w:val="006670E0"/>
    <w:rsid w:val="00667532"/>
    <w:rsid w:val="006704FD"/>
    <w:rsid w:val="00670CEB"/>
    <w:rsid w:val="0067294B"/>
    <w:rsid w:val="00673AA4"/>
    <w:rsid w:val="00674187"/>
    <w:rsid w:val="00674C90"/>
    <w:rsid w:val="0067508F"/>
    <w:rsid w:val="00675349"/>
    <w:rsid w:val="00675E7E"/>
    <w:rsid w:val="006778E0"/>
    <w:rsid w:val="006803CC"/>
    <w:rsid w:val="0068051E"/>
    <w:rsid w:val="00680B9D"/>
    <w:rsid w:val="006814D0"/>
    <w:rsid w:val="00681C91"/>
    <w:rsid w:val="00681F13"/>
    <w:rsid w:val="0068231C"/>
    <w:rsid w:val="00682344"/>
    <w:rsid w:val="00682F28"/>
    <w:rsid w:val="006839C9"/>
    <w:rsid w:val="00684842"/>
    <w:rsid w:val="00685BD6"/>
    <w:rsid w:val="006865AA"/>
    <w:rsid w:val="006878A6"/>
    <w:rsid w:val="00687AED"/>
    <w:rsid w:val="00687C75"/>
    <w:rsid w:val="00687EC9"/>
    <w:rsid w:val="00690437"/>
    <w:rsid w:val="00690986"/>
    <w:rsid w:val="00690B7D"/>
    <w:rsid w:val="00690E65"/>
    <w:rsid w:val="0069188E"/>
    <w:rsid w:val="00691974"/>
    <w:rsid w:val="00692CE6"/>
    <w:rsid w:val="00693B6C"/>
    <w:rsid w:val="00693D1D"/>
    <w:rsid w:val="00693DA0"/>
    <w:rsid w:val="00694202"/>
    <w:rsid w:val="006942AE"/>
    <w:rsid w:val="0069483C"/>
    <w:rsid w:val="00694A5D"/>
    <w:rsid w:val="00695421"/>
    <w:rsid w:val="00695703"/>
    <w:rsid w:val="00695815"/>
    <w:rsid w:val="00696D4B"/>
    <w:rsid w:val="00697A79"/>
    <w:rsid w:val="00697BD3"/>
    <w:rsid w:val="00697DFA"/>
    <w:rsid w:val="006A0C53"/>
    <w:rsid w:val="006A0D88"/>
    <w:rsid w:val="006A10F3"/>
    <w:rsid w:val="006A16D5"/>
    <w:rsid w:val="006A1772"/>
    <w:rsid w:val="006A1780"/>
    <w:rsid w:val="006A25A5"/>
    <w:rsid w:val="006A2790"/>
    <w:rsid w:val="006A2A42"/>
    <w:rsid w:val="006A2D3E"/>
    <w:rsid w:val="006A391C"/>
    <w:rsid w:val="006A3CEC"/>
    <w:rsid w:val="006A3CFB"/>
    <w:rsid w:val="006A3F75"/>
    <w:rsid w:val="006A4F76"/>
    <w:rsid w:val="006A4FB3"/>
    <w:rsid w:val="006A5A3E"/>
    <w:rsid w:val="006A6CA7"/>
    <w:rsid w:val="006A703E"/>
    <w:rsid w:val="006A7104"/>
    <w:rsid w:val="006A7BE3"/>
    <w:rsid w:val="006B01D1"/>
    <w:rsid w:val="006B084B"/>
    <w:rsid w:val="006B08E2"/>
    <w:rsid w:val="006B167B"/>
    <w:rsid w:val="006B16EA"/>
    <w:rsid w:val="006B1780"/>
    <w:rsid w:val="006B224E"/>
    <w:rsid w:val="006B2AE0"/>
    <w:rsid w:val="006B376E"/>
    <w:rsid w:val="006B3F7E"/>
    <w:rsid w:val="006B4589"/>
    <w:rsid w:val="006B4FAB"/>
    <w:rsid w:val="006B5138"/>
    <w:rsid w:val="006B6805"/>
    <w:rsid w:val="006B6959"/>
    <w:rsid w:val="006B6A70"/>
    <w:rsid w:val="006B6BBE"/>
    <w:rsid w:val="006B6DE0"/>
    <w:rsid w:val="006B7625"/>
    <w:rsid w:val="006B7668"/>
    <w:rsid w:val="006B7D5F"/>
    <w:rsid w:val="006C0475"/>
    <w:rsid w:val="006C0C6A"/>
    <w:rsid w:val="006C180D"/>
    <w:rsid w:val="006C1D2B"/>
    <w:rsid w:val="006C26EF"/>
    <w:rsid w:val="006C32F4"/>
    <w:rsid w:val="006C33C5"/>
    <w:rsid w:val="006C3C54"/>
    <w:rsid w:val="006C3D6D"/>
    <w:rsid w:val="006C40F4"/>
    <w:rsid w:val="006C427B"/>
    <w:rsid w:val="006C4D5D"/>
    <w:rsid w:val="006C4E5A"/>
    <w:rsid w:val="006C4F9F"/>
    <w:rsid w:val="006C5516"/>
    <w:rsid w:val="006C61AB"/>
    <w:rsid w:val="006C650D"/>
    <w:rsid w:val="006C671A"/>
    <w:rsid w:val="006C6FAD"/>
    <w:rsid w:val="006C748D"/>
    <w:rsid w:val="006C74E2"/>
    <w:rsid w:val="006D0C1D"/>
    <w:rsid w:val="006D0CE1"/>
    <w:rsid w:val="006D2004"/>
    <w:rsid w:val="006D2A8C"/>
    <w:rsid w:val="006D2E9D"/>
    <w:rsid w:val="006D342D"/>
    <w:rsid w:val="006D3E6D"/>
    <w:rsid w:val="006D45F0"/>
    <w:rsid w:val="006D4A17"/>
    <w:rsid w:val="006D4C1E"/>
    <w:rsid w:val="006D4C42"/>
    <w:rsid w:val="006D4FD9"/>
    <w:rsid w:val="006D5809"/>
    <w:rsid w:val="006D630A"/>
    <w:rsid w:val="006D668D"/>
    <w:rsid w:val="006D712C"/>
    <w:rsid w:val="006D7363"/>
    <w:rsid w:val="006D74F2"/>
    <w:rsid w:val="006E04C8"/>
    <w:rsid w:val="006E0712"/>
    <w:rsid w:val="006E0754"/>
    <w:rsid w:val="006E2668"/>
    <w:rsid w:val="006E2D39"/>
    <w:rsid w:val="006E32B0"/>
    <w:rsid w:val="006E36D8"/>
    <w:rsid w:val="006E396A"/>
    <w:rsid w:val="006E3A73"/>
    <w:rsid w:val="006E3B5D"/>
    <w:rsid w:val="006E4C94"/>
    <w:rsid w:val="006E5DD8"/>
    <w:rsid w:val="006E5EA1"/>
    <w:rsid w:val="006E614F"/>
    <w:rsid w:val="006E61DB"/>
    <w:rsid w:val="006E7ABC"/>
    <w:rsid w:val="006E7DA2"/>
    <w:rsid w:val="006F036F"/>
    <w:rsid w:val="006F0760"/>
    <w:rsid w:val="006F0EC0"/>
    <w:rsid w:val="006F0FF1"/>
    <w:rsid w:val="006F11E2"/>
    <w:rsid w:val="006F12F5"/>
    <w:rsid w:val="006F2574"/>
    <w:rsid w:val="006F3231"/>
    <w:rsid w:val="006F3DE3"/>
    <w:rsid w:val="006F511F"/>
    <w:rsid w:val="006F52EE"/>
    <w:rsid w:val="006F53F1"/>
    <w:rsid w:val="006F54B3"/>
    <w:rsid w:val="006F61D8"/>
    <w:rsid w:val="006F62B7"/>
    <w:rsid w:val="006F6457"/>
    <w:rsid w:val="006F6767"/>
    <w:rsid w:val="006F6F74"/>
    <w:rsid w:val="006F7073"/>
    <w:rsid w:val="006F70BC"/>
    <w:rsid w:val="006F713A"/>
    <w:rsid w:val="006F76BF"/>
    <w:rsid w:val="00700077"/>
    <w:rsid w:val="00700ED8"/>
    <w:rsid w:val="0070141B"/>
    <w:rsid w:val="00703CD3"/>
    <w:rsid w:val="007045C7"/>
    <w:rsid w:val="00705191"/>
    <w:rsid w:val="007066A4"/>
    <w:rsid w:val="00706A1C"/>
    <w:rsid w:val="00706F37"/>
    <w:rsid w:val="00707946"/>
    <w:rsid w:val="00707BEC"/>
    <w:rsid w:val="00707D09"/>
    <w:rsid w:val="007105AA"/>
    <w:rsid w:val="00711208"/>
    <w:rsid w:val="0071209F"/>
    <w:rsid w:val="007125A2"/>
    <w:rsid w:val="00712756"/>
    <w:rsid w:val="00712DA3"/>
    <w:rsid w:val="00713342"/>
    <w:rsid w:val="00713D90"/>
    <w:rsid w:val="00713F79"/>
    <w:rsid w:val="00714637"/>
    <w:rsid w:val="00714867"/>
    <w:rsid w:val="007148A8"/>
    <w:rsid w:val="00714AA4"/>
    <w:rsid w:val="00714E95"/>
    <w:rsid w:val="007152C5"/>
    <w:rsid w:val="00716040"/>
    <w:rsid w:val="0071688F"/>
    <w:rsid w:val="007171E0"/>
    <w:rsid w:val="0072027F"/>
    <w:rsid w:val="0072033C"/>
    <w:rsid w:val="00720B1B"/>
    <w:rsid w:val="00720E4B"/>
    <w:rsid w:val="00720EC1"/>
    <w:rsid w:val="00721062"/>
    <w:rsid w:val="00721E5D"/>
    <w:rsid w:val="00721E9B"/>
    <w:rsid w:val="007227C0"/>
    <w:rsid w:val="007229D4"/>
    <w:rsid w:val="00722CD9"/>
    <w:rsid w:val="007230F8"/>
    <w:rsid w:val="007233F4"/>
    <w:rsid w:val="00724044"/>
    <w:rsid w:val="0072424A"/>
    <w:rsid w:val="007244E1"/>
    <w:rsid w:val="00724662"/>
    <w:rsid w:val="007248D3"/>
    <w:rsid w:val="00725137"/>
    <w:rsid w:val="00725366"/>
    <w:rsid w:val="00725F6C"/>
    <w:rsid w:val="007263ED"/>
    <w:rsid w:val="00726C49"/>
    <w:rsid w:val="0072735B"/>
    <w:rsid w:val="007278CC"/>
    <w:rsid w:val="00727A43"/>
    <w:rsid w:val="00727FF2"/>
    <w:rsid w:val="00731BC6"/>
    <w:rsid w:val="007323E0"/>
    <w:rsid w:val="00733158"/>
    <w:rsid w:val="00733791"/>
    <w:rsid w:val="0073391B"/>
    <w:rsid w:val="00733DE2"/>
    <w:rsid w:val="007343C7"/>
    <w:rsid w:val="00734A5E"/>
    <w:rsid w:val="00735172"/>
    <w:rsid w:val="007352EA"/>
    <w:rsid w:val="0073586F"/>
    <w:rsid w:val="007364E5"/>
    <w:rsid w:val="00736FD0"/>
    <w:rsid w:val="007378EE"/>
    <w:rsid w:val="0073792F"/>
    <w:rsid w:val="00737D90"/>
    <w:rsid w:val="0074023E"/>
    <w:rsid w:val="00740DA6"/>
    <w:rsid w:val="00741A0E"/>
    <w:rsid w:val="00741D1E"/>
    <w:rsid w:val="00741EE2"/>
    <w:rsid w:val="00742367"/>
    <w:rsid w:val="00742EAA"/>
    <w:rsid w:val="00743818"/>
    <w:rsid w:val="007439E2"/>
    <w:rsid w:val="00743D6F"/>
    <w:rsid w:val="00743DD8"/>
    <w:rsid w:val="007441FB"/>
    <w:rsid w:val="00744517"/>
    <w:rsid w:val="007447D3"/>
    <w:rsid w:val="00744810"/>
    <w:rsid w:val="00744C5E"/>
    <w:rsid w:val="007470E7"/>
    <w:rsid w:val="00747A90"/>
    <w:rsid w:val="00747B7A"/>
    <w:rsid w:val="00747DE2"/>
    <w:rsid w:val="007504BF"/>
    <w:rsid w:val="007506CD"/>
    <w:rsid w:val="0075220B"/>
    <w:rsid w:val="0075267F"/>
    <w:rsid w:val="007526EC"/>
    <w:rsid w:val="0075310C"/>
    <w:rsid w:val="00753347"/>
    <w:rsid w:val="00753C48"/>
    <w:rsid w:val="00754085"/>
    <w:rsid w:val="00754C97"/>
    <w:rsid w:val="00754FE4"/>
    <w:rsid w:val="00755538"/>
    <w:rsid w:val="00755650"/>
    <w:rsid w:val="00756236"/>
    <w:rsid w:val="00756271"/>
    <w:rsid w:val="00756521"/>
    <w:rsid w:val="00756AB7"/>
    <w:rsid w:val="00757997"/>
    <w:rsid w:val="00760477"/>
    <w:rsid w:val="00760536"/>
    <w:rsid w:val="00760815"/>
    <w:rsid w:val="00761AF4"/>
    <w:rsid w:val="00761CE5"/>
    <w:rsid w:val="00762071"/>
    <w:rsid w:val="007623FB"/>
    <w:rsid w:val="00763184"/>
    <w:rsid w:val="007631E8"/>
    <w:rsid w:val="007636E2"/>
    <w:rsid w:val="0076376A"/>
    <w:rsid w:val="0076414F"/>
    <w:rsid w:val="00764D10"/>
    <w:rsid w:val="0076500F"/>
    <w:rsid w:val="0076504E"/>
    <w:rsid w:val="007650DA"/>
    <w:rsid w:val="0076565C"/>
    <w:rsid w:val="00765E6A"/>
    <w:rsid w:val="00765FCE"/>
    <w:rsid w:val="00766D04"/>
    <w:rsid w:val="00767EA0"/>
    <w:rsid w:val="0077068F"/>
    <w:rsid w:val="00770CFF"/>
    <w:rsid w:val="00771722"/>
    <w:rsid w:val="0077408D"/>
    <w:rsid w:val="00774270"/>
    <w:rsid w:val="00775679"/>
    <w:rsid w:val="00775803"/>
    <w:rsid w:val="00775CA9"/>
    <w:rsid w:val="00775F42"/>
    <w:rsid w:val="00777B32"/>
    <w:rsid w:val="007800F7"/>
    <w:rsid w:val="0078051E"/>
    <w:rsid w:val="00780FF9"/>
    <w:rsid w:val="00781FDD"/>
    <w:rsid w:val="00782A9F"/>
    <w:rsid w:val="00783654"/>
    <w:rsid w:val="00783CB7"/>
    <w:rsid w:val="0078508A"/>
    <w:rsid w:val="0078570E"/>
    <w:rsid w:val="007859E3"/>
    <w:rsid w:val="00786D5C"/>
    <w:rsid w:val="00786DFD"/>
    <w:rsid w:val="00786E96"/>
    <w:rsid w:val="00787632"/>
    <w:rsid w:val="00787F93"/>
    <w:rsid w:val="007907CA"/>
    <w:rsid w:val="007909FA"/>
    <w:rsid w:val="00790C2F"/>
    <w:rsid w:val="00790E12"/>
    <w:rsid w:val="007913A1"/>
    <w:rsid w:val="00791529"/>
    <w:rsid w:val="00791673"/>
    <w:rsid w:val="0079196E"/>
    <w:rsid w:val="00791E6D"/>
    <w:rsid w:val="0079256B"/>
    <w:rsid w:val="007928DC"/>
    <w:rsid w:val="00792B78"/>
    <w:rsid w:val="007933E4"/>
    <w:rsid w:val="007939CC"/>
    <w:rsid w:val="00794AD7"/>
    <w:rsid w:val="007956FB"/>
    <w:rsid w:val="00796118"/>
    <w:rsid w:val="0079645A"/>
    <w:rsid w:val="00796BB2"/>
    <w:rsid w:val="00796FB8"/>
    <w:rsid w:val="00797F03"/>
    <w:rsid w:val="007A05DA"/>
    <w:rsid w:val="007A09FA"/>
    <w:rsid w:val="007A0A5E"/>
    <w:rsid w:val="007A0AFB"/>
    <w:rsid w:val="007A11C2"/>
    <w:rsid w:val="007A1A4D"/>
    <w:rsid w:val="007A1C90"/>
    <w:rsid w:val="007A1EE9"/>
    <w:rsid w:val="007A2367"/>
    <w:rsid w:val="007A3AB4"/>
    <w:rsid w:val="007A40C1"/>
    <w:rsid w:val="007A41BF"/>
    <w:rsid w:val="007A490A"/>
    <w:rsid w:val="007A4A25"/>
    <w:rsid w:val="007A4A57"/>
    <w:rsid w:val="007A56FE"/>
    <w:rsid w:val="007A581D"/>
    <w:rsid w:val="007A5FD9"/>
    <w:rsid w:val="007A693A"/>
    <w:rsid w:val="007A76D1"/>
    <w:rsid w:val="007A7B95"/>
    <w:rsid w:val="007A7B9F"/>
    <w:rsid w:val="007B0297"/>
    <w:rsid w:val="007B0967"/>
    <w:rsid w:val="007B0F53"/>
    <w:rsid w:val="007B18AA"/>
    <w:rsid w:val="007B1DD8"/>
    <w:rsid w:val="007B2008"/>
    <w:rsid w:val="007B21AE"/>
    <w:rsid w:val="007B2570"/>
    <w:rsid w:val="007B3113"/>
    <w:rsid w:val="007B3304"/>
    <w:rsid w:val="007B332B"/>
    <w:rsid w:val="007B3890"/>
    <w:rsid w:val="007B394D"/>
    <w:rsid w:val="007B3C64"/>
    <w:rsid w:val="007B69B9"/>
    <w:rsid w:val="007B70CF"/>
    <w:rsid w:val="007B736A"/>
    <w:rsid w:val="007B7490"/>
    <w:rsid w:val="007B774A"/>
    <w:rsid w:val="007B7AE7"/>
    <w:rsid w:val="007C0525"/>
    <w:rsid w:val="007C0B56"/>
    <w:rsid w:val="007C13F7"/>
    <w:rsid w:val="007C218D"/>
    <w:rsid w:val="007C21BF"/>
    <w:rsid w:val="007C2A16"/>
    <w:rsid w:val="007C2CB1"/>
    <w:rsid w:val="007C2D28"/>
    <w:rsid w:val="007C357C"/>
    <w:rsid w:val="007C3E22"/>
    <w:rsid w:val="007C478C"/>
    <w:rsid w:val="007C4C1A"/>
    <w:rsid w:val="007C4C73"/>
    <w:rsid w:val="007C5153"/>
    <w:rsid w:val="007C67C6"/>
    <w:rsid w:val="007C707A"/>
    <w:rsid w:val="007C7E59"/>
    <w:rsid w:val="007D036A"/>
    <w:rsid w:val="007D0B91"/>
    <w:rsid w:val="007D0F53"/>
    <w:rsid w:val="007D1452"/>
    <w:rsid w:val="007D1E0A"/>
    <w:rsid w:val="007D1E29"/>
    <w:rsid w:val="007D2B94"/>
    <w:rsid w:val="007D2C9F"/>
    <w:rsid w:val="007D43F6"/>
    <w:rsid w:val="007D460C"/>
    <w:rsid w:val="007D48FB"/>
    <w:rsid w:val="007D4AD3"/>
    <w:rsid w:val="007D4C8D"/>
    <w:rsid w:val="007D5812"/>
    <w:rsid w:val="007D5D19"/>
    <w:rsid w:val="007D5FDC"/>
    <w:rsid w:val="007D6232"/>
    <w:rsid w:val="007D6D68"/>
    <w:rsid w:val="007D6FD3"/>
    <w:rsid w:val="007D7F00"/>
    <w:rsid w:val="007E01DA"/>
    <w:rsid w:val="007E0EB3"/>
    <w:rsid w:val="007E1232"/>
    <w:rsid w:val="007E1603"/>
    <w:rsid w:val="007E32DA"/>
    <w:rsid w:val="007E3445"/>
    <w:rsid w:val="007E3EB4"/>
    <w:rsid w:val="007E3FF3"/>
    <w:rsid w:val="007E4240"/>
    <w:rsid w:val="007E4383"/>
    <w:rsid w:val="007E4998"/>
    <w:rsid w:val="007E4A9C"/>
    <w:rsid w:val="007E6914"/>
    <w:rsid w:val="007E7C00"/>
    <w:rsid w:val="007E7F78"/>
    <w:rsid w:val="007F0B54"/>
    <w:rsid w:val="007F0C8B"/>
    <w:rsid w:val="007F0F53"/>
    <w:rsid w:val="007F1517"/>
    <w:rsid w:val="007F1D44"/>
    <w:rsid w:val="007F203B"/>
    <w:rsid w:val="007F2117"/>
    <w:rsid w:val="007F2C13"/>
    <w:rsid w:val="007F2CEC"/>
    <w:rsid w:val="007F30A8"/>
    <w:rsid w:val="007F32CE"/>
    <w:rsid w:val="007F3F30"/>
    <w:rsid w:val="007F43D4"/>
    <w:rsid w:val="007F55DE"/>
    <w:rsid w:val="007F5605"/>
    <w:rsid w:val="007F59AF"/>
    <w:rsid w:val="007F601D"/>
    <w:rsid w:val="007F6132"/>
    <w:rsid w:val="007F6147"/>
    <w:rsid w:val="007F6FCD"/>
    <w:rsid w:val="007F78FF"/>
    <w:rsid w:val="008001E6"/>
    <w:rsid w:val="00800F6C"/>
    <w:rsid w:val="008025BE"/>
    <w:rsid w:val="00802615"/>
    <w:rsid w:val="00802F38"/>
    <w:rsid w:val="008034C9"/>
    <w:rsid w:val="008038D5"/>
    <w:rsid w:val="0080415C"/>
    <w:rsid w:val="00804C86"/>
    <w:rsid w:val="008051FC"/>
    <w:rsid w:val="008055A9"/>
    <w:rsid w:val="008070EB"/>
    <w:rsid w:val="00807167"/>
    <w:rsid w:val="00807376"/>
    <w:rsid w:val="00807EB5"/>
    <w:rsid w:val="00810E8E"/>
    <w:rsid w:val="0081142D"/>
    <w:rsid w:val="00811C31"/>
    <w:rsid w:val="00812462"/>
    <w:rsid w:val="00812A87"/>
    <w:rsid w:val="00812F45"/>
    <w:rsid w:val="008131C3"/>
    <w:rsid w:val="00813D64"/>
    <w:rsid w:val="008140A5"/>
    <w:rsid w:val="00814303"/>
    <w:rsid w:val="0081481D"/>
    <w:rsid w:val="00814AB2"/>
    <w:rsid w:val="00814BE8"/>
    <w:rsid w:val="00814F6E"/>
    <w:rsid w:val="00815B84"/>
    <w:rsid w:val="00815DD3"/>
    <w:rsid w:val="00816ADB"/>
    <w:rsid w:val="00817E14"/>
    <w:rsid w:val="00820433"/>
    <w:rsid w:val="0082080C"/>
    <w:rsid w:val="00821411"/>
    <w:rsid w:val="00821A3D"/>
    <w:rsid w:val="00821B36"/>
    <w:rsid w:val="00822037"/>
    <w:rsid w:val="00822CBF"/>
    <w:rsid w:val="008232D4"/>
    <w:rsid w:val="00823E0A"/>
    <w:rsid w:val="00823FC6"/>
    <w:rsid w:val="00823FFC"/>
    <w:rsid w:val="00824811"/>
    <w:rsid w:val="00825A34"/>
    <w:rsid w:val="00825C74"/>
    <w:rsid w:val="00826AB9"/>
    <w:rsid w:val="00826B93"/>
    <w:rsid w:val="00826E0E"/>
    <w:rsid w:val="0082731F"/>
    <w:rsid w:val="00827551"/>
    <w:rsid w:val="00827C60"/>
    <w:rsid w:val="00827D11"/>
    <w:rsid w:val="00827E0F"/>
    <w:rsid w:val="00827F6E"/>
    <w:rsid w:val="00830359"/>
    <w:rsid w:val="00830539"/>
    <w:rsid w:val="00831758"/>
    <w:rsid w:val="00831E63"/>
    <w:rsid w:val="0083279F"/>
    <w:rsid w:val="00832FE6"/>
    <w:rsid w:val="00833B7F"/>
    <w:rsid w:val="00834906"/>
    <w:rsid w:val="00836075"/>
    <w:rsid w:val="00836417"/>
    <w:rsid w:val="008411F9"/>
    <w:rsid w:val="008413AB"/>
    <w:rsid w:val="00842D10"/>
    <w:rsid w:val="0084301D"/>
    <w:rsid w:val="0084322B"/>
    <w:rsid w:val="00843B93"/>
    <w:rsid w:val="00843F81"/>
    <w:rsid w:val="00844087"/>
    <w:rsid w:val="0084519E"/>
    <w:rsid w:val="00845382"/>
    <w:rsid w:val="00845498"/>
    <w:rsid w:val="00845AAD"/>
    <w:rsid w:val="00846370"/>
    <w:rsid w:val="008465BA"/>
    <w:rsid w:val="00846BCA"/>
    <w:rsid w:val="00846ED8"/>
    <w:rsid w:val="00847C2B"/>
    <w:rsid w:val="00850C3F"/>
    <w:rsid w:val="0085270D"/>
    <w:rsid w:val="00852C35"/>
    <w:rsid w:val="008532BF"/>
    <w:rsid w:val="00853A90"/>
    <w:rsid w:val="00853BF4"/>
    <w:rsid w:val="00854294"/>
    <w:rsid w:val="0085595B"/>
    <w:rsid w:val="00855F80"/>
    <w:rsid w:val="008566B8"/>
    <w:rsid w:val="0085673D"/>
    <w:rsid w:val="0085788B"/>
    <w:rsid w:val="008578F6"/>
    <w:rsid w:val="00857A9E"/>
    <w:rsid w:val="00857DE2"/>
    <w:rsid w:val="0086353C"/>
    <w:rsid w:val="0086407F"/>
    <w:rsid w:val="008642A7"/>
    <w:rsid w:val="00864D79"/>
    <w:rsid w:val="00864E79"/>
    <w:rsid w:val="00866039"/>
    <w:rsid w:val="00866111"/>
    <w:rsid w:val="00866466"/>
    <w:rsid w:val="0086661F"/>
    <w:rsid w:val="00866A0D"/>
    <w:rsid w:val="00866DB5"/>
    <w:rsid w:val="0086784E"/>
    <w:rsid w:val="00867AF1"/>
    <w:rsid w:val="0087017D"/>
    <w:rsid w:val="00870445"/>
    <w:rsid w:val="00870486"/>
    <w:rsid w:val="008712A6"/>
    <w:rsid w:val="008720AC"/>
    <w:rsid w:val="00872118"/>
    <w:rsid w:val="0087227F"/>
    <w:rsid w:val="00872827"/>
    <w:rsid w:val="00872888"/>
    <w:rsid w:val="00872A32"/>
    <w:rsid w:val="00872CB5"/>
    <w:rsid w:val="00872D92"/>
    <w:rsid w:val="00872E21"/>
    <w:rsid w:val="00873FD5"/>
    <w:rsid w:val="008744F8"/>
    <w:rsid w:val="00874D71"/>
    <w:rsid w:val="00874ECA"/>
    <w:rsid w:val="008751E0"/>
    <w:rsid w:val="0087567A"/>
    <w:rsid w:val="00876EAE"/>
    <w:rsid w:val="008809C6"/>
    <w:rsid w:val="00880B5B"/>
    <w:rsid w:val="00880BAA"/>
    <w:rsid w:val="00880F95"/>
    <w:rsid w:val="00881697"/>
    <w:rsid w:val="008819C6"/>
    <w:rsid w:val="00882B44"/>
    <w:rsid w:val="00882FE5"/>
    <w:rsid w:val="008842B9"/>
    <w:rsid w:val="008845A4"/>
    <w:rsid w:val="00885A17"/>
    <w:rsid w:val="00885D3C"/>
    <w:rsid w:val="00886138"/>
    <w:rsid w:val="00886E66"/>
    <w:rsid w:val="008870F5"/>
    <w:rsid w:val="008871B0"/>
    <w:rsid w:val="0089217C"/>
    <w:rsid w:val="008928A1"/>
    <w:rsid w:val="00892AF1"/>
    <w:rsid w:val="008934CE"/>
    <w:rsid w:val="00893671"/>
    <w:rsid w:val="00893D5F"/>
    <w:rsid w:val="0089427A"/>
    <w:rsid w:val="00894D23"/>
    <w:rsid w:val="00894E85"/>
    <w:rsid w:val="008955FF"/>
    <w:rsid w:val="00895838"/>
    <w:rsid w:val="00895A72"/>
    <w:rsid w:val="00895CDF"/>
    <w:rsid w:val="008968C7"/>
    <w:rsid w:val="00897A55"/>
    <w:rsid w:val="008A0650"/>
    <w:rsid w:val="008A066F"/>
    <w:rsid w:val="008A0FC9"/>
    <w:rsid w:val="008A15EA"/>
    <w:rsid w:val="008A1682"/>
    <w:rsid w:val="008A177C"/>
    <w:rsid w:val="008A1956"/>
    <w:rsid w:val="008A1E32"/>
    <w:rsid w:val="008A222E"/>
    <w:rsid w:val="008A2B5F"/>
    <w:rsid w:val="008A30DB"/>
    <w:rsid w:val="008A389A"/>
    <w:rsid w:val="008A3C88"/>
    <w:rsid w:val="008A40D3"/>
    <w:rsid w:val="008A469C"/>
    <w:rsid w:val="008A46A8"/>
    <w:rsid w:val="008A484A"/>
    <w:rsid w:val="008A5877"/>
    <w:rsid w:val="008A5B04"/>
    <w:rsid w:val="008A6539"/>
    <w:rsid w:val="008A6685"/>
    <w:rsid w:val="008A701C"/>
    <w:rsid w:val="008B0359"/>
    <w:rsid w:val="008B03A3"/>
    <w:rsid w:val="008B05DD"/>
    <w:rsid w:val="008B17E8"/>
    <w:rsid w:val="008B1925"/>
    <w:rsid w:val="008B228F"/>
    <w:rsid w:val="008B266C"/>
    <w:rsid w:val="008B2D03"/>
    <w:rsid w:val="008B2E7C"/>
    <w:rsid w:val="008B42EB"/>
    <w:rsid w:val="008B45A7"/>
    <w:rsid w:val="008B4A70"/>
    <w:rsid w:val="008B502E"/>
    <w:rsid w:val="008B502F"/>
    <w:rsid w:val="008B5A88"/>
    <w:rsid w:val="008B6AFE"/>
    <w:rsid w:val="008B7034"/>
    <w:rsid w:val="008B7227"/>
    <w:rsid w:val="008C0FC3"/>
    <w:rsid w:val="008C1648"/>
    <w:rsid w:val="008C191C"/>
    <w:rsid w:val="008C1DA4"/>
    <w:rsid w:val="008C1EB0"/>
    <w:rsid w:val="008C2CD5"/>
    <w:rsid w:val="008C3048"/>
    <w:rsid w:val="008C3618"/>
    <w:rsid w:val="008C37C2"/>
    <w:rsid w:val="008C3945"/>
    <w:rsid w:val="008C3AE1"/>
    <w:rsid w:val="008C3D37"/>
    <w:rsid w:val="008C3F20"/>
    <w:rsid w:val="008C420E"/>
    <w:rsid w:val="008C43AD"/>
    <w:rsid w:val="008C4F12"/>
    <w:rsid w:val="008C59FB"/>
    <w:rsid w:val="008C6645"/>
    <w:rsid w:val="008C6687"/>
    <w:rsid w:val="008C68F0"/>
    <w:rsid w:val="008C6F92"/>
    <w:rsid w:val="008C716E"/>
    <w:rsid w:val="008C731F"/>
    <w:rsid w:val="008C74D9"/>
    <w:rsid w:val="008C7997"/>
    <w:rsid w:val="008C7DB1"/>
    <w:rsid w:val="008D01FF"/>
    <w:rsid w:val="008D0765"/>
    <w:rsid w:val="008D1052"/>
    <w:rsid w:val="008D124C"/>
    <w:rsid w:val="008D1293"/>
    <w:rsid w:val="008D1BB3"/>
    <w:rsid w:val="008D22AE"/>
    <w:rsid w:val="008D234A"/>
    <w:rsid w:val="008D2600"/>
    <w:rsid w:val="008D4CA8"/>
    <w:rsid w:val="008D54B2"/>
    <w:rsid w:val="008D566C"/>
    <w:rsid w:val="008D57D1"/>
    <w:rsid w:val="008D58D9"/>
    <w:rsid w:val="008D6426"/>
    <w:rsid w:val="008D66EA"/>
    <w:rsid w:val="008D6E59"/>
    <w:rsid w:val="008D7155"/>
    <w:rsid w:val="008D7DE4"/>
    <w:rsid w:val="008E0103"/>
    <w:rsid w:val="008E09B3"/>
    <w:rsid w:val="008E141A"/>
    <w:rsid w:val="008E1A44"/>
    <w:rsid w:val="008E28E6"/>
    <w:rsid w:val="008E2B60"/>
    <w:rsid w:val="008E2F03"/>
    <w:rsid w:val="008E3232"/>
    <w:rsid w:val="008E3674"/>
    <w:rsid w:val="008E3B6C"/>
    <w:rsid w:val="008E4A55"/>
    <w:rsid w:val="008E5C02"/>
    <w:rsid w:val="008E68BB"/>
    <w:rsid w:val="008E6C9B"/>
    <w:rsid w:val="008E72C4"/>
    <w:rsid w:val="008E77D4"/>
    <w:rsid w:val="008E798B"/>
    <w:rsid w:val="008F0981"/>
    <w:rsid w:val="008F0AFD"/>
    <w:rsid w:val="008F10E4"/>
    <w:rsid w:val="008F17B2"/>
    <w:rsid w:val="008F18F1"/>
    <w:rsid w:val="008F19DE"/>
    <w:rsid w:val="008F28EE"/>
    <w:rsid w:val="008F357B"/>
    <w:rsid w:val="008F44CA"/>
    <w:rsid w:val="008F49B9"/>
    <w:rsid w:val="008F49D3"/>
    <w:rsid w:val="008F5185"/>
    <w:rsid w:val="008F5760"/>
    <w:rsid w:val="008F6519"/>
    <w:rsid w:val="008F7012"/>
    <w:rsid w:val="008F7B17"/>
    <w:rsid w:val="00900042"/>
    <w:rsid w:val="009000B3"/>
    <w:rsid w:val="0090034B"/>
    <w:rsid w:val="00900C0B"/>
    <w:rsid w:val="00900D4F"/>
    <w:rsid w:val="0090148E"/>
    <w:rsid w:val="00901F7B"/>
    <w:rsid w:val="009021CE"/>
    <w:rsid w:val="00902623"/>
    <w:rsid w:val="00902890"/>
    <w:rsid w:val="00903445"/>
    <w:rsid w:val="00904BE4"/>
    <w:rsid w:val="0090504A"/>
    <w:rsid w:val="009050A0"/>
    <w:rsid w:val="00905D7E"/>
    <w:rsid w:val="009063B7"/>
    <w:rsid w:val="0090692B"/>
    <w:rsid w:val="00906B83"/>
    <w:rsid w:val="00906ECA"/>
    <w:rsid w:val="00907037"/>
    <w:rsid w:val="009071D7"/>
    <w:rsid w:val="00907CC8"/>
    <w:rsid w:val="00907F11"/>
    <w:rsid w:val="009109FF"/>
    <w:rsid w:val="0091114B"/>
    <w:rsid w:val="0091160A"/>
    <w:rsid w:val="00912046"/>
    <w:rsid w:val="009125AC"/>
    <w:rsid w:val="00913258"/>
    <w:rsid w:val="00913543"/>
    <w:rsid w:val="00913663"/>
    <w:rsid w:val="0091389C"/>
    <w:rsid w:val="009150B1"/>
    <w:rsid w:val="009155A1"/>
    <w:rsid w:val="0091564D"/>
    <w:rsid w:val="009156DA"/>
    <w:rsid w:val="00915BFF"/>
    <w:rsid w:val="00915F15"/>
    <w:rsid w:val="0091698E"/>
    <w:rsid w:val="00916BC5"/>
    <w:rsid w:val="0091726A"/>
    <w:rsid w:val="009172B1"/>
    <w:rsid w:val="009176F7"/>
    <w:rsid w:val="0091779D"/>
    <w:rsid w:val="009200C7"/>
    <w:rsid w:val="00920184"/>
    <w:rsid w:val="00920A19"/>
    <w:rsid w:val="00920EA4"/>
    <w:rsid w:val="009210B3"/>
    <w:rsid w:val="00921330"/>
    <w:rsid w:val="00921792"/>
    <w:rsid w:val="00921BEA"/>
    <w:rsid w:val="00921BF3"/>
    <w:rsid w:val="00923998"/>
    <w:rsid w:val="00923C8F"/>
    <w:rsid w:val="00923DB4"/>
    <w:rsid w:val="009242B0"/>
    <w:rsid w:val="0092430E"/>
    <w:rsid w:val="009249D7"/>
    <w:rsid w:val="00924DFC"/>
    <w:rsid w:val="00925436"/>
    <w:rsid w:val="0092625F"/>
    <w:rsid w:val="009268A9"/>
    <w:rsid w:val="00926FCB"/>
    <w:rsid w:val="00927199"/>
    <w:rsid w:val="00927233"/>
    <w:rsid w:val="00927B37"/>
    <w:rsid w:val="00927C6C"/>
    <w:rsid w:val="009300EE"/>
    <w:rsid w:val="009301B2"/>
    <w:rsid w:val="009313DD"/>
    <w:rsid w:val="00931BDE"/>
    <w:rsid w:val="009321B1"/>
    <w:rsid w:val="00932ED7"/>
    <w:rsid w:val="009334FE"/>
    <w:rsid w:val="0093357E"/>
    <w:rsid w:val="0093411B"/>
    <w:rsid w:val="0093422D"/>
    <w:rsid w:val="00934325"/>
    <w:rsid w:val="0093486C"/>
    <w:rsid w:val="00934DD7"/>
    <w:rsid w:val="009369A9"/>
    <w:rsid w:val="00936CF7"/>
    <w:rsid w:val="00937201"/>
    <w:rsid w:val="0093734A"/>
    <w:rsid w:val="00937783"/>
    <w:rsid w:val="0094083A"/>
    <w:rsid w:val="00940FE1"/>
    <w:rsid w:val="009419E7"/>
    <w:rsid w:val="00941EE3"/>
    <w:rsid w:val="00942306"/>
    <w:rsid w:val="009424B8"/>
    <w:rsid w:val="009428C6"/>
    <w:rsid w:val="009433A4"/>
    <w:rsid w:val="00943558"/>
    <w:rsid w:val="00943CEF"/>
    <w:rsid w:val="0094435B"/>
    <w:rsid w:val="00944377"/>
    <w:rsid w:val="00944668"/>
    <w:rsid w:val="00944BC6"/>
    <w:rsid w:val="00944DC6"/>
    <w:rsid w:val="0094515F"/>
    <w:rsid w:val="0094537D"/>
    <w:rsid w:val="0094573F"/>
    <w:rsid w:val="009458B0"/>
    <w:rsid w:val="00945B52"/>
    <w:rsid w:val="00945C72"/>
    <w:rsid w:val="00945DC0"/>
    <w:rsid w:val="00945F05"/>
    <w:rsid w:val="00946348"/>
    <w:rsid w:val="00946FB8"/>
    <w:rsid w:val="009471AD"/>
    <w:rsid w:val="009478A2"/>
    <w:rsid w:val="00947946"/>
    <w:rsid w:val="00947CC3"/>
    <w:rsid w:val="00950404"/>
    <w:rsid w:val="009510B6"/>
    <w:rsid w:val="009516D6"/>
    <w:rsid w:val="00951809"/>
    <w:rsid w:val="00951ED5"/>
    <w:rsid w:val="00952060"/>
    <w:rsid w:val="00952AD9"/>
    <w:rsid w:val="009535D8"/>
    <w:rsid w:val="00954585"/>
    <w:rsid w:val="00954800"/>
    <w:rsid w:val="00954832"/>
    <w:rsid w:val="00955643"/>
    <w:rsid w:val="00955651"/>
    <w:rsid w:val="00955FBB"/>
    <w:rsid w:val="00955FE6"/>
    <w:rsid w:val="0095694B"/>
    <w:rsid w:val="00956BD5"/>
    <w:rsid w:val="009574BB"/>
    <w:rsid w:val="009577B5"/>
    <w:rsid w:val="009608E6"/>
    <w:rsid w:val="00960A32"/>
    <w:rsid w:val="00961054"/>
    <w:rsid w:val="00961779"/>
    <w:rsid w:val="00962B86"/>
    <w:rsid w:val="00962EB1"/>
    <w:rsid w:val="00966522"/>
    <w:rsid w:val="00966BEF"/>
    <w:rsid w:val="009672C5"/>
    <w:rsid w:val="00967CB7"/>
    <w:rsid w:val="00967D3F"/>
    <w:rsid w:val="00967E78"/>
    <w:rsid w:val="00970D7E"/>
    <w:rsid w:val="00970F18"/>
    <w:rsid w:val="00971988"/>
    <w:rsid w:val="00971CF1"/>
    <w:rsid w:val="009721E9"/>
    <w:rsid w:val="00972A58"/>
    <w:rsid w:val="009735DC"/>
    <w:rsid w:val="009736D6"/>
    <w:rsid w:val="00973772"/>
    <w:rsid w:val="009738FC"/>
    <w:rsid w:val="00973F0B"/>
    <w:rsid w:val="00973F69"/>
    <w:rsid w:val="009742AF"/>
    <w:rsid w:val="00974703"/>
    <w:rsid w:val="00974D6D"/>
    <w:rsid w:val="00975A53"/>
    <w:rsid w:val="00975E1E"/>
    <w:rsid w:val="00975E70"/>
    <w:rsid w:val="009773B3"/>
    <w:rsid w:val="00977749"/>
    <w:rsid w:val="00977CD6"/>
    <w:rsid w:val="00980994"/>
    <w:rsid w:val="00980CBF"/>
    <w:rsid w:val="0098179D"/>
    <w:rsid w:val="00981972"/>
    <w:rsid w:val="00982481"/>
    <w:rsid w:val="00982ACB"/>
    <w:rsid w:val="00982D26"/>
    <w:rsid w:val="0098330E"/>
    <w:rsid w:val="009833DD"/>
    <w:rsid w:val="009840AB"/>
    <w:rsid w:val="009849E9"/>
    <w:rsid w:val="00985FA1"/>
    <w:rsid w:val="009863CE"/>
    <w:rsid w:val="009866F3"/>
    <w:rsid w:val="00987189"/>
    <w:rsid w:val="00987812"/>
    <w:rsid w:val="00990225"/>
    <w:rsid w:val="0099244B"/>
    <w:rsid w:val="00992BA5"/>
    <w:rsid w:val="0099314D"/>
    <w:rsid w:val="00993186"/>
    <w:rsid w:val="0099388D"/>
    <w:rsid w:val="009947B6"/>
    <w:rsid w:val="00994939"/>
    <w:rsid w:val="00994A97"/>
    <w:rsid w:val="00994FCC"/>
    <w:rsid w:val="009950E6"/>
    <w:rsid w:val="0099513C"/>
    <w:rsid w:val="00995150"/>
    <w:rsid w:val="0099558B"/>
    <w:rsid w:val="009957F3"/>
    <w:rsid w:val="00995B78"/>
    <w:rsid w:val="00995D67"/>
    <w:rsid w:val="009970BF"/>
    <w:rsid w:val="00997F48"/>
    <w:rsid w:val="009A013B"/>
    <w:rsid w:val="009A02F4"/>
    <w:rsid w:val="009A1844"/>
    <w:rsid w:val="009A1F12"/>
    <w:rsid w:val="009A2494"/>
    <w:rsid w:val="009A24BC"/>
    <w:rsid w:val="009A26CA"/>
    <w:rsid w:val="009A2E70"/>
    <w:rsid w:val="009A3158"/>
    <w:rsid w:val="009A34EC"/>
    <w:rsid w:val="009A36F2"/>
    <w:rsid w:val="009A3CF7"/>
    <w:rsid w:val="009A4296"/>
    <w:rsid w:val="009A4AB7"/>
    <w:rsid w:val="009A5749"/>
    <w:rsid w:val="009A57D0"/>
    <w:rsid w:val="009A5F6E"/>
    <w:rsid w:val="009A5FD5"/>
    <w:rsid w:val="009A6199"/>
    <w:rsid w:val="009A6559"/>
    <w:rsid w:val="009A68D0"/>
    <w:rsid w:val="009A68FC"/>
    <w:rsid w:val="009A6A97"/>
    <w:rsid w:val="009A7514"/>
    <w:rsid w:val="009A7E7A"/>
    <w:rsid w:val="009B0C1F"/>
    <w:rsid w:val="009B1584"/>
    <w:rsid w:val="009B1585"/>
    <w:rsid w:val="009B2469"/>
    <w:rsid w:val="009B314F"/>
    <w:rsid w:val="009B32E5"/>
    <w:rsid w:val="009B3E66"/>
    <w:rsid w:val="009B439C"/>
    <w:rsid w:val="009B4A6C"/>
    <w:rsid w:val="009B5777"/>
    <w:rsid w:val="009B5779"/>
    <w:rsid w:val="009B6753"/>
    <w:rsid w:val="009B6A26"/>
    <w:rsid w:val="009B7FD5"/>
    <w:rsid w:val="009C079D"/>
    <w:rsid w:val="009C0981"/>
    <w:rsid w:val="009C0D70"/>
    <w:rsid w:val="009C13D1"/>
    <w:rsid w:val="009C2913"/>
    <w:rsid w:val="009C3008"/>
    <w:rsid w:val="009C395C"/>
    <w:rsid w:val="009C3C05"/>
    <w:rsid w:val="009C3FDA"/>
    <w:rsid w:val="009C43E8"/>
    <w:rsid w:val="009C5592"/>
    <w:rsid w:val="009C5A81"/>
    <w:rsid w:val="009C5AFE"/>
    <w:rsid w:val="009C62CD"/>
    <w:rsid w:val="009C6606"/>
    <w:rsid w:val="009C6651"/>
    <w:rsid w:val="009C6C34"/>
    <w:rsid w:val="009C6CE5"/>
    <w:rsid w:val="009C6D50"/>
    <w:rsid w:val="009C7547"/>
    <w:rsid w:val="009D0F85"/>
    <w:rsid w:val="009D1678"/>
    <w:rsid w:val="009D1693"/>
    <w:rsid w:val="009D2098"/>
    <w:rsid w:val="009D2721"/>
    <w:rsid w:val="009D2F60"/>
    <w:rsid w:val="009D314B"/>
    <w:rsid w:val="009D338C"/>
    <w:rsid w:val="009D33BC"/>
    <w:rsid w:val="009D3D0D"/>
    <w:rsid w:val="009D5321"/>
    <w:rsid w:val="009D593B"/>
    <w:rsid w:val="009D5BAC"/>
    <w:rsid w:val="009D5E0D"/>
    <w:rsid w:val="009D64BD"/>
    <w:rsid w:val="009D6CCD"/>
    <w:rsid w:val="009E064B"/>
    <w:rsid w:val="009E0D0A"/>
    <w:rsid w:val="009E0D1A"/>
    <w:rsid w:val="009E153F"/>
    <w:rsid w:val="009E19A9"/>
    <w:rsid w:val="009E1D2C"/>
    <w:rsid w:val="009E1FF0"/>
    <w:rsid w:val="009E2D6C"/>
    <w:rsid w:val="009E388B"/>
    <w:rsid w:val="009E393E"/>
    <w:rsid w:val="009E444E"/>
    <w:rsid w:val="009E4968"/>
    <w:rsid w:val="009E663C"/>
    <w:rsid w:val="009E6BB1"/>
    <w:rsid w:val="009E7B5C"/>
    <w:rsid w:val="009F0092"/>
    <w:rsid w:val="009F0505"/>
    <w:rsid w:val="009F0C6A"/>
    <w:rsid w:val="009F0CD9"/>
    <w:rsid w:val="009F118F"/>
    <w:rsid w:val="009F1A79"/>
    <w:rsid w:val="009F1F57"/>
    <w:rsid w:val="009F2E26"/>
    <w:rsid w:val="009F42DF"/>
    <w:rsid w:val="009F4859"/>
    <w:rsid w:val="009F4FCF"/>
    <w:rsid w:val="009F5DE2"/>
    <w:rsid w:val="009F5E38"/>
    <w:rsid w:val="009F60AB"/>
    <w:rsid w:val="009F638C"/>
    <w:rsid w:val="009F65F4"/>
    <w:rsid w:val="009F676B"/>
    <w:rsid w:val="009F6EA6"/>
    <w:rsid w:val="00A0049C"/>
    <w:rsid w:val="00A004DF"/>
    <w:rsid w:val="00A00735"/>
    <w:rsid w:val="00A00D29"/>
    <w:rsid w:val="00A00F4D"/>
    <w:rsid w:val="00A00FD5"/>
    <w:rsid w:val="00A0195E"/>
    <w:rsid w:val="00A019A8"/>
    <w:rsid w:val="00A01B03"/>
    <w:rsid w:val="00A026E7"/>
    <w:rsid w:val="00A02C66"/>
    <w:rsid w:val="00A03710"/>
    <w:rsid w:val="00A03861"/>
    <w:rsid w:val="00A0464C"/>
    <w:rsid w:val="00A04CD0"/>
    <w:rsid w:val="00A04D48"/>
    <w:rsid w:val="00A054E0"/>
    <w:rsid w:val="00A05ABE"/>
    <w:rsid w:val="00A05B9D"/>
    <w:rsid w:val="00A0663F"/>
    <w:rsid w:val="00A066CE"/>
    <w:rsid w:val="00A069FB"/>
    <w:rsid w:val="00A0740B"/>
    <w:rsid w:val="00A075A9"/>
    <w:rsid w:val="00A07718"/>
    <w:rsid w:val="00A10341"/>
    <w:rsid w:val="00A103DF"/>
    <w:rsid w:val="00A11042"/>
    <w:rsid w:val="00A1316C"/>
    <w:rsid w:val="00A133D8"/>
    <w:rsid w:val="00A1469C"/>
    <w:rsid w:val="00A14E97"/>
    <w:rsid w:val="00A20069"/>
    <w:rsid w:val="00A20280"/>
    <w:rsid w:val="00A205E3"/>
    <w:rsid w:val="00A211D3"/>
    <w:rsid w:val="00A2130D"/>
    <w:rsid w:val="00A21483"/>
    <w:rsid w:val="00A21B39"/>
    <w:rsid w:val="00A21B6A"/>
    <w:rsid w:val="00A2244D"/>
    <w:rsid w:val="00A2253D"/>
    <w:rsid w:val="00A22AEC"/>
    <w:rsid w:val="00A22D0B"/>
    <w:rsid w:val="00A2324F"/>
    <w:rsid w:val="00A235D4"/>
    <w:rsid w:val="00A23897"/>
    <w:rsid w:val="00A2418A"/>
    <w:rsid w:val="00A247B8"/>
    <w:rsid w:val="00A24D39"/>
    <w:rsid w:val="00A24D8F"/>
    <w:rsid w:val="00A252D3"/>
    <w:rsid w:val="00A25B8B"/>
    <w:rsid w:val="00A25BA6"/>
    <w:rsid w:val="00A26130"/>
    <w:rsid w:val="00A2615C"/>
    <w:rsid w:val="00A269AF"/>
    <w:rsid w:val="00A269C3"/>
    <w:rsid w:val="00A26ECA"/>
    <w:rsid w:val="00A27560"/>
    <w:rsid w:val="00A304C3"/>
    <w:rsid w:val="00A3057D"/>
    <w:rsid w:val="00A311F3"/>
    <w:rsid w:val="00A3142C"/>
    <w:rsid w:val="00A31D37"/>
    <w:rsid w:val="00A324C1"/>
    <w:rsid w:val="00A337DB"/>
    <w:rsid w:val="00A33CEF"/>
    <w:rsid w:val="00A3467F"/>
    <w:rsid w:val="00A34CD2"/>
    <w:rsid w:val="00A3551A"/>
    <w:rsid w:val="00A35D15"/>
    <w:rsid w:val="00A372AA"/>
    <w:rsid w:val="00A376E8"/>
    <w:rsid w:val="00A37E56"/>
    <w:rsid w:val="00A37E69"/>
    <w:rsid w:val="00A37F8E"/>
    <w:rsid w:val="00A403A3"/>
    <w:rsid w:val="00A408F6"/>
    <w:rsid w:val="00A41737"/>
    <w:rsid w:val="00A419F4"/>
    <w:rsid w:val="00A42B8F"/>
    <w:rsid w:val="00A42EDE"/>
    <w:rsid w:val="00A43254"/>
    <w:rsid w:val="00A43896"/>
    <w:rsid w:val="00A43A26"/>
    <w:rsid w:val="00A444B0"/>
    <w:rsid w:val="00A447A0"/>
    <w:rsid w:val="00A44D4F"/>
    <w:rsid w:val="00A4529B"/>
    <w:rsid w:val="00A4598B"/>
    <w:rsid w:val="00A459F5"/>
    <w:rsid w:val="00A45A5F"/>
    <w:rsid w:val="00A45FC0"/>
    <w:rsid w:val="00A46B32"/>
    <w:rsid w:val="00A47301"/>
    <w:rsid w:val="00A47448"/>
    <w:rsid w:val="00A47ECC"/>
    <w:rsid w:val="00A5008C"/>
    <w:rsid w:val="00A50171"/>
    <w:rsid w:val="00A50A2C"/>
    <w:rsid w:val="00A50AA1"/>
    <w:rsid w:val="00A5102E"/>
    <w:rsid w:val="00A51083"/>
    <w:rsid w:val="00A5132E"/>
    <w:rsid w:val="00A51533"/>
    <w:rsid w:val="00A51547"/>
    <w:rsid w:val="00A51E68"/>
    <w:rsid w:val="00A528F9"/>
    <w:rsid w:val="00A52F3B"/>
    <w:rsid w:val="00A531D4"/>
    <w:rsid w:val="00A5519A"/>
    <w:rsid w:val="00A55ACD"/>
    <w:rsid w:val="00A55CFA"/>
    <w:rsid w:val="00A56E83"/>
    <w:rsid w:val="00A56F5C"/>
    <w:rsid w:val="00A575B8"/>
    <w:rsid w:val="00A57A8D"/>
    <w:rsid w:val="00A60D7F"/>
    <w:rsid w:val="00A60E2B"/>
    <w:rsid w:val="00A61EF4"/>
    <w:rsid w:val="00A62101"/>
    <w:rsid w:val="00A625AC"/>
    <w:rsid w:val="00A627A9"/>
    <w:rsid w:val="00A6436D"/>
    <w:rsid w:val="00A647B1"/>
    <w:rsid w:val="00A64D50"/>
    <w:rsid w:val="00A64DEF"/>
    <w:rsid w:val="00A65E4E"/>
    <w:rsid w:val="00A660C5"/>
    <w:rsid w:val="00A665DF"/>
    <w:rsid w:val="00A66828"/>
    <w:rsid w:val="00A66A02"/>
    <w:rsid w:val="00A66EB0"/>
    <w:rsid w:val="00A6794F"/>
    <w:rsid w:val="00A67F1B"/>
    <w:rsid w:val="00A67F22"/>
    <w:rsid w:val="00A67FCC"/>
    <w:rsid w:val="00A70FF0"/>
    <w:rsid w:val="00A716DC"/>
    <w:rsid w:val="00A71ABE"/>
    <w:rsid w:val="00A72127"/>
    <w:rsid w:val="00A7217B"/>
    <w:rsid w:val="00A7293E"/>
    <w:rsid w:val="00A72EE4"/>
    <w:rsid w:val="00A73067"/>
    <w:rsid w:val="00A737C4"/>
    <w:rsid w:val="00A739A6"/>
    <w:rsid w:val="00A73BB5"/>
    <w:rsid w:val="00A75090"/>
    <w:rsid w:val="00A75E50"/>
    <w:rsid w:val="00A75EF9"/>
    <w:rsid w:val="00A76BC9"/>
    <w:rsid w:val="00A76FD8"/>
    <w:rsid w:val="00A77566"/>
    <w:rsid w:val="00A7787D"/>
    <w:rsid w:val="00A80563"/>
    <w:rsid w:val="00A8311C"/>
    <w:rsid w:val="00A8324E"/>
    <w:rsid w:val="00A84BC8"/>
    <w:rsid w:val="00A84C5F"/>
    <w:rsid w:val="00A86275"/>
    <w:rsid w:val="00A86557"/>
    <w:rsid w:val="00A86973"/>
    <w:rsid w:val="00A870FB"/>
    <w:rsid w:val="00A8721F"/>
    <w:rsid w:val="00A8740B"/>
    <w:rsid w:val="00A87519"/>
    <w:rsid w:val="00A87CBE"/>
    <w:rsid w:val="00A87D5E"/>
    <w:rsid w:val="00A9041C"/>
    <w:rsid w:val="00A90DE4"/>
    <w:rsid w:val="00A91786"/>
    <w:rsid w:val="00A9246D"/>
    <w:rsid w:val="00A93644"/>
    <w:rsid w:val="00A93BD0"/>
    <w:rsid w:val="00A94154"/>
    <w:rsid w:val="00A94C99"/>
    <w:rsid w:val="00A951C2"/>
    <w:rsid w:val="00A95D69"/>
    <w:rsid w:val="00A971A7"/>
    <w:rsid w:val="00A975A4"/>
    <w:rsid w:val="00A975EF"/>
    <w:rsid w:val="00A979E3"/>
    <w:rsid w:val="00A97B57"/>
    <w:rsid w:val="00AA021A"/>
    <w:rsid w:val="00AA0C1E"/>
    <w:rsid w:val="00AA0E26"/>
    <w:rsid w:val="00AA1D4D"/>
    <w:rsid w:val="00AA2001"/>
    <w:rsid w:val="00AA25CA"/>
    <w:rsid w:val="00AA2AFB"/>
    <w:rsid w:val="00AA2B5C"/>
    <w:rsid w:val="00AA3647"/>
    <w:rsid w:val="00AA380A"/>
    <w:rsid w:val="00AA4E59"/>
    <w:rsid w:val="00AA4FAA"/>
    <w:rsid w:val="00AA5328"/>
    <w:rsid w:val="00AA5393"/>
    <w:rsid w:val="00AA5771"/>
    <w:rsid w:val="00AA63D4"/>
    <w:rsid w:val="00AA6767"/>
    <w:rsid w:val="00AA67EA"/>
    <w:rsid w:val="00AB03FD"/>
    <w:rsid w:val="00AB1573"/>
    <w:rsid w:val="00AB1AF7"/>
    <w:rsid w:val="00AB255C"/>
    <w:rsid w:val="00AB3529"/>
    <w:rsid w:val="00AB38CB"/>
    <w:rsid w:val="00AB3BEC"/>
    <w:rsid w:val="00AB3C37"/>
    <w:rsid w:val="00AB3FBB"/>
    <w:rsid w:val="00AB43EC"/>
    <w:rsid w:val="00AB44E4"/>
    <w:rsid w:val="00AB4AEB"/>
    <w:rsid w:val="00AB5352"/>
    <w:rsid w:val="00AB56AE"/>
    <w:rsid w:val="00AB572D"/>
    <w:rsid w:val="00AB5811"/>
    <w:rsid w:val="00AB597C"/>
    <w:rsid w:val="00AB62D5"/>
    <w:rsid w:val="00AB65B5"/>
    <w:rsid w:val="00AB6975"/>
    <w:rsid w:val="00AB6DCD"/>
    <w:rsid w:val="00AB6EE0"/>
    <w:rsid w:val="00AB7D91"/>
    <w:rsid w:val="00AC1DA9"/>
    <w:rsid w:val="00AC1F76"/>
    <w:rsid w:val="00AC2284"/>
    <w:rsid w:val="00AC26A4"/>
    <w:rsid w:val="00AC2DFD"/>
    <w:rsid w:val="00AC352D"/>
    <w:rsid w:val="00AC39B7"/>
    <w:rsid w:val="00AC40B7"/>
    <w:rsid w:val="00AC523F"/>
    <w:rsid w:val="00AC531F"/>
    <w:rsid w:val="00AC5918"/>
    <w:rsid w:val="00AC6121"/>
    <w:rsid w:val="00AC626D"/>
    <w:rsid w:val="00AC6CB1"/>
    <w:rsid w:val="00AC7467"/>
    <w:rsid w:val="00AD0091"/>
    <w:rsid w:val="00AD0A99"/>
    <w:rsid w:val="00AD118C"/>
    <w:rsid w:val="00AD15DD"/>
    <w:rsid w:val="00AD1A53"/>
    <w:rsid w:val="00AD23D8"/>
    <w:rsid w:val="00AD23EF"/>
    <w:rsid w:val="00AD287D"/>
    <w:rsid w:val="00AD2BB8"/>
    <w:rsid w:val="00AD2BC0"/>
    <w:rsid w:val="00AD307B"/>
    <w:rsid w:val="00AD31BB"/>
    <w:rsid w:val="00AD41B3"/>
    <w:rsid w:val="00AD497C"/>
    <w:rsid w:val="00AD4C48"/>
    <w:rsid w:val="00AD57AF"/>
    <w:rsid w:val="00AD6267"/>
    <w:rsid w:val="00AD7317"/>
    <w:rsid w:val="00AD744A"/>
    <w:rsid w:val="00AD76CF"/>
    <w:rsid w:val="00AE01A8"/>
    <w:rsid w:val="00AE0203"/>
    <w:rsid w:val="00AE0CBD"/>
    <w:rsid w:val="00AE0D21"/>
    <w:rsid w:val="00AE123A"/>
    <w:rsid w:val="00AE158C"/>
    <w:rsid w:val="00AE28A7"/>
    <w:rsid w:val="00AE2EE7"/>
    <w:rsid w:val="00AE32C9"/>
    <w:rsid w:val="00AE33A6"/>
    <w:rsid w:val="00AE3446"/>
    <w:rsid w:val="00AE3715"/>
    <w:rsid w:val="00AE3729"/>
    <w:rsid w:val="00AE5290"/>
    <w:rsid w:val="00AE55B2"/>
    <w:rsid w:val="00AE5C3D"/>
    <w:rsid w:val="00AE5C6A"/>
    <w:rsid w:val="00AE625F"/>
    <w:rsid w:val="00AE65F7"/>
    <w:rsid w:val="00AE709E"/>
    <w:rsid w:val="00AE7280"/>
    <w:rsid w:val="00AF033A"/>
    <w:rsid w:val="00AF0C6E"/>
    <w:rsid w:val="00AF0F3C"/>
    <w:rsid w:val="00AF0FDD"/>
    <w:rsid w:val="00AF1326"/>
    <w:rsid w:val="00AF1699"/>
    <w:rsid w:val="00AF16DF"/>
    <w:rsid w:val="00AF193C"/>
    <w:rsid w:val="00AF1993"/>
    <w:rsid w:val="00AF303A"/>
    <w:rsid w:val="00AF31FF"/>
    <w:rsid w:val="00AF325F"/>
    <w:rsid w:val="00AF3896"/>
    <w:rsid w:val="00AF3907"/>
    <w:rsid w:val="00AF423B"/>
    <w:rsid w:val="00AF5909"/>
    <w:rsid w:val="00AF5D5E"/>
    <w:rsid w:val="00AF6360"/>
    <w:rsid w:val="00AF6C33"/>
    <w:rsid w:val="00AF6FF0"/>
    <w:rsid w:val="00B0098A"/>
    <w:rsid w:val="00B00A5F"/>
    <w:rsid w:val="00B01927"/>
    <w:rsid w:val="00B01BC2"/>
    <w:rsid w:val="00B0225F"/>
    <w:rsid w:val="00B029B8"/>
    <w:rsid w:val="00B02F60"/>
    <w:rsid w:val="00B032B8"/>
    <w:rsid w:val="00B035CF"/>
    <w:rsid w:val="00B04B46"/>
    <w:rsid w:val="00B0534D"/>
    <w:rsid w:val="00B0576A"/>
    <w:rsid w:val="00B05C74"/>
    <w:rsid w:val="00B06368"/>
    <w:rsid w:val="00B06618"/>
    <w:rsid w:val="00B06FC6"/>
    <w:rsid w:val="00B07163"/>
    <w:rsid w:val="00B071AC"/>
    <w:rsid w:val="00B07429"/>
    <w:rsid w:val="00B07D07"/>
    <w:rsid w:val="00B12FE6"/>
    <w:rsid w:val="00B1303F"/>
    <w:rsid w:val="00B1364A"/>
    <w:rsid w:val="00B136B6"/>
    <w:rsid w:val="00B13D3C"/>
    <w:rsid w:val="00B13FC6"/>
    <w:rsid w:val="00B1525C"/>
    <w:rsid w:val="00B15A8B"/>
    <w:rsid w:val="00B1626C"/>
    <w:rsid w:val="00B163DD"/>
    <w:rsid w:val="00B16715"/>
    <w:rsid w:val="00B171B4"/>
    <w:rsid w:val="00B174A8"/>
    <w:rsid w:val="00B17910"/>
    <w:rsid w:val="00B17CC3"/>
    <w:rsid w:val="00B20C3B"/>
    <w:rsid w:val="00B20F18"/>
    <w:rsid w:val="00B21516"/>
    <w:rsid w:val="00B21BC3"/>
    <w:rsid w:val="00B22CE0"/>
    <w:rsid w:val="00B23593"/>
    <w:rsid w:val="00B235E6"/>
    <w:rsid w:val="00B23738"/>
    <w:rsid w:val="00B23BEF"/>
    <w:rsid w:val="00B247BB"/>
    <w:rsid w:val="00B25806"/>
    <w:rsid w:val="00B25C11"/>
    <w:rsid w:val="00B25EDF"/>
    <w:rsid w:val="00B25EE6"/>
    <w:rsid w:val="00B26B53"/>
    <w:rsid w:val="00B27B3A"/>
    <w:rsid w:val="00B3115A"/>
    <w:rsid w:val="00B31A5C"/>
    <w:rsid w:val="00B33C19"/>
    <w:rsid w:val="00B33EB0"/>
    <w:rsid w:val="00B34861"/>
    <w:rsid w:val="00B34BBC"/>
    <w:rsid w:val="00B34CB7"/>
    <w:rsid w:val="00B35A87"/>
    <w:rsid w:val="00B35CD2"/>
    <w:rsid w:val="00B35D6D"/>
    <w:rsid w:val="00B35F6E"/>
    <w:rsid w:val="00B363BD"/>
    <w:rsid w:val="00B365EA"/>
    <w:rsid w:val="00B369F7"/>
    <w:rsid w:val="00B36A99"/>
    <w:rsid w:val="00B372A8"/>
    <w:rsid w:val="00B37537"/>
    <w:rsid w:val="00B3790B"/>
    <w:rsid w:val="00B41709"/>
    <w:rsid w:val="00B41B81"/>
    <w:rsid w:val="00B42980"/>
    <w:rsid w:val="00B434B2"/>
    <w:rsid w:val="00B434C7"/>
    <w:rsid w:val="00B4359C"/>
    <w:rsid w:val="00B437C6"/>
    <w:rsid w:val="00B43D45"/>
    <w:rsid w:val="00B44771"/>
    <w:rsid w:val="00B4516F"/>
    <w:rsid w:val="00B4532E"/>
    <w:rsid w:val="00B457D3"/>
    <w:rsid w:val="00B4650E"/>
    <w:rsid w:val="00B468F2"/>
    <w:rsid w:val="00B46B45"/>
    <w:rsid w:val="00B46F6B"/>
    <w:rsid w:val="00B47286"/>
    <w:rsid w:val="00B47894"/>
    <w:rsid w:val="00B50234"/>
    <w:rsid w:val="00B50D2F"/>
    <w:rsid w:val="00B51160"/>
    <w:rsid w:val="00B51238"/>
    <w:rsid w:val="00B51794"/>
    <w:rsid w:val="00B51BF4"/>
    <w:rsid w:val="00B52C68"/>
    <w:rsid w:val="00B5300A"/>
    <w:rsid w:val="00B542FE"/>
    <w:rsid w:val="00B5474F"/>
    <w:rsid w:val="00B551F6"/>
    <w:rsid w:val="00B554E5"/>
    <w:rsid w:val="00B557A2"/>
    <w:rsid w:val="00B55A1B"/>
    <w:rsid w:val="00B55F24"/>
    <w:rsid w:val="00B561DB"/>
    <w:rsid w:val="00B568D6"/>
    <w:rsid w:val="00B56AEA"/>
    <w:rsid w:val="00B57494"/>
    <w:rsid w:val="00B601C2"/>
    <w:rsid w:val="00B61DCE"/>
    <w:rsid w:val="00B62188"/>
    <w:rsid w:val="00B62467"/>
    <w:rsid w:val="00B62F79"/>
    <w:rsid w:val="00B62F82"/>
    <w:rsid w:val="00B6325B"/>
    <w:rsid w:val="00B63866"/>
    <w:rsid w:val="00B63DB1"/>
    <w:rsid w:val="00B648FA"/>
    <w:rsid w:val="00B64B36"/>
    <w:rsid w:val="00B65C1F"/>
    <w:rsid w:val="00B662FF"/>
    <w:rsid w:val="00B67279"/>
    <w:rsid w:val="00B71696"/>
    <w:rsid w:val="00B721E1"/>
    <w:rsid w:val="00B72457"/>
    <w:rsid w:val="00B725F0"/>
    <w:rsid w:val="00B72C80"/>
    <w:rsid w:val="00B72CB7"/>
    <w:rsid w:val="00B72CCD"/>
    <w:rsid w:val="00B730B4"/>
    <w:rsid w:val="00B73806"/>
    <w:rsid w:val="00B73E28"/>
    <w:rsid w:val="00B741F6"/>
    <w:rsid w:val="00B74340"/>
    <w:rsid w:val="00B744E0"/>
    <w:rsid w:val="00B7481A"/>
    <w:rsid w:val="00B74F2F"/>
    <w:rsid w:val="00B75693"/>
    <w:rsid w:val="00B756FB"/>
    <w:rsid w:val="00B7617B"/>
    <w:rsid w:val="00B7621C"/>
    <w:rsid w:val="00B766BF"/>
    <w:rsid w:val="00B769BC"/>
    <w:rsid w:val="00B76D34"/>
    <w:rsid w:val="00B77349"/>
    <w:rsid w:val="00B7761E"/>
    <w:rsid w:val="00B77A02"/>
    <w:rsid w:val="00B803D0"/>
    <w:rsid w:val="00B803FB"/>
    <w:rsid w:val="00B80A37"/>
    <w:rsid w:val="00B80A3D"/>
    <w:rsid w:val="00B80B9E"/>
    <w:rsid w:val="00B80D9B"/>
    <w:rsid w:val="00B80E7A"/>
    <w:rsid w:val="00B823E0"/>
    <w:rsid w:val="00B82AB4"/>
    <w:rsid w:val="00B82B78"/>
    <w:rsid w:val="00B83199"/>
    <w:rsid w:val="00B8347F"/>
    <w:rsid w:val="00B83E3C"/>
    <w:rsid w:val="00B84662"/>
    <w:rsid w:val="00B84EF5"/>
    <w:rsid w:val="00B852C5"/>
    <w:rsid w:val="00B85402"/>
    <w:rsid w:val="00B864A3"/>
    <w:rsid w:val="00B867BA"/>
    <w:rsid w:val="00B86C2A"/>
    <w:rsid w:val="00B87298"/>
    <w:rsid w:val="00B902A5"/>
    <w:rsid w:val="00B90420"/>
    <w:rsid w:val="00B911F1"/>
    <w:rsid w:val="00B9136E"/>
    <w:rsid w:val="00B913E4"/>
    <w:rsid w:val="00B91410"/>
    <w:rsid w:val="00B91650"/>
    <w:rsid w:val="00B919D1"/>
    <w:rsid w:val="00B91DB9"/>
    <w:rsid w:val="00B9287A"/>
    <w:rsid w:val="00B93EFE"/>
    <w:rsid w:val="00B94956"/>
    <w:rsid w:val="00B94C7F"/>
    <w:rsid w:val="00B954D8"/>
    <w:rsid w:val="00B956B5"/>
    <w:rsid w:val="00B95904"/>
    <w:rsid w:val="00B95C3A"/>
    <w:rsid w:val="00B95FCE"/>
    <w:rsid w:val="00B96F9A"/>
    <w:rsid w:val="00B976B3"/>
    <w:rsid w:val="00B97E8C"/>
    <w:rsid w:val="00B97FB8"/>
    <w:rsid w:val="00BA0D44"/>
    <w:rsid w:val="00BA0E26"/>
    <w:rsid w:val="00BA13FF"/>
    <w:rsid w:val="00BA15B2"/>
    <w:rsid w:val="00BA31BF"/>
    <w:rsid w:val="00BA382C"/>
    <w:rsid w:val="00BA40C1"/>
    <w:rsid w:val="00BA43FC"/>
    <w:rsid w:val="00BA478B"/>
    <w:rsid w:val="00BA5224"/>
    <w:rsid w:val="00BA66DB"/>
    <w:rsid w:val="00BA6DE4"/>
    <w:rsid w:val="00BA6E5B"/>
    <w:rsid w:val="00BA7456"/>
    <w:rsid w:val="00BA7925"/>
    <w:rsid w:val="00BA7B27"/>
    <w:rsid w:val="00BA7E3B"/>
    <w:rsid w:val="00BB047E"/>
    <w:rsid w:val="00BB066B"/>
    <w:rsid w:val="00BB06F5"/>
    <w:rsid w:val="00BB079C"/>
    <w:rsid w:val="00BB0946"/>
    <w:rsid w:val="00BB0B37"/>
    <w:rsid w:val="00BB0F78"/>
    <w:rsid w:val="00BB125B"/>
    <w:rsid w:val="00BB1BA1"/>
    <w:rsid w:val="00BB2D2B"/>
    <w:rsid w:val="00BB32A1"/>
    <w:rsid w:val="00BB39C1"/>
    <w:rsid w:val="00BB3EE1"/>
    <w:rsid w:val="00BB49CC"/>
    <w:rsid w:val="00BB5555"/>
    <w:rsid w:val="00BB5A50"/>
    <w:rsid w:val="00BB5D16"/>
    <w:rsid w:val="00BB6180"/>
    <w:rsid w:val="00BB68BC"/>
    <w:rsid w:val="00BB69E6"/>
    <w:rsid w:val="00BB6BAA"/>
    <w:rsid w:val="00BB76E0"/>
    <w:rsid w:val="00BB7714"/>
    <w:rsid w:val="00BC0E66"/>
    <w:rsid w:val="00BC167F"/>
    <w:rsid w:val="00BC1B7A"/>
    <w:rsid w:val="00BC2817"/>
    <w:rsid w:val="00BC2BC7"/>
    <w:rsid w:val="00BC2C17"/>
    <w:rsid w:val="00BC32D0"/>
    <w:rsid w:val="00BC3416"/>
    <w:rsid w:val="00BC3441"/>
    <w:rsid w:val="00BC3ACD"/>
    <w:rsid w:val="00BC5C09"/>
    <w:rsid w:val="00BC6E73"/>
    <w:rsid w:val="00BC768C"/>
    <w:rsid w:val="00BC7D7D"/>
    <w:rsid w:val="00BD0014"/>
    <w:rsid w:val="00BD01D8"/>
    <w:rsid w:val="00BD03F3"/>
    <w:rsid w:val="00BD0C58"/>
    <w:rsid w:val="00BD0F04"/>
    <w:rsid w:val="00BD1B17"/>
    <w:rsid w:val="00BD2512"/>
    <w:rsid w:val="00BD255F"/>
    <w:rsid w:val="00BD383D"/>
    <w:rsid w:val="00BD4056"/>
    <w:rsid w:val="00BD4236"/>
    <w:rsid w:val="00BD4AAF"/>
    <w:rsid w:val="00BD5CCA"/>
    <w:rsid w:val="00BD5CD4"/>
    <w:rsid w:val="00BD5D0A"/>
    <w:rsid w:val="00BD608B"/>
    <w:rsid w:val="00BD646C"/>
    <w:rsid w:val="00BD6A7E"/>
    <w:rsid w:val="00BD6EF9"/>
    <w:rsid w:val="00BD77DD"/>
    <w:rsid w:val="00BD7D3D"/>
    <w:rsid w:val="00BE0ACB"/>
    <w:rsid w:val="00BE1A90"/>
    <w:rsid w:val="00BE1F23"/>
    <w:rsid w:val="00BE2C0A"/>
    <w:rsid w:val="00BE3537"/>
    <w:rsid w:val="00BE360F"/>
    <w:rsid w:val="00BE3888"/>
    <w:rsid w:val="00BE50FD"/>
    <w:rsid w:val="00BE51CA"/>
    <w:rsid w:val="00BE520C"/>
    <w:rsid w:val="00BE5B4C"/>
    <w:rsid w:val="00BE5E5A"/>
    <w:rsid w:val="00BE63C9"/>
    <w:rsid w:val="00BE6D47"/>
    <w:rsid w:val="00BE7032"/>
    <w:rsid w:val="00BE7330"/>
    <w:rsid w:val="00BE766A"/>
    <w:rsid w:val="00BE7F32"/>
    <w:rsid w:val="00BF01C5"/>
    <w:rsid w:val="00BF045B"/>
    <w:rsid w:val="00BF066A"/>
    <w:rsid w:val="00BF361C"/>
    <w:rsid w:val="00BF4342"/>
    <w:rsid w:val="00BF4BB6"/>
    <w:rsid w:val="00BF5050"/>
    <w:rsid w:val="00BF5422"/>
    <w:rsid w:val="00BF54CF"/>
    <w:rsid w:val="00BF55B6"/>
    <w:rsid w:val="00BF59B1"/>
    <w:rsid w:val="00BF6076"/>
    <w:rsid w:val="00BF672E"/>
    <w:rsid w:val="00BF6A78"/>
    <w:rsid w:val="00BF6E19"/>
    <w:rsid w:val="00BF79B4"/>
    <w:rsid w:val="00C00251"/>
    <w:rsid w:val="00C0099F"/>
    <w:rsid w:val="00C00C7E"/>
    <w:rsid w:val="00C01427"/>
    <w:rsid w:val="00C016A1"/>
    <w:rsid w:val="00C0428D"/>
    <w:rsid w:val="00C045F4"/>
    <w:rsid w:val="00C04AAB"/>
    <w:rsid w:val="00C05218"/>
    <w:rsid w:val="00C05501"/>
    <w:rsid w:val="00C058AF"/>
    <w:rsid w:val="00C06EF5"/>
    <w:rsid w:val="00C122E1"/>
    <w:rsid w:val="00C123CA"/>
    <w:rsid w:val="00C124C1"/>
    <w:rsid w:val="00C128AE"/>
    <w:rsid w:val="00C1294F"/>
    <w:rsid w:val="00C12959"/>
    <w:rsid w:val="00C1302A"/>
    <w:rsid w:val="00C136D6"/>
    <w:rsid w:val="00C13D5B"/>
    <w:rsid w:val="00C15806"/>
    <w:rsid w:val="00C15CB5"/>
    <w:rsid w:val="00C15EC2"/>
    <w:rsid w:val="00C15F3A"/>
    <w:rsid w:val="00C16EBF"/>
    <w:rsid w:val="00C17AE2"/>
    <w:rsid w:val="00C20423"/>
    <w:rsid w:val="00C20F27"/>
    <w:rsid w:val="00C215CF"/>
    <w:rsid w:val="00C2244B"/>
    <w:rsid w:val="00C2263D"/>
    <w:rsid w:val="00C22B0D"/>
    <w:rsid w:val="00C22F55"/>
    <w:rsid w:val="00C23336"/>
    <w:rsid w:val="00C240C1"/>
    <w:rsid w:val="00C24364"/>
    <w:rsid w:val="00C250D0"/>
    <w:rsid w:val="00C252AC"/>
    <w:rsid w:val="00C255AB"/>
    <w:rsid w:val="00C25BDC"/>
    <w:rsid w:val="00C267E0"/>
    <w:rsid w:val="00C27214"/>
    <w:rsid w:val="00C27597"/>
    <w:rsid w:val="00C30382"/>
    <w:rsid w:val="00C307FC"/>
    <w:rsid w:val="00C30D6F"/>
    <w:rsid w:val="00C31063"/>
    <w:rsid w:val="00C31B7E"/>
    <w:rsid w:val="00C31BB0"/>
    <w:rsid w:val="00C3242A"/>
    <w:rsid w:val="00C32AE2"/>
    <w:rsid w:val="00C32FC0"/>
    <w:rsid w:val="00C33201"/>
    <w:rsid w:val="00C332C4"/>
    <w:rsid w:val="00C33378"/>
    <w:rsid w:val="00C3389F"/>
    <w:rsid w:val="00C349A6"/>
    <w:rsid w:val="00C35ABC"/>
    <w:rsid w:val="00C360B3"/>
    <w:rsid w:val="00C36363"/>
    <w:rsid w:val="00C3679B"/>
    <w:rsid w:val="00C3688F"/>
    <w:rsid w:val="00C3692E"/>
    <w:rsid w:val="00C36B10"/>
    <w:rsid w:val="00C36E46"/>
    <w:rsid w:val="00C37027"/>
    <w:rsid w:val="00C370AA"/>
    <w:rsid w:val="00C371F8"/>
    <w:rsid w:val="00C3778D"/>
    <w:rsid w:val="00C405A3"/>
    <w:rsid w:val="00C42752"/>
    <w:rsid w:val="00C42973"/>
    <w:rsid w:val="00C4297D"/>
    <w:rsid w:val="00C437F0"/>
    <w:rsid w:val="00C43D09"/>
    <w:rsid w:val="00C449EA"/>
    <w:rsid w:val="00C44F9C"/>
    <w:rsid w:val="00C45C04"/>
    <w:rsid w:val="00C46D58"/>
    <w:rsid w:val="00C4730E"/>
    <w:rsid w:val="00C47EE9"/>
    <w:rsid w:val="00C5019C"/>
    <w:rsid w:val="00C5034F"/>
    <w:rsid w:val="00C514D3"/>
    <w:rsid w:val="00C51A21"/>
    <w:rsid w:val="00C52479"/>
    <w:rsid w:val="00C5270D"/>
    <w:rsid w:val="00C5291F"/>
    <w:rsid w:val="00C52BC8"/>
    <w:rsid w:val="00C52C59"/>
    <w:rsid w:val="00C5349E"/>
    <w:rsid w:val="00C5354B"/>
    <w:rsid w:val="00C536FF"/>
    <w:rsid w:val="00C54467"/>
    <w:rsid w:val="00C54D3D"/>
    <w:rsid w:val="00C55116"/>
    <w:rsid w:val="00C555FA"/>
    <w:rsid w:val="00C55A30"/>
    <w:rsid w:val="00C55CAB"/>
    <w:rsid w:val="00C56468"/>
    <w:rsid w:val="00C5693D"/>
    <w:rsid w:val="00C578A0"/>
    <w:rsid w:val="00C57C58"/>
    <w:rsid w:val="00C6028F"/>
    <w:rsid w:val="00C6036D"/>
    <w:rsid w:val="00C608F1"/>
    <w:rsid w:val="00C61439"/>
    <w:rsid w:val="00C617C6"/>
    <w:rsid w:val="00C62364"/>
    <w:rsid w:val="00C62776"/>
    <w:rsid w:val="00C631E1"/>
    <w:rsid w:val="00C6323D"/>
    <w:rsid w:val="00C638D8"/>
    <w:rsid w:val="00C63C84"/>
    <w:rsid w:val="00C63D26"/>
    <w:rsid w:val="00C641EB"/>
    <w:rsid w:val="00C649D3"/>
    <w:rsid w:val="00C65053"/>
    <w:rsid w:val="00C65471"/>
    <w:rsid w:val="00C65BD9"/>
    <w:rsid w:val="00C66061"/>
    <w:rsid w:val="00C661D6"/>
    <w:rsid w:val="00C66F69"/>
    <w:rsid w:val="00C67223"/>
    <w:rsid w:val="00C67CFF"/>
    <w:rsid w:val="00C701E3"/>
    <w:rsid w:val="00C707B8"/>
    <w:rsid w:val="00C7084B"/>
    <w:rsid w:val="00C70F5E"/>
    <w:rsid w:val="00C71C15"/>
    <w:rsid w:val="00C71F3D"/>
    <w:rsid w:val="00C72F53"/>
    <w:rsid w:val="00C7327C"/>
    <w:rsid w:val="00C73741"/>
    <w:rsid w:val="00C74035"/>
    <w:rsid w:val="00C75479"/>
    <w:rsid w:val="00C75838"/>
    <w:rsid w:val="00C7691D"/>
    <w:rsid w:val="00C76FF4"/>
    <w:rsid w:val="00C771C2"/>
    <w:rsid w:val="00C77818"/>
    <w:rsid w:val="00C77AE3"/>
    <w:rsid w:val="00C80298"/>
    <w:rsid w:val="00C8063F"/>
    <w:rsid w:val="00C80BC0"/>
    <w:rsid w:val="00C811C2"/>
    <w:rsid w:val="00C81549"/>
    <w:rsid w:val="00C81A70"/>
    <w:rsid w:val="00C81FEF"/>
    <w:rsid w:val="00C820BB"/>
    <w:rsid w:val="00C829A1"/>
    <w:rsid w:val="00C83B36"/>
    <w:rsid w:val="00C8426E"/>
    <w:rsid w:val="00C84F8A"/>
    <w:rsid w:val="00C85209"/>
    <w:rsid w:val="00C85B23"/>
    <w:rsid w:val="00C8618F"/>
    <w:rsid w:val="00C86E50"/>
    <w:rsid w:val="00C87AE3"/>
    <w:rsid w:val="00C90372"/>
    <w:rsid w:val="00C9041F"/>
    <w:rsid w:val="00C90594"/>
    <w:rsid w:val="00C90809"/>
    <w:rsid w:val="00C90BDE"/>
    <w:rsid w:val="00C90DE3"/>
    <w:rsid w:val="00C90ECE"/>
    <w:rsid w:val="00C91A45"/>
    <w:rsid w:val="00C91ED2"/>
    <w:rsid w:val="00C91FB4"/>
    <w:rsid w:val="00C923D0"/>
    <w:rsid w:val="00C92BD6"/>
    <w:rsid w:val="00C93370"/>
    <w:rsid w:val="00C937EA"/>
    <w:rsid w:val="00C9420C"/>
    <w:rsid w:val="00C947EE"/>
    <w:rsid w:val="00C94D41"/>
    <w:rsid w:val="00C9534E"/>
    <w:rsid w:val="00C95745"/>
    <w:rsid w:val="00C96006"/>
    <w:rsid w:val="00C962E3"/>
    <w:rsid w:val="00C965BD"/>
    <w:rsid w:val="00C96717"/>
    <w:rsid w:val="00C978DE"/>
    <w:rsid w:val="00C978F0"/>
    <w:rsid w:val="00C97997"/>
    <w:rsid w:val="00C97B91"/>
    <w:rsid w:val="00CA01A6"/>
    <w:rsid w:val="00CA06A2"/>
    <w:rsid w:val="00CA08FE"/>
    <w:rsid w:val="00CA0FAC"/>
    <w:rsid w:val="00CA2513"/>
    <w:rsid w:val="00CA25C0"/>
    <w:rsid w:val="00CA3451"/>
    <w:rsid w:val="00CA37A3"/>
    <w:rsid w:val="00CA40AA"/>
    <w:rsid w:val="00CA4948"/>
    <w:rsid w:val="00CA503E"/>
    <w:rsid w:val="00CA52F9"/>
    <w:rsid w:val="00CA568B"/>
    <w:rsid w:val="00CA57B5"/>
    <w:rsid w:val="00CA7500"/>
    <w:rsid w:val="00CA7567"/>
    <w:rsid w:val="00CB0111"/>
    <w:rsid w:val="00CB03E5"/>
    <w:rsid w:val="00CB0582"/>
    <w:rsid w:val="00CB0696"/>
    <w:rsid w:val="00CB1239"/>
    <w:rsid w:val="00CB1982"/>
    <w:rsid w:val="00CB19FE"/>
    <w:rsid w:val="00CB21C6"/>
    <w:rsid w:val="00CB2394"/>
    <w:rsid w:val="00CB2A78"/>
    <w:rsid w:val="00CB304C"/>
    <w:rsid w:val="00CB46B1"/>
    <w:rsid w:val="00CB4B1D"/>
    <w:rsid w:val="00CB5218"/>
    <w:rsid w:val="00CB53E8"/>
    <w:rsid w:val="00CB594A"/>
    <w:rsid w:val="00CB5CB2"/>
    <w:rsid w:val="00CB6979"/>
    <w:rsid w:val="00CB6F49"/>
    <w:rsid w:val="00CB7C07"/>
    <w:rsid w:val="00CC0184"/>
    <w:rsid w:val="00CC07FA"/>
    <w:rsid w:val="00CC0A3D"/>
    <w:rsid w:val="00CC1B5B"/>
    <w:rsid w:val="00CC22E8"/>
    <w:rsid w:val="00CC2373"/>
    <w:rsid w:val="00CC248B"/>
    <w:rsid w:val="00CC342B"/>
    <w:rsid w:val="00CC3AD5"/>
    <w:rsid w:val="00CC3D1B"/>
    <w:rsid w:val="00CC3D24"/>
    <w:rsid w:val="00CC3EA7"/>
    <w:rsid w:val="00CC3F91"/>
    <w:rsid w:val="00CC40B6"/>
    <w:rsid w:val="00CC4B0A"/>
    <w:rsid w:val="00CC4E4E"/>
    <w:rsid w:val="00CC544A"/>
    <w:rsid w:val="00CC57EA"/>
    <w:rsid w:val="00CC5954"/>
    <w:rsid w:val="00CC5B02"/>
    <w:rsid w:val="00CC6291"/>
    <w:rsid w:val="00CC6C4E"/>
    <w:rsid w:val="00CC6DD8"/>
    <w:rsid w:val="00CC70E7"/>
    <w:rsid w:val="00CC7962"/>
    <w:rsid w:val="00CD05A2"/>
    <w:rsid w:val="00CD0B52"/>
    <w:rsid w:val="00CD13E8"/>
    <w:rsid w:val="00CD19DA"/>
    <w:rsid w:val="00CD1B3C"/>
    <w:rsid w:val="00CD29D4"/>
    <w:rsid w:val="00CD303E"/>
    <w:rsid w:val="00CD36A9"/>
    <w:rsid w:val="00CD38F5"/>
    <w:rsid w:val="00CD437E"/>
    <w:rsid w:val="00CD4AE5"/>
    <w:rsid w:val="00CD4B19"/>
    <w:rsid w:val="00CD57FB"/>
    <w:rsid w:val="00CD5833"/>
    <w:rsid w:val="00CD5A89"/>
    <w:rsid w:val="00CD5B66"/>
    <w:rsid w:val="00CD5C50"/>
    <w:rsid w:val="00CD5DAD"/>
    <w:rsid w:val="00CD6D4B"/>
    <w:rsid w:val="00CD72C5"/>
    <w:rsid w:val="00CD774B"/>
    <w:rsid w:val="00CD79A7"/>
    <w:rsid w:val="00CD7AD6"/>
    <w:rsid w:val="00CD7C9B"/>
    <w:rsid w:val="00CE0789"/>
    <w:rsid w:val="00CE1A03"/>
    <w:rsid w:val="00CE2346"/>
    <w:rsid w:val="00CE2CAB"/>
    <w:rsid w:val="00CE303C"/>
    <w:rsid w:val="00CE3529"/>
    <w:rsid w:val="00CE35C8"/>
    <w:rsid w:val="00CE37F6"/>
    <w:rsid w:val="00CE3962"/>
    <w:rsid w:val="00CE5105"/>
    <w:rsid w:val="00CE56BD"/>
    <w:rsid w:val="00CE5A2A"/>
    <w:rsid w:val="00CE5EC0"/>
    <w:rsid w:val="00CE6039"/>
    <w:rsid w:val="00CE6F9F"/>
    <w:rsid w:val="00CE773B"/>
    <w:rsid w:val="00CE781A"/>
    <w:rsid w:val="00CE797F"/>
    <w:rsid w:val="00CE7BF8"/>
    <w:rsid w:val="00CE7FEF"/>
    <w:rsid w:val="00CF0815"/>
    <w:rsid w:val="00CF10FC"/>
    <w:rsid w:val="00CF12DF"/>
    <w:rsid w:val="00CF1D6C"/>
    <w:rsid w:val="00CF1D74"/>
    <w:rsid w:val="00CF1DEE"/>
    <w:rsid w:val="00CF2BE2"/>
    <w:rsid w:val="00CF2CCB"/>
    <w:rsid w:val="00CF2EA1"/>
    <w:rsid w:val="00CF3072"/>
    <w:rsid w:val="00CF3E0D"/>
    <w:rsid w:val="00CF4688"/>
    <w:rsid w:val="00CF4877"/>
    <w:rsid w:val="00CF55F9"/>
    <w:rsid w:val="00CF71A6"/>
    <w:rsid w:val="00CF7495"/>
    <w:rsid w:val="00CF7671"/>
    <w:rsid w:val="00CF7C5B"/>
    <w:rsid w:val="00D0148C"/>
    <w:rsid w:val="00D01510"/>
    <w:rsid w:val="00D01CF9"/>
    <w:rsid w:val="00D02246"/>
    <w:rsid w:val="00D03077"/>
    <w:rsid w:val="00D032E8"/>
    <w:rsid w:val="00D0334D"/>
    <w:rsid w:val="00D033A7"/>
    <w:rsid w:val="00D033BC"/>
    <w:rsid w:val="00D0374D"/>
    <w:rsid w:val="00D0382C"/>
    <w:rsid w:val="00D05253"/>
    <w:rsid w:val="00D05A2F"/>
    <w:rsid w:val="00D05A76"/>
    <w:rsid w:val="00D06DB1"/>
    <w:rsid w:val="00D0705A"/>
    <w:rsid w:val="00D07108"/>
    <w:rsid w:val="00D07BEF"/>
    <w:rsid w:val="00D07F1D"/>
    <w:rsid w:val="00D10558"/>
    <w:rsid w:val="00D10772"/>
    <w:rsid w:val="00D1203E"/>
    <w:rsid w:val="00D13E70"/>
    <w:rsid w:val="00D16921"/>
    <w:rsid w:val="00D16C58"/>
    <w:rsid w:val="00D17019"/>
    <w:rsid w:val="00D170C1"/>
    <w:rsid w:val="00D178DE"/>
    <w:rsid w:val="00D17935"/>
    <w:rsid w:val="00D17C6E"/>
    <w:rsid w:val="00D21121"/>
    <w:rsid w:val="00D21168"/>
    <w:rsid w:val="00D2202C"/>
    <w:rsid w:val="00D22384"/>
    <w:rsid w:val="00D22B25"/>
    <w:rsid w:val="00D232DA"/>
    <w:rsid w:val="00D235C8"/>
    <w:rsid w:val="00D23740"/>
    <w:rsid w:val="00D2375C"/>
    <w:rsid w:val="00D2384A"/>
    <w:rsid w:val="00D23D4B"/>
    <w:rsid w:val="00D2438C"/>
    <w:rsid w:val="00D24B1D"/>
    <w:rsid w:val="00D24EFC"/>
    <w:rsid w:val="00D25973"/>
    <w:rsid w:val="00D26C3F"/>
    <w:rsid w:val="00D27074"/>
    <w:rsid w:val="00D27185"/>
    <w:rsid w:val="00D27AA5"/>
    <w:rsid w:val="00D31CA2"/>
    <w:rsid w:val="00D32B84"/>
    <w:rsid w:val="00D337AE"/>
    <w:rsid w:val="00D33AB3"/>
    <w:rsid w:val="00D33F24"/>
    <w:rsid w:val="00D346B7"/>
    <w:rsid w:val="00D346B8"/>
    <w:rsid w:val="00D34B23"/>
    <w:rsid w:val="00D35AC8"/>
    <w:rsid w:val="00D35D34"/>
    <w:rsid w:val="00D3693A"/>
    <w:rsid w:val="00D36F87"/>
    <w:rsid w:val="00D37C00"/>
    <w:rsid w:val="00D37E4E"/>
    <w:rsid w:val="00D420E6"/>
    <w:rsid w:val="00D4226A"/>
    <w:rsid w:val="00D42D5A"/>
    <w:rsid w:val="00D42E6C"/>
    <w:rsid w:val="00D43218"/>
    <w:rsid w:val="00D43B80"/>
    <w:rsid w:val="00D44236"/>
    <w:rsid w:val="00D44AE2"/>
    <w:rsid w:val="00D44B2A"/>
    <w:rsid w:val="00D45B1E"/>
    <w:rsid w:val="00D45BA4"/>
    <w:rsid w:val="00D45EFB"/>
    <w:rsid w:val="00D4703C"/>
    <w:rsid w:val="00D471AF"/>
    <w:rsid w:val="00D4724F"/>
    <w:rsid w:val="00D50519"/>
    <w:rsid w:val="00D516A5"/>
    <w:rsid w:val="00D5264C"/>
    <w:rsid w:val="00D5289A"/>
    <w:rsid w:val="00D537FE"/>
    <w:rsid w:val="00D538F0"/>
    <w:rsid w:val="00D53AE6"/>
    <w:rsid w:val="00D54A6A"/>
    <w:rsid w:val="00D54AF9"/>
    <w:rsid w:val="00D54BF8"/>
    <w:rsid w:val="00D54D7C"/>
    <w:rsid w:val="00D55951"/>
    <w:rsid w:val="00D572BE"/>
    <w:rsid w:val="00D57EB6"/>
    <w:rsid w:val="00D60ED7"/>
    <w:rsid w:val="00D62BA8"/>
    <w:rsid w:val="00D631E1"/>
    <w:rsid w:val="00D63586"/>
    <w:rsid w:val="00D646CB"/>
    <w:rsid w:val="00D64DD6"/>
    <w:rsid w:val="00D65538"/>
    <w:rsid w:val="00D6559D"/>
    <w:rsid w:val="00D661CC"/>
    <w:rsid w:val="00D664BF"/>
    <w:rsid w:val="00D66514"/>
    <w:rsid w:val="00D66CE3"/>
    <w:rsid w:val="00D66D8B"/>
    <w:rsid w:val="00D67840"/>
    <w:rsid w:val="00D67954"/>
    <w:rsid w:val="00D704EB"/>
    <w:rsid w:val="00D706EB"/>
    <w:rsid w:val="00D71343"/>
    <w:rsid w:val="00D71B1A"/>
    <w:rsid w:val="00D72325"/>
    <w:rsid w:val="00D72A1C"/>
    <w:rsid w:val="00D72D92"/>
    <w:rsid w:val="00D73580"/>
    <w:rsid w:val="00D73802"/>
    <w:rsid w:val="00D73868"/>
    <w:rsid w:val="00D73C2C"/>
    <w:rsid w:val="00D73D52"/>
    <w:rsid w:val="00D74042"/>
    <w:rsid w:val="00D7453F"/>
    <w:rsid w:val="00D745E7"/>
    <w:rsid w:val="00D753E2"/>
    <w:rsid w:val="00D75530"/>
    <w:rsid w:val="00D767CE"/>
    <w:rsid w:val="00D76A70"/>
    <w:rsid w:val="00D77495"/>
    <w:rsid w:val="00D774ED"/>
    <w:rsid w:val="00D777F6"/>
    <w:rsid w:val="00D77E40"/>
    <w:rsid w:val="00D77F88"/>
    <w:rsid w:val="00D8002D"/>
    <w:rsid w:val="00D8016E"/>
    <w:rsid w:val="00D8028A"/>
    <w:rsid w:val="00D80351"/>
    <w:rsid w:val="00D8047C"/>
    <w:rsid w:val="00D81052"/>
    <w:rsid w:val="00D81915"/>
    <w:rsid w:val="00D81E9D"/>
    <w:rsid w:val="00D81EAA"/>
    <w:rsid w:val="00D8259F"/>
    <w:rsid w:val="00D825F2"/>
    <w:rsid w:val="00D828B1"/>
    <w:rsid w:val="00D82D99"/>
    <w:rsid w:val="00D83F68"/>
    <w:rsid w:val="00D84803"/>
    <w:rsid w:val="00D84CFF"/>
    <w:rsid w:val="00D84F27"/>
    <w:rsid w:val="00D850D4"/>
    <w:rsid w:val="00D850E9"/>
    <w:rsid w:val="00D862D1"/>
    <w:rsid w:val="00D873C6"/>
    <w:rsid w:val="00D877BA"/>
    <w:rsid w:val="00D90594"/>
    <w:rsid w:val="00D90906"/>
    <w:rsid w:val="00D91027"/>
    <w:rsid w:val="00D924FC"/>
    <w:rsid w:val="00D92D9A"/>
    <w:rsid w:val="00D933BC"/>
    <w:rsid w:val="00D94C7D"/>
    <w:rsid w:val="00D94CA4"/>
    <w:rsid w:val="00D94FB4"/>
    <w:rsid w:val="00D95E99"/>
    <w:rsid w:val="00D960E1"/>
    <w:rsid w:val="00D961EE"/>
    <w:rsid w:val="00D96895"/>
    <w:rsid w:val="00D96EE0"/>
    <w:rsid w:val="00DA098C"/>
    <w:rsid w:val="00DA10BF"/>
    <w:rsid w:val="00DA166F"/>
    <w:rsid w:val="00DA1680"/>
    <w:rsid w:val="00DA1A3A"/>
    <w:rsid w:val="00DA2625"/>
    <w:rsid w:val="00DA2712"/>
    <w:rsid w:val="00DA2718"/>
    <w:rsid w:val="00DA2C65"/>
    <w:rsid w:val="00DA2EA5"/>
    <w:rsid w:val="00DA3209"/>
    <w:rsid w:val="00DA3511"/>
    <w:rsid w:val="00DA3866"/>
    <w:rsid w:val="00DA395D"/>
    <w:rsid w:val="00DA447B"/>
    <w:rsid w:val="00DA45A1"/>
    <w:rsid w:val="00DA550A"/>
    <w:rsid w:val="00DA6D33"/>
    <w:rsid w:val="00DB151B"/>
    <w:rsid w:val="00DB16B8"/>
    <w:rsid w:val="00DB1869"/>
    <w:rsid w:val="00DB1D52"/>
    <w:rsid w:val="00DB1F62"/>
    <w:rsid w:val="00DB28A1"/>
    <w:rsid w:val="00DB2E03"/>
    <w:rsid w:val="00DB2EE7"/>
    <w:rsid w:val="00DB3369"/>
    <w:rsid w:val="00DB36D9"/>
    <w:rsid w:val="00DB3742"/>
    <w:rsid w:val="00DB3881"/>
    <w:rsid w:val="00DB3F4B"/>
    <w:rsid w:val="00DB4750"/>
    <w:rsid w:val="00DB5281"/>
    <w:rsid w:val="00DB61A4"/>
    <w:rsid w:val="00DB6692"/>
    <w:rsid w:val="00DB67C1"/>
    <w:rsid w:val="00DB6B88"/>
    <w:rsid w:val="00DB6BF1"/>
    <w:rsid w:val="00DB70CD"/>
    <w:rsid w:val="00DB70F4"/>
    <w:rsid w:val="00DB7343"/>
    <w:rsid w:val="00DB792A"/>
    <w:rsid w:val="00DC06B0"/>
    <w:rsid w:val="00DC1056"/>
    <w:rsid w:val="00DC211E"/>
    <w:rsid w:val="00DC21D8"/>
    <w:rsid w:val="00DC282A"/>
    <w:rsid w:val="00DC2CEE"/>
    <w:rsid w:val="00DC34DC"/>
    <w:rsid w:val="00DC3CB9"/>
    <w:rsid w:val="00DC3CC6"/>
    <w:rsid w:val="00DC514A"/>
    <w:rsid w:val="00DC5475"/>
    <w:rsid w:val="00DC64EC"/>
    <w:rsid w:val="00DC67B1"/>
    <w:rsid w:val="00DC6996"/>
    <w:rsid w:val="00DC7833"/>
    <w:rsid w:val="00DC7CE9"/>
    <w:rsid w:val="00DC7FE1"/>
    <w:rsid w:val="00DD0F91"/>
    <w:rsid w:val="00DD11F8"/>
    <w:rsid w:val="00DD132B"/>
    <w:rsid w:val="00DD1725"/>
    <w:rsid w:val="00DD1A7E"/>
    <w:rsid w:val="00DD2427"/>
    <w:rsid w:val="00DD27A4"/>
    <w:rsid w:val="00DD2A18"/>
    <w:rsid w:val="00DD32DB"/>
    <w:rsid w:val="00DD36DA"/>
    <w:rsid w:val="00DD489E"/>
    <w:rsid w:val="00DD50E3"/>
    <w:rsid w:val="00DD5B1A"/>
    <w:rsid w:val="00DD61E8"/>
    <w:rsid w:val="00DD62C0"/>
    <w:rsid w:val="00DD6BFA"/>
    <w:rsid w:val="00DD7828"/>
    <w:rsid w:val="00DD7859"/>
    <w:rsid w:val="00DD78CD"/>
    <w:rsid w:val="00DE03AC"/>
    <w:rsid w:val="00DE05ED"/>
    <w:rsid w:val="00DE062F"/>
    <w:rsid w:val="00DE0A1D"/>
    <w:rsid w:val="00DE15B2"/>
    <w:rsid w:val="00DE1A9A"/>
    <w:rsid w:val="00DE2CAD"/>
    <w:rsid w:val="00DE3592"/>
    <w:rsid w:val="00DE3D2C"/>
    <w:rsid w:val="00DE439F"/>
    <w:rsid w:val="00DE45A8"/>
    <w:rsid w:val="00DE4E05"/>
    <w:rsid w:val="00DE52D6"/>
    <w:rsid w:val="00DE59F8"/>
    <w:rsid w:val="00DE5E82"/>
    <w:rsid w:val="00DE5FA6"/>
    <w:rsid w:val="00DE61C7"/>
    <w:rsid w:val="00DE6494"/>
    <w:rsid w:val="00DE6AA1"/>
    <w:rsid w:val="00DE74D7"/>
    <w:rsid w:val="00DE7594"/>
    <w:rsid w:val="00DE7EF7"/>
    <w:rsid w:val="00DF0BF3"/>
    <w:rsid w:val="00DF106A"/>
    <w:rsid w:val="00DF1185"/>
    <w:rsid w:val="00DF1299"/>
    <w:rsid w:val="00DF133B"/>
    <w:rsid w:val="00DF16C4"/>
    <w:rsid w:val="00DF1A70"/>
    <w:rsid w:val="00DF2223"/>
    <w:rsid w:val="00DF23A8"/>
    <w:rsid w:val="00DF2640"/>
    <w:rsid w:val="00DF2760"/>
    <w:rsid w:val="00DF2F27"/>
    <w:rsid w:val="00DF66E5"/>
    <w:rsid w:val="00DF66FB"/>
    <w:rsid w:val="00DF6CCC"/>
    <w:rsid w:val="00DF6D0C"/>
    <w:rsid w:val="00DF6DC2"/>
    <w:rsid w:val="00DF6F64"/>
    <w:rsid w:val="00DF721E"/>
    <w:rsid w:val="00DF7C87"/>
    <w:rsid w:val="00E008C3"/>
    <w:rsid w:val="00E009B0"/>
    <w:rsid w:val="00E031C0"/>
    <w:rsid w:val="00E03AFE"/>
    <w:rsid w:val="00E03D5C"/>
    <w:rsid w:val="00E0406E"/>
    <w:rsid w:val="00E0454E"/>
    <w:rsid w:val="00E046A9"/>
    <w:rsid w:val="00E04C0F"/>
    <w:rsid w:val="00E050CD"/>
    <w:rsid w:val="00E0534A"/>
    <w:rsid w:val="00E053C3"/>
    <w:rsid w:val="00E0570B"/>
    <w:rsid w:val="00E057B2"/>
    <w:rsid w:val="00E05996"/>
    <w:rsid w:val="00E06247"/>
    <w:rsid w:val="00E068D9"/>
    <w:rsid w:val="00E075F8"/>
    <w:rsid w:val="00E07779"/>
    <w:rsid w:val="00E07C20"/>
    <w:rsid w:val="00E07C64"/>
    <w:rsid w:val="00E10035"/>
    <w:rsid w:val="00E1014A"/>
    <w:rsid w:val="00E10A2C"/>
    <w:rsid w:val="00E10ACA"/>
    <w:rsid w:val="00E10B87"/>
    <w:rsid w:val="00E10D8A"/>
    <w:rsid w:val="00E10F77"/>
    <w:rsid w:val="00E11D3B"/>
    <w:rsid w:val="00E12DD1"/>
    <w:rsid w:val="00E1331C"/>
    <w:rsid w:val="00E1352B"/>
    <w:rsid w:val="00E135A5"/>
    <w:rsid w:val="00E139BC"/>
    <w:rsid w:val="00E14323"/>
    <w:rsid w:val="00E1478B"/>
    <w:rsid w:val="00E14B8B"/>
    <w:rsid w:val="00E14FAC"/>
    <w:rsid w:val="00E15007"/>
    <w:rsid w:val="00E155D1"/>
    <w:rsid w:val="00E15E30"/>
    <w:rsid w:val="00E16EC7"/>
    <w:rsid w:val="00E1714F"/>
    <w:rsid w:val="00E17995"/>
    <w:rsid w:val="00E17E16"/>
    <w:rsid w:val="00E21078"/>
    <w:rsid w:val="00E211FF"/>
    <w:rsid w:val="00E21576"/>
    <w:rsid w:val="00E21801"/>
    <w:rsid w:val="00E219CE"/>
    <w:rsid w:val="00E21C47"/>
    <w:rsid w:val="00E23961"/>
    <w:rsid w:val="00E24071"/>
    <w:rsid w:val="00E24EBC"/>
    <w:rsid w:val="00E2522C"/>
    <w:rsid w:val="00E2587A"/>
    <w:rsid w:val="00E2599B"/>
    <w:rsid w:val="00E2665E"/>
    <w:rsid w:val="00E27383"/>
    <w:rsid w:val="00E2793D"/>
    <w:rsid w:val="00E307DD"/>
    <w:rsid w:val="00E31694"/>
    <w:rsid w:val="00E31AFA"/>
    <w:rsid w:val="00E31DE4"/>
    <w:rsid w:val="00E324EE"/>
    <w:rsid w:val="00E32D79"/>
    <w:rsid w:val="00E32F05"/>
    <w:rsid w:val="00E33C86"/>
    <w:rsid w:val="00E359FF"/>
    <w:rsid w:val="00E36083"/>
    <w:rsid w:val="00E3641A"/>
    <w:rsid w:val="00E36AA7"/>
    <w:rsid w:val="00E36E39"/>
    <w:rsid w:val="00E37B66"/>
    <w:rsid w:val="00E405F1"/>
    <w:rsid w:val="00E42305"/>
    <w:rsid w:val="00E42F2B"/>
    <w:rsid w:val="00E43054"/>
    <w:rsid w:val="00E4334D"/>
    <w:rsid w:val="00E434C4"/>
    <w:rsid w:val="00E436AE"/>
    <w:rsid w:val="00E44DDE"/>
    <w:rsid w:val="00E44FE4"/>
    <w:rsid w:val="00E45EB8"/>
    <w:rsid w:val="00E46013"/>
    <w:rsid w:val="00E46830"/>
    <w:rsid w:val="00E477C3"/>
    <w:rsid w:val="00E5027F"/>
    <w:rsid w:val="00E5048D"/>
    <w:rsid w:val="00E50AC4"/>
    <w:rsid w:val="00E50C05"/>
    <w:rsid w:val="00E51077"/>
    <w:rsid w:val="00E5132D"/>
    <w:rsid w:val="00E515C4"/>
    <w:rsid w:val="00E51741"/>
    <w:rsid w:val="00E51E16"/>
    <w:rsid w:val="00E52151"/>
    <w:rsid w:val="00E52E87"/>
    <w:rsid w:val="00E53730"/>
    <w:rsid w:val="00E53C46"/>
    <w:rsid w:val="00E53E15"/>
    <w:rsid w:val="00E54096"/>
    <w:rsid w:val="00E54177"/>
    <w:rsid w:val="00E54511"/>
    <w:rsid w:val="00E548BE"/>
    <w:rsid w:val="00E54978"/>
    <w:rsid w:val="00E54BAE"/>
    <w:rsid w:val="00E5568E"/>
    <w:rsid w:val="00E55DC3"/>
    <w:rsid w:val="00E561E3"/>
    <w:rsid w:val="00E57577"/>
    <w:rsid w:val="00E618B3"/>
    <w:rsid w:val="00E61DD0"/>
    <w:rsid w:val="00E62043"/>
    <w:rsid w:val="00E6262A"/>
    <w:rsid w:val="00E626B9"/>
    <w:rsid w:val="00E627C9"/>
    <w:rsid w:val="00E629D8"/>
    <w:rsid w:val="00E630F3"/>
    <w:rsid w:val="00E63657"/>
    <w:rsid w:val="00E65198"/>
    <w:rsid w:val="00E664FB"/>
    <w:rsid w:val="00E66F0D"/>
    <w:rsid w:val="00E673CB"/>
    <w:rsid w:val="00E70615"/>
    <w:rsid w:val="00E71A5E"/>
    <w:rsid w:val="00E7207B"/>
    <w:rsid w:val="00E7347A"/>
    <w:rsid w:val="00E746F4"/>
    <w:rsid w:val="00E75325"/>
    <w:rsid w:val="00E75A47"/>
    <w:rsid w:val="00E75D8C"/>
    <w:rsid w:val="00E77771"/>
    <w:rsid w:val="00E777F2"/>
    <w:rsid w:val="00E779ED"/>
    <w:rsid w:val="00E802C9"/>
    <w:rsid w:val="00E80EDD"/>
    <w:rsid w:val="00E80F0A"/>
    <w:rsid w:val="00E8127B"/>
    <w:rsid w:val="00E81A6A"/>
    <w:rsid w:val="00E8291B"/>
    <w:rsid w:val="00E82C22"/>
    <w:rsid w:val="00E8395F"/>
    <w:rsid w:val="00E83BAE"/>
    <w:rsid w:val="00E8473F"/>
    <w:rsid w:val="00E857EB"/>
    <w:rsid w:val="00E85E41"/>
    <w:rsid w:val="00E85EA1"/>
    <w:rsid w:val="00E8610B"/>
    <w:rsid w:val="00E8676B"/>
    <w:rsid w:val="00E86C86"/>
    <w:rsid w:val="00E86E35"/>
    <w:rsid w:val="00E87C76"/>
    <w:rsid w:val="00E87D0B"/>
    <w:rsid w:val="00E91044"/>
    <w:rsid w:val="00E910D3"/>
    <w:rsid w:val="00E9214B"/>
    <w:rsid w:val="00E923CF"/>
    <w:rsid w:val="00E9335F"/>
    <w:rsid w:val="00E936E9"/>
    <w:rsid w:val="00E95111"/>
    <w:rsid w:val="00E953B2"/>
    <w:rsid w:val="00E95601"/>
    <w:rsid w:val="00E972FC"/>
    <w:rsid w:val="00EA004F"/>
    <w:rsid w:val="00EA061E"/>
    <w:rsid w:val="00EA14C8"/>
    <w:rsid w:val="00EA19D3"/>
    <w:rsid w:val="00EA1F50"/>
    <w:rsid w:val="00EA2358"/>
    <w:rsid w:val="00EA261A"/>
    <w:rsid w:val="00EA2C8B"/>
    <w:rsid w:val="00EA3087"/>
    <w:rsid w:val="00EA3582"/>
    <w:rsid w:val="00EA4C01"/>
    <w:rsid w:val="00EA642C"/>
    <w:rsid w:val="00EA6649"/>
    <w:rsid w:val="00EA7ADE"/>
    <w:rsid w:val="00EA7B2B"/>
    <w:rsid w:val="00EA7D78"/>
    <w:rsid w:val="00EA7D8E"/>
    <w:rsid w:val="00EB05D0"/>
    <w:rsid w:val="00EB07C5"/>
    <w:rsid w:val="00EB107E"/>
    <w:rsid w:val="00EB163F"/>
    <w:rsid w:val="00EB1D49"/>
    <w:rsid w:val="00EB337E"/>
    <w:rsid w:val="00EB3AF1"/>
    <w:rsid w:val="00EB42DD"/>
    <w:rsid w:val="00EB45D0"/>
    <w:rsid w:val="00EB5430"/>
    <w:rsid w:val="00EB5467"/>
    <w:rsid w:val="00EB559F"/>
    <w:rsid w:val="00EB5C73"/>
    <w:rsid w:val="00EB5F3D"/>
    <w:rsid w:val="00EB60D9"/>
    <w:rsid w:val="00EB6A76"/>
    <w:rsid w:val="00EB6EC2"/>
    <w:rsid w:val="00EC03F3"/>
    <w:rsid w:val="00EC0AAC"/>
    <w:rsid w:val="00EC13FA"/>
    <w:rsid w:val="00EC1CEB"/>
    <w:rsid w:val="00EC2036"/>
    <w:rsid w:val="00EC268C"/>
    <w:rsid w:val="00EC342B"/>
    <w:rsid w:val="00EC3602"/>
    <w:rsid w:val="00EC3753"/>
    <w:rsid w:val="00EC3CB8"/>
    <w:rsid w:val="00EC3D46"/>
    <w:rsid w:val="00EC40A3"/>
    <w:rsid w:val="00EC4A6A"/>
    <w:rsid w:val="00EC4E71"/>
    <w:rsid w:val="00EC546C"/>
    <w:rsid w:val="00EC5659"/>
    <w:rsid w:val="00EC569A"/>
    <w:rsid w:val="00EC5CC4"/>
    <w:rsid w:val="00EC5DDA"/>
    <w:rsid w:val="00EC6667"/>
    <w:rsid w:val="00EC7342"/>
    <w:rsid w:val="00ED0365"/>
    <w:rsid w:val="00ED053F"/>
    <w:rsid w:val="00ED0865"/>
    <w:rsid w:val="00ED094F"/>
    <w:rsid w:val="00ED16B6"/>
    <w:rsid w:val="00ED1738"/>
    <w:rsid w:val="00ED1A2B"/>
    <w:rsid w:val="00ED1AF3"/>
    <w:rsid w:val="00ED1C60"/>
    <w:rsid w:val="00ED1CFA"/>
    <w:rsid w:val="00ED2C74"/>
    <w:rsid w:val="00ED2CDF"/>
    <w:rsid w:val="00ED2EB9"/>
    <w:rsid w:val="00ED366D"/>
    <w:rsid w:val="00ED4469"/>
    <w:rsid w:val="00ED4B43"/>
    <w:rsid w:val="00ED5CB8"/>
    <w:rsid w:val="00ED5F23"/>
    <w:rsid w:val="00ED6DC0"/>
    <w:rsid w:val="00ED750A"/>
    <w:rsid w:val="00ED79CE"/>
    <w:rsid w:val="00ED7A7A"/>
    <w:rsid w:val="00EE038C"/>
    <w:rsid w:val="00EE040B"/>
    <w:rsid w:val="00EE0666"/>
    <w:rsid w:val="00EE0AA4"/>
    <w:rsid w:val="00EE2D98"/>
    <w:rsid w:val="00EE390B"/>
    <w:rsid w:val="00EE47C5"/>
    <w:rsid w:val="00EE490C"/>
    <w:rsid w:val="00EE4E02"/>
    <w:rsid w:val="00EE5156"/>
    <w:rsid w:val="00EE555C"/>
    <w:rsid w:val="00EE613B"/>
    <w:rsid w:val="00EE6CE9"/>
    <w:rsid w:val="00EE732E"/>
    <w:rsid w:val="00EE7626"/>
    <w:rsid w:val="00EE7E17"/>
    <w:rsid w:val="00EF0385"/>
    <w:rsid w:val="00EF225A"/>
    <w:rsid w:val="00EF27B0"/>
    <w:rsid w:val="00EF2C8E"/>
    <w:rsid w:val="00EF3A0D"/>
    <w:rsid w:val="00EF3CEB"/>
    <w:rsid w:val="00EF3E8A"/>
    <w:rsid w:val="00EF41A8"/>
    <w:rsid w:val="00EF44FB"/>
    <w:rsid w:val="00EF45C7"/>
    <w:rsid w:val="00EF4D3C"/>
    <w:rsid w:val="00EF5554"/>
    <w:rsid w:val="00EF5AD8"/>
    <w:rsid w:val="00EF5D2F"/>
    <w:rsid w:val="00EF63F5"/>
    <w:rsid w:val="00EF6598"/>
    <w:rsid w:val="00EF6758"/>
    <w:rsid w:val="00EF698C"/>
    <w:rsid w:val="00EF6B90"/>
    <w:rsid w:val="00EF70AE"/>
    <w:rsid w:val="00EF76FF"/>
    <w:rsid w:val="00EF79F7"/>
    <w:rsid w:val="00EF7AAE"/>
    <w:rsid w:val="00F00418"/>
    <w:rsid w:val="00F006C0"/>
    <w:rsid w:val="00F01045"/>
    <w:rsid w:val="00F011A7"/>
    <w:rsid w:val="00F019AA"/>
    <w:rsid w:val="00F019D7"/>
    <w:rsid w:val="00F0267E"/>
    <w:rsid w:val="00F02686"/>
    <w:rsid w:val="00F028DF"/>
    <w:rsid w:val="00F02DFE"/>
    <w:rsid w:val="00F03B3D"/>
    <w:rsid w:val="00F0459B"/>
    <w:rsid w:val="00F0494A"/>
    <w:rsid w:val="00F04E15"/>
    <w:rsid w:val="00F05297"/>
    <w:rsid w:val="00F05977"/>
    <w:rsid w:val="00F05ACB"/>
    <w:rsid w:val="00F05DF3"/>
    <w:rsid w:val="00F05F56"/>
    <w:rsid w:val="00F0641B"/>
    <w:rsid w:val="00F069EA"/>
    <w:rsid w:val="00F074A1"/>
    <w:rsid w:val="00F076DD"/>
    <w:rsid w:val="00F0789A"/>
    <w:rsid w:val="00F07B6E"/>
    <w:rsid w:val="00F07DF8"/>
    <w:rsid w:val="00F07E55"/>
    <w:rsid w:val="00F10AEE"/>
    <w:rsid w:val="00F11461"/>
    <w:rsid w:val="00F11675"/>
    <w:rsid w:val="00F1182D"/>
    <w:rsid w:val="00F11FAE"/>
    <w:rsid w:val="00F12238"/>
    <w:rsid w:val="00F12557"/>
    <w:rsid w:val="00F13A8F"/>
    <w:rsid w:val="00F13C86"/>
    <w:rsid w:val="00F1448E"/>
    <w:rsid w:val="00F144F8"/>
    <w:rsid w:val="00F14CCE"/>
    <w:rsid w:val="00F14DF8"/>
    <w:rsid w:val="00F14F68"/>
    <w:rsid w:val="00F154E4"/>
    <w:rsid w:val="00F164A3"/>
    <w:rsid w:val="00F17281"/>
    <w:rsid w:val="00F17AD9"/>
    <w:rsid w:val="00F17F74"/>
    <w:rsid w:val="00F202C2"/>
    <w:rsid w:val="00F22756"/>
    <w:rsid w:val="00F22E9F"/>
    <w:rsid w:val="00F23890"/>
    <w:rsid w:val="00F24241"/>
    <w:rsid w:val="00F2447A"/>
    <w:rsid w:val="00F24638"/>
    <w:rsid w:val="00F2504D"/>
    <w:rsid w:val="00F2637F"/>
    <w:rsid w:val="00F263A8"/>
    <w:rsid w:val="00F268F7"/>
    <w:rsid w:val="00F26BFB"/>
    <w:rsid w:val="00F27280"/>
    <w:rsid w:val="00F27655"/>
    <w:rsid w:val="00F27957"/>
    <w:rsid w:val="00F3053D"/>
    <w:rsid w:val="00F30BDB"/>
    <w:rsid w:val="00F30CF8"/>
    <w:rsid w:val="00F317E3"/>
    <w:rsid w:val="00F31EDF"/>
    <w:rsid w:val="00F32B36"/>
    <w:rsid w:val="00F32CDE"/>
    <w:rsid w:val="00F32D4C"/>
    <w:rsid w:val="00F32FF4"/>
    <w:rsid w:val="00F33BE7"/>
    <w:rsid w:val="00F34811"/>
    <w:rsid w:val="00F34B14"/>
    <w:rsid w:val="00F36A2A"/>
    <w:rsid w:val="00F36A6A"/>
    <w:rsid w:val="00F40101"/>
    <w:rsid w:val="00F4034A"/>
    <w:rsid w:val="00F404F7"/>
    <w:rsid w:val="00F407C4"/>
    <w:rsid w:val="00F40CCA"/>
    <w:rsid w:val="00F41521"/>
    <w:rsid w:val="00F41975"/>
    <w:rsid w:val="00F41C0E"/>
    <w:rsid w:val="00F42D77"/>
    <w:rsid w:val="00F42D97"/>
    <w:rsid w:val="00F433CE"/>
    <w:rsid w:val="00F43F09"/>
    <w:rsid w:val="00F44021"/>
    <w:rsid w:val="00F44555"/>
    <w:rsid w:val="00F45A72"/>
    <w:rsid w:val="00F46723"/>
    <w:rsid w:val="00F468F0"/>
    <w:rsid w:val="00F50016"/>
    <w:rsid w:val="00F50647"/>
    <w:rsid w:val="00F51159"/>
    <w:rsid w:val="00F5118A"/>
    <w:rsid w:val="00F51A21"/>
    <w:rsid w:val="00F5276E"/>
    <w:rsid w:val="00F529F9"/>
    <w:rsid w:val="00F52E9F"/>
    <w:rsid w:val="00F53265"/>
    <w:rsid w:val="00F53304"/>
    <w:rsid w:val="00F53D40"/>
    <w:rsid w:val="00F545ED"/>
    <w:rsid w:val="00F5687F"/>
    <w:rsid w:val="00F56E1A"/>
    <w:rsid w:val="00F575C7"/>
    <w:rsid w:val="00F60305"/>
    <w:rsid w:val="00F60309"/>
    <w:rsid w:val="00F61B12"/>
    <w:rsid w:val="00F61CC5"/>
    <w:rsid w:val="00F62398"/>
    <w:rsid w:val="00F631E8"/>
    <w:rsid w:val="00F63223"/>
    <w:rsid w:val="00F63264"/>
    <w:rsid w:val="00F6379E"/>
    <w:rsid w:val="00F63BF7"/>
    <w:rsid w:val="00F64142"/>
    <w:rsid w:val="00F655AC"/>
    <w:rsid w:val="00F657E9"/>
    <w:rsid w:val="00F67CC0"/>
    <w:rsid w:val="00F67F9A"/>
    <w:rsid w:val="00F70799"/>
    <w:rsid w:val="00F70906"/>
    <w:rsid w:val="00F70A8B"/>
    <w:rsid w:val="00F712BD"/>
    <w:rsid w:val="00F724FB"/>
    <w:rsid w:val="00F72578"/>
    <w:rsid w:val="00F72A26"/>
    <w:rsid w:val="00F72BA3"/>
    <w:rsid w:val="00F72CB9"/>
    <w:rsid w:val="00F733C3"/>
    <w:rsid w:val="00F74A2D"/>
    <w:rsid w:val="00F750FD"/>
    <w:rsid w:val="00F756DD"/>
    <w:rsid w:val="00F75DB3"/>
    <w:rsid w:val="00F762FD"/>
    <w:rsid w:val="00F7763A"/>
    <w:rsid w:val="00F80047"/>
    <w:rsid w:val="00F801D9"/>
    <w:rsid w:val="00F8104D"/>
    <w:rsid w:val="00F81587"/>
    <w:rsid w:val="00F82070"/>
    <w:rsid w:val="00F82571"/>
    <w:rsid w:val="00F8325D"/>
    <w:rsid w:val="00F852A0"/>
    <w:rsid w:val="00F8537B"/>
    <w:rsid w:val="00F85B72"/>
    <w:rsid w:val="00F865C8"/>
    <w:rsid w:val="00F86B6D"/>
    <w:rsid w:val="00F871F1"/>
    <w:rsid w:val="00F8766F"/>
    <w:rsid w:val="00F877D7"/>
    <w:rsid w:val="00F90A76"/>
    <w:rsid w:val="00F9104C"/>
    <w:rsid w:val="00F91082"/>
    <w:rsid w:val="00F91A9A"/>
    <w:rsid w:val="00F91C9F"/>
    <w:rsid w:val="00F9262E"/>
    <w:rsid w:val="00F92DE4"/>
    <w:rsid w:val="00F93ABB"/>
    <w:rsid w:val="00F94D79"/>
    <w:rsid w:val="00F94E4E"/>
    <w:rsid w:val="00F96E2E"/>
    <w:rsid w:val="00F9727B"/>
    <w:rsid w:val="00F97394"/>
    <w:rsid w:val="00F97E79"/>
    <w:rsid w:val="00F97E7E"/>
    <w:rsid w:val="00FA118A"/>
    <w:rsid w:val="00FA154C"/>
    <w:rsid w:val="00FA280F"/>
    <w:rsid w:val="00FA31C7"/>
    <w:rsid w:val="00FA472D"/>
    <w:rsid w:val="00FA47FB"/>
    <w:rsid w:val="00FA7254"/>
    <w:rsid w:val="00FB0214"/>
    <w:rsid w:val="00FB0503"/>
    <w:rsid w:val="00FB080C"/>
    <w:rsid w:val="00FB0BCC"/>
    <w:rsid w:val="00FB1150"/>
    <w:rsid w:val="00FB12BC"/>
    <w:rsid w:val="00FB18F6"/>
    <w:rsid w:val="00FB2A52"/>
    <w:rsid w:val="00FB2F13"/>
    <w:rsid w:val="00FB3291"/>
    <w:rsid w:val="00FB4CFC"/>
    <w:rsid w:val="00FB5A71"/>
    <w:rsid w:val="00FB5E51"/>
    <w:rsid w:val="00FB67EB"/>
    <w:rsid w:val="00FB6E19"/>
    <w:rsid w:val="00FB6E37"/>
    <w:rsid w:val="00FB71F6"/>
    <w:rsid w:val="00FC06FA"/>
    <w:rsid w:val="00FC10A0"/>
    <w:rsid w:val="00FC1483"/>
    <w:rsid w:val="00FC1C47"/>
    <w:rsid w:val="00FC1C64"/>
    <w:rsid w:val="00FC284C"/>
    <w:rsid w:val="00FC3408"/>
    <w:rsid w:val="00FC39ED"/>
    <w:rsid w:val="00FC42C2"/>
    <w:rsid w:val="00FC4419"/>
    <w:rsid w:val="00FC47E2"/>
    <w:rsid w:val="00FC4AA5"/>
    <w:rsid w:val="00FC4D15"/>
    <w:rsid w:val="00FC5148"/>
    <w:rsid w:val="00FC5528"/>
    <w:rsid w:val="00FC569C"/>
    <w:rsid w:val="00FC5AF3"/>
    <w:rsid w:val="00FC5B65"/>
    <w:rsid w:val="00FC6712"/>
    <w:rsid w:val="00FC6DF9"/>
    <w:rsid w:val="00FC736D"/>
    <w:rsid w:val="00FC75AC"/>
    <w:rsid w:val="00FD01BF"/>
    <w:rsid w:val="00FD0525"/>
    <w:rsid w:val="00FD0942"/>
    <w:rsid w:val="00FD0BC4"/>
    <w:rsid w:val="00FD171D"/>
    <w:rsid w:val="00FD1D27"/>
    <w:rsid w:val="00FD24BB"/>
    <w:rsid w:val="00FD297D"/>
    <w:rsid w:val="00FD298C"/>
    <w:rsid w:val="00FD2D13"/>
    <w:rsid w:val="00FD3D26"/>
    <w:rsid w:val="00FD3D33"/>
    <w:rsid w:val="00FD4789"/>
    <w:rsid w:val="00FD523F"/>
    <w:rsid w:val="00FD59FE"/>
    <w:rsid w:val="00FD5C29"/>
    <w:rsid w:val="00FD5EE5"/>
    <w:rsid w:val="00FD6071"/>
    <w:rsid w:val="00FD729B"/>
    <w:rsid w:val="00FE069D"/>
    <w:rsid w:val="00FE0794"/>
    <w:rsid w:val="00FE0CEC"/>
    <w:rsid w:val="00FE0D20"/>
    <w:rsid w:val="00FE1041"/>
    <w:rsid w:val="00FE1912"/>
    <w:rsid w:val="00FE24CB"/>
    <w:rsid w:val="00FE3166"/>
    <w:rsid w:val="00FE31AA"/>
    <w:rsid w:val="00FE3320"/>
    <w:rsid w:val="00FE3473"/>
    <w:rsid w:val="00FE353B"/>
    <w:rsid w:val="00FE3E81"/>
    <w:rsid w:val="00FE4049"/>
    <w:rsid w:val="00FE4794"/>
    <w:rsid w:val="00FE51FF"/>
    <w:rsid w:val="00FE5975"/>
    <w:rsid w:val="00FE5CDC"/>
    <w:rsid w:val="00FE5DF7"/>
    <w:rsid w:val="00FE5F72"/>
    <w:rsid w:val="00FE662C"/>
    <w:rsid w:val="00FF0111"/>
    <w:rsid w:val="00FF0231"/>
    <w:rsid w:val="00FF1C9B"/>
    <w:rsid w:val="00FF1D49"/>
    <w:rsid w:val="00FF2111"/>
    <w:rsid w:val="00FF2562"/>
    <w:rsid w:val="00FF2CE1"/>
    <w:rsid w:val="00FF3A41"/>
    <w:rsid w:val="00FF3E5B"/>
    <w:rsid w:val="00FF544F"/>
    <w:rsid w:val="00FF57E4"/>
    <w:rsid w:val="00FF75D9"/>
    <w:rsid w:val="00FF78E5"/>
    <w:rsid w:val="01147F82"/>
    <w:rsid w:val="01663C43"/>
    <w:rsid w:val="024153C0"/>
    <w:rsid w:val="024C44DD"/>
    <w:rsid w:val="02511F9D"/>
    <w:rsid w:val="028716FF"/>
    <w:rsid w:val="02905213"/>
    <w:rsid w:val="029F7154"/>
    <w:rsid w:val="03056ED3"/>
    <w:rsid w:val="033A2D89"/>
    <w:rsid w:val="03A314B8"/>
    <w:rsid w:val="03D744AF"/>
    <w:rsid w:val="03D82B98"/>
    <w:rsid w:val="03F83E8B"/>
    <w:rsid w:val="045F1F9A"/>
    <w:rsid w:val="04736C5E"/>
    <w:rsid w:val="04B96D4E"/>
    <w:rsid w:val="06017D8C"/>
    <w:rsid w:val="06BB74F8"/>
    <w:rsid w:val="07124B13"/>
    <w:rsid w:val="07B72767"/>
    <w:rsid w:val="07EF0236"/>
    <w:rsid w:val="08077E72"/>
    <w:rsid w:val="08332819"/>
    <w:rsid w:val="083E102C"/>
    <w:rsid w:val="08445D2D"/>
    <w:rsid w:val="08B20896"/>
    <w:rsid w:val="08C2549A"/>
    <w:rsid w:val="08E8672E"/>
    <w:rsid w:val="091A22A0"/>
    <w:rsid w:val="09270E73"/>
    <w:rsid w:val="093E76C7"/>
    <w:rsid w:val="09982F49"/>
    <w:rsid w:val="09CC2AAC"/>
    <w:rsid w:val="09D820EE"/>
    <w:rsid w:val="0A5E6AFD"/>
    <w:rsid w:val="0A652D3E"/>
    <w:rsid w:val="0A700171"/>
    <w:rsid w:val="0ABC6864"/>
    <w:rsid w:val="0AF01BA3"/>
    <w:rsid w:val="0B253A7F"/>
    <w:rsid w:val="0B27108D"/>
    <w:rsid w:val="0B3A48F0"/>
    <w:rsid w:val="0B993D90"/>
    <w:rsid w:val="0C5E519C"/>
    <w:rsid w:val="0C92213C"/>
    <w:rsid w:val="0D4F221D"/>
    <w:rsid w:val="0D6D3BB0"/>
    <w:rsid w:val="0D84032B"/>
    <w:rsid w:val="0D897EC9"/>
    <w:rsid w:val="0DE87E75"/>
    <w:rsid w:val="0E946C2E"/>
    <w:rsid w:val="0ED317E0"/>
    <w:rsid w:val="0ED600BF"/>
    <w:rsid w:val="0EFF07A0"/>
    <w:rsid w:val="0F0A0484"/>
    <w:rsid w:val="0F390BE1"/>
    <w:rsid w:val="0FBD0C1A"/>
    <w:rsid w:val="0FCF7F30"/>
    <w:rsid w:val="10501884"/>
    <w:rsid w:val="10611652"/>
    <w:rsid w:val="10A27F31"/>
    <w:rsid w:val="10C428F5"/>
    <w:rsid w:val="10CA487C"/>
    <w:rsid w:val="115C0366"/>
    <w:rsid w:val="11927058"/>
    <w:rsid w:val="12534C63"/>
    <w:rsid w:val="126537F7"/>
    <w:rsid w:val="1294601D"/>
    <w:rsid w:val="13267322"/>
    <w:rsid w:val="135B507B"/>
    <w:rsid w:val="13AF4F03"/>
    <w:rsid w:val="144D23CD"/>
    <w:rsid w:val="14592458"/>
    <w:rsid w:val="14736E66"/>
    <w:rsid w:val="149B6AC2"/>
    <w:rsid w:val="1501011E"/>
    <w:rsid w:val="15293653"/>
    <w:rsid w:val="15317FA1"/>
    <w:rsid w:val="1534169A"/>
    <w:rsid w:val="158907FF"/>
    <w:rsid w:val="15C03E03"/>
    <w:rsid w:val="15CB3A93"/>
    <w:rsid w:val="15F20C1E"/>
    <w:rsid w:val="16053838"/>
    <w:rsid w:val="162A25EB"/>
    <w:rsid w:val="1636448C"/>
    <w:rsid w:val="163D5ED5"/>
    <w:rsid w:val="16793AC3"/>
    <w:rsid w:val="16C95806"/>
    <w:rsid w:val="16FD2A55"/>
    <w:rsid w:val="17366761"/>
    <w:rsid w:val="177C01F0"/>
    <w:rsid w:val="178057B9"/>
    <w:rsid w:val="17CE6630"/>
    <w:rsid w:val="188B3FAB"/>
    <w:rsid w:val="188C5840"/>
    <w:rsid w:val="18BA663E"/>
    <w:rsid w:val="18EB3B07"/>
    <w:rsid w:val="19071F47"/>
    <w:rsid w:val="19820BA0"/>
    <w:rsid w:val="198B02A1"/>
    <w:rsid w:val="19D22FFA"/>
    <w:rsid w:val="1A0160EF"/>
    <w:rsid w:val="1A322270"/>
    <w:rsid w:val="1A637614"/>
    <w:rsid w:val="1A6E23ED"/>
    <w:rsid w:val="1AFA16D5"/>
    <w:rsid w:val="1B4F19F8"/>
    <w:rsid w:val="1B5E15C2"/>
    <w:rsid w:val="1B8E65EB"/>
    <w:rsid w:val="1BD92184"/>
    <w:rsid w:val="1BEB7604"/>
    <w:rsid w:val="1BED6D5A"/>
    <w:rsid w:val="1C435B1C"/>
    <w:rsid w:val="1C5170A2"/>
    <w:rsid w:val="1CB50437"/>
    <w:rsid w:val="1D4061A8"/>
    <w:rsid w:val="1D4C74F8"/>
    <w:rsid w:val="1D4D0670"/>
    <w:rsid w:val="1D734BDA"/>
    <w:rsid w:val="1E540E82"/>
    <w:rsid w:val="1E9B4F4B"/>
    <w:rsid w:val="1EC24323"/>
    <w:rsid w:val="1F063325"/>
    <w:rsid w:val="1F6546B2"/>
    <w:rsid w:val="1F9E4EB1"/>
    <w:rsid w:val="1FBC5DF5"/>
    <w:rsid w:val="1FC55574"/>
    <w:rsid w:val="1FE75F46"/>
    <w:rsid w:val="1FFA250D"/>
    <w:rsid w:val="2035537D"/>
    <w:rsid w:val="20872872"/>
    <w:rsid w:val="20C90675"/>
    <w:rsid w:val="212D5480"/>
    <w:rsid w:val="21B83F86"/>
    <w:rsid w:val="21E55E66"/>
    <w:rsid w:val="221178A8"/>
    <w:rsid w:val="221213CF"/>
    <w:rsid w:val="22327A92"/>
    <w:rsid w:val="22965435"/>
    <w:rsid w:val="22A31D03"/>
    <w:rsid w:val="22BD6F35"/>
    <w:rsid w:val="230B41CC"/>
    <w:rsid w:val="231D53A2"/>
    <w:rsid w:val="23775858"/>
    <w:rsid w:val="23B7504C"/>
    <w:rsid w:val="24294209"/>
    <w:rsid w:val="24571307"/>
    <w:rsid w:val="24BA2984"/>
    <w:rsid w:val="24ED38F7"/>
    <w:rsid w:val="25246333"/>
    <w:rsid w:val="252C1D07"/>
    <w:rsid w:val="25326543"/>
    <w:rsid w:val="26195FDF"/>
    <w:rsid w:val="262E2065"/>
    <w:rsid w:val="26446DE3"/>
    <w:rsid w:val="264D165B"/>
    <w:rsid w:val="269252D8"/>
    <w:rsid w:val="26D7699F"/>
    <w:rsid w:val="26E563AD"/>
    <w:rsid w:val="270B530F"/>
    <w:rsid w:val="274A5E17"/>
    <w:rsid w:val="28450148"/>
    <w:rsid w:val="284D4FC9"/>
    <w:rsid w:val="2857539A"/>
    <w:rsid w:val="285F643D"/>
    <w:rsid w:val="28832D32"/>
    <w:rsid w:val="28A15980"/>
    <w:rsid w:val="28BF7ADC"/>
    <w:rsid w:val="292A324A"/>
    <w:rsid w:val="29970C8B"/>
    <w:rsid w:val="2A635B27"/>
    <w:rsid w:val="2AA42CAA"/>
    <w:rsid w:val="2ACC6B14"/>
    <w:rsid w:val="2AD86F38"/>
    <w:rsid w:val="2B09065E"/>
    <w:rsid w:val="2B32046F"/>
    <w:rsid w:val="2B4A7790"/>
    <w:rsid w:val="2B774624"/>
    <w:rsid w:val="2BC068DD"/>
    <w:rsid w:val="2C0E47C8"/>
    <w:rsid w:val="2C2A0B5D"/>
    <w:rsid w:val="2C545940"/>
    <w:rsid w:val="2C7A72BE"/>
    <w:rsid w:val="2CAB0320"/>
    <w:rsid w:val="2CD73E3A"/>
    <w:rsid w:val="2CDD18FA"/>
    <w:rsid w:val="2D697359"/>
    <w:rsid w:val="2D80355B"/>
    <w:rsid w:val="2D845CE8"/>
    <w:rsid w:val="2E631D6B"/>
    <w:rsid w:val="2E947713"/>
    <w:rsid w:val="2EAF7A9D"/>
    <w:rsid w:val="2EE572FA"/>
    <w:rsid w:val="2EE64331"/>
    <w:rsid w:val="2F401D3C"/>
    <w:rsid w:val="2FA95C88"/>
    <w:rsid w:val="2FC56437"/>
    <w:rsid w:val="3003750A"/>
    <w:rsid w:val="3041370F"/>
    <w:rsid w:val="30751371"/>
    <w:rsid w:val="30E54627"/>
    <w:rsid w:val="31006FE0"/>
    <w:rsid w:val="31083A05"/>
    <w:rsid w:val="31696965"/>
    <w:rsid w:val="31E7670F"/>
    <w:rsid w:val="32453A27"/>
    <w:rsid w:val="3263064A"/>
    <w:rsid w:val="32AC0C06"/>
    <w:rsid w:val="32EA7C14"/>
    <w:rsid w:val="33653796"/>
    <w:rsid w:val="33673F3A"/>
    <w:rsid w:val="33997124"/>
    <w:rsid w:val="33A269E5"/>
    <w:rsid w:val="33AE3D61"/>
    <w:rsid w:val="341C52A3"/>
    <w:rsid w:val="341E1D1F"/>
    <w:rsid w:val="3499503C"/>
    <w:rsid w:val="34A14965"/>
    <w:rsid w:val="35237B60"/>
    <w:rsid w:val="3537750C"/>
    <w:rsid w:val="3537798C"/>
    <w:rsid w:val="356F2E75"/>
    <w:rsid w:val="357F7ED5"/>
    <w:rsid w:val="35C13FC9"/>
    <w:rsid w:val="362E6D87"/>
    <w:rsid w:val="364257B6"/>
    <w:rsid w:val="36704FA0"/>
    <w:rsid w:val="367C1C19"/>
    <w:rsid w:val="36F16332"/>
    <w:rsid w:val="36F834D1"/>
    <w:rsid w:val="370278E8"/>
    <w:rsid w:val="37114E2D"/>
    <w:rsid w:val="374264D3"/>
    <w:rsid w:val="376E647C"/>
    <w:rsid w:val="37A2313F"/>
    <w:rsid w:val="37DB7874"/>
    <w:rsid w:val="37EA5922"/>
    <w:rsid w:val="38276B93"/>
    <w:rsid w:val="38A66EF0"/>
    <w:rsid w:val="38EF6087"/>
    <w:rsid w:val="398C6B1A"/>
    <w:rsid w:val="39AB7BB1"/>
    <w:rsid w:val="3A0B64A7"/>
    <w:rsid w:val="3A2B695F"/>
    <w:rsid w:val="3A417382"/>
    <w:rsid w:val="3AEE3775"/>
    <w:rsid w:val="3AF74C02"/>
    <w:rsid w:val="3B6D3030"/>
    <w:rsid w:val="3BBE3294"/>
    <w:rsid w:val="3BF41857"/>
    <w:rsid w:val="3C0059A5"/>
    <w:rsid w:val="3C134E78"/>
    <w:rsid w:val="3DF4502D"/>
    <w:rsid w:val="3DF6345D"/>
    <w:rsid w:val="3E4F65FC"/>
    <w:rsid w:val="3EC357A9"/>
    <w:rsid w:val="3EE13701"/>
    <w:rsid w:val="3F1A4BB3"/>
    <w:rsid w:val="3F7400F5"/>
    <w:rsid w:val="3F832FFD"/>
    <w:rsid w:val="3F9A4B7F"/>
    <w:rsid w:val="3FBD419A"/>
    <w:rsid w:val="40192BA6"/>
    <w:rsid w:val="40CA71E8"/>
    <w:rsid w:val="40F356DF"/>
    <w:rsid w:val="4105229D"/>
    <w:rsid w:val="410951EF"/>
    <w:rsid w:val="4167661C"/>
    <w:rsid w:val="41CD173C"/>
    <w:rsid w:val="42550A18"/>
    <w:rsid w:val="42797FD7"/>
    <w:rsid w:val="42F473A1"/>
    <w:rsid w:val="431A4E7F"/>
    <w:rsid w:val="43A37CD1"/>
    <w:rsid w:val="43AF44D7"/>
    <w:rsid w:val="43B6787E"/>
    <w:rsid w:val="441E62C0"/>
    <w:rsid w:val="44274ACD"/>
    <w:rsid w:val="4477237A"/>
    <w:rsid w:val="451D153C"/>
    <w:rsid w:val="45266E88"/>
    <w:rsid w:val="457B387A"/>
    <w:rsid w:val="45811C7C"/>
    <w:rsid w:val="45CD4785"/>
    <w:rsid w:val="46053138"/>
    <w:rsid w:val="468B3EFB"/>
    <w:rsid w:val="46D17856"/>
    <w:rsid w:val="46D83730"/>
    <w:rsid w:val="46F74436"/>
    <w:rsid w:val="470A6193"/>
    <w:rsid w:val="4760533F"/>
    <w:rsid w:val="47A4657E"/>
    <w:rsid w:val="47DC4F5C"/>
    <w:rsid w:val="48927A27"/>
    <w:rsid w:val="48B40671"/>
    <w:rsid w:val="48B87EA7"/>
    <w:rsid w:val="48D25DC7"/>
    <w:rsid w:val="48FE0755"/>
    <w:rsid w:val="498273BD"/>
    <w:rsid w:val="499B5738"/>
    <w:rsid w:val="499F244D"/>
    <w:rsid w:val="4A01445E"/>
    <w:rsid w:val="4A6511C2"/>
    <w:rsid w:val="4A71427F"/>
    <w:rsid w:val="4A8F58C2"/>
    <w:rsid w:val="4AA000C9"/>
    <w:rsid w:val="4AB97C54"/>
    <w:rsid w:val="4AE253A3"/>
    <w:rsid w:val="4AF96BC7"/>
    <w:rsid w:val="4B774920"/>
    <w:rsid w:val="4BFB4050"/>
    <w:rsid w:val="4C162EAE"/>
    <w:rsid w:val="4C8A419C"/>
    <w:rsid w:val="4C8C1658"/>
    <w:rsid w:val="4CBD006F"/>
    <w:rsid w:val="4CC44FA6"/>
    <w:rsid w:val="4CEF36E2"/>
    <w:rsid w:val="4D3B1120"/>
    <w:rsid w:val="4D8A4609"/>
    <w:rsid w:val="4D9E5604"/>
    <w:rsid w:val="4EA363E5"/>
    <w:rsid w:val="4F372FFB"/>
    <w:rsid w:val="4F690042"/>
    <w:rsid w:val="4FA76FA4"/>
    <w:rsid w:val="4FA843DD"/>
    <w:rsid w:val="503A547F"/>
    <w:rsid w:val="513F391C"/>
    <w:rsid w:val="51564E44"/>
    <w:rsid w:val="51E074D6"/>
    <w:rsid w:val="51E611C2"/>
    <w:rsid w:val="51F36455"/>
    <w:rsid w:val="525C7C69"/>
    <w:rsid w:val="526479F4"/>
    <w:rsid w:val="52C10D75"/>
    <w:rsid w:val="52D558BD"/>
    <w:rsid w:val="537C1F57"/>
    <w:rsid w:val="54AA0D3A"/>
    <w:rsid w:val="550C4BD7"/>
    <w:rsid w:val="55286102"/>
    <w:rsid w:val="552A14E7"/>
    <w:rsid w:val="55572986"/>
    <w:rsid w:val="56537644"/>
    <w:rsid w:val="56F2777F"/>
    <w:rsid w:val="578A4FAD"/>
    <w:rsid w:val="578F4217"/>
    <w:rsid w:val="57AA47D6"/>
    <w:rsid w:val="58505C1C"/>
    <w:rsid w:val="586456A3"/>
    <w:rsid w:val="59775C5A"/>
    <w:rsid w:val="5A922724"/>
    <w:rsid w:val="5A957D93"/>
    <w:rsid w:val="5B3760D9"/>
    <w:rsid w:val="5BBD0424"/>
    <w:rsid w:val="5C592816"/>
    <w:rsid w:val="5C86208C"/>
    <w:rsid w:val="5C922AF6"/>
    <w:rsid w:val="5C990788"/>
    <w:rsid w:val="5D2317D1"/>
    <w:rsid w:val="5DAB24F6"/>
    <w:rsid w:val="5DC47027"/>
    <w:rsid w:val="5DCD5607"/>
    <w:rsid w:val="5E205A4D"/>
    <w:rsid w:val="5E686F4D"/>
    <w:rsid w:val="5EBF464F"/>
    <w:rsid w:val="5F19665E"/>
    <w:rsid w:val="5F1C4797"/>
    <w:rsid w:val="5F2B63A4"/>
    <w:rsid w:val="5F563DCF"/>
    <w:rsid w:val="5F5A5982"/>
    <w:rsid w:val="5F73366C"/>
    <w:rsid w:val="5F80710D"/>
    <w:rsid w:val="5F841FEB"/>
    <w:rsid w:val="601775ED"/>
    <w:rsid w:val="601F7BB0"/>
    <w:rsid w:val="606007BB"/>
    <w:rsid w:val="60AC7F66"/>
    <w:rsid w:val="60BB74DA"/>
    <w:rsid w:val="61164C5A"/>
    <w:rsid w:val="614607A4"/>
    <w:rsid w:val="61724F50"/>
    <w:rsid w:val="618835DC"/>
    <w:rsid w:val="619E7E05"/>
    <w:rsid w:val="61BF10D9"/>
    <w:rsid w:val="62414C52"/>
    <w:rsid w:val="629F7BDB"/>
    <w:rsid w:val="630A6E47"/>
    <w:rsid w:val="630B6D4C"/>
    <w:rsid w:val="640C7C21"/>
    <w:rsid w:val="64E45EF7"/>
    <w:rsid w:val="65071890"/>
    <w:rsid w:val="651F29C7"/>
    <w:rsid w:val="6568564A"/>
    <w:rsid w:val="657324B0"/>
    <w:rsid w:val="66445A65"/>
    <w:rsid w:val="6674153C"/>
    <w:rsid w:val="66A57729"/>
    <w:rsid w:val="66F71800"/>
    <w:rsid w:val="675D5D6E"/>
    <w:rsid w:val="67635EC3"/>
    <w:rsid w:val="677435B2"/>
    <w:rsid w:val="67E47ECF"/>
    <w:rsid w:val="67EF75F1"/>
    <w:rsid w:val="68CC2040"/>
    <w:rsid w:val="69124F16"/>
    <w:rsid w:val="69706376"/>
    <w:rsid w:val="69C64B0E"/>
    <w:rsid w:val="69CB245A"/>
    <w:rsid w:val="69CD5C14"/>
    <w:rsid w:val="69CF0D33"/>
    <w:rsid w:val="69D52033"/>
    <w:rsid w:val="6A2C3962"/>
    <w:rsid w:val="6A370C37"/>
    <w:rsid w:val="6A631FF4"/>
    <w:rsid w:val="6AB24495"/>
    <w:rsid w:val="6AEA268C"/>
    <w:rsid w:val="6B9946B3"/>
    <w:rsid w:val="6BC43C9C"/>
    <w:rsid w:val="6BF025F8"/>
    <w:rsid w:val="6C117498"/>
    <w:rsid w:val="6C1242E2"/>
    <w:rsid w:val="6C8B73D8"/>
    <w:rsid w:val="6D1837C6"/>
    <w:rsid w:val="6D3712D3"/>
    <w:rsid w:val="6D8016E0"/>
    <w:rsid w:val="6DD6335B"/>
    <w:rsid w:val="6DE76850"/>
    <w:rsid w:val="6DEB0015"/>
    <w:rsid w:val="6E997D72"/>
    <w:rsid w:val="6E9A1018"/>
    <w:rsid w:val="6EE60872"/>
    <w:rsid w:val="6F7779BF"/>
    <w:rsid w:val="6F815E7A"/>
    <w:rsid w:val="6FA96657"/>
    <w:rsid w:val="6FB20BD4"/>
    <w:rsid w:val="6FBA59BE"/>
    <w:rsid w:val="701952D0"/>
    <w:rsid w:val="70296B3E"/>
    <w:rsid w:val="704E4817"/>
    <w:rsid w:val="70611204"/>
    <w:rsid w:val="70E229E5"/>
    <w:rsid w:val="71663DE2"/>
    <w:rsid w:val="71880AA7"/>
    <w:rsid w:val="71F61E79"/>
    <w:rsid w:val="7234593E"/>
    <w:rsid w:val="72387C4D"/>
    <w:rsid w:val="72565C3D"/>
    <w:rsid w:val="72682551"/>
    <w:rsid w:val="72EF4CB6"/>
    <w:rsid w:val="738A14A0"/>
    <w:rsid w:val="73A330CC"/>
    <w:rsid w:val="73C020AA"/>
    <w:rsid w:val="74012C6F"/>
    <w:rsid w:val="74332FB8"/>
    <w:rsid w:val="748859D4"/>
    <w:rsid w:val="749D0E4E"/>
    <w:rsid w:val="74FA2C30"/>
    <w:rsid w:val="75F91BD5"/>
    <w:rsid w:val="762363DD"/>
    <w:rsid w:val="765F165D"/>
    <w:rsid w:val="768B1787"/>
    <w:rsid w:val="76911D29"/>
    <w:rsid w:val="76BC49EB"/>
    <w:rsid w:val="77000DA2"/>
    <w:rsid w:val="772236B3"/>
    <w:rsid w:val="7749386C"/>
    <w:rsid w:val="77D46C75"/>
    <w:rsid w:val="78064B19"/>
    <w:rsid w:val="781E69D1"/>
    <w:rsid w:val="78324E5D"/>
    <w:rsid w:val="78340059"/>
    <w:rsid w:val="78397E03"/>
    <w:rsid w:val="78A07BDA"/>
    <w:rsid w:val="78EC258E"/>
    <w:rsid w:val="797B0E8C"/>
    <w:rsid w:val="7A280F5B"/>
    <w:rsid w:val="7AB13B5A"/>
    <w:rsid w:val="7ADD0453"/>
    <w:rsid w:val="7AF46346"/>
    <w:rsid w:val="7B0F5EBF"/>
    <w:rsid w:val="7B130FB9"/>
    <w:rsid w:val="7B695E25"/>
    <w:rsid w:val="7B8D5C55"/>
    <w:rsid w:val="7BBE1BED"/>
    <w:rsid w:val="7BDE0625"/>
    <w:rsid w:val="7BEC67B3"/>
    <w:rsid w:val="7BF21C79"/>
    <w:rsid w:val="7BF64EDE"/>
    <w:rsid w:val="7C400C1E"/>
    <w:rsid w:val="7C812BED"/>
    <w:rsid w:val="7C8D240D"/>
    <w:rsid w:val="7DC025DB"/>
    <w:rsid w:val="7DD11708"/>
    <w:rsid w:val="7E000C25"/>
    <w:rsid w:val="7E3E606D"/>
    <w:rsid w:val="7E5B0638"/>
    <w:rsid w:val="7E6D1B30"/>
    <w:rsid w:val="7EAF35DA"/>
    <w:rsid w:val="7EB95B04"/>
    <w:rsid w:val="7EBC46EA"/>
    <w:rsid w:val="7EC167BD"/>
    <w:rsid w:val="7F2A292D"/>
    <w:rsid w:val="7F7856F3"/>
    <w:rsid w:val="7FF82C2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semiHidden="0" w:name="toc 2"/>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4"/>
    <w:qFormat/>
    <w:uiPriority w:val="99"/>
    <w:pPr>
      <w:keepNext/>
      <w:keepLines/>
      <w:spacing w:before="260" w:after="260" w:line="416" w:lineRule="auto"/>
      <w:outlineLvl w:val="2"/>
    </w:pPr>
    <w:rPr>
      <w:b/>
      <w:bCs/>
      <w:sz w:val="32"/>
      <w:szCs w:val="32"/>
    </w:rPr>
  </w:style>
  <w:style w:type="paragraph" w:styleId="5">
    <w:name w:val="heading 5"/>
    <w:basedOn w:val="1"/>
    <w:next w:val="6"/>
    <w:link w:val="35"/>
    <w:qFormat/>
    <w:uiPriority w:val="99"/>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szCs w:val="20"/>
    </w:rPr>
  </w:style>
  <w:style w:type="paragraph" w:styleId="7">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8">
    <w:name w:val="annotation text"/>
    <w:basedOn w:val="1"/>
    <w:link w:val="36"/>
    <w:qFormat/>
    <w:uiPriority w:val="99"/>
    <w:pPr>
      <w:jc w:val="left"/>
    </w:pPr>
  </w:style>
  <w:style w:type="paragraph" w:styleId="9">
    <w:name w:val="Body Text 3"/>
    <w:basedOn w:val="1"/>
    <w:link w:val="37"/>
    <w:qFormat/>
    <w:uiPriority w:val="99"/>
    <w:pPr>
      <w:spacing w:after="120"/>
    </w:pPr>
    <w:rPr>
      <w:sz w:val="16"/>
      <w:szCs w:val="16"/>
    </w:rPr>
  </w:style>
  <w:style w:type="paragraph" w:styleId="10">
    <w:name w:val="Body Text"/>
    <w:basedOn w:val="1"/>
    <w:link w:val="38"/>
    <w:qFormat/>
    <w:uiPriority w:val="99"/>
    <w:pPr>
      <w:spacing w:after="120"/>
    </w:pPr>
  </w:style>
  <w:style w:type="paragraph" w:styleId="11">
    <w:name w:val="Body Text Indent"/>
    <w:basedOn w:val="1"/>
    <w:link w:val="39"/>
    <w:qFormat/>
    <w:uiPriority w:val="99"/>
    <w:pPr>
      <w:ind w:firstLine="830" w:firstLineChars="352"/>
    </w:pPr>
    <w:rPr>
      <w:rFonts w:ascii="仿宋_GB2312" w:eastAsia="仿宋_GB2312"/>
      <w:kern w:val="0"/>
      <w:sz w:val="32"/>
      <w:szCs w:val="20"/>
    </w:rPr>
  </w:style>
  <w:style w:type="paragraph" w:styleId="12">
    <w:name w:val="List 2"/>
    <w:basedOn w:val="1"/>
    <w:qFormat/>
    <w:uiPriority w:val="99"/>
    <w:pPr>
      <w:ind w:left="100" w:leftChars="200" w:hanging="200" w:hangingChars="200"/>
      <w:contextualSpacing/>
    </w:pPr>
  </w:style>
  <w:style w:type="paragraph" w:styleId="13">
    <w:name w:val="Block Text"/>
    <w:basedOn w:val="1"/>
    <w:qFormat/>
    <w:uiPriority w:val="99"/>
    <w:pPr>
      <w:adjustRightInd w:val="0"/>
      <w:ind w:left="420" w:right="33"/>
      <w:jc w:val="left"/>
      <w:textAlignment w:val="baseline"/>
    </w:pPr>
    <w:rPr>
      <w:kern w:val="0"/>
      <w:szCs w:val="20"/>
    </w:rPr>
  </w:style>
  <w:style w:type="paragraph" w:styleId="14">
    <w:name w:val="Plain Text"/>
    <w:basedOn w:val="1"/>
    <w:link w:val="40"/>
    <w:qFormat/>
    <w:uiPriority w:val="0"/>
    <w:rPr>
      <w:rFonts w:ascii="宋体" w:hAnsi="Courier New"/>
      <w:kern w:val="0"/>
      <w:sz w:val="20"/>
      <w:szCs w:val="21"/>
    </w:rPr>
  </w:style>
  <w:style w:type="paragraph" w:styleId="15">
    <w:name w:val="Date"/>
    <w:basedOn w:val="1"/>
    <w:next w:val="1"/>
    <w:link w:val="41"/>
    <w:qFormat/>
    <w:uiPriority w:val="99"/>
    <w:pPr>
      <w:ind w:left="100" w:leftChars="2500"/>
    </w:pPr>
  </w:style>
  <w:style w:type="paragraph" w:styleId="16">
    <w:name w:val="Balloon Text"/>
    <w:basedOn w:val="1"/>
    <w:link w:val="42"/>
    <w:semiHidden/>
    <w:qFormat/>
    <w:uiPriority w:val="99"/>
    <w:rPr>
      <w:sz w:val="18"/>
      <w:szCs w:val="18"/>
    </w:rPr>
  </w:style>
  <w:style w:type="paragraph" w:styleId="17">
    <w:name w:val="footer"/>
    <w:basedOn w:val="1"/>
    <w:link w:val="43"/>
    <w:qFormat/>
    <w:uiPriority w:val="99"/>
    <w:pPr>
      <w:tabs>
        <w:tab w:val="center" w:pos="4153"/>
        <w:tab w:val="right" w:pos="8306"/>
      </w:tabs>
      <w:snapToGrid w:val="0"/>
      <w:jc w:val="left"/>
    </w:pPr>
    <w:rPr>
      <w:kern w:val="0"/>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link w:val="44"/>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39"/>
  </w:style>
  <w:style w:type="paragraph" w:styleId="21">
    <w:name w:val="toc 2"/>
    <w:basedOn w:val="1"/>
    <w:next w:val="1"/>
    <w:qFormat/>
    <w:uiPriority w:val="99"/>
    <w:pPr>
      <w:tabs>
        <w:tab w:val="right" w:leader="dot" w:pos="8296"/>
      </w:tabs>
      <w:ind w:left="420" w:leftChars="200"/>
    </w:pPr>
  </w:style>
  <w:style w:type="paragraph" w:styleId="22">
    <w:name w:val="Normal (Web)"/>
    <w:basedOn w:val="1"/>
    <w:qFormat/>
    <w:uiPriority w:val="99"/>
    <w:rPr>
      <w:rFonts w:ascii="Calibri" w:hAnsi="Calibri"/>
      <w:kern w:val="0"/>
      <w:sz w:val="24"/>
    </w:rPr>
  </w:style>
  <w:style w:type="paragraph" w:styleId="23">
    <w:name w:val="Title"/>
    <w:basedOn w:val="1"/>
    <w:next w:val="1"/>
    <w:link w:val="76"/>
    <w:qFormat/>
    <w:locked/>
    <w:uiPriority w:val="10"/>
    <w:pPr>
      <w:spacing w:before="240" w:after="60"/>
      <w:jc w:val="center"/>
      <w:outlineLvl w:val="0"/>
    </w:pPr>
    <w:rPr>
      <w:rFonts w:ascii="Cambria" w:hAnsi="Cambria"/>
      <w:b/>
      <w:bCs/>
      <w:sz w:val="32"/>
      <w:szCs w:val="32"/>
    </w:rPr>
  </w:style>
  <w:style w:type="paragraph" w:styleId="24">
    <w:name w:val="annotation subject"/>
    <w:basedOn w:val="8"/>
    <w:next w:val="8"/>
    <w:link w:val="45"/>
    <w:qFormat/>
    <w:uiPriority w:val="99"/>
    <w:rPr>
      <w:b/>
      <w:bCs/>
    </w:rPr>
  </w:style>
  <w:style w:type="table" w:styleId="26">
    <w:name w:val="Table Grid"/>
    <w:basedOn w:val="2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qFormat/>
    <w:uiPriority w:val="22"/>
    <w:rPr>
      <w:rFonts w:cs="Times New Roman"/>
      <w:b/>
      <w:bCs/>
    </w:rPr>
  </w:style>
  <w:style w:type="character" w:styleId="29">
    <w:name w:val="Emphasis"/>
    <w:qFormat/>
    <w:uiPriority w:val="99"/>
    <w:rPr>
      <w:rFonts w:cs="Times New Roman"/>
      <w:i/>
      <w:iCs/>
    </w:rPr>
  </w:style>
  <w:style w:type="character" w:styleId="30">
    <w:name w:val="Hyperlink"/>
    <w:qFormat/>
    <w:uiPriority w:val="99"/>
    <w:rPr>
      <w:rFonts w:cs="Times New Roman"/>
      <w:color w:val="0000FF"/>
      <w:u w:val="single"/>
    </w:rPr>
  </w:style>
  <w:style w:type="character" w:styleId="31">
    <w:name w:val="annotation reference"/>
    <w:qFormat/>
    <w:uiPriority w:val="0"/>
    <w:rPr>
      <w:rFonts w:cs="Times New Roman"/>
      <w:sz w:val="21"/>
    </w:rPr>
  </w:style>
  <w:style w:type="character" w:customStyle="1" w:styleId="32">
    <w:name w:val="标题 1 Char"/>
    <w:link w:val="2"/>
    <w:qFormat/>
    <w:locked/>
    <w:uiPriority w:val="9"/>
    <w:rPr>
      <w:b/>
      <w:kern w:val="44"/>
      <w:sz w:val="44"/>
    </w:rPr>
  </w:style>
  <w:style w:type="character" w:customStyle="1" w:styleId="33">
    <w:name w:val="标题 2 Char"/>
    <w:link w:val="3"/>
    <w:qFormat/>
    <w:locked/>
    <w:uiPriority w:val="99"/>
    <w:rPr>
      <w:rFonts w:ascii="Cambria" w:hAnsi="Cambria" w:eastAsia="宋体"/>
      <w:b/>
      <w:kern w:val="2"/>
      <w:sz w:val="32"/>
    </w:rPr>
  </w:style>
  <w:style w:type="character" w:customStyle="1" w:styleId="34">
    <w:name w:val="标题 3 Char"/>
    <w:link w:val="4"/>
    <w:semiHidden/>
    <w:qFormat/>
    <w:locked/>
    <w:uiPriority w:val="99"/>
    <w:rPr>
      <w:rFonts w:cs="Times New Roman"/>
      <w:b/>
      <w:bCs/>
      <w:kern w:val="2"/>
      <w:sz w:val="32"/>
      <w:szCs w:val="32"/>
    </w:rPr>
  </w:style>
  <w:style w:type="character" w:customStyle="1" w:styleId="35">
    <w:name w:val="标题 5 Char"/>
    <w:link w:val="5"/>
    <w:semiHidden/>
    <w:qFormat/>
    <w:locked/>
    <w:uiPriority w:val="99"/>
    <w:rPr>
      <w:rFonts w:ascii="Times New Roman" w:hAnsi="Times New Roman"/>
      <w:b/>
      <w:kern w:val="2"/>
      <w:sz w:val="28"/>
    </w:rPr>
  </w:style>
  <w:style w:type="character" w:customStyle="1" w:styleId="36">
    <w:name w:val="批注文字 Char"/>
    <w:link w:val="8"/>
    <w:qFormat/>
    <w:locked/>
    <w:uiPriority w:val="99"/>
    <w:rPr>
      <w:rFonts w:ascii="Times New Roman" w:hAnsi="Times New Roman"/>
      <w:kern w:val="2"/>
      <w:sz w:val="24"/>
    </w:rPr>
  </w:style>
  <w:style w:type="character" w:customStyle="1" w:styleId="37">
    <w:name w:val="正文文本 3 Char"/>
    <w:link w:val="9"/>
    <w:semiHidden/>
    <w:qFormat/>
    <w:locked/>
    <w:uiPriority w:val="99"/>
    <w:rPr>
      <w:rFonts w:ascii="Times New Roman" w:hAnsi="Times New Roman"/>
      <w:kern w:val="2"/>
      <w:sz w:val="16"/>
    </w:rPr>
  </w:style>
  <w:style w:type="character" w:customStyle="1" w:styleId="38">
    <w:name w:val="正文文本 Char"/>
    <w:link w:val="10"/>
    <w:qFormat/>
    <w:locked/>
    <w:uiPriority w:val="99"/>
    <w:rPr>
      <w:rFonts w:ascii="Times New Roman" w:hAnsi="Times New Roman"/>
      <w:kern w:val="2"/>
      <w:sz w:val="24"/>
    </w:rPr>
  </w:style>
  <w:style w:type="character" w:customStyle="1" w:styleId="39">
    <w:name w:val="正文文本缩进 Char"/>
    <w:link w:val="11"/>
    <w:qFormat/>
    <w:locked/>
    <w:uiPriority w:val="99"/>
    <w:rPr>
      <w:rFonts w:ascii="仿宋_GB2312" w:hAnsi="Times New Roman" w:eastAsia="仿宋_GB2312"/>
      <w:sz w:val="20"/>
    </w:rPr>
  </w:style>
  <w:style w:type="character" w:customStyle="1" w:styleId="40">
    <w:name w:val="纯文本 Char"/>
    <w:link w:val="14"/>
    <w:qFormat/>
    <w:locked/>
    <w:uiPriority w:val="0"/>
    <w:rPr>
      <w:rFonts w:ascii="宋体" w:hAnsi="Courier New" w:eastAsia="宋体"/>
      <w:sz w:val="21"/>
    </w:rPr>
  </w:style>
  <w:style w:type="character" w:customStyle="1" w:styleId="41">
    <w:name w:val="日期 Char"/>
    <w:link w:val="15"/>
    <w:semiHidden/>
    <w:qFormat/>
    <w:locked/>
    <w:uiPriority w:val="99"/>
    <w:rPr>
      <w:rFonts w:ascii="Times New Roman" w:hAnsi="Times New Roman"/>
      <w:kern w:val="2"/>
      <w:sz w:val="24"/>
    </w:rPr>
  </w:style>
  <w:style w:type="character" w:customStyle="1" w:styleId="42">
    <w:name w:val="批注框文本 Char"/>
    <w:link w:val="16"/>
    <w:semiHidden/>
    <w:qFormat/>
    <w:uiPriority w:val="99"/>
    <w:rPr>
      <w:sz w:val="0"/>
      <w:szCs w:val="0"/>
    </w:rPr>
  </w:style>
  <w:style w:type="character" w:customStyle="1" w:styleId="43">
    <w:name w:val="页脚 Char1"/>
    <w:link w:val="17"/>
    <w:qFormat/>
    <w:locked/>
    <w:uiPriority w:val="99"/>
    <w:rPr>
      <w:sz w:val="18"/>
    </w:rPr>
  </w:style>
  <w:style w:type="character" w:customStyle="1" w:styleId="44">
    <w:name w:val="页眉 Char"/>
    <w:link w:val="19"/>
    <w:qFormat/>
    <w:locked/>
    <w:uiPriority w:val="99"/>
    <w:rPr>
      <w:sz w:val="18"/>
    </w:rPr>
  </w:style>
  <w:style w:type="character" w:customStyle="1" w:styleId="45">
    <w:name w:val="批注主题 Char"/>
    <w:link w:val="24"/>
    <w:qFormat/>
    <w:locked/>
    <w:uiPriority w:val="99"/>
    <w:rPr>
      <w:rFonts w:ascii="Times New Roman" w:hAnsi="Times New Roman"/>
      <w:b/>
      <w:kern w:val="2"/>
      <w:sz w:val="24"/>
    </w:rPr>
  </w:style>
  <w:style w:type="paragraph" w:customStyle="1" w:styleId="46">
    <w:name w:val="Style1"/>
    <w:basedOn w:val="1"/>
    <w:qFormat/>
    <w:uiPriority w:val="99"/>
    <w:pPr>
      <w:widowControl/>
      <w:tabs>
        <w:tab w:val="left" w:pos="-720"/>
      </w:tabs>
      <w:spacing w:after="120"/>
    </w:pPr>
    <w:rPr>
      <w:spacing w:val="-3"/>
      <w:kern w:val="0"/>
      <w:sz w:val="24"/>
      <w:szCs w:val="20"/>
      <w:lang w:val="en-AU" w:eastAsia="en-US"/>
    </w:rPr>
  </w:style>
  <w:style w:type="character" w:customStyle="1" w:styleId="47">
    <w:name w:val="批注文字 Char2"/>
    <w:qFormat/>
    <w:uiPriority w:val="99"/>
    <w:rPr>
      <w:rFonts w:ascii="Times New Roman" w:hAnsi="Times New Roman"/>
      <w:kern w:val="2"/>
      <w:sz w:val="24"/>
    </w:rPr>
  </w:style>
  <w:style w:type="character" w:customStyle="1" w:styleId="48">
    <w:name w:val="纯文本 字符2"/>
    <w:qFormat/>
    <w:uiPriority w:val="99"/>
    <w:rPr>
      <w:rFonts w:ascii="宋体" w:hAnsi="Courier New" w:eastAsia="宋体"/>
      <w:sz w:val="21"/>
    </w:rPr>
  </w:style>
  <w:style w:type="character" w:customStyle="1" w:styleId="49">
    <w:name w:val="正文2 Char Char"/>
    <w:link w:val="50"/>
    <w:qFormat/>
    <w:locked/>
    <w:uiPriority w:val="99"/>
    <w:rPr>
      <w:kern w:val="2"/>
      <w:sz w:val="24"/>
    </w:rPr>
  </w:style>
  <w:style w:type="paragraph" w:customStyle="1" w:styleId="50">
    <w:name w:val="正文2"/>
    <w:basedOn w:val="1"/>
    <w:link w:val="49"/>
    <w:qFormat/>
    <w:uiPriority w:val="99"/>
    <w:pPr>
      <w:adjustRightInd w:val="0"/>
      <w:spacing w:before="156" w:line="360" w:lineRule="auto"/>
      <w:ind w:firstLine="510" w:firstLineChars="200"/>
    </w:pPr>
    <w:rPr>
      <w:sz w:val="24"/>
      <w:szCs w:val="20"/>
    </w:rPr>
  </w:style>
  <w:style w:type="character" w:customStyle="1" w:styleId="51">
    <w:name w:val="标题 1 字符"/>
    <w:qFormat/>
    <w:uiPriority w:val="99"/>
    <w:rPr>
      <w:b/>
      <w:kern w:val="44"/>
      <w:sz w:val="44"/>
    </w:rPr>
  </w:style>
  <w:style w:type="character" w:customStyle="1" w:styleId="52">
    <w:name w:val="批注文字 字符2"/>
    <w:qFormat/>
    <w:uiPriority w:val="99"/>
    <w:rPr>
      <w:rFonts w:ascii="Times New Roman" w:hAnsi="Times New Roman"/>
      <w:kern w:val="2"/>
      <w:sz w:val="24"/>
    </w:rPr>
  </w:style>
  <w:style w:type="character" w:customStyle="1" w:styleId="53">
    <w:name w:val="批注文字 Char1"/>
    <w:qFormat/>
    <w:uiPriority w:val="99"/>
    <w:rPr>
      <w:rFonts w:ascii="Times New Roman" w:hAnsi="Times New Roman"/>
      <w:kern w:val="2"/>
      <w:sz w:val="24"/>
    </w:rPr>
  </w:style>
  <w:style w:type="character" w:customStyle="1" w:styleId="54">
    <w:name w:val="页脚 Char"/>
    <w:qFormat/>
    <w:uiPriority w:val="99"/>
    <w:rPr>
      <w:lang w:eastAsia="zh-CN"/>
    </w:rPr>
  </w:style>
  <w:style w:type="character" w:customStyle="1" w:styleId="55">
    <w:name w:val="textcontents"/>
    <w:qFormat/>
    <w:uiPriority w:val="99"/>
  </w:style>
  <w:style w:type="character" w:customStyle="1" w:styleId="56">
    <w:name w:val="纯文本 字符1"/>
    <w:qFormat/>
    <w:uiPriority w:val="99"/>
    <w:rPr>
      <w:rFonts w:ascii="宋体" w:hAnsi="Courier New"/>
    </w:rPr>
  </w:style>
  <w:style w:type="character" w:customStyle="1" w:styleId="57">
    <w:name w:val="正文文本缩进 字符1"/>
    <w:qFormat/>
    <w:uiPriority w:val="99"/>
    <w:rPr>
      <w:rFonts w:ascii="仿宋_GB2312" w:hAnsi="Times New Roman" w:eastAsia="仿宋_GB2312"/>
      <w:sz w:val="20"/>
    </w:rPr>
  </w:style>
  <w:style w:type="character" w:customStyle="1" w:styleId="58">
    <w:name w:val="正文文本 (26) + 间距 0 pt"/>
    <w:qFormat/>
    <w:uiPriority w:val="99"/>
    <w:rPr>
      <w:rFonts w:ascii="宋体" w:hAnsi="宋体" w:eastAsia="宋体"/>
      <w:color w:val="000000"/>
      <w:spacing w:val="0"/>
      <w:w w:val="100"/>
      <w:position w:val="0"/>
      <w:sz w:val="22"/>
      <w:u w:val="none"/>
      <w:lang w:val="zh-CN" w:eastAsia="zh-CN"/>
    </w:rPr>
  </w:style>
  <w:style w:type="character" w:customStyle="1" w:styleId="59">
    <w:name w:val="apple-style-span"/>
    <w:qFormat/>
    <w:uiPriority w:val="99"/>
  </w:style>
  <w:style w:type="character" w:customStyle="1" w:styleId="60">
    <w:name w:val="纯文本 Char1"/>
    <w:qFormat/>
    <w:uiPriority w:val="0"/>
    <w:rPr>
      <w:rFonts w:ascii="宋体" w:hAnsi="Courier New" w:eastAsia="宋体"/>
      <w:sz w:val="21"/>
    </w:rPr>
  </w:style>
  <w:style w:type="character" w:customStyle="1" w:styleId="61">
    <w:name w:val="批注文字 字符1"/>
    <w:qFormat/>
    <w:uiPriority w:val="99"/>
    <w:rPr>
      <w:kern w:val="2"/>
      <w:sz w:val="24"/>
    </w:rPr>
  </w:style>
  <w:style w:type="paragraph" w:customStyle="1" w:styleId="62">
    <w:name w:val="Table Paragraph"/>
    <w:basedOn w:val="1"/>
    <w:qFormat/>
    <w:uiPriority w:val="99"/>
    <w:pPr>
      <w:jc w:val="left"/>
    </w:pPr>
    <w:rPr>
      <w:rFonts w:ascii="Calibri" w:hAnsi="Calibri"/>
      <w:kern w:val="0"/>
      <w:sz w:val="22"/>
      <w:szCs w:val="22"/>
      <w:lang w:eastAsia="en-US"/>
    </w:rPr>
  </w:style>
  <w:style w:type="paragraph" w:styleId="63">
    <w:name w:val="List Paragraph"/>
    <w:basedOn w:val="1"/>
    <w:qFormat/>
    <w:uiPriority w:val="99"/>
    <w:pPr>
      <w:ind w:firstLine="420" w:firstLineChars="200"/>
    </w:pPr>
  </w:style>
  <w:style w:type="paragraph" w:customStyle="1" w:styleId="64">
    <w:name w:val="默认段落字体 Para Char Char Char Char Char Char Char Char Char1 Char Char Char Char"/>
    <w:basedOn w:val="1"/>
    <w:qFormat/>
    <w:uiPriority w:val="99"/>
    <w:rPr>
      <w:rFonts w:ascii="Tahoma" w:hAnsi="Tahoma"/>
      <w:sz w:val="24"/>
      <w:szCs w:val="20"/>
    </w:rPr>
  </w:style>
  <w:style w:type="paragraph" w:customStyle="1" w:styleId="65">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66">
    <w:name w:val="修订1"/>
    <w:qFormat/>
    <w:uiPriority w:val="99"/>
    <w:rPr>
      <w:rFonts w:ascii="Times New Roman" w:hAnsi="Times New Roman" w:eastAsia="宋体" w:cs="Times New Roman"/>
      <w:kern w:val="2"/>
      <w:sz w:val="21"/>
      <w:szCs w:val="24"/>
      <w:lang w:val="en-US" w:eastAsia="zh-CN" w:bidi="ar-SA"/>
    </w:rPr>
  </w:style>
  <w:style w:type="character" w:customStyle="1" w:styleId="67">
    <w:name w:val="font21"/>
    <w:qFormat/>
    <w:uiPriority w:val="99"/>
    <w:rPr>
      <w:rFonts w:ascii="宋体" w:hAnsi="宋体" w:eastAsia="宋体"/>
      <w:color w:val="000000"/>
      <w:sz w:val="21"/>
      <w:u w:val="none"/>
    </w:rPr>
  </w:style>
  <w:style w:type="paragraph" w:customStyle="1" w:styleId="68">
    <w:name w:val="Revision1"/>
    <w:qFormat/>
    <w:uiPriority w:val="99"/>
    <w:rPr>
      <w:rFonts w:ascii="Times New Roman" w:hAnsi="Times New Roman" w:eastAsia="宋体" w:cs="Times New Roman"/>
      <w:kern w:val="2"/>
      <w:sz w:val="21"/>
      <w:szCs w:val="24"/>
      <w:lang w:val="en-US" w:eastAsia="zh-CN" w:bidi="ar-SA"/>
    </w:rPr>
  </w:style>
  <w:style w:type="paragraph" w:customStyle="1" w:styleId="69">
    <w:name w:val="ItemDescription"/>
    <w:basedOn w:val="1"/>
    <w:qFormat/>
    <w:uiPriority w:val="99"/>
    <w:pPr>
      <w:tabs>
        <w:tab w:val="right" w:pos="1420"/>
        <w:tab w:val="left" w:pos="1580"/>
        <w:tab w:val="right" w:pos="9620"/>
      </w:tabs>
      <w:spacing w:before="200"/>
    </w:pPr>
    <w:rPr>
      <w:rFonts w:ascii="宋体"/>
      <w:b/>
    </w:rPr>
  </w:style>
  <w:style w:type="paragraph" w:customStyle="1" w:styleId="70">
    <w:name w:val="Standard"/>
    <w:qFormat/>
    <w:uiPriority w:val="99"/>
    <w:pPr>
      <w:widowControl w:val="0"/>
    </w:pPr>
    <w:rPr>
      <w:rFonts w:ascii="Arial" w:hAnsi="Arial" w:eastAsia="宋体" w:cs="Times New Roman"/>
      <w:lang w:val="de-DE" w:eastAsia="zh-CN" w:bidi="ar-SA"/>
    </w:rPr>
  </w:style>
  <w:style w:type="paragraph" w:customStyle="1" w:styleId="7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2">
    <w:name w:val="PlainText"/>
    <w:basedOn w:val="1"/>
    <w:qFormat/>
    <w:uiPriority w:val="0"/>
    <w:rPr>
      <w:rFonts w:ascii="宋体" w:hAnsi="Courier New"/>
      <w:szCs w:val="21"/>
    </w:rPr>
  </w:style>
  <w:style w:type="character" w:customStyle="1" w:styleId="73">
    <w:name w:val="NormalCharacter"/>
    <w:qFormat/>
    <w:uiPriority w:val="0"/>
  </w:style>
  <w:style w:type="paragraph" w:customStyle="1" w:styleId="74">
    <w:name w:val="列出段落1"/>
    <w:basedOn w:val="1"/>
    <w:qFormat/>
    <w:uiPriority w:val="99"/>
    <w:pPr>
      <w:ind w:firstLine="420" w:firstLineChars="200"/>
    </w:pPr>
    <w:rPr>
      <w:rFonts w:ascii="Calibri" w:hAnsi="Calibri"/>
      <w:szCs w:val="22"/>
    </w:rPr>
  </w:style>
  <w:style w:type="character" w:customStyle="1" w:styleId="75">
    <w:name w:val="未处理的提及1"/>
    <w:basedOn w:val="27"/>
    <w:semiHidden/>
    <w:unhideWhenUsed/>
    <w:qFormat/>
    <w:uiPriority w:val="99"/>
    <w:rPr>
      <w:color w:val="605E5C"/>
      <w:shd w:val="clear" w:color="auto" w:fill="E1DFDD"/>
    </w:rPr>
  </w:style>
  <w:style w:type="character" w:customStyle="1" w:styleId="76">
    <w:name w:val="标题 Char"/>
    <w:basedOn w:val="27"/>
    <w:link w:val="23"/>
    <w:qFormat/>
    <w:uiPriority w:val="10"/>
    <w:rPr>
      <w:rFonts w:ascii="Cambria" w:hAnsi="Cambria"/>
      <w:b/>
      <w:bCs/>
      <w:kern w:val="2"/>
      <w:sz w:val="32"/>
      <w:szCs w:val="32"/>
    </w:rPr>
  </w:style>
  <w:style w:type="character" w:customStyle="1" w:styleId="77">
    <w:name w:val="font41"/>
    <w:basedOn w:val="27"/>
    <w:qFormat/>
    <w:uiPriority w:val="0"/>
    <w:rPr>
      <w:rFonts w:hint="eastAsia" w:ascii="宋体" w:hAnsi="宋体" w:eastAsia="宋体" w:cs="宋体"/>
      <w:color w:val="000000"/>
      <w:sz w:val="18"/>
      <w:szCs w:val="18"/>
      <w:u w:val="none"/>
    </w:rPr>
  </w:style>
  <w:style w:type="character" w:customStyle="1" w:styleId="78">
    <w:name w:val="font81"/>
    <w:basedOn w:val="27"/>
    <w:qFormat/>
    <w:uiPriority w:val="0"/>
    <w:rPr>
      <w:rFonts w:hint="eastAsia" w:ascii="宋体" w:hAnsi="宋体" w:eastAsia="宋体" w:cs="宋体"/>
      <w:color w:val="000000"/>
      <w:sz w:val="18"/>
      <w:szCs w:val="18"/>
      <w:u w:val="none"/>
      <w:vertAlign w:val="superscript"/>
    </w:rPr>
  </w:style>
  <w:style w:type="character" w:customStyle="1" w:styleId="79">
    <w:name w:val="font61"/>
    <w:basedOn w:val="27"/>
    <w:qFormat/>
    <w:uiPriority w:val="0"/>
    <w:rPr>
      <w:rFonts w:hint="eastAsia" w:ascii="宋体" w:hAnsi="宋体" w:eastAsia="宋体" w:cs="宋体"/>
      <w:color w:val="0000E2"/>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3F91B-8743-4276-A838-6A0A1312671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118</Pages>
  <Words>39360</Words>
  <Characters>44485</Characters>
  <Lines>618</Lines>
  <Paragraphs>174</Paragraphs>
  <TotalTime>14</TotalTime>
  <ScaleCrop>false</ScaleCrop>
  <LinksUpToDate>false</LinksUpToDate>
  <CharactersWithSpaces>44781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2023-09-01T03:07:00Z</dcterms:created>
  <dc:creator>唐冰</dc:creator>
  <cp:lastModifiedBy>用户</cp:lastModifiedBy>
  <cp:lastPrinted>2025-09-08T07:13:00Z</cp:lastPrinted>
  <dcterms:modified xsi:type="dcterms:W3CDTF">2025-09-15T06:21:29Z</dcterms:modified>
  <dc:title>竞争性谈判文件规范</dc:title>
  <cp:revision>729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BC354263E76848D4A7255AF0C12AA31C_13</vt:lpwstr>
  </property>
  <property fmtid="{D5CDD505-2E9C-101B-9397-08002B2CF9AE}" pid="4" name="KSOTemplateDocerSaveRecord">
    <vt:lpwstr>eyJoZGlkIjoiNjYxNGMxOWE1NmJmNjE2NWUxMWZiOTdlYWFjMjI2YjIiLCJ1c2VySWQiOiIyNDA5MzM3NzAifQ==</vt:lpwstr>
  </property>
</Properties>
</file>